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spacing w:line="619" w:lineRule="exact" w:before="0"/>
        <w:ind w:left="1708" w:right="0" w:firstLine="0"/>
        <w:jc w:val="left"/>
        <w:rPr>
          <w:rFonts w:ascii="宋体" w:hAnsi="宋体" w:cs="宋体" w:eastAsia="宋体" w:hint="default"/>
          <w:sz w:val="52"/>
          <w:szCs w:val="52"/>
        </w:rPr>
      </w:pPr>
      <w:r>
        <w:rPr/>
        <w:pict>
          <v:group style="position:absolute;margin-left:55.223999pt;margin-top:-29.725pt;width:485pt;height:.1pt;mso-position-horizontal-relative:page;mso-position-vertical-relative:paragraph;z-index:0" coordorigin="1104,-595" coordsize="9700,2">
            <v:shape style="position:absolute;left:1104;top:-595;width:9700;height:2" coordorigin="1104,-595" coordsize="9700,0" path="m1104,-595l10804,-595e" filled="false" stroked="true" strokeweight=".72pt" strokecolor="#000000">
              <v:path arrowok="t"/>
            </v:shape>
            <w10:wrap type="none"/>
          </v:group>
        </w:pict>
      </w:r>
      <w:r>
        <w:rPr>
          <w:rFonts w:ascii="宋体" w:hAnsi="宋体" w:cs="宋体" w:eastAsia="宋体" w:hint="default"/>
          <w:b/>
          <w:bCs/>
          <w:spacing w:val="3"/>
          <w:sz w:val="52"/>
          <w:szCs w:val="52"/>
        </w:rPr>
        <w:t>依米康科技集团股份有限公司</w:t>
      </w:r>
      <w:r>
        <w:rPr>
          <w:rFonts w:ascii="宋体" w:hAnsi="宋体" w:cs="宋体" w:eastAsia="宋体" w:hint="default"/>
          <w:spacing w:val="3"/>
          <w:sz w:val="52"/>
          <w:szCs w:val="52"/>
        </w:rPr>
      </w:r>
    </w:p>
    <w:p>
      <w:pPr>
        <w:spacing w:before="114"/>
        <w:ind w:left="0" w:right="990" w:firstLine="0"/>
        <w:jc w:val="center"/>
        <w:rPr>
          <w:rFonts w:ascii="Times New Roman" w:hAnsi="Times New Roman" w:cs="Times New Roman" w:eastAsia="Times New Roman" w:hint="default"/>
          <w:sz w:val="36"/>
          <w:szCs w:val="36"/>
        </w:rPr>
      </w:pPr>
      <w:r>
        <w:rPr>
          <w:rFonts w:ascii="Times New Roman"/>
          <w:b/>
          <w:spacing w:val="-4"/>
          <w:sz w:val="36"/>
        </w:rPr>
        <w:t>Yimikang </w:t>
      </w:r>
      <w:r>
        <w:rPr>
          <w:rFonts w:ascii="Times New Roman"/>
          <w:b/>
          <w:spacing w:val="-5"/>
          <w:sz w:val="36"/>
        </w:rPr>
        <w:t>Tech.Group </w:t>
      </w:r>
      <w:r>
        <w:rPr>
          <w:rFonts w:ascii="Times New Roman"/>
          <w:b/>
          <w:sz w:val="36"/>
        </w:rPr>
        <w:t>Co.,</w:t>
      </w:r>
      <w:r>
        <w:rPr>
          <w:rFonts w:ascii="Times New Roman"/>
          <w:b/>
          <w:spacing w:val="9"/>
          <w:sz w:val="36"/>
        </w:rPr>
        <w:t> </w:t>
      </w:r>
      <w:r>
        <w:rPr>
          <w:rFonts w:ascii="Times New Roman"/>
          <w:b/>
          <w:sz w:val="36"/>
        </w:rPr>
        <w:t>Ltd.</w:t>
      </w:r>
      <w:r>
        <w:rPr>
          <w:rFonts w:ascii="Times New Roman"/>
          <w:sz w:val="36"/>
        </w:rPr>
      </w:r>
    </w:p>
    <w:p>
      <w:pPr>
        <w:tabs>
          <w:tab w:pos="2943" w:val="left" w:leader="none"/>
          <w:tab w:pos="5608" w:val="left" w:leader="none"/>
        </w:tabs>
        <w:spacing w:before="204"/>
        <w:ind w:left="0" w:right="1141" w:firstLine="0"/>
        <w:jc w:val="center"/>
        <w:rPr>
          <w:rFonts w:ascii="Times New Roman" w:hAnsi="Times New Roman" w:cs="Times New Roman" w:eastAsia="Times New Roman" w:hint="default"/>
          <w:sz w:val="28"/>
          <w:szCs w:val="28"/>
        </w:rPr>
      </w:pPr>
      <w:r>
        <w:rPr>
          <w:rFonts w:ascii="宋体" w:hAnsi="宋体" w:cs="宋体" w:eastAsia="宋体" w:hint="default"/>
          <w:w w:val="95"/>
          <w:sz w:val="28"/>
          <w:szCs w:val="28"/>
        </w:rPr>
        <w:t>证券代码：</w:t>
      </w:r>
      <w:r>
        <w:rPr>
          <w:rFonts w:ascii="Times New Roman" w:hAnsi="Times New Roman" w:cs="Times New Roman" w:eastAsia="Times New Roman" w:hint="default"/>
          <w:w w:val="95"/>
          <w:sz w:val="28"/>
          <w:szCs w:val="28"/>
        </w:rPr>
        <w:t>300249</w:t>
        <w:tab/>
      </w:r>
      <w:r>
        <w:rPr>
          <w:rFonts w:ascii="宋体" w:hAnsi="宋体" w:cs="宋体" w:eastAsia="宋体" w:hint="default"/>
          <w:w w:val="95"/>
          <w:sz w:val="28"/>
          <w:szCs w:val="28"/>
        </w:rPr>
        <w:t>证券简称：依米康</w:t>
        <w:tab/>
      </w:r>
      <w:r>
        <w:rPr>
          <w:rFonts w:ascii="宋体" w:hAnsi="宋体" w:cs="宋体" w:eastAsia="宋体" w:hint="default"/>
          <w:sz w:val="28"/>
          <w:szCs w:val="28"/>
        </w:rPr>
        <w:t>公告编号：</w:t>
      </w:r>
      <w:r>
        <w:rPr>
          <w:rFonts w:ascii="Times New Roman" w:hAnsi="Times New Roman" w:cs="Times New Roman" w:eastAsia="Times New Roman" w:hint="default"/>
          <w:sz w:val="28"/>
          <w:szCs w:val="28"/>
        </w:rPr>
        <w:t>2020-017</w:t>
      </w:r>
    </w:p>
    <w:p>
      <w:pPr>
        <w:spacing w:line="240" w:lineRule="auto" w:before="0"/>
        <w:rPr>
          <w:rFonts w:ascii="Times New Roman" w:hAnsi="Times New Roman" w:cs="Times New Roman" w:eastAsia="Times New Roman" w:hint="default"/>
          <w:sz w:val="28"/>
          <w:szCs w:val="28"/>
        </w:rPr>
      </w:pPr>
    </w:p>
    <w:p>
      <w:pPr>
        <w:spacing w:line="240" w:lineRule="auto" w:before="5"/>
        <w:rPr>
          <w:rFonts w:ascii="Times New Roman" w:hAnsi="Times New Roman" w:cs="Times New Roman" w:eastAsia="Times New Roman" w:hint="default"/>
          <w:sz w:val="26"/>
          <w:szCs w:val="26"/>
        </w:rPr>
      </w:pPr>
    </w:p>
    <w:p>
      <w:pPr>
        <w:spacing w:before="0"/>
        <w:ind w:left="0" w:right="974"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2019</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line="1920" w:lineRule="exact"/>
        <w:ind w:left="3428"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1962150" cy="12192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962150" cy="1219200"/>
                    </a:xfrm>
                    <a:prstGeom prst="rect">
                      <a:avLst/>
                    </a:prstGeom>
                  </pic:spPr>
                </pic:pic>
              </a:graphicData>
            </a:graphic>
          </wp:inline>
        </w:drawing>
      </w:r>
      <w:r>
        <w:rPr>
          <w:rFonts w:ascii="宋体" w:hAnsi="宋体" w:cs="宋体" w:eastAsia="宋体" w:hint="default"/>
          <w:position w:val="-37"/>
          <w:sz w:val="20"/>
          <w:szCs w:val="20"/>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61"/>
          <w:szCs w:val="61"/>
        </w:rPr>
      </w:pPr>
    </w:p>
    <w:p>
      <w:pPr>
        <w:spacing w:line="360" w:lineRule="auto" w:before="0"/>
        <w:ind w:left="3721" w:right="4793" w:firstLine="0"/>
        <w:jc w:val="center"/>
        <w:rPr>
          <w:rFonts w:ascii="宋体" w:hAnsi="宋体" w:cs="宋体" w:eastAsia="宋体" w:hint="default"/>
          <w:sz w:val="30"/>
          <w:szCs w:val="30"/>
        </w:rPr>
      </w:pPr>
      <w:r>
        <w:rPr>
          <w:rFonts w:ascii="宋体" w:hAnsi="宋体" w:cs="宋体" w:eastAsia="宋体" w:hint="default"/>
          <w:spacing w:val="-2"/>
          <w:sz w:val="30"/>
          <w:szCs w:val="30"/>
        </w:rPr>
        <w:t>股票代码：</w:t>
      </w:r>
      <w:r>
        <w:rPr>
          <w:rFonts w:ascii="Times New Roman" w:hAnsi="Times New Roman" w:cs="Times New Roman" w:eastAsia="Times New Roman" w:hint="default"/>
          <w:spacing w:val="-2"/>
          <w:sz w:val="30"/>
          <w:szCs w:val="30"/>
        </w:rPr>
        <w:t>300249</w:t>
      </w:r>
      <w:r>
        <w:rPr>
          <w:rFonts w:ascii="Times New Roman" w:hAnsi="Times New Roman" w:cs="Times New Roman" w:eastAsia="Times New Roman" w:hint="default"/>
          <w:spacing w:val="-55"/>
          <w:sz w:val="30"/>
          <w:szCs w:val="30"/>
        </w:rPr>
        <w:t> </w:t>
      </w:r>
      <w:r>
        <w:rPr>
          <w:rFonts w:ascii="Times New Roman" w:hAnsi="Times New Roman" w:cs="Times New Roman" w:eastAsia="Times New Roman" w:hint="default"/>
          <w:spacing w:val="-55"/>
          <w:sz w:val="30"/>
          <w:szCs w:val="30"/>
        </w:rPr>
      </w:r>
      <w:r>
        <w:rPr>
          <w:rFonts w:ascii="宋体" w:hAnsi="宋体" w:cs="宋体" w:eastAsia="宋体" w:hint="default"/>
          <w:spacing w:val="-2"/>
          <w:sz w:val="30"/>
          <w:szCs w:val="30"/>
        </w:rPr>
        <w:t>股票简称：依米康</w:t>
      </w:r>
    </w:p>
    <w:p>
      <w:pPr>
        <w:spacing w:before="81"/>
        <w:ind w:left="2856" w:right="0" w:firstLine="0"/>
        <w:jc w:val="left"/>
        <w:rPr>
          <w:rFonts w:ascii="宋体" w:hAnsi="宋体" w:cs="宋体" w:eastAsia="宋体" w:hint="default"/>
          <w:sz w:val="30"/>
          <w:szCs w:val="30"/>
        </w:rPr>
      </w:pPr>
      <w:r>
        <w:rPr>
          <w:rFonts w:ascii="宋体" w:hAnsi="宋体" w:cs="宋体" w:eastAsia="宋体" w:hint="default"/>
          <w:spacing w:val="-3"/>
          <w:sz w:val="30"/>
          <w:szCs w:val="30"/>
        </w:rPr>
        <w:t>披露日期：</w:t>
      </w:r>
      <w:r>
        <w:rPr>
          <w:rFonts w:ascii="Times New Roman" w:hAnsi="Times New Roman" w:cs="Times New Roman" w:eastAsia="Times New Roman" w:hint="default"/>
          <w:spacing w:val="-3"/>
          <w:sz w:val="30"/>
          <w:szCs w:val="30"/>
        </w:rPr>
        <w:t>2020</w:t>
      </w:r>
      <w:r>
        <w:rPr>
          <w:rFonts w:ascii="Times New Roman" w:hAnsi="Times New Roman" w:cs="Times New Roman" w:eastAsia="Times New Roman" w:hint="default"/>
          <w:spacing w:val="5"/>
          <w:sz w:val="30"/>
          <w:szCs w:val="30"/>
        </w:rPr>
        <w:t> </w:t>
      </w:r>
      <w:r>
        <w:rPr>
          <w:rFonts w:ascii="宋体" w:hAnsi="宋体" w:cs="宋体" w:eastAsia="宋体" w:hint="default"/>
          <w:sz w:val="30"/>
          <w:szCs w:val="30"/>
        </w:rPr>
        <w:t>年</w:t>
      </w:r>
      <w:r>
        <w:rPr>
          <w:rFonts w:ascii="宋体" w:hAnsi="宋体" w:cs="宋体" w:eastAsia="宋体" w:hint="default"/>
          <w:spacing w:val="-72"/>
          <w:sz w:val="30"/>
          <w:szCs w:val="30"/>
        </w:rPr>
        <w:t> </w:t>
      </w:r>
      <w:r>
        <w:rPr>
          <w:rFonts w:ascii="Times New Roman" w:hAnsi="Times New Roman" w:cs="Times New Roman" w:eastAsia="Times New Roman" w:hint="default"/>
          <w:sz w:val="30"/>
          <w:szCs w:val="30"/>
        </w:rPr>
        <w:t>4</w:t>
      </w:r>
      <w:r>
        <w:rPr>
          <w:rFonts w:ascii="Times New Roman" w:hAnsi="Times New Roman" w:cs="Times New Roman" w:eastAsia="Times New Roman" w:hint="default"/>
          <w:spacing w:val="5"/>
          <w:sz w:val="30"/>
          <w:szCs w:val="30"/>
        </w:rPr>
        <w:t> </w:t>
      </w:r>
      <w:r>
        <w:rPr>
          <w:rFonts w:ascii="宋体" w:hAnsi="宋体" w:cs="宋体" w:eastAsia="宋体" w:hint="default"/>
          <w:sz w:val="30"/>
          <w:szCs w:val="30"/>
        </w:rPr>
        <w:t>月</w:t>
      </w:r>
      <w:r>
        <w:rPr>
          <w:rFonts w:ascii="宋体" w:hAnsi="宋体" w:cs="宋体" w:eastAsia="宋体" w:hint="default"/>
          <w:spacing w:val="-72"/>
          <w:sz w:val="30"/>
          <w:szCs w:val="30"/>
        </w:rPr>
        <w:t> </w:t>
      </w:r>
      <w:r>
        <w:rPr>
          <w:rFonts w:ascii="Times New Roman" w:hAnsi="Times New Roman" w:cs="Times New Roman" w:eastAsia="Times New Roman" w:hint="default"/>
          <w:sz w:val="30"/>
          <w:szCs w:val="30"/>
        </w:rPr>
        <w:t>28</w:t>
      </w:r>
      <w:r>
        <w:rPr>
          <w:rFonts w:ascii="Times New Roman" w:hAnsi="Times New Roman" w:cs="Times New Roman" w:eastAsia="Times New Roman" w:hint="default"/>
          <w:spacing w:val="10"/>
          <w:sz w:val="30"/>
          <w:szCs w:val="30"/>
        </w:rPr>
        <w:t> </w:t>
      </w:r>
      <w:r>
        <w:rPr>
          <w:rFonts w:ascii="宋体" w:hAnsi="宋体" w:cs="宋体" w:eastAsia="宋体" w:hint="default"/>
          <w:sz w:val="30"/>
          <w:szCs w:val="30"/>
        </w:rPr>
        <w:t>日</w:t>
      </w:r>
    </w:p>
    <w:p>
      <w:pPr>
        <w:spacing w:after="0"/>
        <w:jc w:val="left"/>
        <w:rPr>
          <w:rFonts w:ascii="宋体" w:hAnsi="宋体" w:cs="宋体" w:eastAsia="宋体" w:hint="default"/>
          <w:sz w:val="30"/>
          <w:szCs w:val="30"/>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88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7"/>
        <w:rPr>
          <w:rFonts w:ascii="宋体" w:hAnsi="宋体" w:cs="宋体" w:eastAsia="宋体" w:hint="default"/>
          <w:b/>
          <w:bCs/>
          <w:sz w:val="44"/>
          <w:szCs w:val="44"/>
        </w:rPr>
      </w:pPr>
    </w:p>
    <w:p>
      <w:pPr>
        <w:pStyle w:val="BodyText"/>
        <w:spacing w:line="355" w:lineRule="auto" w:before="0"/>
        <w:ind w:right="1141" w:firstLine="480"/>
        <w:jc w:val="both"/>
      </w:pPr>
      <w:r>
        <w:rPr/>
        <w:t>公司董事会、监事会及董事、监事、高级管理人员保证年度报告内容的真实、准确、完 整，不存在虚假记载、误导性陈述或重大遗漏，并承担个别和连带的法律责任。</w:t>
      </w:r>
    </w:p>
    <w:p>
      <w:pPr>
        <w:pStyle w:val="BodyText"/>
        <w:spacing w:line="352" w:lineRule="auto" w:before="200"/>
        <w:ind w:right="1136" w:firstLine="480"/>
        <w:jc w:val="both"/>
      </w:pPr>
      <w:r>
        <w:rPr/>
        <w:t>公司负责人张菀、主管会计工作负责人黄建军及会计机构负责人（会计主管人员）汤华 林声明：保证年度报告中财务报告的真实、准确、完整。</w:t>
      </w:r>
    </w:p>
    <w:p>
      <w:pPr>
        <w:pStyle w:val="BodyText"/>
        <w:spacing w:line="240" w:lineRule="auto" w:before="197"/>
        <w:ind w:left="633" w:right="0"/>
        <w:jc w:val="left"/>
      </w:pPr>
      <w:r>
        <w:rPr/>
        <w:t>所有董事均已出席了审议本报告的董事会会议。</w:t>
      </w:r>
    </w:p>
    <w:p>
      <w:pPr>
        <w:spacing w:line="240" w:lineRule="auto" w:before="1"/>
        <w:rPr>
          <w:rFonts w:ascii="宋体" w:hAnsi="宋体" w:cs="宋体" w:eastAsia="宋体" w:hint="default"/>
          <w:sz w:val="24"/>
          <w:szCs w:val="24"/>
        </w:rPr>
      </w:pPr>
    </w:p>
    <w:p>
      <w:pPr>
        <w:pStyle w:val="BodyText"/>
        <w:spacing w:line="355" w:lineRule="auto" w:before="0"/>
        <w:ind w:right="1136" w:firstLine="480"/>
        <w:jc w:val="both"/>
      </w:pPr>
      <w:r>
        <w:rPr/>
        <w:t>本报告中如有涉及未来的计划、业绩预测等方面的内容，均不构成本公司对投资者的实 质性承诺；投资者及相关人士均应当对此保持足够的风险认识，并应当理解计划、预测与承</w:t>
      </w:r>
      <w:r>
        <w:rPr>
          <w:spacing w:val="-93"/>
        </w:rPr>
        <w:t> </w:t>
      </w:r>
      <w:r>
        <w:rPr>
          <w:spacing w:val="-93"/>
        </w:rPr>
      </w:r>
      <w:r>
        <w:rPr/>
        <w:t>诺之间的差异。</w:t>
      </w:r>
    </w:p>
    <w:p>
      <w:pPr>
        <w:pStyle w:val="BodyText"/>
        <w:spacing w:line="336" w:lineRule="auto" w:before="199"/>
        <w:ind w:right="1137" w:firstLine="480"/>
        <w:jc w:val="both"/>
      </w:pPr>
      <w:r>
        <w:rPr/>
        <w:t>公司在本报告</w:t>
      </w:r>
      <w:r>
        <w:rPr>
          <w:rFonts w:ascii="Times New Roman" w:hAnsi="Times New Roman" w:cs="Times New Roman" w:eastAsia="Times New Roman" w:hint="default"/>
        </w:rPr>
        <w:t>“</w:t>
      </w:r>
      <w:r>
        <w:rPr/>
        <w:t>第四节</w:t>
      </w:r>
      <w:r>
        <w:rPr>
          <w:spacing w:val="-35"/>
        </w:rPr>
        <w:t> </w:t>
      </w:r>
      <w:r>
        <w:rPr/>
        <w:t>经营情况讨论与分析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九、公司未来发展的展望</w:t>
      </w:r>
      <w:r>
        <w:rPr>
          <w:rFonts w:ascii="Times New Roman" w:hAnsi="Times New Roman" w:cs="Times New Roman" w:eastAsia="Times New Roman" w:hint="default"/>
        </w:rPr>
        <w:t>”</w:t>
      </w:r>
      <w:r>
        <w:rPr/>
        <w:t>中，详细描述 了公司经营中可能存在的风险及应对措施，敬请投资者关注相关内容。</w:t>
      </w:r>
    </w:p>
    <w:p>
      <w:pPr>
        <w:pStyle w:val="BodyText"/>
        <w:spacing w:line="240" w:lineRule="auto" w:before="214"/>
        <w:ind w:left="633" w:right="0"/>
        <w:jc w:val="left"/>
      </w:pPr>
      <w:r>
        <w:rPr/>
        <w:t>公司计划不派发现金红利，不送红股，不以公积金转增股本。</w:t>
      </w:r>
    </w:p>
    <w:p>
      <w:pPr>
        <w:spacing w:after="0" w:line="240" w:lineRule="auto"/>
        <w:jc w:val="left"/>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line="460" w:lineRule="exact" w:before="0"/>
        <w:ind w:left="0" w:right="974"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9"/>
          <w:szCs w:val="49"/>
        </w:rPr>
      </w:pPr>
    </w:p>
    <w:sdt>
      <w:sdtPr>
        <w:docPartObj>
          <w:docPartGallery w:val="Table of Contents"/>
          <w:docPartUnique/>
        </w:docPartObj>
      </w:sdtPr>
      <w:sdtEndPr/>
      <w:sdtContent>
        <w:p>
          <w:pPr>
            <w:pStyle w:val="TOC1"/>
            <w:tabs>
              <w:tab w:pos="9786" w:val="right" w:leader="dot"/>
            </w:tabs>
            <w:spacing w:line="240" w:lineRule="auto" w:before="0"/>
            <w:ind w:right="0"/>
            <w:jc w:val="left"/>
            <w:rPr>
              <w:rFonts w:ascii="微软雅黑" w:hAnsi="微软雅黑" w:cs="微软雅黑" w:eastAsia="微软雅黑" w:hint="default"/>
            </w:rPr>
          </w:pPr>
          <w:r>
            <w:fldChar w:fldCharType="begin"/>
          </w:r>
          <w:r>
            <w:instrText>TOC \o "1-1" \h \z \u </w:instrText>
          </w:r>
          <w:r>
            <w:fldChar w:fldCharType="separate"/>
          </w:r>
          <w:hyperlink w:history="true" w:anchor="_bookmark0">
            <w:r>
              <w:rPr/>
              <w:t>第一节</w:t>
            </w:r>
            <w:r>
              <w:rPr>
                <w:spacing w:val="49"/>
              </w:rPr>
              <w:t> </w:t>
            </w:r>
            <w:r>
              <w:rPr/>
              <w:t>重要提示、目录和释义</w:t>
            </w:r>
            <w:r>
              <w:rPr>
                <w:rFonts w:ascii="微软雅黑" w:hAnsi="微软雅黑" w:cs="微软雅黑" w:eastAsia="微软雅黑" w:hint="default"/>
              </w:rPr>
              <w:tab/>
              <w:t>2</w:t>
            </w:r>
          </w:hyperlink>
        </w:p>
        <w:p>
          <w:pPr>
            <w:pStyle w:val="TOC1"/>
            <w:tabs>
              <w:tab w:pos="9786" w:val="right" w:leader="dot"/>
            </w:tabs>
            <w:spacing w:line="240" w:lineRule="auto"/>
            <w:ind w:right="0"/>
            <w:jc w:val="left"/>
            <w:rPr>
              <w:rFonts w:ascii="微软雅黑" w:hAnsi="微软雅黑" w:cs="微软雅黑" w:eastAsia="微软雅黑" w:hint="default"/>
            </w:rPr>
          </w:pPr>
          <w:hyperlink w:history="true" w:anchor="_bookmark1">
            <w:r>
              <w:rPr/>
              <w:t>第二节</w:t>
            </w:r>
            <w:r>
              <w:rPr>
                <w:spacing w:val="49"/>
              </w:rPr>
              <w:t> </w:t>
            </w:r>
            <w:r>
              <w:rPr/>
              <w:t>公司简介和主要财务指标</w:t>
            </w:r>
            <w:r>
              <w:rPr>
                <w:rFonts w:ascii="微软雅黑" w:hAnsi="微软雅黑" w:cs="微软雅黑" w:eastAsia="微软雅黑" w:hint="default"/>
              </w:rPr>
              <w:tab/>
              <w:t>7</w:t>
            </w:r>
          </w:hyperlink>
        </w:p>
        <w:p>
          <w:pPr>
            <w:pStyle w:val="TOC1"/>
            <w:tabs>
              <w:tab w:pos="9780" w:val="right" w:leader="dot"/>
            </w:tabs>
            <w:spacing w:line="240" w:lineRule="auto" w:before="210"/>
            <w:ind w:right="0"/>
            <w:jc w:val="left"/>
            <w:rPr>
              <w:rFonts w:ascii="微软雅黑" w:hAnsi="微软雅黑" w:cs="微软雅黑" w:eastAsia="微软雅黑" w:hint="default"/>
            </w:rPr>
          </w:pPr>
          <w:hyperlink w:history="true" w:anchor="_bookmark2">
            <w:r>
              <w:rPr/>
              <w:t>第三节</w:t>
            </w:r>
            <w:r>
              <w:rPr>
                <w:spacing w:val="48"/>
              </w:rPr>
              <w:t> </w:t>
            </w:r>
            <w:r>
              <w:rPr/>
              <w:t>公司业务概要</w:t>
            </w:r>
            <w:r>
              <w:rPr>
                <w:rFonts w:ascii="微软雅黑" w:hAnsi="微软雅黑" w:cs="微软雅黑" w:eastAsia="微软雅黑" w:hint="default"/>
              </w:rPr>
              <w:tab/>
              <w:t>11</w:t>
            </w:r>
          </w:hyperlink>
        </w:p>
        <w:p>
          <w:pPr>
            <w:pStyle w:val="TOC1"/>
            <w:tabs>
              <w:tab w:pos="9780" w:val="right" w:leader="dot"/>
            </w:tabs>
            <w:spacing w:line="240" w:lineRule="auto"/>
            <w:ind w:right="0"/>
            <w:jc w:val="left"/>
            <w:rPr>
              <w:rFonts w:ascii="微软雅黑" w:hAnsi="微软雅黑" w:cs="微软雅黑" w:eastAsia="微软雅黑" w:hint="default"/>
            </w:rPr>
          </w:pPr>
          <w:hyperlink w:history="true" w:anchor="_bookmark3">
            <w:r>
              <w:rPr/>
              <w:t>第四节</w:t>
            </w:r>
            <w:r>
              <w:rPr>
                <w:spacing w:val="48"/>
              </w:rPr>
              <w:t> </w:t>
            </w:r>
            <w:r>
              <w:rPr/>
              <w:t>经营情况讨论与分析</w:t>
            </w:r>
            <w:r>
              <w:rPr>
                <w:rFonts w:ascii="微软雅黑" w:hAnsi="微软雅黑" w:cs="微软雅黑" w:eastAsia="微软雅黑" w:hint="default"/>
              </w:rPr>
              <w:tab/>
              <w:t>17</w:t>
            </w:r>
          </w:hyperlink>
        </w:p>
        <w:p>
          <w:pPr>
            <w:pStyle w:val="TOC1"/>
            <w:tabs>
              <w:tab w:pos="9780" w:val="right" w:leader="dot"/>
            </w:tabs>
            <w:spacing w:line="240" w:lineRule="auto" w:before="210"/>
            <w:ind w:right="0"/>
            <w:jc w:val="left"/>
            <w:rPr>
              <w:rFonts w:ascii="微软雅黑" w:hAnsi="微软雅黑" w:cs="微软雅黑" w:eastAsia="微软雅黑" w:hint="default"/>
            </w:rPr>
          </w:pPr>
          <w:hyperlink w:history="true" w:anchor="_bookmark4">
            <w:r>
              <w:rPr/>
              <w:t>第五节</w:t>
            </w:r>
            <w:r>
              <w:rPr>
                <w:spacing w:val="48"/>
              </w:rPr>
              <w:t> </w:t>
            </w:r>
            <w:r>
              <w:rPr/>
              <w:t>重要事项</w:t>
            </w:r>
            <w:r>
              <w:rPr>
                <w:rFonts w:ascii="微软雅黑" w:hAnsi="微软雅黑" w:cs="微软雅黑" w:eastAsia="微软雅黑" w:hint="default"/>
              </w:rPr>
              <w:tab/>
              <w:t>54</w:t>
            </w:r>
          </w:hyperlink>
        </w:p>
        <w:p>
          <w:pPr>
            <w:pStyle w:val="TOC1"/>
            <w:tabs>
              <w:tab w:pos="9780" w:val="right" w:leader="dot"/>
            </w:tabs>
            <w:spacing w:line="240" w:lineRule="auto"/>
            <w:ind w:right="0"/>
            <w:jc w:val="left"/>
            <w:rPr>
              <w:rFonts w:ascii="微软雅黑" w:hAnsi="微软雅黑" w:cs="微软雅黑" w:eastAsia="微软雅黑" w:hint="default"/>
            </w:rPr>
          </w:pPr>
          <w:hyperlink w:history="true" w:anchor="_bookmark5">
            <w:r>
              <w:rPr/>
              <w:t>第六节</w:t>
            </w:r>
            <w:r>
              <w:rPr>
                <w:spacing w:val="48"/>
              </w:rPr>
              <w:t> </w:t>
            </w:r>
            <w:r>
              <w:rPr/>
              <w:t>股份变动及股东情况</w:t>
            </w:r>
            <w:r>
              <w:rPr>
                <w:rFonts w:ascii="微软雅黑" w:hAnsi="微软雅黑" w:cs="微软雅黑" w:eastAsia="微软雅黑" w:hint="default"/>
              </w:rPr>
              <w:tab/>
              <w:t>92</w:t>
            </w:r>
          </w:hyperlink>
        </w:p>
        <w:p>
          <w:pPr>
            <w:pStyle w:val="TOC1"/>
            <w:tabs>
              <w:tab w:pos="9780" w:val="right" w:leader="dot"/>
            </w:tabs>
            <w:spacing w:line="240" w:lineRule="auto"/>
            <w:ind w:right="0"/>
            <w:jc w:val="left"/>
            <w:rPr>
              <w:rFonts w:ascii="微软雅黑" w:hAnsi="微软雅黑" w:cs="微软雅黑" w:eastAsia="微软雅黑" w:hint="default"/>
            </w:rPr>
          </w:pPr>
          <w:hyperlink w:history="true" w:anchor="_bookmark6">
            <w:r>
              <w:rPr/>
              <w:t>第七节</w:t>
            </w:r>
            <w:r>
              <w:rPr>
                <w:spacing w:val="48"/>
              </w:rPr>
              <w:t> </w:t>
            </w:r>
            <w:r>
              <w:rPr/>
              <w:t>优先股相关情况</w:t>
            </w:r>
            <w:r>
              <w:rPr>
                <w:rFonts w:ascii="微软雅黑" w:hAnsi="微软雅黑" w:cs="微软雅黑" w:eastAsia="微软雅黑" w:hint="default"/>
              </w:rPr>
              <w:tab/>
              <w:t>99</w:t>
            </w:r>
          </w:hyperlink>
        </w:p>
        <w:p>
          <w:pPr>
            <w:pStyle w:val="TOC1"/>
            <w:tabs>
              <w:tab w:pos="9780" w:val="right" w:leader="dot"/>
            </w:tabs>
            <w:spacing w:line="240" w:lineRule="auto" w:before="210"/>
            <w:ind w:right="0"/>
            <w:jc w:val="left"/>
            <w:rPr>
              <w:rFonts w:ascii="微软雅黑" w:hAnsi="微软雅黑" w:cs="微软雅黑" w:eastAsia="微软雅黑" w:hint="default"/>
            </w:rPr>
          </w:pPr>
          <w:hyperlink w:history="true" w:anchor="_bookmark7">
            <w:r>
              <w:rPr/>
              <w:t>第八节</w:t>
            </w:r>
            <w:r>
              <w:rPr>
                <w:spacing w:val="49"/>
              </w:rPr>
              <w:t> </w:t>
            </w:r>
            <w:r>
              <w:rPr/>
              <w:t>可转换公司债券相关情况</w:t>
            </w:r>
            <w:r>
              <w:rPr>
                <w:rFonts w:ascii="微软雅黑" w:hAnsi="微软雅黑" w:cs="微软雅黑" w:eastAsia="微软雅黑" w:hint="default"/>
              </w:rPr>
              <w:tab/>
            </w:r>
            <w:r>
              <w:rPr>
                <w:rFonts w:ascii="微软雅黑" w:hAnsi="微软雅黑" w:cs="微软雅黑" w:eastAsia="微软雅黑" w:hint="default"/>
                <w:spacing w:val="-2"/>
              </w:rPr>
              <w:t>100</w:t>
            </w:r>
            <w:r>
              <w:rPr>
                <w:rFonts w:ascii="微软雅黑" w:hAnsi="微软雅黑" w:cs="微软雅黑" w:eastAsia="微软雅黑" w:hint="default"/>
              </w:rPr>
            </w:r>
          </w:hyperlink>
        </w:p>
        <w:p>
          <w:pPr>
            <w:pStyle w:val="TOC1"/>
            <w:tabs>
              <w:tab w:pos="9780" w:val="right" w:leader="dot"/>
            </w:tabs>
            <w:spacing w:line="240" w:lineRule="auto"/>
            <w:ind w:right="0"/>
            <w:jc w:val="left"/>
            <w:rPr>
              <w:rFonts w:ascii="微软雅黑" w:hAnsi="微软雅黑" w:cs="微软雅黑" w:eastAsia="微软雅黑" w:hint="default"/>
            </w:rPr>
          </w:pPr>
          <w:hyperlink w:history="true" w:anchor="_bookmark8">
            <w:r>
              <w:rPr/>
              <w:t>第九节</w:t>
            </w:r>
            <w:r>
              <w:rPr>
                <w:spacing w:val="49"/>
              </w:rPr>
              <w:t> </w:t>
            </w:r>
            <w:r>
              <w:rPr/>
              <w:t>董事、监事、高级管理人员和员工情况</w:t>
            </w:r>
            <w:r>
              <w:rPr>
                <w:rFonts w:ascii="微软雅黑" w:hAnsi="微软雅黑" w:cs="微软雅黑" w:eastAsia="微软雅黑" w:hint="default"/>
              </w:rPr>
              <w:tab/>
            </w:r>
            <w:r>
              <w:rPr>
                <w:rFonts w:ascii="微软雅黑" w:hAnsi="微软雅黑" w:cs="微软雅黑" w:eastAsia="微软雅黑" w:hint="default"/>
                <w:spacing w:val="-2"/>
              </w:rPr>
              <w:t>101</w:t>
            </w:r>
            <w:r>
              <w:rPr>
                <w:rFonts w:ascii="微软雅黑" w:hAnsi="微软雅黑" w:cs="微软雅黑" w:eastAsia="微软雅黑" w:hint="default"/>
              </w:rPr>
            </w:r>
          </w:hyperlink>
        </w:p>
        <w:p>
          <w:pPr>
            <w:pStyle w:val="TOC1"/>
            <w:tabs>
              <w:tab w:pos="9780" w:val="right" w:leader="dot"/>
            </w:tabs>
            <w:spacing w:line="240" w:lineRule="auto"/>
            <w:ind w:right="0"/>
            <w:jc w:val="left"/>
            <w:rPr>
              <w:rFonts w:ascii="微软雅黑" w:hAnsi="微软雅黑" w:cs="微软雅黑" w:eastAsia="微软雅黑" w:hint="default"/>
            </w:rPr>
          </w:pPr>
          <w:hyperlink w:history="true" w:anchor="_bookmark9">
            <w:r>
              <w:rPr/>
              <w:t>第十节</w:t>
            </w:r>
            <w:r>
              <w:rPr>
                <w:spacing w:val="49"/>
              </w:rPr>
              <w:t> </w:t>
            </w:r>
            <w:r>
              <w:rPr/>
              <w:t>公司治理</w:t>
            </w:r>
            <w:r>
              <w:rPr>
                <w:rFonts w:ascii="微软雅黑" w:hAnsi="微软雅黑" w:cs="微软雅黑" w:eastAsia="微软雅黑" w:hint="default"/>
              </w:rPr>
              <w:tab/>
            </w:r>
            <w:r>
              <w:rPr>
                <w:rFonts w:ascii="微软雅黑" w:hAnsi="微软雅黑" w:cs="微软雅黑" w:eastAsia="微软雅黑" w:hint="default"/>
                <w:spacing w:val="-2"/>
              </w:rPr>
              <w:t>110</w:t>
            </w:r>
            <w:r>
              <w:rPr>
                <w:rFonts w:ascii="微软雅黑" w:hAnsi="微软雅黑" w:cs="微软雅黑" w:eastAsia="微软雅黑" w:hint="default"/>
              </w:rPr>
            </w:r>
          </w:hyperlink>
        </w:p>
        <w:p>
          <w:pPr>
            <w:pStyle w:val="TOC1"/>
            <w:tabs>
              <w:tab w:pos="9780" w:val="right" w:leader="dot"/>
            </w:tabs>
            <w:spacing w:line="240" w:lineRule="auto" w:before="210"/>
            <w:ind w:right="0"/>
            <w:jc w:val="left"/>
            <w:rPr>
              <w:rFonts w:ascii="微软雅黑" w:hAnsi="微软雅黑" w:cs="微软雅黑" w:eastAsia="微软雅黑" w:hint="default"/>
            </w:rPr>
          </w:pPr>
          <w:hyperlink w:history="true" w:anchor="_bookmark10">
            <w:r>
              <w:rPr/>
              <w:t>第十一节</w:t>
            </w:r>
            <w:r>
              <w:rPr>
                <w:spacing w:val="49"/>
              </w:rPr>
              <w:t> </w:t>
            </w:r>
            <w:r>
              <w:rPr/>
              <w:t>公司债券相关情况</w:t>
            </w:r>
            <w:r>
              <w:rPr>
                <w:rFonts w:ascii="微软雅黑" w:hAnsi="微软雅黑" w:cs="微软雅黑" w:eastAsia="微软雅黑" w:hint="default"/>
              </w:rPr>
              <w:tab/>
            </w:r>
            <w:r>
              <w:rPr>
                <w:rFonts w:ascii="微软雅黑" w:hAnsi="微软雅黑" w:cs="微软雅黑" w:eastAsia="微软雅黑" w:hint="default"/>
                <w:spacing w:val="-2"/>
              </w:rPr>
              <w:t>119</w:t>
            </w:r>
            <w:r>
              <w:rPr>
                <w:rFonts w:ascii="微软雅黑" w:hAnsi="微软雅黑" w:cs="微软雅黑" w:eastAsia="微软雅黑" w:hint="default"/>
              </w:rPr>
            </w:r>
          </w:hyperlink>
        </w:p>
        <w:p>
          <w:pPr>
            <w:pStyle w:val="TOC1"/>
            <w:tabs>
              <w:tab w:pos="9780" w:val="right" w:leader="dot"/>
            </w:tabs>
            <w:spacing w:line="240" w:lineRule="auto"/>
            <w:ind w:right="0"/>
            <w:jc w:val="left"/>
            <w:rPr>
              <w:rFonts w:ascii="微软雅黑" w:hAnsi="微软雅黑" w:cs="微软雅黑" w:eastAsia="微软雅黑" w:hint="default"/>
            </w:rPr>
          </w:pPr>
          <w:hyperlink w:history="true" w:anchor="_bookmark11">
            <w:r>
              <w:rPr/>
              <w:t>第十二节</w:t>
            </w:r>
            <w:r>
              <w:rPr>
                <w:spacing w:val="49"/>
              </w:rPr>
              <w:t> </w:t>
            </w:r>
            <w:r>
              <w:rPr/>
              <w:t>财务报告</w:t>
            </w:r>
            <w:r>
              <w:rPr>
                <w:rFonts w:ascii="微软雅黑" w:hAnsi="微软雅黑" w:cs="微软雅黑" w:eastAsia="微软雅黑" w:hint="default"/>
              </w:rPr>
              <w:tab/>
            </w:r>
            <w:r>
              <w:rPr>
                <w:rFonts w:ascii="微软雅黑" w:hAnsi="微软雅黑" w:cs="微软雅黑" w:eastAsia="微软雅黑" w:hint="default"/>
                <w:spacing w:val="-2"/>
              </w:rPr>
              <w:t>120</w:t>
            </w:r>
            <w:r>
              <w:rPr>
                <w:rFonts w:ascii="微软雅黑" w:hAnsi="微软雅黑" w:cs="微软雅黑" w:eastAsia="微软雅黑" w:hint="default"/>
              </w:rPr>
            </w:r>
          </w:hyperlink>
        </w:p>
        <w:p>
          <w:pPr>
            <w:pStyle w:val="TOC1"/>
            <w:tabs>
              <w:tab w:pos="9780" w:val="right" w:leader="dot"/>
            </w:tabs>
            <w:spacing w:line="240" w:lineRule="auto" w:before="210"/>
            <w:ind w:right="0"/>
            <w:jc w:val="left"/>
            <w:rPr>
              <w:rFonts w:ascii="微软雅黑" w:hAnsi="微软雅黑" w:cs="微软雅黑" w:eastAsia="微软雅黑" w:hint="default"/>
            </w:rPr>
          </w:pPr>
          <w:hyperlink w:history="true" w:anchor="_bookmark12">
            <w:r>
              <w:rPr/>
              <w:t>第十三节</w:t>
            </w:r>
            <w:r>
              <w:rPr>
                <w:spacing w:val="49"/>
              </w:rPr>
              <w:t> </w:t>
            </w:r>
            <w:r>
              <w:rPr/>
              <w:t>备查文件目录</w:t>
            </w:r>
            <w:r>
              <w:rPr>
                <w:rFonts w:ascii="微软雅黑" w:hAnsi="微软雅黑" w:cs="微软雅黑" w:eastAsia="微软雅黑" w:hint="default"/>
              </w:rPr>
              <w:tab/>
            </w:r>
            <w:r>
              <w:rPr>
                <w:rFonts w:ascii="微软雅黑" w:hAnsi="微软雅黑" w:cs="微软雅黑" w:eastAsia="微软雅黑" w:hint="default"/>
                <w:spacing w:val="-2"/>
              </w:rPr>
              <w:t>243</w:t>
            </w:r>
            <w:r>
              <w:rPr>
                <w:rFonts w:ascii="微软雅黑" w:hAnsi="微软雅黑" w:cs="微软雅黑" w:eastAsia="微软雅黑" w:hint="default"/>
              </w:rPr>
            </w:r>
          </w:hyperlink>
        </w:p>
        <w:p>
          <w:pPr/>
          <w:r>
            <w:fldChar w:fldCharType="end"/>
          </w:r>
        </w:p>
      </w:sdtContent>
    </w:sdt>
    <w:p>
      <w:pPr>
        <w:spacing w:after="0"/>
        <w:sectPr>
          <w:pgSz w:w="11910" w:h="16840"/>
          <w:pgMar w:header="741" w:footer="979" w:top="1060" w:bottom="1160" w:left="980" w:right="0"/>
        </w:sectPr>
      </w:pPr>
    </w:p>
    <w:p>
      <w:pPr>
        <w:spacing w:before="954"/>
        <w:ind w:left="0" w:right="97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82" w:type="dxa"/>
        <w:tblLayout w:type="fixed"/>
        <w:tblCellMar>
          <w:top w:w="0" w:type="dxa"/>
          <w:left w:w="0" w:type="dxa"/>
          <w:bottom w:w="0" w:type="dxa"/>
          <w:right w:w="0" w:type="dxa"/>
        </w:tblCellMar>
        <w:tblLook w:val="01E0"/>
      </w:tblPr>
      <w:tblGrid>
        <w:gridCol w:w="3133"/>
        <w:gridCol w:w="687"/>
        <w:gridCol w:w="5755"/>
      </w:tblGrid>
      <w:tr>
        <w:trPr>
          <w:trHeight w:val="403" w:hRule="exact"/>
        </w:trPr>
        <w:tc>
          <w:tcPr>
            <w:tcW w:w="3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58" w:hRule="exact"/>
        </w:trPr>
        <w:tc>
          <w:tcPr>
            <w:tcW w:w="3133" w:type="dxa"/>
            <w:vMerge w:val="restart"/>
            <w:tcBorders>
              <w:top w:val="single" w:sz="4" w:space="0" w:color="000000"/>
              <w:left w:val="single" w:sz="4" w:space="0" w:color="000000"/>
              <w:right w:val="single" w:sz="10" w:space="0" w:color="D2D2D2"/>
            </w:tcBorders>
          </w:tcPr>
          <w:p>
            <w:pPr>
              <w:pStyle w:val="TableParagraph"/>
              <w:spacing w:line="319" w:lineRule="auto" w:before="53"/>
              <w:ind w:left="24" w:right="27"/>
              <w:jc w:val="left"/>
              <w:rPr>
                <w:rFonts w:ascii="宋体" w:hAnsi="宋体" w:cs="宋体" w:eastAsia="宋体" w:hint="default"/>
                <w:sz w:val="18"/>
                <w:szCs w:val="18"/>
              </w:rPr>
            </w:pPr>
            <w:r>
              <w:rPr>
                <w:rFonts w:ascii="宋体" w:hAnsi="宋体" w:cs="宋体" w:eastAsia="宋体" w:hint="default"/>
                <w:spacing w:val="-3"/>
                <w:sz w:val="18"/>
                <w:szCs w:val="18"/>
              </w:rPr>
              <w:t>公司、依米康、本公司、本集团、上市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w:t>
            </w: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55"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pacing w:val="-3"/>
                <w:sz w:val="18"/>
                <w:szCs w:val="18"/>
              </w:rPr>
              <w:t>依米康科技集团股份有限公司</w:t>
            </w:r>
          </w:p>
        </w:tc>
      </w:tr>
      <w:tr>
        <w:trPr>
          <w:trHeight w:val="394" w:hRule="exact"/>
        </w:trPr>
        <w:tc>
          <w:tcPr>
            <w:tcW w:w="3133" w:type="dxa"/>
            <w:vMerge/>
            <w:tcBorders>
              <w:left w:val="single" w:sz="4" w:space="0" w:color="000000"/>
              <w:right w:val="single" w:sz="10"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vMerge/>
            <w:tcBorders>
              <w:left w:val="single" w:sz="10" w:space="0" w:color="D2D2D2"/>
              <w:right w:val="single" w:sz="4" w:space="0" w:color="000000"/>
            </w:tcBorders>
          </w:tcPr>
          <w:p>
            <w:pPr/>
          </w:p>
        </w:tc>
      </w:tr>
      <w:tr>
        <w:trPr>
          <w:trHeight w:val="163" w:hRule="exact"/>
        </w:trPr>
        <w:tc>
          <w:tcPr>
            <w:tcW w:w="3133" w:type="dxa"/>
            <w:vMerge/>
            <w:tcBorders>
              <w:left w:val="single" w:sz="4" w:space="0" w:color="000000"/>
              <w:bottom w:val="single" w:sz="4" w:space="0" w:color="000000"/>
              <w:right w:val="single" w:sz="10" w:space="0" w:color="D2D2D2"/>
            </w:tcBorders>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55" w:type="dxa"/>
            <w:vMerge/>
            <w:tcBorders>
              <w:left w:val="single" w:sz="10" w:space="0" w:color="D2D2D2"/>
              <w:bottom w:val="single" w:sz="4" w:space="0" w:color="000000"/>
              <w:right w:val="single" w:sz="4" w:space="0" w:color="000000"/>
            </w:tcBorders>
          </w:tcPr>
          <w:p>
            <w:pPr/>
          </w:p>
        </w:tc>
      </w:tr>
      <w:tr>
        <w:trPr>
          <w:trHeight w:val="398"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证监会指定信息披露网站</w:t>
            </w:r>
            <w:r>
              <w:rPr>
                <w:rFonts w:ascii="宋体" w:hAnsi="宋体" w:cs="宋体" w:eastAsia="宋体" w:hint="default"/>
                <w:spacing w:val="78"/>
                <w:sz w:val="18"/>
                <w:szCs w:val="18"/>
              </w:rPr>
              <w:t> </w:t>
            </w:r>
            <w:hyperlink r:id="rId9">
              <w:r>
                <w:rPr>
                  <w:rFonts w:ascii="Times New Roman" w:hAnsi="Times New Roman" w:cs="Times New Roman" w:eastAsia="Times New Roman" w:hint="default"/>
                  <w:spacing w:val="-3"/>
                  <w:sz w:val="18"/>
                  <w:szCs w:val="18"/>
                </w:rPr>
                <w:t>http://www.cninfo.com.cn</w:t>
              </w:r>
            </w:hyperlink>
          </w:p>
        </w:tc>
      </w:tr>
      <w:tr>
        <w:trPr>
          <w:trHeight w:val="404"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《依米康科技集团股份有限公司章程》</w:t>
            </w:r>
          </w:p>
        </w:tc>
      </w:tr>
      <w:tr>
        <w:trPr>
          <w:trHeight w:val="398"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信永中和、审计机构</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信永中和会计师事务所（特殊普通合伙）</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桑瑞思环境、桑瑞思</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四川桑瑞思环境技术工程有限公司，本公司全资子公司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深圳市龙控智能技术有限公司，本公司全资子公司</w:t>
            </w:r>
          </w:p>
        </w:tc>
      </w:tr>
      <w:tr>
        <w:trPr>
          <w:trHeight w:val="404"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依米康智能工程、智能工程、西安华西</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依米康智能工程有限公司，本公司全资子公司</w:t>
            </w:r>
          </w:p>
        </w:tc>
      </w:tr>
      <w:tr>
        <w:trPr>
          <w:trHeight w:val="398"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依米康龙控软件、龙控软件、四川多富</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四川依米康龙控软件有限公司，本公司全资子公司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腾龙资产</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腾龙资产（北京）投资管理有限公司，本公司全资子公司</w:t>
            </w:r>
          </w:p>
        </w:tc>
      </w:tr>
      <w:tr>
        <w:trPr>
          <w:trHeight w:val="163" w:hRule="exact"/>
        </w:trPr>
        <w:tc>
          <w:tcPr>
            <w:tcW w:w="3133" w:type="dxa"/>
            <w:vMerge w:val="restart"/>
            <w:tcBorders>
              <w:top w:val="single" w:sz="4" w:space="0" w:color="000000"/>
              <w:left w:val="single" w:sz="4" w:space="0" w:color="000000"/>
              <w:right w:val="single" w:sz="10" w:space="0" w:color="D2D2D2"/>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华延芯光</w:t>
            </w: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55" w:type="dxa"/>
            <w:vMerge w:val="restart"/>
            <w:tcBorders>
              <w:top w:val="single" w:sz="4" w:space="0" w:color="000000"/>
              <w:left w:val="single" w:sz="10" w:space="0" w:color="D2D2D2"/>
              <w:right w:val="single" w:sz="4" w:space="0" w:color="000000"/>
            </w:tcBorders>
          </w:tcPr>
          <w:p>
            <w:pPr>
              <w:pStyle w:val="TableParagraph"/>
              <w:spacing w:line="321" w:lineRule="auto" w:before="53"/>
              <w:ind w:left="28" w:right="18"/>
              <w:jc w:val="left"/>
              <w:rPr>
                <w:rFonts w:ascii="宋体" w:hAnsi="宋体" w:cs="宋体" w:eastAsia="宋体" w:hint="default"/>
                <w:sz w:val="18"/>
                <w:szCs w:val="18"/>
              </w:rPr>
            </w:pPr>
            <w:r>
              <w:rPr>
                <w:rFonts w:ascii="宋体" w:hAnsi="宋体" w:cs="宋体" w:eastAsia="宋体" w:hint="default"/>
                <w:spacing w:val="-5"/>
                <w:sz w:val="18"/>
                <w:szCs w:val="18"/>
              </w:rPr>
              <w:t>华延芯光（北京）科技有限公司，腾龙资产的全资子公司，本公司的全资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孙公司</w:t>
            </w:r>
          </w:p>
        </w:tc>
      </w:tr>
      <w:tr>
        <w:trPr>
          <w:trHeight w:val="389" w:hRule="exact"/>
        </w:trPr>
        <w:tc>
          <w:tcPr>
            <w:tcW w:w="3133" w:type="dxa"/>
            <w:vMerge/>
            <w:tcBorders>
              <w:left w:val="single" w:sz="4" w:space="0" w:color="000000"/>
              <w:right w:val="single" w:sz="10"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vMerge/>
            <w:tcBorders>
              <w:left w:val="single" w:sz="10" w:space="0" w:color="D2D2D2"/>
              <w:right w:val="single" w:sz="4" w:space="0" w:color="000000"/>
            </w:tcBorders>
          </w:tcPr>
          <w:p>
            <w:pPr/>
          </w:p>
        </w:tc>
      </w:tr>
      <w:tr>
        <w:trPr>
          <w:trHeight w:val="163" w:hRule="exact"/>
        </w:trPr>
        <w:tc>
          <w:tcPr>
            <w:tcW w:w="3133" w:type="dxa"/>
            <w:vMerge/>
            <w:tcBorders>
              <w:left w:val="single" w:sz="4" w:space="0" w:color="000000"/>
              <w:bottom w:val="single" w:sz="4" w:space="0" w:color="000000"/>
              <w:right w:val="single" w:sz="10" w:space="0" w:color="D2D2D2"/>
            </w:tcBorders>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55" w:type="dxa"/>
            <w:vMerge/>
            <w:tcBorders>
              <w:left w:val="single" w:sz="10" w:space="0" w:color="D2D2D2"/>
              <w:bottom w:val="single" w:sz="4" w:space="0" w:color="000000"/>
              <w:right w:val="single" w:sz="4" w:space="0" w:color="000000"/>
            </w:tcBorders>
          </w:tcPr>
          <w:p>
            <w:pPr/>
          </w:p>
        </w:tc>
      </w:tr>
      <w:tr>
        <w:trPr>
          <w:trHeight w:val="404"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依米康管理</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四川依米康企业管理有限公司，本公司全资子公司</w:t>
            </w:r>
          </w:p>
        </w:tc>
      </w:tr>
      <w:tr>
        <w:trPr>
          <w:trHeight w:val="398"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依米康智云科技</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四川依米康智云科技有限公司，本公司全资子公司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依米康信息服务</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依米康信息服务有限公司，本公司全资子公司</w:t>
            </w: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江苏亿金、江苏亿金公司、亿金环保</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江苏亿金环保科技有限公司，本公司控股子公司</w:t>
            </w:r>
          </w:p>
        </w:tc>
      </w:tr>
      <w:tr>
        <w:trPr>
          <w:trHeight w:val="404"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依米康冷元</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依米康冷元节能科技（上海）有限公司，本公司控股子公司</w:t>
            </w:r>
          </w:p>
        </w:tc>
      </w:tr>
      <w:tr>
        <w:trPr>
          <w:trHeight w:val="398"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平昌依米康</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平昌县依米康医疗投资管理有限公司，本公司控股子公司</w:t>
            </w:r>
          </w:p>
        </w:tc>
      </w:tr>
      <w:tr>
        <w:trPr>
          <w:trHeight w:val="163" w:hRule="exact"/>
        </w:trPr>
        <w:tc>
          <w:tcPr>
            <w:tcW w:w="3133" w:type="dxa"/>
            <w:vMerge w:val="restart"/>
            <w:tcBorders>
              <w:top w:val="single" w:sz="4" w:space="0" w:color="000000"/>
              <w:left w:val="single" w:sz="4" w:space="0" w:color="000000"/>
              <w:right w:val="single" w:sz="10" w:space="0" w:color="D2D2D2"/>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VBT</w:t>
            </w: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55" w:type="dxa"/>
            <w:vMerge w:val="restart"/>
            <w:tcBorders>
              <w:top w:val="single" w:sz="4" w:space="0" w:color="000000"/>
              <w:left w:val="single" w:sz="10" w:space="0" w:color="D2D2D2"/>
              <w:right w:val="single" w:sz="4" w:space="0" w:color="000000"/>
            </w:tcBorders>
          </w:tcPr>
          <w:p>
            <w:pPr>
              <w:pStyle w:val="TableParagraph"/>
              <w:spacing w:line="304" w:lineRule="auto" w:before="53"/>
              <w:ind w:left="28" w:right="18"/>
              <w:jc w:val="left"/>
              <w:rPr>
                <w:rFonts w:ascii="宋体" w:hAnsi="宋体" w:cs="宋体" w:eastAsia="宋体" w:hint="default"/>
                <w:sz w:val="18"/>
                <w:szCs w:val="18"/>
              </w:rPr>
            </w:pPr>
            <w:r>
              <w:rPr>
                <w:rFonts w:ascii="Times New Roman" w:hAnsi="Times New Roman" w:cs="Times New Roman" w:eastAsia="Times New Roman" w:hint="default"/>
                <w:spacing w:val="-5"/>
                <w:w w:val="101"/>
                <w:sz w:val="18"/>
                <w:szCs w:val="18"/>
              </w:rPr>
              <w:t>VALUEBIOTECH</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7"/>
                <w:w w:val="101"/>
                <w:sz w:val="18"/>
                <w:szCs w:val="18"/>
              </w:rPr>
              <w:t>S.R.L</w:t>
            </w:r>
            <w:r>
              <w:rPr>
                <w:rFonts w:ascii="宋体" w:hAnsi="宋体" w:cs="宋体" w:eastAsia="宋体" w:hint="default"/>
                <w:spacing w:val="-7"/>
                <w:w w:val="101"/>
                <w:sz w:val="18"/>
                <w:szCs w:val="18"/>
              </w:rPr>
              <w:t>（意大利智能手术机器人技术研发公司），本公司</w:t>
            </w:r>
            <w:r>
              <w:rPr>
                <w:rFonts w:ascii="宋体" w:hAnsi="宋体" w:cs="宋体" w:eastAsia="宋体" w:hint="default"/>
                <w:spacing w:val="-58"/>
                <w:w w:val="101"/>
                <w:sz w:val="18"/>
                <w:szCs w:val="18"/>
              </w:rPr>
              <w:t> </w:t>
            </w:r>
            <w:r>
              <w:rPr>
                <w:rFonts w:ascii="宋体" w:hAnsi="宋体" w:cs="宋体" w:eastAsia="宋体" w:hint="default"/>
                <w:spacing w:val="-58"/>
                <w:w w:val="101"/>
                <w:sz w:val="18"/>
                <w:szCs w:val="18"/>
              </w:rPr>
            </w:r>
            <w:r>
              <w:rPr>
                <w:rFonts w:ascii="宋体" w:hAnsi="宋体" w:cs="宋体" w:eastAsia="宋体" w:hint="default"/>
                <w:sz w:val="18"/>
                <w:szCs w:val="18"/>
              </w:rPr>
              <w:t>参股公司</w:t>
            </w:r>
          </w:p>
        </w:tc>
      </w:tr>
      <w:tr>
        <w:trPr>
          <w:trHeight w:val="394" w:hRule="exact"/>
        </w:trPr>
        <w:tc>
          <w:tcPr>
            <w:tcW w:w="3133" w:type="dxa"/>
            <w:vMerge/>
            <w:tcBorders>
              <w:left w:val="single" w:sz="4" w:space="0" w:color="000000"/>
              <w:right w:val="single" w:sz="10"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vMerge/>
            <w:tcBorders>
              <w:left w:val="single" w:sz="10" w:space="0" w:color="D2D2D2"/>
              <w:right w:val="single" w:sz="4" w:space="0" w:color="000000"/>
            </w:tcBorders>
          </w:tcPr>
          <w:p>
            <w:pPr/>
          </w:p>
        </w:tc>
      </w:tr>
      <w:tr>
        <w:trPr>
          <w:trHeight w:val="158" w:hRule="exact"/>
        </w:trPr>
        <w:tc>
          <w:tcPr>
            <w:tcW w:w="3133" w:type="dxa"/>
            <w:vMerge/>
            <w:tcBorders>
              <w:left w:val="single" w:sz="4" w:space="0" w:color="000000"/>
              <w:bottom w:val="single" w:sz="4" w:space="0" w:color="000000"/>
              <w:right w:val="single" w:sz="10" w:space="0" w:color="D2D2D2"/>
            </w:tcBorders>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55" w:type="dxa"/>
            <w:vMerge/>
            <w:tcBorders>
              <w:left w:val="single" w:sz="10" w:space="0" w:color="D2D2D2"/>
              <w:bottom w:val="single" w:sz="4" w:space="0" w:color="000000"/>
              <w:right w:val="single" w:sz="4" w:space="0" w:color="000000"/>
            </w:tcBorders>
          </w:tcPr>
          <w:p>
            <w:pPr/>
          </w:p>
        </w:tc>
      </w:tr>
      <w:tr>
        <w:trPr>
          <w:trHeight w:val="404"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上海国富光启</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上海国富光启云计算科技股份有限公司，本公司参股公司</w:t>
            </w:r>
          </w:p>
        </w:tc>
      </w:tr>
      <w:tr>
        <w:trPr>
          <w:trHeight w:val="317" w:hRule="exact"/>
        </w:trPr>
        <w:tc>
          <w:tcPr>
            <w:tcW w:w="3133"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数据中心</w:t>
            </w: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55" w:type="dxa"/>
            <w:vMerge w:val="restart"/>
            <w:tcBorders>
              <w:top w:val="single" w:sz="4" w:space="0" w:color="000000"/>
              <w:left w:val="single" w:sz="10" w:space="0" w:color="D2D2D2"/>
              <w:right w:val="single" w:sz="4" w:space="0" w:color="000000"/>
            </w:tcBorders>
          </w:tcPr>
          <w:p>
            <w:pPr>
              <w:pStyle w:val="TableParagraph"/>
              <w:spacing w:line="316" w:lineRule="auto" w:before="53"/>
              <w:ind w:left="28" w:right="18"/>
              <w:jc w:val="both"/>
              <w:rPr>
                <w:rFonts w:ascii="宋体" w:hAnsi="宋体" w:cs="宋体" w:eastAsia="宋体" w:hint="default"/>
                <w:sz w:val="18"/>
                <w:szCs w:val="18"/>
              </w:rPr>
            </w:pPr>
            <w:r>
              <w:rPr>
                <w:rFonts w:ascii="宋体" w:hAnsi="宋体" w:cs="宋体" w:eastAsia="宋体" w:hint="default"/>
                <w:spacing w:val="-5"/>
                <w:sz w:val="18"/>
                <w:szCs w:val="18"/>
              </w:rPr>
              <w:t>利用已有的互联网通信线路、带宽资源，建立标准化的电信专业级机房环</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5"/>
                <w:sz w:val="18"/>
                <w:szCs w:val="18"/>
              </w:rPr>
              <w:t>境，为企业、政府提供服务器托管、租用以及相关增值等方面的全方位服</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务。</w:t>
            </w:r>
          </w:p>
        </w:tc>
      </w:tr>
      <w:tr>
        <w:trPr>
          <w:trHeight w:val="394" w:hRule="exact"/>
        </w:trPr>
        <w:tc>
          <w:tcPr>
            <w:tcW w:w="3133" w:type="dxa"/>
            <w:vMerge/>
            <w:tcBorders>
              <w:left w:val="single" w:sz="4" w:space="0" w:color="000000"/>
              <w:right w:val="single" w:sz="10"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vMerge/>
            <w:tcBorders>
              <w:left w:val="single" w:sz="10" w:space="0" w:color="D2D2D2"/>
              <w:right w:val="single" w:sz="4" w:space="0" w:color="000000"/>
            </w:tcBorders>
          </w:tcPr>
          <w:p>
            <w:pPr/>
          </w:p>
        </w:tc>
      </w:tr>
      <w:tr>
        <w:trPr>
          <w:trHeight w:val="317" w:hRule="exact"/>
        </w:trPr>
        <w:tc>
          <w:tcPr>
            <w:tcW w:w="3133" w:type="dxa"/>
            <w:vMerge/>
            <w:tcBorders>
              <w:left w:val="single" w:sz="4" w:space="0" w:color="000000"/>
              <w:bottom w:val="single" w:sz="4" w:space="0" w:color="000000"/>
              <w:right w:val="single" w:sz="10" w:space="0" w:color="D2D2D2"/>
            </w:tcBorders>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55" w:type="dxa"/>
            <w:vMerge/>
            <w:tcBorders>
              <w:left w:val="single" w:sz="10" w:space="0" w:color="D2D2D2"/>
              <w:bottom w:val="single" w:sz="4" w:space="0" w:color="000000"/>
              <w:right w:val="single" w:sz="4" w:space="0" w:color="000000"/>
            </w:tcBorders>
          </w:tcPr>
          <w:p>
            <w:pPr/>
          </w:p>
        </w:tc>
      </w:tr>
      <w:tr>
        <w:trPr>
          <w:trHeight w:val="317" w:hRule="exact"/>
        </w:trPr>
        <w:tc>
          <w:tcPr>
            <w:tcW w:w="3133"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55" w:type="dxa"/>
            <w:vMerge w:val="restart"/>
            <w:tcBorders>
              <w:top w:val="single" w:sz="4" w:space="0" w:color="000000"/>
              <w:left w:val="single" w:sz="10" w:space="0" w:color="D2D2D2"/>
              <w:right w:val="single" w:sz="4" w:space="0" w:color="000000"/>
            </w:tcBorders>
          </w:tcPr>
          <w:p>
            <w:pPr>
              <w:pStyle w:val="TableParagraph"/>
              <w:spacing w:line="309" w:lineRule="auto" w:before="53"/>
              <w:ind w:left="28" w:right="18"/>
              <w:jc w:val="both"/>
              <w:rPr>
                <w:rFonts w:ascii="宋体" w:hAnsi="宋体" w:cs="宋体" w:eastAsia="宋体" w:hint="default"/>
                <w:sz w:val="18"/>
                <w:szCs w:val="18"/>
              </w:rPr>
            </w:pPr>
            <w:r>
              <w:rPr>
                <w:rFonts w:ascii="宋体" w:hAnsi="宋体" w:cs="宋体" w:eastAsia="宋体" w:hint="default"/>
                <w:sz w:val="18"/>
                <w:szCs w:val="18"/>
              </w:rPr>
              <w:t>英文称</w:t>
            </w:r>
            <w:r>
              <w:rPr>
                <w:rFonts w:ascii="Times New Roman" w:hAnsi="Times New Roman" w:cs="Times New Roman" w:eastAsia="Times New Roman" w:hint="default"/>
                <w:sz w:val="18"/>
                <w:szCs w:val="18"/>
              </w:rPr>
              <w:t>"cloud </w:t>
            </w:r>
            <w:r>
              <w:rPr>
                <w:rFonts w:ascii="Times New Roman" w:hAnsi="Times New Roman" w:cs="Times New Roman" w:eastAsia="Times New Roman" w:hint="default"/>
                <w:spacing w:val="-3"/>
                <w:sz w:val="18"/>
                <w:szCs w:val="18"/>
              </w:rPr>
              <w:t>computing"</w:t>
            </w:r>
            <w:r>
              <w:rPr>
                <w:rFonts w:ascii="宋体" w:hAnsi="宋体" w:cs="宋体" w:eastAsia="宋体" w:hint="default"/>
                <w:spacing w:val="-3"/>
                <w:sz w:val="18"/>
                <w:szCs w:val="18"/>
              </w:rPr>
              <w:t>，是分布式计算技术的一种，透过网络将庞大的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w w:val="101"/>
                <w:sz w:val="18"/>
                <w:szCs w:val="18"/>
              </w:rPr>
              <w:t>计算处理程序自动分拆成无数个较小的子程序，再交由多部服务器所组成</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的庞大系统经搜寻、计算分析之后将处理结果回传给用户。</w:t>
            </w:r>
          </w:p>
        </w:tc>
      </w:tr>
      <w:tr>
        <w:trPr>
          <w:trHeight w:val="389" w:hRule="exact"/>
        </w:trPr>
        <w:tc>
          <w:tcPr>
            <w:tcW w:w="3133" w:type="dxa"/>
            <w:vMerge/>
            <w:tcBorders>
              <w:left w:val="single" w:sz="4" w:space="0" w:color="000000"/>
              <w:right w:val="single" w:sz="10" w:space="0" w:color="D2D2D2"/>
            </w:tcBorders>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vMerge/>
            <w:tcBorders>
              <w:left w:val="single" w:sz="10" w:space="0" w:color="D2D2D2"/>
              <w:right w:val="single" w:sz="4" w:space="0" w:color="000000"/>
            </w:tcBorders>
          </w:tcPr>
          <w:p>
            <w:pPr/>
          </w:p>
        </w:tc>
      </w:tr>
      <w:tr>
        <w:trPr>
          <w:trHeight w:val="317" w:hRule="exact"/>
        </w:trPr>
        <w:tc>
          <w:tcPr>
            <w:tcW w:w="3133" w:type="dxa"/>
            <w:vMerge/>
            <w:tcBorders>
              <w:left w:val="single" w:sz="4" w:space="0" w:color="000000"/>
              <w:bottom w:val="single" w:sz="4" w:space="0" w:color="000000"/>
              <w:right w:val="single" w:sz="10" w:space="0" w:color="D2D2D2"/>
            </w:tcBorders>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55" w:type="dxa"/>
            <w:vMerge/>
            <w:tcBorders>
              <w:left w:val="single" w:sz="10" w:space="0" w:color="D2D2D2"/>
              <w:bottom w:val="single" w:sz="4" w:space="0" w:color="000000"/>
              <w:right w:val="single" w:sz="4" w:space="0" w:color="000000"/>
            </w:tcBorders>
          </w:tcPr>
          <w:p>
            <w:pPr/>
          </w:p>
        </w:tc>
      </w:tr>
      <w:tr>
        <w:trPr>
          <w:trHeight w:val="403" w:hRule="exact"/>
        </w:trPr>
        <w:tc>
          <w:tcPr>
            <w:tcW w:w="3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pacing w:val="-5"/>
                <w:sz w:val="18"/>
                <w:szCs w:val="18"/>
              </w:rPr>
              <w:t>又称为巨量资料，指需要新处理模式才能具有更强的决策力、洞察力和流</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8.104pt;margin-top:72.019981pt;width:479.5pt;height:685.65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21"/>
                    <w:gridCol w:w="711"/>
                    <w:gridCol w:w="5743"/>
                  </w:tblGrid>
                  <w:tr>
                    <w:trPr>
                      <w:trHeight w:val="360" w:hRule="exact"/>
                    </w:trPr>
                    <w:tc>
                      <w:tcPr>
                        <w:tcW w:w="312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程优化能力的海量、高增长率和多样化的信息资产。</w:t>
                        </w:r>
                      </w:p>
                    </w:tc>
                  </w:tr>
                  <w:tr>
                    <w:trPr>
                      <w:trHeight w:val="102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5G</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65"/>
                          <w:jc w:val="both"/>
                          <w:rPr>
                            <w:rFonts w:ascii="宋体" w:hAnsi="宋体" w:cs="宋体" w:eastAsia="宋体" w:hint="default"/>
                            <w:sz w:val="18"/>
                            <w:szCs w:val="18"/>
                          </w:rPr>
                        </w:pPr>
                        <w:r>
                          <w:rPr>
                            <w:rFonts w:ascii="宋体" w:hAnsi="宋体" w:cs="宋体" w:eastAsia="宋体" w:hint="default"/>
                            <w:spacing w:val="-9"/>
                            <w:w w:val="101"/>
                            <w:sz w:val="18"/>
                            <w:szCs w:val="18"/>
                          </w:rPr>
                          <w:t>第五代移动电话行动通信标准，也称第五代移动通信技术，外语缩写：</w:t>
                        </w:r>
                        <w:r>
                          <w:rPr>
                            <w:rFonts w:ascii="Times New Roman" w:hAnsi="Times New Roman" w:cs="Times New Roman" w:eastAsia="Times New Roman" w:hint="default"/>
                            <w:spacing w:val="-9"/>
                            <w:w w:val="101"/>
                            <w:sz w:val="18"/>
                            <w:szCs w:val="18"/>
                          </w:rPr>
                          <w:t>5G</w:t>
                        </w:r>
                        <w:r>
                          <w:rPr>
                            <w:rFonts w:ascii="Times New Roman" w:hAnsi="Times New Roman" w:cs="Times New Roman" w:eastAsia="Times New Roman" w:hint="default"/>
                            <w:spacing w:val="-32"/>
                            <w:w w:val="101"/>
                            <w:sz w:val="18"/>
                            <w:szCs w:val="18"/>
                          </w:rPr>
                          <w:t> </w:t>
                        </w:r>
                        <w:r>
                          <w:rPr>
                            <w:rFonts w:ascii="宋体" w:hAnsi="宋体" w:cs="宋体" w:eastAsia="宋体" w:hint="default"/>
                            <w:sz w:val="18"/>
                            <w:szCs w:val="18"/>
                          </w:rPr>
                          <w:t>是</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4G</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之后的延伸，</w:t>
                        </w:r>
                        <w:r>
                          <w:rPr>
                            <w:rFonts w:ascii="Times New Roman" w:hAnsi="Times New Roman" w:cs="Times New Roman" w:eastAsia="Times New Roman" w:hint="default"/>
                            <w:sz w:val="18"/>
                            <w:szCs w:val="18"/>
                          </w:rPr>
                          <w:t>5G</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网络的理论下行速度为</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10Gb/s</w:t>
                        </w:r>
                        <w:r>
                          <w:rPr>
                            <w:rFonts w:ascii="宋体" w:hAnsi="宋体" w:cs="宋体" w:eastAsia="宋体" w:hint="default"/>
                            <w:spacing w:val="-3"/>
                            <w:sz w:val="18"/>
                            <w:szCs w:val="18"/>
                          </w:rPr>
                          <w:t>（相当于下载速度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pacing w:val="-19"/>
                            <w:w w:val="101"/>
                            <w:sz w:val="18"/>
                            <w:szCs w:val="18"/>
                          </w:rPr>
                          <w:t>1.25Gb/s</w:t>
                        </w:r>
                        <w:r>
                          <w:rPr>
                            <w:rFonts w:ascii="宋体" w:hAnsi="宋体" w:cs="宋体" w:eastAsia="宋体" w:hint="default"/>
                            <w:spacing w:val="-19"/>
                            <w:w w:val="101"/>
                            <w:sz w:val="18"/>
                            <w:szCs w:val="18"/>
                          </w:rPr>
                          <w:t>）。</w:t>
                        </w:r>
                        <w:r>
                          <w:rPr>
                            <w:rFonts w:ascii="宋体" w:hAnsi="宋体" w:cs="宋体" w:eastAsia="宋体" w:hint="default"/>
                            <w:sz w:val="18"/>
                            <w:szCs w:val="18"/>
                          </w:rPr>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3"/>
                            <w:sz w:val="18"/>
                          </w:rPr>
                          <w:t>AI</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人</w:t>
                        </w:r>
                        <w:r>
                          <w:rPr>
                            <w:rFonts w:ascii="宋体" w:hAnsi="宋体" w:cs="宋体" w:eastAsia="宋体" w:hint="default"/>
                            <w:spacing w:val="-5"/>
                            <w:w w:val="101"/>
                            <w:sz w:val="18"/>
                            <w:szCs w:val="18"/>
                          </w:rPr>
                          <w:t>工</w:t>
                        </w:r>
                        <w:r>
                          <w:rPr>
                            <w:rFonts w:ascii="宋体" w:hAnsi="宋体" w:cs="宋体" w:eastAsia="宋体" w:hint="default"/>
                            <w:w w:val="101"/>
                            <w:sz w:val="18"/>
                            <w:szCs w:val="18"/>
                          </w:rPr>
                          <w:t>智</w:t>
                        </w:r>
                        <w:r>
                          <w:rPr>
                            <w:rFonts w:ascii="宋体" w:hAnsi="宋体" w:cs="宋体" w:eastAsia="宋体" w:hint="default"/>
                            <w:spacing w:val="-5"/>
                            <w:w w:val="101"/>
                            <w:sz w:val="18"/>
                            <w:szCs w:val="18"/>
                          </w:rPr>
                          <w:t>能</w:t>
                        </w:r>
                        <w:r>
                          <w:rPr>
                            <w:rFonts w:ascii="宋体" w:hAnsi="宋体" w:cs="宋体" w:eastAsia="宋体" w:hint="default"/>
                            <w:w w:val="101"/>
                            <w:sz w:val="18"/>
                            <w:szCs w:val="18"/>
                          </w:rPr>
                          <w:t>（</w:t>
                        </w:r>
                        <w:r>
                          <w:rPr>
                            <w:rFonts w:ascii="Times New Roman" w:hAnsi="Times New Roman" w:cs="Times New Roman" w:eastAsia="Times New Roman" w:hint="default"/>
                            <w:spacing w:val="-7"/>
                            <w:w w:val="101"/>
                            <w:sz w:val="18"/>
                            <w:szCs w:val="18"/>
                          </w:rPr>
                          <w:t>A</w:t>
                        </w:r>
                        <w:r>
                          <w:rPr>
                            <w:rFonts w:ascii="Times New Roman" w:hAnsi="Times New Roman" w:cs="Times New Roman" w:eastAsia="Times New Roman" w:hint="default"/>
                            <w:spacing w:val="1"/>
                            <w:w w:val="101"/>
                            <w:sz w:val="18"/>
                            <w:szCs w:val="18"/>
                          </w:rPr>
                          <w:t>rti</w:t>
                        </w:r>
                        <w:r>
                          <w:rPr>
                            <w:rFonts w:ascii="Times New Roman" w:hAnsi="Times New Roman" w:cs="Times New Roman" w:eastAsia="Times New Roman" w:hint="default"/>
                            <w:spacing w:val="-4"/>
                            <w:w w:val="101"/>
                            <w:sz w:val="18"/>
                            <w:szCs w:val="18"/>
                          </w:rPr>
                          <w:t>f</w:t>
                        </w:r>
                        <w:r>
                          <w:rPr>
                            <w:rFonts w:ascii="Times New Roman" w:hAnsi="Times New Roman" w:cs="Times New Roman" w:eastAsia="Times New Roman" w:hint="default"/>
                            <w:spacing w:val="1"/>
                            <w:w w:val="101"/>
                            <w:sz w:val="18"/>
                            <w:szCs w:val="18"/>
                          </w:rPr>
                          <w:t>i</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spacing w:val="-3"/>
                            <w:w w:val="101"/>
                            <w:sz w:val="18"/>
                            <w:szCs w:val="18"/>
                          </w:rPr>
                          <w:t>i</w:t>
                        </w:r>
                        <w:r>
                          <w:rPr>
                            <w:rFonts w:ascii="Times New Roman" w:hAnsi="Times New Roman" w:cs="Times New Roman" w:eastAsia="Times New Roman" w:hint="default"/>
                            <w:w w:val="101"/>
                            <w:sz w:val="18"/>
                            <w:szCs w:val="18"/>
                          </w:rPr>
                          <w:t>al</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9"/>
                            <w:w w:val="101"/>
                            <w:sz w:val="18"/>
                            <w:szCs w:val="18"/>
                          </w:rPr>
                          <w:t>I</w:t>
                        </w:r>
                        <w:r>
                          <w:rPr>
                            <w:rFonts w:ascii="Times New Roman" w:hAnsi="Times New Roman" w:cs="Times New Roman" w:eastAsia="Times New Roman" w:hint="default"/>
                            <w:w w:val="101"/>
                            <w:sz w:val="18"/>
                            <w:szCs w:val="18"/>
                          </w:rPr>
                          <w:t>n</w:t>
                        </w:r>
                        <w:r>
                          <w:rPr>
                            <w:rFonts w:ascii="Times New Roman" w:hAnsi="Times New Roman" w:cs="Times New Roman" w:eastAsia="Times New Roman" w:hint="default"/>
                            <w:spacing w:val="1"/>
                            <w:w w:val="101"/>
                            <w:sz w:val="18"/>
                            <w:szCs w:val="18"/>
                          </w:rPr>
                          <w:t>t</w:t>
                        </w:r>
                        <w:r>
                          <w:rPr>
                            <w:rFonts w:ascii="Times New Roman" w:hAnsi="Times New Roman" w:cs="Times New Roman" w:eastAsia="Times New Roman" w:hint="default"/>
                            <w:w w:val="101"/>
                            <w:sz w:val="18"/>
                            <w:szCs w:val="18"/>
                          </w:rPr>
                          <w:t>e</w:t>
                        </w:r>
                        <w:r>
                          <w:rPr>
                            <w:rFonts w:ascii="Times New Roman" w:hAnsi="Times New Roman" w:cs="Times New Roman" w:eastAsia="Times New Roman" w:hint="default"/>
                            <w:spacing w:val="-3"/>
                            <w:w w:val="101"/>
                            <w:sz w:val="18"/>
                            <w:szCs w:val="18"/>
                          </w:rPr>
                          <w:t>l</w:t>
                        </w:r>
                        <w:r>
                          <w:rPr>
                            <w:rFonts w:ascii="Times New Roman" w:hAnsi="Times New Roman" w:cs="Times New Roman" w:eastAsia="Times New Roman" w:hint="default"/>
                            <w:spacing w:val="1"/>
                            <w:w w:val="101"/>
                            <w:sz w:val="18"/>
                            <w:szCs w:val="18"/>
                          </w:rPr>
                          <w:t>li</w:t>
                        </w:r>
                        <w:r>
                          <w:rPr>
                            <w:rFonts w:ascii="Times New Roman" w:hAnsi="Times New Roman" w:cs="Times New Roman" w:eastAsia="Times New Roman" w:hint="default"/>
                            <w:spacing w:val="-5"/>
                            <w:w w:val="101"/>
                            <w:sz w:val="18"/>
                            <w:szCs w:val="18"/>
                          </w:rPr>
                          <w:t>g</w:t>
                        </w:r>
                        <w:r>
                          <w:rPr>
                            <w:rFonts w:ascii="Times New Roman" w:hAnsi="Times New Roman" w:cs="Times New Roman" w:eastAsia="Times New Roman" w:hint="default"/>
                            <w:w w:val="101"/>
                            <w:sz w:val="18"/>
                            <w:szCs w:val="18"/>
                          </w:rPr>
                          <w:t>en</w:t>
                        </w:r>
                        <w:r>
                          <w:rPr>
                            <w:rFonts w:ascii="Times New Roman" w:hAnsi="Times New Roman" w:cs="Times New Roman" w:eastAsia="Times New Roman" w:hint="default"/>
                            <w:spacing w:val="-5"/>
                            <w:w w:val="101"/>
                            <w:sz w:val="18"/>
                            <w:szCs w:val="18"/>
                          </w:rPr>
                          <w:t>c</w:t>
                        </w:r>
                        <w:r>
                          <w:rPr>
                            <w:rFonts w:ascii="Times New Roman" w:hAnsi="Times New Roman" w:cs="Times New Roman" w:eastAsia="Times New Roman" w:hint="default"/>
                            <w:spacing w:val="3"/>
                            <w:w w:val="101"/>
                            <w:sz w:val="18"/>
                            <w:szCs w:val="18"/>
                          </w:rPr>
                          <w:t>e</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英</w:t>
                        </w:r>
                        <w:r>
                          <w:rPr>
                            <w:rFonts w:ascii="宋体" w:hAnsi="宋体" w:cs="宋体" w:eastAsia="宋体" w:hint="default"/>
                            <w:w w:val="101"/>
                            <w:sz w:val="18"/>
                            <w:szCs w:val="18"/>
                          </w:rPr>
                          <w:t>文</w:t>
                        </w:r>
                        <w:r>
                          <w:rPr>
                            <w:rFonts w:ascii="宋体" w:hAnsi="宋体" w:cs="宋体" w:eastAsia="宋体" w:hint="default"/>
                            <w:spacing w:val="-5"/>
                            <w:w w:val="101"/>
                            <w:sz w:val="18"/>
                            <w:szCs w:val="18"/>
                          </w:rPr>
                          <w:t>缩</w:t>
                        </w:r>
                        <w:r>
                          <w:rPr>
                            <w:rFonts w:ascii="宋体" w:hAnsi="宋体" w:cs="宋体" w:eastAsia="宋体" w:hint="default"/>
                            <w:w w:val="101"/>
                            <w:sz w:val="18"/>
                            <w:szCs w:val="18"/>
                          </w:rPr>
                          <w:t>写为</w:t>
                        </w:r>
                        <w:r>
                          <w:rPr>
                            <w:rFonts w:ascii="宋体" w:hAnsi="宋体" w:cs="宋体" w:eastAsia="宋体" w:hint="default"/>
                            <w:spacing w:val="-47"/>
                            <w:sz w:val="18"/>
                            <w:szCs w:val="18"/>
                          </w:rPr>
                          <w:t> </w:t>
                        </w:r>
                        <w:r>
                          <w:rPr>
                            <w:rFonts w:ascii="Times New Roman" w:hAnsi="Times New Roman" w:cs="Times New Roman" w:eastAsia="Times New Roman" w:hint="default"/>
                            <w:spacing w:val="-3"/>
                            <w:w w:val="101"/>
                            <w:sz w:val="18"/>
                            <w:szCs w:val="18"/>
                          </w:rPr>
                          <w:t>A</w:t>
                        </w:r>
                        <w:r>
                          <w:rPr>
                            <w:rFonts w:ascii="Times New Roman" w:hAnsi="Times New Roman" w:cs="Times New Roman" w:eastAsia="Times New Roman" w:hint="default"/>
                            <w:spacing w:val="-8"/>
                            <w:w w:val="101"/>
                            <w:sz w:val="18"/>
                            <w:szCs w:val="18"/>
                          </w:rPr>
                          <w:t>I</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102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数据中心基础设施建设</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
                          <w:jc w:val="left"/>
                          <w:rPr>
                            <w:rFonts w:ascii="宋体" w:hAnsi="宋体" w:cs="宋体" w:eastAsia="宋体" w:hint="default"/>
                            <w:sz w:val="18"/>
                            <w:szCs w:val="18"/>
                          </w:rPr>
                        </w:pPr>
                        <w:r>
                          <w:rPr>
                            <w:rFonts w:ascii="宋体" w:hAnsi="宋体" w:cs="宋体" w:eastAsia="宋体" w:hint="default"/>
                            <w:spacing w:val="-8"/>
                            <w:sz w:val="18"/>
                            <w:szCs w:val="18"/>
                          </w:rPr>
                          <w:t>集建筑、电气、安装、网络等多个专业技术于一体的计算机机房建设工程</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包括装饰装修系统工程、供配电系统工程、空调和新风系统工程、建筑智</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能化系统工程、防雷系统工程以及消防系统工程等。</w:t>
                        </w:r>
                      </w:p>
                    </w:tc>
                  </w:tr>
                  <w:tr>
                    <w:trPr>
                      <w:trHeight w:val="710"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精密空调</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27"/>
                          <w:jc w:val="left"/>
                          <w:rPr>
                            <w:rFonts w:ascii="宋体" w:hAnsi="宋体" w:cs="宋体" w:eastAsia="宋体" w:hint="default"/>
                            <w:sz w:val="18"/>
                            <w:szCs w:val="18"/>
                          </w:rPr>
                        </w:pPr>
                        <w:r>
                          <w:rPr>
                            <w:rFonts w:ascii="宋体" w:hAnsi="宋体" w:cs="宋体" w:eastAsia="宋体" w:hint="default"/>
                            <w:spacing w:val="-3"/>
                            <w:sz w:val="18"/>
                            <w:szCs w:val="18"/>
                          </w:rPr>
                          <w:t>也称恒温恒湿空调，外文名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Precision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Air</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Conditioner</w:t>
                        </w:r>
                        <w:r>
                          <w:rPr>
                            <w:rFonts w:ascii="宋体" w:hAnsi="宋体" w:cs="宋体" w:eastAsia="宋体" w:hint="default"/>
                            <w:sz w:val="18"/>
                            <w:szCs w:val="18"/>
                          </w:rPr>
                          <w:t>，是指能够充分满足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机房环境条件要求的机房专用精密空调机。</w:t>
                        </w:r>
                      </w:p>
                    </w:tc>
                  </w:tr>
                  <w:tr>
                    <w:trPr>
                      <w:trHeight w:val="102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精密环境</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both"/>
                          <w:rPr>
                            <w:rFonts w:ascii="宋体" w:hAnsi="宋体" w:cs="宋体" w:eastAsia="宋体" w:hint="default"/>
                            <w:sz w:val="18"/>
                            <w:szCs w:val="18"/>
                          </w:rPr>
                        </w:pPr>
                        <w:r>
                          <w:rPr>
                            <w:rFonts w:ascii="宋体" w:hAnsi="宋体" w:cs="宋体" w:eastAsia="宋体" w:hint="default"/>
                            <w:spacing w:val="-5"/>
                            <w:sz w:val="18"/>
                            <w:szCs w:val="18"/>
                          </w:rPr>
                          <w:t>主要包括数据中心机房、医疗洁净场所及其他恒温恒湿环境，该环境要求</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5"/>
                            <w:sz w:val="18"/>
                            <w:szCs w:val="18"/>
                          </w:rPr>
                          <w:t>温度、湿度、洁净度、气流分布、监控管理等各种环境状态具有高可靠性</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和保障性，能够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小时不间断安全可靠运行。</w:t>
                        </w:r>
                      </w:p>
                    </w:tc>
                  </w:tr>
                  <w:tr>
                    <w:trPr>
                      <w:trHeight w:val="71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智能机柜</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8"/>
                          <w:jc w:val="left"/>
                          <w:rPr>
                            <w:rFonts w:ascii="宋体" w:hAnsi="宋体" w:cs="宋体" w:eastAsia="宋体" w:hint="default"/>
                            <w:sz w:val="18"/>
                            <w:szCs w:val="18"/>
                          </w:rPr>
                        </w:pPr>
                        <w:r>
                          <w:rPr>
                            <w:rFonts w:ascii="宋体" w:hAnsi="宋体" w:cs="宋体" w:eastAsia="宋体" w:hint="default"/>
                            <w:spacing w:val="-5"/>
                            <w:sz w:val="18"/>
                            <w:szCs w:val="18"/>
                          </w:rPr>
                          <w:t>指具备智能恒温、智能恒湿、供电系统监测与控制、防入侵门禁及柜门状</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3"/>
                            <w:sz w:val="18"/>
                            <w:szCs w:val="18"/>
                          </w:rPr>
                          <w:t>态监控系统、远程集中管控等功能的现代化智能型机柜。</w:t>
                        </w:r>
                      </w:p>
                    </w:tc>
                  </w:tr>
                  <w:tr>
                    <w:trPr>
                      <w:trHeight w:val="258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动环监控</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3"/>
                          <w:jc w:val="left"/>
                          <w:rPr>
                            <w:rFonts w:ascii="宋体" w:hAnsi="宋体" w:cs="宋体" w:eastAsia="宋体" w:hint="default"/>
                            <w:sz w:val="18"/>
                            <w:szCs w:val="18"/>
                          </w:rPr>
                        </w:pPr>
                        <w:r>
                          <w:rPr>
                            <w:rFonts w:ascii="宋体" w:hAnsi="宋体" w:cs="宋体" w:eastAsia="宋体" w:hint="default"/>
                            <w:spacing w:val="-5"/>
                            <w:sz w:val="18"/>
                            <w:szCs w:val="18"/>
                          </w:rPr>
                          <w:t>指针对各类机房中的动力设备及环境变量进行集中监控，即：动力环境监</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控</w:t>
                        </w:r>
                        <w:r>
                          <w:rPr>
                            <w:rFonts w:ascii="宋体" w:hAnsi="宋体" w:cs="宋体" w:eastAsia="宋体" w:hint="default"/>
                            <w:spacing w:val="64"/>
                            <w:sz w:val="18"/>
                            <w:szCs w:val="18"/>
                          </w:rPr>
                          <w:t> </w:t>
                        </w:r>
                        <w:r>
                          <w:rPr>
                            <w:rFonts w:ascii="宋体" w:hAnsi="宋体" w:cs="宋体" w:eastAsia="宋体" w:hint="default"/>
                            <w:spacing w:val="-3"/>
                            <w:sz w:val="18"/>
                            <w:szCs w:val="18"/>
                          </w:rPr>
                          <w:t>。一套完善的综合动力环境监控系统可以对分布的各个独立的动力设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备和机房环境、机房安保监控对象进行遥测、遥信等采集，实时监视系统</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5"/>
                            <w:sz w:val="18"/>
                            <w:szCs w:val="18"/>
                          </w:rPr>
                          <w:t>和设备、安保的运行状态，记录和处理相关数据，及时侦测故障，并作必</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要的遥控、遥调操作，适时通知人员处理；实现机房的少人、无人值守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5"/>
                            <w:sz w:val="18"/>
                            <w:szCs w:val="18"/>
                          </w:rPr>
                          <w:t>以及电源、空调的集中监控维护管理，提高供电系统的可靠性和通信设备</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5"/>
                            <w:sz w:val="18"/>
                            <w:szCs w:val="18"/>
                          </w:rPr>
                          <w:t>的安全性，为机房的管理自动化、运行智能化和决策科学化提供有力的技</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z w:val="18"/>
                            <w:szCs w:val="18"/>
                          </w:rPr>
                          <w:t>术支持。</w:t>
                        </w:r>
                      </w:p>
                    </w:tc>
                  </w:tr>
                  <w:tr>
                    <w:trPr>
                      <w:trHeight w:val="164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4"/>
                          <w:jc w:val="both"/>
                          <w:rPr>
                            <w:rFonts w:ascii="宋体" w:hAnsi="宋体" w:cs="宋体" w:eastAsia="宋体" w:hint="default"/>
                            <w:sz w:val="18"/>
                            <w:szCs w:val="18"/>
                          </w:rPr>
                        </w:pPr>
                        <w:r>
                          <w:rPr>
                            <w:rFonts w:ascii="宋体" w:hAnsi="宋体" w:cs="宋体" w:eastAsia="宋体" w:hint="default"/>
                            <w:spacing w:val="-5"/>
                            <w:sz w:val="18"/>
                            <w:szCs w:val="18"/>
                          </w:rPr>
                          <w:t>利用局部网络或互联网等通信技术把传感器、控制器、机器、人员和物等</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5"/>
                            <w:sz w:val="18"/>
                            <w:szCs w:val="18"/>
                          </w:rPr>
                          <w:t>通过新的方式联在一起，形成人与物、物与物相联，实现信息化、远程管</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5"/>
                            <w:sz w:val="18"/>
                            <w:szCs w:val="18"/>
                          </w:rPr>
                          <w:t>理控制和智能化的网络。物联网是互联网的延伸，它包括互联网及互联网</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5"/>
                            <w:sz w:val="18"/>
                            <w:szCs w:val="18"/>
                          </w:rPr>
                          <w:t>上所有的资源，兼容互联网所有的应用，但物联网中所有的元素（所有的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设备、资源及通信等）都是个性化和私有化。</w:t>
                        </w:r>
                      </w:p>
                    </w:tc>
                  </w:tr>
                  <w:tr>
                    <w:trPr>
                      <w:trHeight w:val="165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
                          <w:jc w:val="both"/>
                          <w:rPr>
                            <w:rFonts w:ascii="宋体" w:hAnsi="宋体" w:cs="宋体" w:eastAsia="宋体" w:hint="default"/>
                            <w:sz w:val="18"/>
                            <w:szCs w:val="18"/>
                          </w:rPr>
                        </w:pPr>
                        <w:r>
                          <w:rPr>
                            <w:rFonts w:ascii="宋体" w:hAnsi="宋体" w:cs="宋体" w:eastAsia="宋体" w:hint="default"/>
                            <w:spacing w:val="-5"/>
                            <w:sz w:val="18"/>
                            <w:szCs w:val="18"/>
                          </w:rPr>
                          <w:t>运用信息和通信技术手段感测、分析、整合城市运行核心系统的各项关键</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5"/>
                            <w:sz w:val="18"/>
                            <w:szCs w:val="18"/>
                          </w:rPr>
                          <w:t>信息，从而对包括民生、环保、公共安全、城市服务、工商业活动在内的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5"/>
                            <w:sz w:val="18"/>
                            <w:szCs w:val="18"/>
                          </w:rPr>
                          <w:t>各种需求做出智能响应。其实质是利用先进的信息技术，实现城市智慧式</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5"/>
                            <w:sz w:val="18"/>
                            <w:szCs w:val="18"/>
                          </w:rPr>
                          <w:t>管理和运行，进而为城市中的人创造更美好的生活，促进城市的和谐、可</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z w:val="18"/>
                            <w:szCs w:val="18"/>
                          </w:rPr>
                          <w:t>持续成长。</w:t>
                        </w:r>
                      </w:p>
                    </w:tc>
                  </w:tr>
                  <w:tr>
                    <w:trPr>
                      <w:trHeight w:val="716"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十三五规划、十三五</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4"/>
                          <w:ind w:left="23" w:right="17"/>
                          <w:jc w:val="left"/>
                          <w:rPr>
                            <w:rFonts w:ascii="宋体" w:hAnsi="宋体" w:cs="宋体" w:eastAsia="宋体" w:hint="default"/>
                            <w:sz w:val="18"/>
                            <w:szCs w:val="18"/>
                          </w:rPr>
                        </w:pPr>
                        <w:r>
                          <w:rPr>
                            <w:rFonts w:ascii="宋体" w:hAnsi="宋体" w:cs="宋体" w:eastAsia="宋体" w:hint="default"/>
                            <w:spacing w:val="-4"/>
                            <w:sz w:val="18"/>
                            <w:szCs w:val="18"/>
                          </w:rPr>
                          <w:t>中国国民经济和社会发展第十三个五年规划纲要；</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十三五</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规划的起止时</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间：</w:t>
                        </w:r>
                        <w:r>
                          <w:rPr>
                            <w:rFonts w:ascii="Times New Roman" w:hAnsi="Times New Roman" w:cs="Times New Roman" w:eastAsia="Times New Roman" w:hint="default"/>
                            <w:sz w:val="18"/>
                            <w:szCs w:val="18"/>
                          </w:rPr>
                          <w:t>2016-2020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p>
                    </w:tc>
                  </w:tr>
                  <w:tr>
                    <w:trPr>
                      <w:trHeight w:val="71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PUE</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90"/>
                          <w:jc w:val="left"/>
                          <w:rPr>
                            <w:rFonts w:ascii="宋体" w:hAnsi="宋体" w:cs="宋体" w:eastAsia="宋体" w:hint="default"/>
                            <w:sz w:val="18"/>
                            <w:szCs w:val="18"/>
                          </w:rPr>
                        </w:pPr>
                        <w:r>
                          <w:rPr>
                            <w:rFonts w:ascii="Times New Roman" w:hAnsi="Times New Roman" w:cs="Times New Roman" w:eastAsia="Times New Roman" w:hint="default"/>
                            <w:sz w:val="18"/>
                            <w:szCs w:val="18"/>
                          </w:rPr>
                          <w:t>Power </w:t>
                        </w:r>
                        <w:r>
                          <w:rPr>
                            <w:rFonts w:ascii="Times New Roman" w:hAnsi="Times New Roman" w:cs="Times New Roman" w:eastAsia="Times New Roman" w:hint="default"/>
                            <w:spacing w:val="-3"/>
                            <w:sz w:val="18"/>
                            <w:szCs w:val="18"/>
                          </w:rPr>
                          <w:t>Usage </w:t>
                        </w:r>
                        <w:r>
                          <w:rPr>
                            <w:rFonts w:ascii="Times New Roman" w:hAnsi="Times New Roman" w:cs="Times New Roman" w:eastAsia="Times New Roman" w:hint="default"/>
                            <w:sz w:val="18"/>
                            <w:szCs w:val="18"/>
                          </w:rPr>
                          <w:t>Effectiveness </w:t>
                        </w:r>
                        <w:r>
                          <w:rPr>
                            <w:rFonts w:ascii="宋体" w:hAnsi="宋体" w:cs="宋体" w:eastAsia="宋体" w:hint="default"/>
                            <w:spacing w:val="-3"/>
                            <w:sz w:val="18"/>
                            <w:szCs w:val="18"/>
                          </w:rPr>
                          <w:t>的缩写，电力使用效率，是数据中心消耗的所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有能源与 </w:t>
                        </w:r>
                        <w:r>
                          <w:rPr>
                            <w:rFonts w:ascii="Times New Roman" w:hAnsi="Times New Roman" w:cs="Times New Roman" w:eastAsia="Times New Roman" w:hint="default"/>
                            <w:spacing w:val="-4"/>
                            <w:sz w:val="18"/>
                            <w:szCs w:val="18"/>
                          </w:rPr>
                          <w:t>IT</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负载使用的能源之比，是评价数据中心能源效率的指标。</w:t>
                        </w:r>
                      </w:p>
                    </w:tc>
                  </w:tr>
                  <w:tr>
                    <w:trPr>
                      <w:trHeight w:val="71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pacing w:val="-3"/>
                            <w:sz w:val="18"/>
                          </w:rPr>
                          <w:t>WUE</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18"/>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Water </w:t>
                        </w:r>
                        <w:r>
                          <w:rPr>
                            <w:rFonts w:ascii="Times New Roman" w:hAnsi="Times New Roman" w:cs="Times New Roman" w:eastAsia="Times New Roman" w:hint="default"/>
                            <w:spacing w:val="-3"/>
                            <w:sz w:val="18"/>
                            <w:szCs w:val="18"/>
                          </w:rPr>
                          <w:t>Usage </w:t>
                        </w:r>
                        <w:r>
                          <w:rPr>
                            <w:rFonts w:ascii="Times New Roman" w:hAnsi="Times New Roman" w:cs="Times New Roman" w:eastAsia="Times New Roman" w:hint="default"/>
                            <w:sz w:val="18"/>
                            <w:szCs w:val="18"/>
                          </w:rPr>
                          <w:t>Effectiveness </w:t>
                        </w:r>
                        <w:r>
                          <w:rPr>
                            <w:rFonts w:ascii="宋体" w:hAnsi="宋体" w:cs="宋体" w:eastAsia="宋体" w:hint="default"/>
                            <w:spacing w:val="-6"/>
                            <w:sz w:val="18"/>
                            <w:szCs w:val="18"/>
                          </w:rPr>
                          <w:t>的缩写，水资源使用效率，是数据中心消耗的总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用水量与</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IT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设备能源之比，以升</w:t>
                        </w:r>
                        <w:r>
                          <w:rPr>
                            <w:rFonts w:ascii="Times New Roman" w:hAnsi="Times New Roman" w:cs="Times New Roman" w:eastAsia="Times New Roman" w:hint="default"/>
                            <w:sz w:val="18"/>
                            <w:szCs w:val="18"/>
                          </w:rPr>
                          <w:t>/</w:t>
                        </w:r>
                        <w:r>
                          <w:rPr>
                            <w:rFonts w:ascii="宋体" w:hAnsi="宋体" w:cs="宋体" w:eastAsia="宋体" w:hint="default"/>
                            <w:sz w:val="18"/>
                            <w:szCs w:val="18"/>
                          </w:rPr>
                          <w:t>千瓦时计算。</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2"/>
                            <w:sz w:val="18"/>
                          </w:rPr>
                          <w:t>IDC</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互联网数据中心（</w:t>
                        </w:r>
                        <w:r>
                          <w:rPr>
                            <w:rFonts w:ascii="Times New Roman" w:hAnsi="Times New Roman" w:cs="Times New Roman" w:eastAsia="Times New Roman" w:hint="default"/>
                            <w:sz w:val="18"/>
                            <w:szCs w:val="18"/>
                          </w:rPr>
                          <w:t>Internet Date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Center</w:t>
                        </w:r>
                        <w:r>
                          <w:rPr>
                            <w:rFonts w:ascii="宋体" w:hAnsi="宋体" w:cs="宋体" w:eastAsia="宋体" w:hint="default"/>
                            <w:sz w:val="18"/>
                            <w:szCs w:val="18"/>
                          </w:rPr>
                          <w:t>）</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spacing w:before="46"/>
        <w:ind w:left="0" w:right="1093"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6"/>
        <w:ind w:left="0" w:right="1094"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before="46"/>
        <w:ind w:left="0" w:right="1108"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82" w:type="dxa"/>
        <w:tblLayout w:type="fixed"/>
        <w:tblCellMar>
          <w:top w:w="0" w:type="dxa"/>
          <w:left w:w="0" w:type="dxa"/>
          <w:bottom w:w="0" w:type="dxa"/>
          <w:right w:w="0" w:type="dxa"/>
        </w:tblCellMar>
        <w:tblLook w:val="01E0"/>
      </w:tblPr>
      <w:tblGrid>
        <w:gridCol w:w="3121"/>
        <w:gridCol w:w="711"/>
        <w:gridCol w:w="5743"/>
      </w:tblGrid>
      <w:tr>
        <w:trPr>
          <w:trHeight w:val="1027"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PPP</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Public-Private Partnership </w:t>
            </w:r>
            <w:r>
              <w:rPr>
                <w:rFonts w:ascii="宋体" w:hAnsi="宋体" w:cs="宋体" w:eastAsia="宋体" w:hint="default"/>
                <w:spacing w:val="-5"/>
                <w:sz w:val="18"/>
                <w:szCs w:val="18"/>
              </w:rPr>
              <w:t>的缩写，即公私合作模式，是公共基础设施中的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一种项目融资模式。在该模式下，鼓励私营企业、民营资本与政府进行合</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3"/>
                <w:sz w:val="18"/>
                <w:szCs w:val="18"/>
              </w:rPr>
              <w:t>作，参与公共基础设施的建设。</w:t>
            </w:r>
          </w:p>
        </w:tc>
      </w:tr>
      <w:tr>
        <w:trPr>
          <w:trHeight w:val="39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认证</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China Compulsory Certification </w:t>
            </w:r>
            <w:r>
              <w:rPr>
                <w:rFonts w:ascii="宋体" w:hAnsi="宋体" w:cs="宋体" w:eastAsia="宋体" w:hint="default"/>
                <w:sz w:val="18"/>
                <w:szCs w:val="18"/>
              </w:rPr>
              <w:t>的缩写，</w:t>
            </w:r>
            <w:r>
              <w:rPr>
                <w:rFonts w:ascii="Times New Roman" w:hAnsi="Times New Roman" w:cs="Times New Roman" w:eastAsia="Times New Roman" w:hint="default"/>
                <w:sz w:val="18"/>
                <w:szCs w:val="18"/>
              </w:rPr>
              <w:t>CCC</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认证即是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中国强制认证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715"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股、人民币普通股</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4"/>
              <w:jc w:val="left"/>
              <w:rPr>
                <w:rFonts w:ascii="宋体" w:hAnsi="宋体" w:cs="宋体" w:eastAsia="宋体" w:hint="default"/>
                <w:sz w:val="18"/>
                <w:szCs w:val="18"/>
              </w:rPr>
            </w:pPr>
            <w:r>
              <w:rPr>
                <w:rFonts w:ascii="宋体" w:hAnsi="宋体" w:cs="宋体" w:eastAsia="宋体" w:hint="default"/>
                <w:spacing w:val="-5"/>
                <w:sz w:val="18"/>
                <w:szCs w:val="18"/>
              </w:rPr>
              <w:t>经中国证监会批准向境内投资者发行，在境内证券交易所上市，以人民币</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标明股票面值，以人民币认购和交易的普通股。</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9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近三年</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1"/>
        <w:spacing w:line="240" w:lineRule="auto"/>
        <w:ind w:left="2722"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1.190002pt;margin-top:114.575615pt;width:362.8pt;height:20.65pt;mso-position-horizontal-relative:page;mso-position-vertical-relative:paragraph;z-index:-1181416" coordorigin="3424,2292" coordsize="7256,413">
            <v:group style="position:absolute;left:3436;top:2304;width:2;height:389" coordorigin="3436,2304" coordsize="2,389">
              <v:shape style="position:absolute;left:3436;top:2304;width:2;height:389" coordorigin="3436,2304" coordsize="0,389" path="m3436,2304l3436,2692e" filled="false" stroked="true" strokeweight="1.2pt" strokecolor="#ffffff">
                <v:path arrowok="t"/>
              </v:shape>
            </v:group>
            <v:group style="position:absolute;left:3448;top:2304;width:7232;height:389" coordorigin="3448,2304" coordsize="7232,389">
              <v:shape style="position:absolute;left:3448;top:2304;width:7232;height:389" coordorigin="3448,2304" coordsize="7232,389" path="m3448,2692l10679,2692,10679,2304,3448,2304,3448,2692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依米康</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300249</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依米康科技集团股份有限公司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依米康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pacing w:val="-3"/>
                <w:sz w:val="18"/>
              </w:rPr>
              <w:t>Yimikang Tech.Group </w:t>
            </w:r>
            <w:r>
              <w:rPr>
                <w:rFonts w:ascii="Times New Roman"/>
                <w:sz w:val="18"/>
              </w:rPr>
              <w:t>Co.,</w:t>
            </w:r>
            <w:r>
              <w:rPr>
                <w:rFonts w:ascii="Times New Roman"/>
                <w:spacing w:val="27"/>
                <w:sz w:val="18"/>
              </w:rPr>
              <w:t> </w:t>
            </w:r>
            <w:r>
              <w:rPr>
                <w:rFonts w:ascii="Times New Roman"/>
                <w:sz w:val="18"/>
              </w:rPr>
              <w:t>Ltd.</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YMK</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张菀</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成都高新区科园南二路二号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610041</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成都高新区科园南二路二号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610041</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pacing w:val="-3"/>
                  <w:sz w:val="18"/>
                </w:rPr>
                <w:t>http://www.ymk.com.cn</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yimikang@ymk.com.cn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张敏</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pacing w:val="-3"/>
                <w:sz w:val="18"/>
                <w:szCs w:val="18"/>
              </w:rPr>
              <w:t>四川省成都市高新区科园南二路二号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四川省成都市高新区科园南二路二号</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028-85185206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028-85977635</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028-82001888-1 </w:t>
            </w:r>
            <w:r>
              <w:rPr>
                <w:rFonts w:ascii="宋体" w:hAnsi="宋体" w:cs="宋体" w:eastAsia="宋体" w:hint="default"/>
                <w:sz w:val="18"/>
                <w:szCs w:val="18"/>
              </w:rPr>
              <w:t>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8027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028-82001888-1 </w:t>
            </w:r>
            <w:r>
              <w:rPr>
                <w:rFonts w:ascii="宋体" w:hAnsi="宋体" w:cs="宋体" w:eastAsia="宋体" w:hint="default"/>
                <w:sz w:val="18"/>
                <w:szCs w:val="18"/>
              </w:rPr>
              <w:t>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8027</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hyperlink r:id="rId12">
              <w:r>
                <w:rPr>
                  <w:rFonts w:ascii="Times New Roman"/>
                  <w:spacing w:val="-3"/>
                  <w:sz w:val="18"/>
                </w:rPr>
                <w:t>lihn@ymk.com.cn</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3">
              <w:r>
                <w:rPr>
                  <w:rFonts w:ascii="Times New Roman"/>
                  <w:sz w:val="18"/>
                </w:rPr>
                <w:t>zhangmin@ymk.com.cn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4"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时</w:t>
            </w:r>
            <w:r>
              <w:rPr>
                <w:rFonts w:ascii="宋体" w:hAnsi="宋体" w:cs="宋体" w:eastAsia="宋体" w:hint="default"/>
                <w:spacing w:val="-5"/>
                <w:w w:val="101"/>
                <w:sz w:val="18"/>
                <w:szCs w:val="18"/>
              </w:rPr>
              <w:t>报</w:t>
            </w:r>
            <w:r>
              <w:rPr>
                <w:rFonts w:ascii="宋体" w:hAnsi="宋体" w:cs="宋体" w:eastAsia="宋体" w:hint="default"/>
                <w:w w:val="101"/>
                <w:sz w:val="18"/>
                <w:szCs w:val="18"/>
              </w:rPr>
              <w:t>》</w:t>
            </w:r>
            <w:r>
              <w:rPr>
                <w:rFonts w:ascii="宋体" w:hAnsi="宋体" w:cs="宋体" w:eastAsia="宋体" w:hint="default"/>
                <w:sz w:val="18"/>
                <w:szCs w:val="18"/>
              </w:rPr>
            </w:r>
          </w:p>
        </w:tc>
      </w:tr>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
                <w:sz w:val="18"/>
                <w:szCs w:val="18"/>
              </w:rPr>
              <w:t> </w:t>
            </w:r>
            <w:hyperlink r:id="rId9">
              <w:r>
                <w:rPr>
                  <w:rFonts w:ascii="Times New Roman" w:hAnsi="Times New Roman" w:cs="Times New Roman" w:eastAsia="Times New Roman" w:hint="default"/>
                  <w:spacing w:val="-3"/>
                  <w:sz w:val="18"/>
                  <w:szCs w:val="18"/>
                </w:rPr>
                <w:t>http://www.cninfo.com.cn</w:t>
              </w:r>
            </w:hyperlink>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公司董事会秘书办公室</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after="0"/>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信永中和会计师事务所（特殊普通合伙）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四川省成都市高新区交子大道</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号中航国际广场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何勇、夏翠琼</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line="338" w:lineRule="auto" w:before="119"/>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公司聘请的报告期内履行持续督导职责的财务顾问</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39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1,179,354,900.26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1,371,177,902.80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1,247,148,412.86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3,278,236.16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38,278,594.81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90,947,204.42</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-29,275,445.57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23,582,536.54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77,221,073.69</w:t>
            </w:r>
          </w:p>
        </w:tc>
      </w:tr>
      <w:tr>
        <w:trPr>
          <w:trHeight w:val="71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34,695,680.90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24,130,240.32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-83,659,396.52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0.0075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0.0875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0.2079</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0.0075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0.0875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0.2079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12.31%</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2,811,358,815.34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2,946,478,696.23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2,503,681,484.03</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784,875,842.28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791,083,292.29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752,791,958.28</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221,860,395.19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306,876,711.32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214,927,734.74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435,690,059.01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1,155,037.86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4,504,689.26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18,585,226.90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-20,966,717.86</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444,295.75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3,327,175.87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4,429,304.38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-37,476,221.57</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-93,530,880.16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-55,913,438.64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79,168,993.98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104,971,005.72</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3" w:lineRule="auto" w:before="0"/>
        <w:ind w:left="153" w:right="18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183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10"/>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0"/>
        <w:rPr>
          <w:rFonts w:ascii="宋体" w:hAnsi="宋体" w:cs="宋体" w:eastAsia="宋体" w:hint="default"/>
          <w:b/>
          <w:bCs/>
          <w:sz w:val="24"/>
          <w:szCs w:val="24"/>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87"/>
        <w:gridCol w:w="1517"/>
        <w:gridCol w:w="1522"/>
        <w:gridCol w:w="1522"/>
        <w:gridCol w:w="1709"/>
      </w:tblGrid>
      <w:tr>
        <w:trPr>
          <w:trHeight w:val="404" w:hRule="exact"/>
        </w:trPr>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值准备的冲销部分）</w:t>
            </w:r>
          </w:p>
        </w:tc>
        <w:tc>
          <w:tcPr>
            <w:tcW w:w="151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-320,275.40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-780,344.62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-265,293.15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50"/>
              <w:jc w:val="left"/>
              <w:rPr>
                <w:rFonts w:ascii="宋体" w:hAnsi="宋体" w:cs="宋体" w:eastAsia="宋体" w:hint="default"/>
                <w:sz w:val="18"/>
                <w:szCs w:val="18"/>
              </w:rPr>
            </w:pPr>
            <w:r>
              <w:rPr>
                <w:rFonts w:ascii="宋体" w:hAnsi="宋体" w:cs="宋体" w:eastAsia="宋体" w:hint="default"/>
                <w:spacing w:val="-3"/>
                <w:sz w:val="18"/>
                <w:szCs w:val="18"/>
              </w:rPr>
              <w:t>主要系报告期内固定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资产处置及报废损益</w:t>
            </w:r>
          </w:p>
        </w:tc>
      </w:tr>
      <w:tr>
        <w:trPr>
          <w:trHeight w:val="1023" w:hRule="exact"/>
        </w:trPr>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8"/>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151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13,893,890.01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10,469,805.47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9,559,688.88</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2"/>
              <w:jc w:val="both"/>
              <w:rPr>
                <w:rFonts w:ascii="宋体" w:hAnsi="宋体" w:cs="宋体" w:eastAsia="宋体" w:hint="default"/>
                <w:sz w:val="18"/>
                <w:szCs w:val="18"/>
              </w:rPr>
            </w:pPr>
            <w:r>
              <w:rPr>
                <w:rFonts w:ascii="宋体" w:hAnsi="宋体" w:cs="宋体" w:eastAsia="宋体" w:hint="default"/>
                <w:spacing w:val="-3"/>
                <w:sz w:val="18"/>
                <w:szCs w:val="18"/>
              </w:rPr>
              <w:t>详见第十二节、七、</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51</w:t>
            </w:r>
            <w:r>
              <w:rPr>
                <w:rFonts w:ascii="宋体" w:hAnsi="宋体" w:cs="宋体" w:eastAsia="宋体" w:hint="default"/>
                <w:sz w:val="18"/>
                <w:szCs w:val="18"/>
              </w:rPr>
              <w:t>、递延收益和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84</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政府补助明细</w:t>
            </w:r>
          </w:p>
        </w:tc>
      </w:tr>
      <w:tr>
        <w:trPr>
          <w:trHeight w:val="163" w:hRule="exact"/>
        </w:trPr>
        <w:tc>
          <w:tcPr>
            <w:tcW w:w="3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1,934,543.30</w:t>
            </w:r>
          </w:p>
        </w:tc>
        <w:tc>
          <w:tcPr>
            <w:tcW w:w="1522"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2,004,000.00</w:t>
            </w:r>
          </w:p>
        </w:tc>
        <w:tc>
          <w:tcPr>
            <w:tcW w:w="1709" w:type="dxa"/>
            <w:vMerge w:val="restart"/>
            <w:tcBorders>
              <w:top w:val="single" w:sz="4" w:space="0" w:color="000000"/>
              <w:left w:val="single" w:sz="4" w:space="0" w:color="000000"/>
              <w:right w:val="single" w:sz="4" w:space="0" w:color="000000"/>
            </w:tcBorders>
          </w:tcPr>
          <w:p>
            <w:pPr>
              <w:pStyle w:val="TableParagraph"/>
              <w:spacing w:line="316" w:lineRule="auto" w:before="58"/>
              <w:ind w:left="23" w:right="50"/>
              <w:jc w:val="both"/>
              <w:rPr>
                <w:rFonts w:ascii="宋体" w:hAnsi="宋体" w:cs="宋体" w:eastAsia="宋体" w:hint="default"/>
                <w:sz w:val="18"/>
                <w:szCs w:val="18"/>
              </w:rPr>
            </w:pPr>
            <w:r>
              <w:rPr>
                <w:rFonts w:ascii="宋体" w:hAnsi="宋体" w:cs="宋体" w:eastAsia="宋体" w:hint="default"/>
                <w:spacing w:val="-3"/>
                <w:sz w:val="18"/>
                <w:szCs w:val="18"/>
              </w:rPr>
              <w:t>主要系报告期内因合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同纠纷经法院判决取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得资金占用费</w:t>
            </w:r>
          </w:p>
        </w:tc>
      </w:tr>
      <w:tr>
        <w:trPr>
          <w:trHeight w:val="706" w:hRule="exact"/>
        </w:trPr>
        <w:tc>
          <w:tcPr>
            <w:tcW w:w="32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8"/>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占用费</w:t>
            </w:r>
          </w:p>
        </w:tc>
        <w:tc>
          <w:tcPr>
            <w:tcW w:w="1517" w:type="dxa"/>
            <w:vMerge/>
            <w:tcBorders>
              <w:left w:val="single" w:sz="10" w:space="0" w:color="D2D2D2"/>
              <w:right w:val="single" w:sz="4" w:space="0" w:color="000000"/>
            </w:tcBorders>
          </w:tcPr>
          <w:p>
            <w:pPr/>
          </w:p>
        </w:tc>
        <w:tc>
          <w:tcPr>
            <w:tcW w:w="1522"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r>
      <w:tr>
        <w:trPr>
          <w:trHeight w:val="158" w:hRule="exact"/>
        </w:trPr>
        <w:tc>
          <w:tcPr>
            <w:tcW w:w="3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10" w:space="0" w:color="D2D2D2"/>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163" w:hRule="exact"/>
        </w:trPr>
        <w:tc>
          <w:tcPr>
            <w:tcW w:w="3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4" w:right="0"/>
              <w:jc w:val="left"/>
              <w:rPr>
                <w:rFonts w:ascii="Times New Roman" w:hAnsi="Times New Roman" w:cs="Times New Roman" w:eastAsia="Times New Roman" w:hint="default"/>
                <w:sz w:val="18"/>
                <w:szCs w:val="18"/>
              </w:rPr>
            </w:pPr>
            <w:r>
              <w:rPr>
                <w:rFonts w:ascii="Times New Roman"/>
                <w:sz w:val="18"/>
              </w:rPr>
              <w:t>6,640,534.51</w:t>
            </w:r>
          </w:p>
        </w:tc>
        <w:tc>
          <w:tcPr>
            <w:tcW w:w="1522"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09" w:type="dxa"/>
            <w:vMerge w:val="restart"/>
            <w:tcBorders>
              <w:top w:val="single" w:sz="4" w:space="0" w:color="000000"/>
              <w:left w:val="single" w:sz="4" w:space="0" w:color="000000"/>
              <w:right w:val="single" w:sz="4" w:space="0" w:color="000000"/>
            </w:tcBorders>
          </w:tcPr>
          <w:p>
            <w:pPr>
              <w:pStyle w:val="TableParagraph"/>
              <w:spacing w:line="324" w:lineRule="auto" w:before="53"/>
              <w:ind w:left="23" w:right="50"/>
              <w:jc w:val="left"/>
              <w:rPr>
                <w:rFonts w:ascii="宋体" w:hAnsi="宋体" w:cs="宋体" w:eastAsia="宋体" w:hint="default"/>
                <w:sz w:val="18"/>
                <w:szCs w:val="18"/>
              </w:rPr>
            </w:pPr>
            <w:r>
              <w:rPr>
                <w:rFonts w:ascii="宋体" w:hAnsi="宋体" w:cs="宋体" w:eastAsia="宋体" w:hint="default"/>
                <w:spacing w:val="-3"/>
                <w:sz w:val="18"/>
                <w:szCs w:val="18"/>
              </w:rPr>
              <w:t>主要系报告期内债务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重组利得</w:t>
            </w:r>
          </w:p>
        </w:tc>
      </w:tr>
      <w:tr>
        <w:trPr>
          <w:trHeight w:val="389" w:hRule="exact"/>
        </w:trPr>
        <w:tc>
          <w:tcPr>
            <w:tcW w:w="32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17" w:type="dxa"/>
            <w:vMerge/>
            <w:tcBorders>
              <w:left w:val="single" w:sz="10" w:space="0" w:color="D2D2D2"/>
              <w:right w:val="single" w:sz="4" w:space="0" w:color="000000"/>
            </w:tcBorders>
          </w:tcPr>
          <w:p>
            <w:pPr/>
          </w:p>
        </w:tc>
        <w:tc>
          <w:tcPr>
            <w:tcW w:w="1522"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09" w:type="dxa"/>
            <w:vMerge/>
            <w:tcBorders>
              <w:left w:val="single" w:sz="4" w:space="0" w:color="000000"/>
              <w:right w:val="single" w:sz="4" w:space="0" w:color="000000"/>
            </w:tcBorders>
          </w:tcPr>
          <w:p>
            <w:pPr/>
          </w:p>
        </w:tc>
      </w:tr>
      <w:tr>
        <w:trPr>
          <w:trHeight w:val="163" w:hRule="exact"/>
        </w:trPr>
        <w:tc>
          <w:tcPr>
            <w:tcW w:w="3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10" w:space="0" w:color="D2D2D2"/>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09" w:type="dxa"/>
            <w:vMerge/>
            <w:tcBorders>
              <w:left w:val="single" w:sz="4" w:space="0" w:color="000000"/>
              <w:bottom w:val="single" w:sz="4" w:space="0" w:color="000000"/>
              <w:right w:val="single" w:sz="4" w:space="0" w:color="000000"/>
            </w:tcBorders>
          </w:tcPr>
          <w:p>
            <w:pPr/>
          </w:p>
        </w:tc>
      </w:tr>
      <w:tr>
        <w:trPr>
          <w:trHeight w:val="2276" w:hRule="exact"/>
        </w:trPr>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151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15,177,842.61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4,309,469.11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5,227,118.61</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3" w:right="50"/>
              <w:jc w:val="both"/>
              <w:rPr>
                <w:rFonts w:ascii="宋体" w:hAnsi="宋体" w:cs="宋体" w:eastAsia="宋体" w:hint="default"/>
                <w:sz w:val="18"/>
                <w:szCs w:val="18"/>
              </w:rPr>
            </w:pPr>
            <w:r>
              <w:rPr>
                <w:rFonts w:ascii="宋体" w:hAnsi="宋体" w:cs="宋体" w:eastAsia="宋体" w:hint="default"/>
                <w:spacing w:val="-3"/>
                <w:sz w:val="18"/>
                <w:szCs w:val="18"/>
              </w:rPr>
              <w:t>主要系报告期内转让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上海虹港剩余股权收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益</w:t>
            </w:r>
          </w:p>
        </w:tc>
      </w:tr>
      <w:tr>
        <w:trPr>
          <w:trHeight w:val="711" w:hRule="exact"/>
        </w:trPr>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单独进行减值测试的应收款项、合同资产</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减值准备转回</w:t>
            </w:r>
          </w:p>
        </w:tc>
        <w:tc>
          <w:tcPr>
            <w:tcW w:w="1517" w:type="dxa"/>
            <w:tcBorders>
              <w:top w:val="single" w:sz="4" w:space="0" w:color="000000"/>
              <w:left w:val="single" w:sz="14"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5,589,326.60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718,560.84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1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-2,503,454.21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-130,362.26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32,744.00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944,449.09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2,616,252.41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2,621,433.04</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1,324,950.00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2,145,583.62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929,255.41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32,553,681.73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14,696,058.27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13,726,130.73</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53" w:right="1131"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04" w:lineRule="auto" w:before="101"/>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529" w:right="0"/>
        <w:jc w:val="left"/>
        <w:rPr>
          <w:b w:val="0"/>
          <w:bCs w:val="0"/>
        </w:rPr>
      </w:pPr>
      <w:bookmarkStart w:name="第三节公司业务概要" w:id="15"/>
      <w:bookmarkEnd w:id="15"/>
      <w:r>
        <w:rPr>
          <w:b w:val="0"/>
          <w:bCs w:val="0"/>
        </w:rPr>
      </w:r>
      <w:bookmarkStart w:name="_bookmark2" w:id="16"/>
      <w:bookmarkEnd w:id="16"/>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pStyle w:val="Heading2"/>
        <w:spacing w:line="355" w:lineRule="auto" w:before="127"/>
        <w:ind w:right="1136" w:firstLine="480"/>
        <w:jc w:val="both"/>
        <w:rPr>
          <w:b w:val="0"/>
          <w:bCs w:val="0"/>
        </w:rPr>
      </w:pPr>
      <w:r>
        <w:rPr/>
        <w:t>（一）报告期内公司所从事的主要业务、主要产品及其用途、经营模式、主要的业绩驱</w:t>
      </w:r>
      <w:r>
        <w:rPr>
          <w:w w:val="99"/>
        </w:rPr>
        <w:t> </w:t>
      </w:r>
      <w:r>
        <w:rPr/>
        <w:t>动因素</w:t>
      </w:r>
      <w:r>
        <w:rPr>
          <w:b w:val="0"/>
          <w:bCs w:val="0"/>
        </w:rPr>
      </w:r>
    </w:p>
    <w:p>
      <w:pPr>
        <w:pStyle w:val="BodyText"/>
        <w:spacing w:line="357" w:lineRule="auto" w:before="41"/>
        <w:ind w:right="1130" w:firstLine="480"/>
        <w:jc w:val="both"/>
      </w:pPr>
      <w:r>
        <w:rPr/>
        <w:t>报告期内，公司业务涉及信息数据、医疗健康、环保治理三大领域，其中，核心业务为 </w:t>
      </w:r>
      <w:r>
        <w:rPr>
          <w:spacing w:val="-5"/>
        </w:rPr>
        <w:t>数据中心整体解决方案和精密空调；医疗数字化手术室整体解决方案及智能产品；大气治理、</w:t>
      </w:r>
      <w:r>
        <w:rPr>
          <w:spacing w:val="-117"/>
        </w:rPr>
        <w:t> </w:t>
      </w:r>
      <w:r>
        <w:rPr>
          <w:spacing w:val="-117"/>
        </w:rPr>
      </w:r>
      <w:r>
        <w:rPr/>
        <w:t>垃圾资源化处理、生物质资源化处理整体解决方案。主要产品及解决方案如下：</w:t>
      </w:r>
    </w:p>
    <w:p>
      <w:pPr>
        <w:pStyle w:val="BodyText"/>
        <w:spacing w:line="340" w:lineRule="auto" w:before="34"/>
        <w:ind w:left="633" w:right="0"/>
        <w:jc w:val="left"/>
      </w:pPr>
      <w:r>
        <w:rPr>
          <w:rFonts w:ascii="Times New Roman" w:hAnsi="Times New Roman" w:cs="Times New Roman" w:eastAsia="Times New Roman" w:hint="default"/>
          <w:b/>
          <w:bCs/>
        </w:rPr>
        <w:t>1</w:t>
      </w:r>
      <w:r>
        <w:rPr>
          <w:rFonts w:ascii="宋体" w:hAnsi="宋体" w:cs="宋体" w:eastAsia="宋体" w:hint="default"/>
          <w:b/>
          <w:bCs/>
        </w:rPr>
        <w:t>、信息数据领域</w:t>
      </w:r>
      <w:r>
        <w:rPr>
          <w:rFonts w:ascii="宋体" w:hAnsi="宋体" w:cs="宋体" w:eastAsia="宋体" w:hint="default"/>
          <w:b/>
          <w:bCs/>
          <w:w w:val="99"/>
        </w:rPr>
        <w:t> </w:t>
      </w:r>
      <w:r>
        <w:rPr/>
        <w:t>在信息数据领域，公司专注于数据中心基础设施和精密空调领域，为云计算、大数据等</w:t>
      </w:r>
    </w:p>
    <w:p>
      <w:pPr>
        <w:pStyle w:val="BodyText"/>
        <w:spacing w:line="357" w:lineRule="auto" w:before="50"/>
        <w:ind w:right="1136"/>
        <w:jc w:val="both"/>
      </w:pPr>
      <w:r>
        <w:rPr/>
        <w:t>领域提供包含关键设备、物联软件、智能工程及智慧服务在内的数据中心整体解决方案，为</w:t>
      </w:r>
      <w:r>
        <w:rPr>
          <w:spacing w:val="-93"/>
        </w:rPr>
        <w:t> </w:t>
      </w:r>
      <w:r>
        <w:rPr>
          <w:spacing w:val="-93"/>
        </w:rPr>
      </w:r>
      <w:r>
        <w:rPr/>
        <w:t>通信、金融、政府等领域宏基站、机房提供精密空调及定制化整体解决方案服务。公司已拥</w:t>
      </w:r>
      <w:r>
        <w:rPr>
          <w:spacing w:val="-93"/>
        </w:rPr>
        <w:t> </w:t>
      </w:r>
      <w:r>
        <w:rPr>
          <w:spacing w:val="-93"/>
        </w:rPr>
      </w:r>
      <w:r>
        <w:rPr/>
        <w:t>有关键设备、智能工程、物联软件及智慧服务四大业务线，四大业务共享技术、供应链、营</w:t>
      </w:r>
      <w:r>
        <w:rPr>
          <w:spacing w:val="-93"/>
        </w:rPr>
        <w:t> </w:t>
      </w:r>
      <w:r>
        <w:rPr>
          <w:spacing w:val="-93"/>
        </w:rPr>
      </w:r>
      <w:r>
        <w:rPr/>
        <w:t>销和客户资源，可为用户提供系统安全可靠和节能高效的整体解决方案。</w:t>
      </w:r>
    </w:p>
    <w:p>
      <w:pPr>
        <w:pStyle w:val="BodyText"/>
        <w:spacing w:line="340" w:lineRule="auto" w:before="34"/>
        <w:ind w:left="633" w:right="0"/>
        <w:jc w:val="left"/>
      </w:pPr>
      <w:r>
        <w:rPr>
          <w:rFonts w:ascii="Times New Roman" w:hAnsi="Times New Roman" w:cs="Times New Roman" w:eastAsia="Times New Roman" w:hint="default"/>
          <w:b/>
          <w:bCs/>
        </w:rPr>
        <w:t>2</w:t>
      </w:r>
      <w:r>
        <w:rPr>
          <w:rFonts w:ascii="宋体" w:hAnsi="宋体" w:cs="宋体" w:eastAsia="宋体" w:hint="default"/>
          <w:b/>
          <w:bCs/>
        </w:rPr>
        <w:t>、医疗健康领域</w:t>
      </w:r>
      <w:r>
        <w:rPr>
          <w:rFonts w:ascii="宋体" w:hAnsi="宋体" w:cs="宋体" w:eastAsia="宋体" w:hint="default"/>
          <w:b/>
          <w:bCs/>
          <w:w w:val="99"/>
        </w:rPr>
        <w:t> </w:t>
      </w:r>
      <w:r>
        <w:rPr/>
        <w:t>在医疗健康领域，公司为医疗数字化手术室整体解决方案服务商。其中包括，数字化手</w:t>
      </w:r>
    </w:p>
    <w:p>
      <w:pPr>
        <w:pStyle w:val="BodyText"/>
        <w:spacing w:line="348" w:lineRule="auto" w:before="50"/>
        <w:ind w:left="633" w:right="1131" w:hanging="480"/>
        <w:jc w:val="left"/>
      </w:pPr>
      <w:r>
        <w:rPr/>
        <w:t>术室系统、手术室云服务运营管理平台、手术室监测机器人，以及医疗实验室等。 </w:t>
      </w:r>
      <w:r>
        <w:rPr>
          <w:rFonts w:ascii="Times New Roman" w:hAnsi="Times New Roman" w:cs="Times New Roman" w:eastAsia="Times New Roman" w:hint="default"/>
          <w:b/>
          <w:bCs/>
        </w:rPr>
        <w:t>3</w:t>
      </w:r>
      <w:r>
        <w:rPr>
          <w:rFonts w:ascii="宋体" w:hAnsi="宋体" w:cs="宋体" w:eastAsia="宋体" w:hint="default"/>
          <w:b/>
          <w:bCs/>
        </w:rPr>
        <w:t>、环保治理领域</w:t>
      </w:r>
      <w:r>
        <w:rPr>
          <w:rFonts w:ascii="宋体" w:hAnsi="宋体" w:cs="宋体" w:eastAsia="宋体" w:hint="default"/>
          <w:b/>
          <w:bCs/>
          <w:w w:val="99"/>
        </w:rPr>
        <w:t> </w:t>
      </w:r>
      <w:r>
        <w:rPr/>
        <w:t>在环保治理领域，公司是除尘、脱硫、脱硝等大气污染防治设备的研发、设计、制造、</w:t>
      </w:r>
    </w:p>
    <w:p>
      <w:pPr>
        <w:pStyle w:val="BodyText"/>
        <w:spacing w:line="343" w:lineRule="auto" w:before="48"/>
        <w:ind w:right="1127"/>
        <w:jc w:val="both"/>
      </w:pPr>
      <w:r>
        <w:rPr/>
        <w:t>安装、销售及服务的综合性环境服务商，拥有大气超净排放治理方面先进技术；近年来公司</w:t>
      </w:r>
      <w:r>
        <w:rPr>
          <w:spacing w:val="-93"/>
        </w:rPr>
        <w:t> </w:t>
      </w:r>
      <w:r>
        <w:rPr>
          <w:spacing w:val="-93"/>
        </w:rPr>
      </w:r>
      <w:r>
        <w:rPr>
          <w:spacing w:val="-6"/>
        </w:rPr>
        <w:t>积极转型，业务拓展到城市垃圾综合治理、生物质资源化处理等领域，并在原有的</w:t>
      </w:r>
      <w:r>
        <w:rPr>
          <w:rFonts w:ascii="Times New Roman" w:hAnsi="Times New Roman" w:cs="Times New Roman" w:eastAsia="Times New Roman" w:hint="default"/>
          <w:spacing w:val="-6"/>
        </w:rPr>
        <w:t>EPC</w:t>
      </w:r>
      <w:r>
        <w:rPr>
          <w:spacing w:val="-6"/>
        </w:rPr>
        <w:t>、</w:t>
      </w:r>
      <w:r>
        <w:rPr>
          <w:rFonts w:ascii="Times New Roman" w:hAnsi="Times New Roman" w:cs="Times New Roman" w:eastAsia="Times New Roman" w:hint="default"/>
          <w:spacing w:val="-6"/>
        </w:rPr>
        <w:t>BT</w:t>
      </w:r>
      <w:r>
        <w:rPr>
          <w:spacing w:val="-6"/>
        </w:rPr>
        <w:t>、</w:t>
      </w:r>
      <w:r>
        <w:rPr>
          <w:spacing w:val="-92"/>
        </w:rPr>
        <w:t> </w:t>
      </w:r>
      <w:r>
        <w:rPr>
          <w:rFonts w:ascii="Times New Roman" w:hAnsi="Times New Roman" w:cs="Times New Roman" w:eastAsia="Times New Roman" w:hint="default"/>
        </w:rPr>
        <w:t>BOT</w:t>
      </w:r>
      <w:r>
        <w:rPr/>
        <w:t>的商业模式中，积极摸索拓展，逐步从项目设计、实体制造、工程管理能力的总包建设</w:t>
      </w:r>
      <w:r>
        <w:rPr>
          <w:spacing w:val="-94"/>
        </w:rPr>
        <w:t> </w:t>
      </w:r>
      <w:r>
        <w:rPr>
          <w:spacing w:val="-94"/>
        </w:rPr>
      </w:r>
      <w:r>
        <w:rPr/>
        <w:t>商业模式，向同时具备运营服务能力、提供一体式服务的系统集成商转变。</w:t>
      </w:r>
    </w:p>
    <w:p>
      <w:pPr>
        <w:spacing w:line="357" w:lineRule="auto" w:before="53"/>
        <w:ind w:left="633" w:right="1838" w:firstLine="0"/>
        <w:jc w:val="left"/>
        <w:rPr>
          <w:rFonts w:ascii="宋体" w:hAnsi="宋体" w:cs="宋体" w:eastAsia="宋体" w:hint="default"/>
          <w:sz w:val="24"/>
          <w:szCs w:val="24"/>
        </w:rPr>
      </w:pPr>
      <w:r>
        <w:rPr>
          <w:rFonts w:ascii="宋体" w:hAnsi="宋体" w:cs="宋体" w:eastAsia="宋体" w:hint="default"/>
          <w:b/>
          <w:bCs/>
          <w:sz w:val="24"/>
          <w:szCs w:val="24"/>
        </w:rPr>
        <w:t>（二）报告期内公司所属行业的发展阶段、周期性特点以及公司所处的行业地位</w:t>
      </w:r>
      <w:r>
        <w:rPr>
          <w:rFonts w:ascii="宋体" w:hAnsi="宋体" w:cs="宋体" w:eastAsia="宋体" w:hint="default"/>
          <w:b/>
          <w:bCs/>
          <w:w w:val="99"/>
          <w:sz w:val="24"/>
          <w:szCs w:val="24"/>
        </w:rPr>
        <w:t> </w:t>
      </w:r>
      <w:r>
        <w:rPr>
          <w:rFonts w:ascii="宋体" w:hAnsi="宋体" w:cs="宋体" w:eastAsia="宋体" w:hint="default"/>
          <w:sz w:val="24"/>
          <w:szCs w:val="24"/>
        </w:rPr>
        <w:t>报告期内，公司业务涉及信息数据、医疗健康、环保治理三大产业。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、信息数据领域</w:t>
      </w:r>
      <w:r>
        <w:rPr>
          <w:rFonts w:ascii="宋体" w:hAnsi="宋体" w:cs="宋体" w:eastAsia="宋体" w:hint="default"/>
          <w:sz w:val="24"/>
          <w:szCs w:val="24"/>
        </w:rPr>
      </w:r>
    </w:p>
    <w:p>
      <w:pPr>
        <w:pStyle w:val="BodyText"/>
        <w:spacing w:line="240" w:lineRule="auto" w:before="3"/>
        <w:ind w:left="633" w:right="0"/>
        <w:jc w:val="left"/>
      </w:pPr>
      <w:r>
        <w:rPr/>
        <w:t>数据中心作为信息数据领域的基础设施，已经成为政府、社会、企业发展的支撑。随着</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0" w:lineRule="auto"/>
        <w:ind w:right="1129"/>
        <w:jc w:val="both"/>
      </w:pPr>
      <w:r>
        <w:rPr>
          <w:rFonts w:ascii="Times New Roman" w:hAnsi="Times New Roman" w:cs="Times New Roman" w:eastAsia="Times New Roman" w:hint="default"/>
          <w:spacing w:val="-1"/>
        </w:rPr>
        <w:t>5G</w:t>
      </w:r>
      <w:r>
        <w:rPr>
          <w:spacing w:val="-1"/>
        </w:rPr>
        <w:t>、物联网、</w:t>
      </w:r>
      <w:r>
        <w:rPr>
          <w:rFonts w:ascii="Times New Roman" w:hAnsi="Times New Roman" w:cs="Times New Roman" w:eastAsia="Times New Roman" w:hint="default"/>
          <w:spacing w:val="-1"/>
        </w:rPr>
        <w:t>AI</w:t>
      </w:r>
      <w:r>
        <w:rPr>
          <w:spacing w:val="-1"/>
        </w:rPr>
        <w:t>等新科技应用，我国数据中心建设需求不断扩大，公司专注于数据中心基础</w:t>
      </w:r>
      <w:r>
        <w:rPr>
          <w:spacing w:val="-110"/>
        </w:rPr>
        <w:t> </w:t>
      </w:r>
      <w:r>
        <w:rPr>
          <w:spacing w:val="-110"/>
        </w:rPr>
      </w:r>
      <w:r>
        <w:rPr/>
        <w:t>设施建设和精密空调领域，为云计算、大数据等领域提供包含关键设备、物联软件、智能工</w:t>
      </w:r>
      <w:r>
        <w:rPr>
          <w:spacing w:val="-93"/>
        </w:rPr>
        <w:t> </w:t>
      </w:r>
      <w:r>
        <w:rPr>
          <w:spacing w:val="-93"/>
        </w:rPr>
      </w:r>
      <w:r>
        <w:rPr/>
        <w:t>程及智慧服务在内的数据中心整体解决方案。公司精密空调设备广泛应用于运营商、银行、</w:t>
      </w:r>
      <w:r>
        <w:rPr>
          <w:spacing w:val="-93"/>
        </w:rPr>
        <w:t> </w:t>
      </w:r>
      <w:r>
        <w:rPr>
          <w:spacing w:val="-93"/>
        </w:rPr>
      </w:r>
      <w:r>
        <w:rPr/>
        <w:t>政府、电力、交通、第三方数据中心等多个行业，受到了客户的一致肯定；公司近年来相继</w:t>
      </w:r>
      <w:r>
        <w:rPr>
          <w:spacing w:val="-93"/>
        </w:rPr>
        <w:t> </w:t>
      </w:r>
      <w:r>
        <w:rPr>
          <w:spacing w:val="-93"/>
        </w:rPr>
      </w:r>
      <w:r>
        <w:rPr/>
        <w:t>服务于万国成都数据中心、光环新网</w:t>
      </w:r>
      <w:r>
        <w:rPr>
          <w:rFonts w:ascii="Times New Roman" w:hAnsi="Times New Roman" w:cs="Times New Roman" w:eastAsia="Times New Roman" w:hint="default"/>
        </w:rPr>
        <w:t>“</w:t>
      </w:r>
      <w:r>
        <w:rPr/>
        <w:t>房山绿色云计算数据中心</w:t>
      </w:r>
      <w:r>
        <w:rPr>
          <w:rFonts w:ascii="Times New Roman" w:hAnsi="Times New Roman" w:cs="Times New Roman" w:eastAsia="Times New Roman" w:hint="default"/>
        </w:rPr>
        <w:t>”</w:t>
      </w:r>
      <w:r>
        <w:rPr/>
        <w:t>、腾龙亦庄数据中心等多个</w:t>
      </w:r>
      <w:r>
        <w:rPr>
          <w:spacing w:val="-64"/>
        </w:rPr>
        <w:t> </w:t>
      </w:r>
      <w:r>
        <w:rPr>
          <w:spacing w:val="-64"/>
        </w:rPr>
      </w:r>
      <w:r>
        <w:rPr/>
        <w:t>数据中心项目，积累了丰富的云计算数据中心建设和运维管理成功经验。受益于行业日益增</w:t>
      </w:r>
      <w:r>
        <w:rPr>
          <w:spacing w:val="-93"/>
        </w:rPr>
        <w:t> </w:t>
      </w:r>
      <w:r>
        <w:rPr>
          <w:spacing w:val="-93"/>
        </w:rPr>
      </w:r>
      <w:r>
        <w:rPr/>
        <w:t>长的需求，公司信息数据领域业务将增长可期。</w:t>
      </w:r>
    </w:p>
    <w:p>
      <w:pPr>
        <w:pStyle w:val="BodyText"/>
        <w:spacing w:line="340" w:lineRule="auto" w:before="41"/>
        <w:ind w:left="633" w:right="0"/>
        <w:jc w:val="left"/>
      </w:pPr>
      <w:r>
        <w:rPr>
          <w:rFonts w:ascii="Times New Roman" w:hAnsi="Times New Roman" w:cs="Times New Roman" w:eastAsia="Times New Roman" w:hint="default"/>
          <w:b/>
          <w:bCs/>
        </w:rPr>
        <w:t>2</w:t>
      </w:r>
      <w:r>
        <w:rPr>
          <w:rFonts w:ascii="宋体" w:hAnsi="宋体" w:cs="宋体" w:eastAsia="宋体" w:hint="default"/>
          <w:b/>
          <w:bCs/>
        </w:rPr>
        <w:t>、医疗健康领域</w:t>
      </w:r>
      <w:r>
        <w:rPr>
          <w:rFonts w:ascii="宋体" w:hAnsi="宋体" w:cs="宋体" w:eastAsia="宋体" w:hint="default"/>
          <w:b/>
          <w:bCs/>
          <w:w w:val="99"/>
        </w:rPr>
        <w:t> </w:t>
      </w:r>
      <w:r>
        <w:rPr/>
        <w:t>随着</w:t>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w:t>
      </w:r>
      <w:r>
        <w:rPr/>
        <w:t>战略落地，医疗卫生行业进入蓬勃发展期，医疗健康产业成为国家支柱</w:t>
      </w:r>
    </w:p>
    <w:p>
      <w:pPr>
        <w:pStyle w:val="BodyText"/>
        <w:spacing w:line="352" w:lineRule="auto" w:before="22"/>
        <w:ind w:right="1132"/>
        <w:jc w:val="both"/>
      </w:pPr>
      <w:r>
        <w:rPr/>
        <w:t>型战略产业。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期间，国家政策导向继续支持医疗健康行业，在政策支持与市场需求</w:t>
      </w:r>
      <w:r>
        <w:rPr>
          <w:spacing w:val="-74"/>
        </w:rPr>
        <w:t> </w:t>
      </w:r>
      <w:r>
        <w:rPr>
          <w:spacing w:val="-74"/>
        </w:rPr>
      </w:r>
      <w:r>
        <w:rPr/>
        <w:t>双重因素驱动下，我国医疗市场规模进一步扩大。公司作为医疗数字化手术室环境整体建设</w:t>
      </w:r>
      <w:r>
        <w:rPr>
          <w:spacing w:val="-93"/>
        </w:rPr>
        <w:t> </w:t>
      </w:r>
      <w:r>
        <w:rPr>
          <w:spacing w:val="-93"/>
        </w:rPr>
      </w:r>
      <w:r>
        <w:rPr/>
        <w:t>解决方案服务商，拥有包括数字化手术室技术、手术室云服务运营管理平台、手术室监测机</w:t>
      </w:r>
      <w:r>
        <w:rPr>
          <w:spacing w:val="-89"/>
        </w:rPr>
        <w:t> </w:t>
      </w:r>
      <w:r>
        <w:rPr>
          <w:spacing w:val="-89"/>
        </w:rPr>
      </w:r>
      <w:r>
        <w:rPr/>
        <w:t>器人、医疗实验室等方面的技术和产品，可以为医疗手术室建设提供最全面和最有价值解决</w:t>
      </w:r>
      <w:r>
        <w:rPr>
          <w:spacing w:val="-93"/>
        </w:rPr>
        <w:t> </w:t>
      </w:r>
      <w:r>
        <w:rPr>
          <w:spacing w:val="-93"/>
        </w:rPr>
      </w:r>
      <w:r>
        <w:rPr/>
        <w:t>方案。</w:t>
      </w:r>
    </w:p>
    <w:p>
      <w:pPr>
        <w:pStyle w:val="BodyText"/>
        <w:spacing w:line="336" w:lineRule="auto" w:before="43"/>
        <w:ind w:left="633" w:right="0"/>
        <w:jc w:val="left"/>
      </w:pPr>
      <w:r>
        <w:rPr>
          <w:rFonts w:ascii="Times New Roman" w:hAnsi="Times New Roman" w:cs="Times New Roman" w:eastAsia="Times New Roman" w:hint="default"/>
          <w:b/>
          <w:bCs/>
        </w:rPr>
        <w:t>3</w:t>
      </w:r>
      <w:r>
        <w:rPr>
          <w:rFonts w:ascii="宋体" w:hAnsi="宋体" w:cs="宋体" w:eastAsia="宋体" w:hint="default"/>
          <w:b/>
          <w:bCs/>
        </w:rPr>
        <w:t>、环保治理领域</w:t>
      </w:r>
      <w:r>
        <w:rPr>
          <w:rFonts w:ascii="宋体" w:hAnsi="宋体" w:cs="宋体" w:eastAsia="宋体" w:hint="default"/>
          <w:b/>
          <w:bCs/>
          <w:w w:val="99"/>
        </w:rPr>
        <w:t> </w:t>
      </w:r>
      <w:r>
        <w:rPr/>
        <w:t>环保部在《国家环境保护</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规划基本思路》中提出，到</w:t>
      </w:r>
      <w:r>
        <w:rPr>
          <w:rFonts w:ascii="Times New Roman" w:hAnsi="Times New Roman" w:cs="Times New Roman" w:eastAsia="Times New Roman" w:hint="default"/>
        </w:rPr>
        <w:t>2020</w:t>
      </w:r>
      <w:r>
        <w:rPr/>
        <w:t>年，主要污染物排放</w:t>
      </w:r>
    </w:p>
    <w:p>
      <w:pPr>
        <w:pStyle w:val="BodyText"/>
        <w:spacing w:line="348" w:lineRule="auto" w:before="32"/>
        <w:ind w:right="1132"/>
        <w:jc w:val="both"/>
      </w:pPr>
      <w:r>
        <w:rPr/>
        <w:t>总量显著减少，空气和水环境质量总体改善，土壤环境恶化趋势得到遏制，生态系统稳定性</w:t>
      </w:r>
      <w:r>
        <w:rPr>
          <w:spacing w:val="-93"/>
        </w:rPr>
        <w:t> </w:t>
      </w:r>
      <w:r>
        <w:rPr>
          <w:spacing w:val="-93"/>
        </w:rPr>
      </w:r>
      <w:r>
        <w:rPr/>
        <w:t>增强，辐射环境质量继续保持良好，环境风险得到有效管控，生态文明制度体系系统完整，</w:t>
      </w:r>
      <w:r>
        <w:rPr>
          <w:spacing w:val="-93"/>
        </w:rPr>
        <w:t> </w:t>
      </w:r>
      <w:r>
        <w:rPr>
          <w:spacing w:val="-93"/>
        </w:rPr>
      </w:r>
      <w:r>
        <w:rPr/>
        <w:t>生态文明水平与全面小康社会相适应。到</w:t>
      </w:r>
      <w:r>
        <w:rPr>
          <w:rFonts w:ascii="Times New Roman" w:hAnsi="Times New Roman" w:cs="Times New Roman" w:eastAsia="Times New Roman" w:hint="default"/>
        </w:rPr>
        <w:t>2030</w:t>
      </w:r>
      <w:r>
        <w:rPr/>
        <w:t>年，全国城市环境空气质量基本达标，水环境</w:t>
      </w:r>
      <w:r>
        <w:rPr>
          <w:spacing w:val="-90"/>
        </w:rPr>
        <w:t> </w:t>
      </w:r>
      <w:r>
        <w:rPr>
          <w:spacing w:val="-90"/>
        </w:rPr>
      </w:r>
      <w:r>
        <w:rPr/>
        <w:t>质量达到功能区标准，土壤环境质量得到好转，生态环境质量全面改善，经济社会发展与环</w:t>
      </w:r>
      <w:r>
        <w:rPr>
          <w:spacing w:val="-93"/>
        </w:rPr>
        <w:t> </w:t>
      </w:r>
      <w:r>
        <w:rPr>
          <w:spacing w:val="-93"/>
        </w:rPr>
      </w:r>
      <w:r>
        <w:rPr/>
        <w:t>境保护基本协调，生态文明水平全面提高。</w:t>
      </w:r>
      <w:r>
        <w:rPr>
          <w:rFonts w:ascii="Times New Roman" w:hAnsi="Times New Roman" w:cs="Times New Roman" w:eastAsia="Times New Roman" w:hint="default"/>
        </w:rPr>
        <w:t>2019</w:t>
      </w:r>
      <w:r>
        <w:rPr/>
        <w:t>年，随着环境政策、管理体系的逐步构建完</w:t>
      </w:r>
      <w:r>
        <w:rPr>
          <w:spacing w:val="-91"/>
        </w:rPr>
        <w:t> </w:t>
      </w:r>
      <w:r>
        <w:rPr>
          <w:spacing w:val="-91"/>
        </w:rPr>
      </w:r>
      <w:r>
        <w:rPr/>
        <w:t>善，我国环境产业的内生动力正不断释放，环保工作从</w:t>
      </w:r>
      <w:r>
        <w:rPr>
          <w:rFonts w:ascii="Times New Roman" w:hAnsi="Times New Roman" w:cs="Times New Roman" w:eastAsia="Times New Roman" w:hint="default"/>
        </w:rPr>
        <w:t>“</w:t>
      </w:r>
      <w:r>
        <w:rPr/>
        <w:t>被动</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变为</w:t>
      </w:r>
      <w:r>
        <w:rPr>
          <w:rFonts w:ascii="Times New Roman" w:hAnsi="Times New Roman" w:cs="Times New Roman" w:eastAsia="Times New Roman" w:hint="default"/>
        </w:rPr>
        <w:t>“</w:t>
      </w:r>
      <w:r>
        <w:rPr/>
        <w:t>主动</w:t>
      </w:r>
      <w:r>
        <w:rPr>
          <w:rFonts w:ascii="Times New Roman" w:hAnsi="Times New Roman" w:cs="Times New Roman" w:eastAsia="Times New Roman" w:hint="default"/>
        </w:rPr>
        <w:t>”</w:t>
      </w:r>
      <w:r>
        <w:rPr/>
        <w:t>，为整个环境产业 的发展提供了巨大动能。</w:t>
      </w:r>
      <w:r>
        <w:rPr>
          <w:rFonts w:ascii="Times New Roman" w:hAnsi="Times New Roman" w:cs="Times New Roman" w:eastAsia="Times New Roman" w:hint="default"/>
        </w:rPr>
        <w:t>2020</w:t>
      </w:r>
      <w:r>
        <w:rPr/>
        <w:t>年更是环保攻坚年，业务的发展将保持持续性的增长。</w:t>
      </w:r>
    </w:p>
    <w:p>
      <w:pPr>
        <w:spacing w:line="240" w:lineRule="auto" w:before="8"/>
        <w:rPr>
          <w:rFonts w:ascii="宋体" w:hAnsi="宋体" w:cs="宋体" w:eastAsia="宋体" w:hint="default"/>
          <w:sz w:val="17"/>
          <w:szCs w:val="17"/>
        </w:rPr>
      </w:pPr>
    </w:p>
    <w:p>
      <w:pPr>
        <w:pStyle w:val="Heading2"/>
        <w:spacing w:line="240" w:lineRule="auto"/>
        <w:ind w:right="0"/>
        <w:jc w:val="both"/>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1"/>
          <w:szCs w:val="21"/>
        </w:rPr>
      </w:pPr>
      <w:bookmarkStart w:name="1、主要资产重大变化情况" w:id="19"/>
      <w:bookmarkEnd w:id="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549"/>
        <w:gridCol w:w="8009"/>
      </w:tblGrid>
      <w:tr>
        <w:trPr>
          <w:trHeight w:val="182"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00"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15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9" w:type="dxa"/>
            <w:vMerge w:val="restart"/>
            <w:tcBorders>
              <w:top w:val="single" w:sz="4" w:space="0" w:color="000000"/>
              <w:left w:val="single" w:sz="10" w:space="0" w:color="D2D2D2"/>
              <w:right w:val="single" w:sz="4" w:space="0" w:color="000000"/>
            </w:tcBorders>
          </w:tcPr>
          <w:p>
            <w:pPr>
              <w:pStyle w:val="TableParagraph"/>
              <w:spacing w:line="300" w:lineRule="auto" w:before="53"/>
              <w:ind w:left="16"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pacing w:val="-4"/>
                <w:sz w:val="18"/>
                <w:szCs w:val="18"/>
              </w:rPr>
              <w:t>月，公司终止设立产业并购基金并注销母基金</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深圳依米康道格产业投资合伙企业（有限</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4"/>
                <w:w w:val="101"/>
                <w:sz w:val="18"/>
                <w:szCs w:val="18"/>
              </w:rPr>
              <w:t>合伙）；</w:t>
            </w:r>
            <w:r>
              <w:rPr>
                <w:rFonts w:ascii="宋体" w:hAnsi="宋体" w:cs="宋体" w:eastAsia="宋体" w:hint="default"/>
                <w:spacing w:val="-24"/>
                <w:sz w:val="18"/>
                <w:szCs w:val="18"/>
              </w:rPr>
            </w:r>
          </w:p>
        </w:tc>
      </w:tr>
      <w:tr>
        <w:trPr>
          <w:trHeight w:val="394" w:hRule="exact"/>
        </w:trPr>
        <w:tc>
          <w:tcPr>
            <w:tcW w:w="15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009" w:type="dxa"/>
            <w:vMerge/>
            <w:tcBorders>
              <w:left w:val="single" w:sz="10" w:space="0" w:color="D2D2D2"/>
              <w:right w:val="single" w:sz="4" w:space="0" w:color="000000"/>
            </w:tcBorders>
          </w:tcPr>
          <w:p>
            <w:pPr/>
          </w:p>
        </w:tc>
      </w:tr>
      <w:tr>
        <w:trPr>
          <w:trHeight w:val="163" w:hRule="exact"/>
        </w:trPr>
        <w:tc>
          <w:tcPr>
            <w:tcW w:w="15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9" w:type="dxa"/>
            <w:vMerge/>
            <w:tcBorders>
              <w:left w:val="single" w:sz="10" w:space="0" w:color="D2D2D2"/>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61"/>
        <w:gridCol w:w="8009"/>
      </w:tblGrid>
      <w:tr>
        <w:trPr>
          <w:trHeight w:val="1027"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9 </w:t>
            </w:r>
            <w:r>
              <w:rPr>
                <w:rFonts w:ascii="宋体" w:hAnsi="宋体" w:cs="宋体" w:eastAsia="宋体" w:hint="default"/>
                <w:spacing w:val="-3"/>
                <w:sz w:val="18"/>
                <w:szCs w:val="18"/>
              </w:rPr>
              <w:t>月，公司出售持有的参股公司上海虹港</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的股权，公司不再持有上海虹港股权；</w:t>
            </w:r>
          </w:p>
          <w:p>
            <w:pPr>
              <w:pStyle w:val="TableParagraph"/>
              <w:spacing w:line="304" w:lineRule="auto" w:before="96"/>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月，公司收购控股子公司深圳龙控剩余股权，收购后，公司持有深圳龙控</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股权，深</w:t>
            </w:r>
            <w:r>
              <w:rPr>
                <w:rFonts w:ascii="宋体" w:hAnsi="宋体" w:cs="宋体" w:eastAsia="宋体" w:hint="default"/>
                <w:spacing w:val="-80"/>
                <w:sz w:val="18"/>
                <w:szCs w:val="18"/>
              </w:rPr>
              <w:t> </w:t>
            </w:r>
            <w:r>
              <w:rPr>
                <w:rFonts w:ascii="宋体" w:hAnsi="宋体" w:cs="宋体" w:eastAsia="宋体" w:hint="default"/>
                <w:spacing w:val="-3"/>
                <w:sz w:val="18"/>
                <w:szCs w:val="18"/>
              </w:rPr>
              <w:t>圳龙控为公司全资子公司。</w:t>
            </w:r>
          </w:p>
        </w:tc>
      </w:tr>
      <w:tr>
        <w:trPr>
          <w:trHeight w:val="399"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主要系公司执行项目取得特许经营权所致</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主要系公司喷涂生产线投资及控股子公司江苏亿金执行投资项目所致</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2、主要境外资产情况" w:id="20"/>
      <w:bookmarkEnd w:id="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777" w:lineRule="exact"/>
        <w:ind w:left="6683"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5.65pt;height:38.9pt;mso-position-horizontal-relative:char;mso-position-vertical-relative:line" coordorigin="0,0" coordsize="913,778">
            <v:group style="position:absolute;left:0;top:0;width:913;height:778" coordorigin="0,0" coordsize="913,778">
              <v:shape style="position:absolute;left:0;top:0;width:913;height:778" coordorigin="0,0" coordsize="913,778" path="m0,778l912,778,912,0,0,0,0,778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before="46"/>
        <w:ind w:left="0" w:right="1132" w:firstLine="0"/>
        <w:jc w:val="right"/>
        <w:rPr>
          <w:rFonts w:ascii="宋体" w:hAnsi="宋体" w:cs="宋体" w:eastAsia="宋体" w:hint="default"/>
          <w:sz w:val="18"/>
          <w:szCs w:val="18"/>
        </w:rPr>
      </w:pPr>
      <w:r>
        <w:rPr/>
        <w:pict>
          <v:shape style="position:absolute;margin-left:56.424pt;margin-top:-181.39827pt;width:479.5pt;height:216.8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778"/>
                    <w:gridCol w:w="994"/>
                    <w:gridCol w:w="850"/>
                    <w:gridCol w:w="1416"/>
                    <w:gridCol w:w="1421"/>
                    <w:gridCol w:w="922"/>
                    <w:gridCol w:w="1066"/>
                    <w:gridCol w:w="1061"/>
                  </w:tblGrid>
                  <w:tr>
                    <w:trPr>
                      <w:trHeight w:val="102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资产的具体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内容</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9"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45"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54" w:right="70" w:hanging="178"/>
                          <w:jc w:val="left"/>
                          <w:rPr>
                            <w:rFonts w:ascii="宋体" w:hAnsi="宋体" w:cs="宋体" w:eastAsia="宋体" w:hint="default"/>
                            <w:sz w:val="18"/>
                            <w:szCs w:val="18"/>
                          </w:rPr>
                        </w:pPr>
                        <w:r>
                          <w:rPr>
                            <w:rFonts w:ascii="宋体" w:hAnsi="宋体" w:cs="宋体" w:eastAsia="宋体" w:hint="default"/>
                            <w:spacing w:val="-3"/>
                            <w:sz w:val="18"/>
                            <w:szCs w:val="18"/>
                          </w:rPr>
                          <w:t>保障资产安全性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的控制措施</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6"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6" w:right="75"/>
                          <w:jc w:val="center"/>
                          <w:rPr>
                            <w:rFonts w:ascii="宋体" w:hAnsi="宋体" w:cs="宋体" w:eastAsia="宋体" w:hint="default"/>
                            <w:sz w:val="18"/>
                            <w:szCs w:val="18"/>
                          </w:rPr>
                        </w:pPr>
                        <w:r>
                          <w:rPr>
                            <w:rFonts w:ascii="宋体" w:hAnsi="宋体" w:cs="宋体" w:eastAsia="宋体" w:hint="default"/>
                            <w:spacing w:val="-2"/>
                            <w:sz w:val="18"/>
                            <w:szCs w:val="18"/>
                          </w:rPr>
                          <w:t>境外资产占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公司净资产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的比重</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76" w:right="69"/>
                          <w:jc w:val="left"/>
                          <w:rPr>
                            <w:rFonts w:ascii="宋体" w:hAnsi="宋体" w:cs="宋体" w:eastAsia="宋体" w:hint="default"/>
                            <w:sz w:val="18"/>
                            <w:szCs w:val="18"/>
                          </w:rPr>
                        </w:pPr>
                        <w:r>
                          <w:rPr>
                            <w:rFonts w:ascii="宋体" w:hAnsi="宋体" w:cs="宋体" w:eastAsia="宋体" w:hint="default"/>
                            <w:spacing w:val="-2"/>
                            <w:sz w:val="18"/>
                            <w:szCs w:val="18"/>
                          </w:rPr>
                          <w:t>是否存在重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大减值风险</w:t>
                        </w:r>
                      </w:p>
                    </w:tc>
                  </w:tr>
                  <w:tr>
                    <w:trPr>
                      <w:trHeight w:val="196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00" w:lineRule="auto"/>
                          <w:ind w:left="345" w:right="17" w:hanging="322"/>
                          <w:jc w:val="left"/>
                          <w:rPr>
                            <w:rFonts w:ascii="宋体" w:hAnsi="宋体" w:cs="宋体" w:eastAsia="宋体" w:hint="default"/>
                            <w:sz w:val="18"/>
                            <w:szCs w:val="18"/>
                          </w:rPr>
                        </w:pPr>
                        <w:r>
                          <w:rPr>
                            <w:rFonts w:ascii="Times New Roman" w:hAnsi="Times New Roman" w:cs="Times New Roman" w:eastAsia="Times New Roman" w:hint="default"/>
                            <w:spacing w:val="-12"/>
                            <w:w w:val="101"/>
                            <w:sz w:val="18"/>
                            <w:szCs w:val="18"/>
                          </w:rPr>
                          <w:t>VBT</w:t>
                        </w:r>
                        <w:r>
                          <w:rPr>
                            <w:rFonts w:ascii="宋体" w:hAnsi="宋体" w:cs="宋体" w:eastAsia="宋体" w:hint="default"/>
                            <w:spacing w:val="-12"/>
                            <w:w w:val="101"/>
                            <w:sz w:val="18"/>
                            <w:szCs w:val="18"/>
                          </w:rPr>
                          <w:t>（参股公</w:t>
                        </w:r>
                        <w:r>
                          <w:rPr>
                            <w:rFonts w:ascii="宋体" w:hAnsi="宋体" w:cs="宋体" w:eastAsia="宋体" w:hint="default"/>
                            <w:w w:val="101"/>
                            <w:sz w:val="18"/>
                            <w:szCs w:val="18"/>
                          </w:rPr>
                          <w:t> </w:t>
                        </w:r>
                        <w:r>
                          <w:rPr>
                            <w:rFonts w:ascii="宋体" w:hAnsi="宋体" w:cs="宋体" w:eastAsia="宋体" w:hint="default"/>
                            <w:sz w:val="18"/>
                            <w:szCs w:val="18"/>
                          </w:rPr>
                          <w:t>司）</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 w:right="0"/>
                          <w:jc w:val="center"/>
                          <w:rPr>
                            <w:rFonts w:ascii="宋体" w:hAnsi="宋体" w:cs="宋体" w:eastAsia="宋体" w:hint="default"/>
                            <w:sz w:val="18"/>
                            <w:szCs w:val="18"/>
                          </w:rPr>
                        </w:pPr>
                        <w:r>
                          <w:rPr>
                            <w:rFonts w:ascii="宋体" w:hAnsi="宋体" w:cs="宋体" w:eastAsia="宋体" w:hint="default"/>
                            <w:sz w:val="18"/>
                            <w:szCs w:val="18"/>
                          </w:rPr>
                          <w:t>意大利</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微创手术、内窥镜</w:t>
                        </w:r>
                        <w:r>
                          <w:rPr>
                            <w:rFonts w:ascii="宋体" w:hAnsi="宋体" w:cs="宋体" w:eastAsia="宋体" w:hint="default"/>
                            <w:w w:val="101"/>
                            <w:sz w:val="18"/>
                            <w:szCs w:val="18"/>
                          </w:rPr>
                          <w:t> </w:t>
                        </w:r>
                        <w:r>
                          <w:rPr>
                            <w:rFonts w:ascii="宋体" w:hAnsi="宋体" w:cs="宋体" w:eastAsia="宋体" w:hint="default"/>
                            <w:spacing w:val="-3"/>
                            <w:sz w:val="18"/>
                            <w:szCs w:val="18"/>
                          </w:rPr>
                          <w:t>及其他介入手术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技术的研究、开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发、验证以及新工</w:t>
                        </w:r>
                        <w:r>
                          <w:rPr>
                            <w:rFonts w:ascii="宋体" w:hAnsi="宋体" w:cs="宋体" w:eastAsia="宋体" w:hint="default"/>
                            <w:w w:val="101"/>
                            <w:sz w:val="18"/>
                            <w:szCs w:val="18"/>
                          </w:rPr>
                          <w:t> </w:t>
                        </w:r>
                        <w:r>
                          <w:rPr>
                            <w:rFonts w:ascii="宋体" w:hAnsi="宋体" w:cs="宋体" w:eastAsia="宋体" w:hint="default"/>
                            <w:sz w:val="18"/>
                            <w:szCs w:val="18"/>
                          </w:rPr>
                          <w:t>艺研发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
                          <w:jc w:val="left"/>
                          <w:rPr>
                            <w:rFonts w:ascii="宋体" w:hAnsi="宋体" w:cs="宋体" w:eastAsia="宋体" w:hint="default"/>
                            <w:sz w:val="18"/>
                            <w:szCs w:val="18"/>
                          </w:rPr>
                        </w:pPr>
                        <w:r>
                          <w:rPr>
                            <w:rFonts w:ascii="宋体" w:hAnsi="宋体" w:cs="宋体" w:eastAsia="宋体" w:hint="default"/>
                            <w:spacing w:val="-3"/>
                            <w:sz w:val="18"/>
                            <w:szCs w:val="18"/>
                          </w:rPr>
                          <w:t>《增资扩股协议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明确约定了公司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参股后可享有的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权利以及退出的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价格约定，可有效</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保障资产安全</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24" w:right="128"/>
                          <w:jc w:val="left"/>
                          <w:rPr>
                            <w:rFonts w:ascii="宋体" w:hAnsi="宋体" w:cs="宋体" w:eastAsia="宋体" w:hint="default"/>
                            <w:sz w:val="18"/>
                            <w:szCs w:val="18"/>
                          </w:rPr>
                        </w:pPr>
                        <w:r>
                          <w:rPr>
                            <w:rFonts w:ascii="宋体" w:hAnsi="宋体" w:cs="宋体" w:eastAsia="宋体" w:hint="default"/>
                            <w:spacing w:val="-2"/>
                            <w:sz w:val="18"/>
                            <w:szCs w:val="18"/>
                          </w:rPr>
                          <w:t>其他情况说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明</w:t>
                        </w:r>
                      </w:p>
                    </w:tc>
                    <w:tc>
                      <w:tcPr>
                        <w:tcW w:w="8509" w:type="dxa"/>
                        <w:gridSpan w:val="8"/>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20"/>
                          <w:jc w:val="left"/>
                          <w:rPr>
                            <w:rFonts w:ascii="宋体" w:hAnsi="宋体" w:cs="宋体" w:eastAsia="宋体" w:hint="default"/>
                            <w:sz w:val="18"/>
                            <w:szCs w:val="18"/>
                          </w:rPr>
                        </w:pPr>
                        <w:r>
                          <w:rPr>
                            <w:rFonts w:ascii="宋体" w:hAnsi="宋体" w:cs="宋体" w:eastAsia="宋体" w:hint="default"/>
                            <w:spacing w:val="-2"/>
                            <w:w w:val="101"/>
                            <w:sz w:val="18"/>
                            <w:szCs w:val="18"/>
                          </w:rPr>
                          <w:t>公司目前持有</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2"/>
                            <w:w w:val="101"/>
                            <w:sz w:val="18"/>
                            <w:szCs w:val="18"/>
                          </w:rPr>
                          <w:t>VBT</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公司</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8"/>
                            <w:w w:val="101"/>
                            <w:sz w:val="18"/>
                            <w:szCs w:val="18"/>
                          </w:rPr>
                          <w:t>6.09%</w:t>
                        </w:r>
                        <w:r>
                          <w:rPr>
                            <w:rFonts w:ascii="宋体" w:hAnsi="宋体" w:cs="宋体" w:eastAsia="宋体" w:hint="default"/>
                            <w:spacing w:val="-8"/>
                            <w:w w:val="101"/>
                            <w:sz w:val="18"/>
                            <w:szCs w:val="18"/>
                          </w:rPr>
                          <w:t>的股份，公司参股</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2"/>
                            <w:w w:val="101"/>
                            <w:sz w:val="18"/>
                            <w:szCs w:val="18"/>
                          </w:rPr>
                          <w:t>VBT</w:t>
                        </w:r>
                        <w:r>
                          <w:rPr>
                            <w:rFonts w:ascii="Times New Roman" w:hAnsi="Times New Roman" w:cs="Times New Roman" w:eastAsia="Times New Roman" w:hint="default"/>
                            <w:spacing w:val="-8"/>
                            <w:w w:val="101"/>
                            <w:sz w:val="18"/>
                            <w:szCs w:val="18"/>
                          </w:rPr>
                          <w:t> </w:t>
                        </w:r>
                        <w:r>
                          <w:rPr>
                            <w:rFonts w:ascii="宋体" w:hAnsi="宋体" w:cs="宋体" w:eastAsia="宋体" w:hint="default"/>
                            <w:spacing w:val="-2"/>
                            <w:w w:val="101"/>
                            <w:sz w:val="18"/>
                            <w:szCs w:val="18"/>
                          </w:rPr>
                          <w:t>的目的是为了深入参与</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2"/>
                            <w:w w:val="101"/>
                            <w:sz w:val="18"/>
                            <w:szCs w:val="18"/>
                          </w:rPr>
                          <w:t>VBT</w:t>
                        </w:r>
                        <w:r>
                          <w:rPr>
                            <w:rFonts w:ascii="Times New Roman" w:hAnsi="Times New Roman" w:cs="Times New Roman" w:eastAsia="Times New Roman" w:hint="default"/>
                            <w:spacing w:val="37"/>
                            <w:w w:val="101"/>
                            <w:sz w:val="18"/>
                            <w:szCs w:val="18"/>
                          </w:rPr>
                          <w:t> </w:t>
                        </w:r>
                        <w:r>
                          <w:rPr>
                            <w:rFonts w:ascii="宋体" w:hAnsi="宋体" w:cs="宋体" w:eastAsia="宋体" w:hint="default"/>
                            <w:spacing w:val="-11"/>
                            <w:w w:val="101"/>
                            <w:sz w:val="18"/>
                            <w:szCs w:val="18"/>
                          </w:rPr>
                          <w:t>后续融资活动、并在</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2"/>
                            <w:w w:val="101"/>
                            <w:sz w:val="18"/>
                            <w:szCs w:val="18"/>
                          </w:rPr>
                          <w:t>VBT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的 </w:t>
                        </w:r>
                        <w:r>
                          <w:rPr>
                            <w:rFonts w:ascii="Times New Roman" w:hAnsi="Times New Roman" w:cs="Times New Roman" w:eastAsia="Times New Roman" w:hint="default"/>
                            <w:sz w:val="18"/>
                            <w:szCs w:val="18"/>
                          </w:rPr>
                          <w:t>M.I.L.A.N.O </w:t>
                        </w:r>
                        <w:r>
                          <w:rPr>
                            <w:rFonts w:ascii="宋体" w:hAnsi="宋体" w:cs="宋体" w:eastAsia="宋体" w:hint="default"/>
                            <w:spacing w:val="-3"/>
                            <w:sz w:val="18"/>
                            <w:szCs w:val="18"/>
                          </w:rPr>
                          <w:t>智能手术机器人项目通过临床试验、投入市场阶段获得该项产品在中国市场的独家经销权，</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5"/>
                            <w:w w:val="101"/>
                            <w:sz w:val="18"/>
                            <w:szCs w:val="18"/>
                          </w:rPr>
                          <w:t>积极参与世界领先的技术研发项目储备以拓展公司医疗健康领域业务。</w:t>
                        </w:r>
                        <w:r>
                          <w:rPr>
                            <w:rFonts w:ascii="Times New Roman" w:hAnsi="Times New Roman" w:cs="Times New Roman" w:eastAsia="Times New Roman" w:hint="default"/>
                            <w:spacing w:val="-5"/>
                            <w:w w:val="101"/>
                            <w:sz w:val="18"/>
                            <w:szCs w:val="18"/>
                          </w:rPr>
                          <w:t>2019</w:t>
                        </w:r>
                        <w:r>
                          <w:rPr>
                            <w:rFonts w:ascii="Times New Roman" w:hAnsi="Times New Roman" w:cs="Times New Roman" w:eastAsia="Times New Roman" w:hint="default"/>
                            <w:w w:val="101"/>
                            <w:sz w:val="18"/>
                            <w:szCs w:val="18"/>
                          </w:rPr>
                          <w:t> </w:t>
                        </w:r>
                        <w:r>
                          <w:rPr>
                            <w:rFonts w:ascii="宋体" w:hAnsi="宋体" w:cs="宋体" w:eastAsia="宋体" w:hint="default"/>
                            <w:spacing w:val="-8"/>
                            <w:w w:val="101"/>
                            <w:sz w:val="18"/>
                            <w:szCs w:val="18"/>
                          </w:rPr>
                          <w:t>年，该产品已完成动物临床试验</w:t>
                        </w:r>
                        <w:r>
                          <w:rPr>
                            <w:rFonts w:ascii="宋体" w:hAnsi="宋体" w:cs="宋体" w:eastAsia="宋体" w:hint="default"/>
                            <w:spacing w:val="-71"/>
                            <w:w w:val="101"/>
                            <w:sz w:val="18"/>
                            <w:szCs w:val="18"/>
                          </w:rPr>
                          <w:t> </w:t>
                        </w:r>
                        <w:r>
                          <w:rPr>
                            <w:rFonts w:ascii="宋体" w:hAnsi="宋体" w:cs="宋体" w:eastAsia="宋体" w:hint="default"/>
                            <w:spacing w:val="-71"/>
                            <w:w w:val="101"/>
                            <w:sz w:val="18"/>
                            <w:szCs w:val="18"/>
                          </w:rPr>
                        </w:r>
                        <w:r>
                          <w:rPr>
                            <w:rFonts w:ascii="宋体" w:hAnsi="宋体" w:cs="宋体" w:eastAsia="宋体" w:hint="default"/>
                            <w:spacing w:val="-3"/>
                            <w:sz w:val="18"/>
                            <w:szCs w:val="18"/>
                          </w:rPr>
                          <w:t>正在进行有关专利的申请。</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0"/>
        <w:ind w:right="0"/>
        <w:jc w:val="both"/>
        <w:rPr>
          <w:b w:val="0"/>
          <w:bCs w:val="0"/>
        </w:rPr>
      </w:pPr>
      <w:bookmarkStart w:name="三、核心竞争力分析" w:id="21"/>
      <w:bookmarkEnd w:id="21"/>
      <w:r>
        <w:rPr>
          <w:b w:val="0"/>
          <w:bCs w:val="0"/>
        </w:rPr>
      </w:r>
      <w:r>
        <w:rPr/>
        <w:t>三、核心竞争力分析</w:t>
      </w:r>
      <w:r>
        <w:rPr>
          <w:b w:val="0"/>
          <w:bCs w:val="0"/>
        </w:rPr>
      </w:r>
    </w:p>
    <w:p>
      <w:pPr>
        <w:spacing w:line="240" w:lineRule="auto" w:before="2"/>
        <w:rPr>
          <w:rFonts w:ascii="宋体" w:hAnsi="宋体" w:cs="宋体" w:eastAsia="宋体" w:hint="default"/>
          <w:b/>
          <w:bCs/>
          <w:sz w:val="29"/>
          <w:szCs w:val="29"/>
        </w:rPr>
      </w:pPr>
    </w:p>
    <w:p>
      <w:pPr>
        <w:spacing w:line="360" w:lineRule="auto" w:before="0"/>
        <w:ind w:left="633" w:right="0" w:firstLine="0"/>
        <w:jc w:val="left"/>
        <w:rPr>
          <w:rFonts w:ascii="宋体" w:hAnsi="宋体" w:cs="宋体" w:eastAsia="宋体" w:hint="default"/>
          <w:sz w:val="24"/>
          <w:szCs w:val="24"/>
        </w:rPr>
      </w:pPr>
      <w:r>
        <w:rPr>
          <w:rFonts w:ascii="宋体" w:hAnsi="宋体" w:cs="宋体" w:eastAsia="宋体" w:hint="default"/>
          <w:b/>
          <w:bCs/>
          <w:color w:val="0D0D0D"/>
          <w:sz w:val="24"/>
          <w:szCs w:val="24"/>
        </w:rPr>
        <w:t>（一）整体解决方案优势</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公司是数据中心基础设施整体解决方案领先者，公司基于不断创新和实践经验，敏锐把</w:t>
      </w:r>
      <w:r>
        <w:rPr>
          <w:rFonts w:ascii="宋体" w:hAnsi="宋体" w:cs="宋体" w:eastAsia="宋体" w:hint="default"/>
          <w:sz w:val="24"/>
          <w:szCs w:val="24"/>
        </w:rPr>
      </w:r>
    </w:p>
    <w:p>
      <w:pPr>
        <w:pStyle w:val="BodyText"/>
        <w:spacing w:line="357" w:lineRule="auto" w:before="31"/>
        <w:ind w:right="1136"/>
        <w:jc w:val="both"/>
      </w:pPr>
      <w:r>
        <w:rPr>
          <w:color w:val="0D0D0D"/>
        </w:rPr>
        <w:t>握市场变革趋势和客户需求，拥有关键设备、物联软件、智能工程、智慧服务四位一体的高</w:t>
      </w:r>
      <w:r>
        <w:rPr>
          <w:color w:val="0D0D0D"/>
          <w:spacing w:val="-93"/>
        </w:rPr>
        <w:t> </w:t>
      </w:r>
      <w:r>
        <w:rPr>
          <w:color w:val="0D0D0D"/>
          <w:spacing w:val="-93"/>
        </w:rPr>
      </w:r>
      <w:r>
        <w:rPr>
          <w:color w:val="0D0D0D"/>
        </w:rPr>
        <w:t>端技术和解决方案，为云计算、大数据、智慧城市、智能基础设施、通信建设等领域，提供</w:t>
      </w:r>
      <w:r>
        <w:rPr>
          <w:color w:val="0D0D0D"/>
          <w:spacing w:val="-93"/>
        </w:rPr>
        <w:t> </w:t>
      </w:r>
      <w:r>
        <w:rPr>
          <w:color w:val="0D0D0D"/>
          <w:spacing w:val="-93"/>
        </w:rPr>
      </w:r>
      <w:r>
        <w:rPr>
          <w:color w:val="0D0D0D"/>
        </w:rPr>
        <w:t>全产业链高效服务。</w:t>
      </w:r>
      <w:r>
        <w:rPr/>
      </w:r>
    </w:p>
    <w:p>
      <w:pPr>
        <w:pStyle w:val="BodyText"/>
        <w:spacing w:line="336" w:lineRule="auto" w:before="39"/>
        <w:ind w:left="633" w:right="0"/>
        <w:jc w:val="left"/>
      </w:pPr>
      <w:r>
        <w:rPr>
          <w:rFonts w:ascii="Times New Roman" w:hAnsi="Times New Roman" w:cs="Times New Roman" w:eastAsia="Times New Roman" w:hint="default"/>
          <w:b/>
          <w:bCs/>
          <w:color w:val="0D0D0D"/>
        </w:rPr>
        <w:t>1</w:t>
      </w:r>
      <w:r>
        <w:rPr>
          <w:rFonts w:ascii="宋体" w:hAnsi="宋体" w:cs="宋体" w:eastAsia="宋体" w:hint="default"/>
          <w:b/>
          <w:bCs/>
          <w:color w:val="0D0D0D"/>
        </w:rPr>
        <w:t>、关键设备</w:t>
      </w:r>
      <w:r>
        <w:rPr>
          <w:rFonts w:ascii="宋体" w:hAnsi="宋体" w:cs="宋体" w:eastAsia="宋体" w:hint="default"/>
          <w:b/>
          <w:bCs/>
          <w:color w:val="0D0D0D"/>
          <w:w w:val="99"/>
        </w:rPr>
        <w:t> </w:t>
      </w:r>
      <w:r>
        <w:rPr>
          <w:color w:val="0D0D0D"/>
        </w:rPr>
        <w:t>在信息化数据产业链关键设备领域，公司拥有精密空调、磁悬浮冷水机组、微模块数据</w:t>
      </w:r>
      <w:r>
        <w:rPr/>
      </w:r>
    </w:p>
    <w:p>
      <w:pPr>
        <w:pStyle w:val="BodyText"/>
        <w:spacing w:line="343" w:lineRule="auto" w:before="60"/>
        <w:ind w:right="1127"/>
        <w:jc w:val="both"/>
      </w:pPr>
      <w:r>
        <w:rPr>
          <w:color w:val="0D0D0D"/>
        </w:rPr>
        <w:t>中心、智能机柜、基站空调、运维机器人等产品。公司具有行业领先研发能力，具备先进的</w:t>
      </w:r>
      <w:r>
        <w:rPr>
          <w:color w:val="0D0D0D"/>
          <w:spacing w:val="-93"/>
        </w:rPr>
        <w:t> </w:t>
      </w:r>
      <w:r>
        <w:rPr>
          <w:color w:val="0D0D0D"/>
          <w:spacing w:val="-93"/>
        </w:rPr>
      </w:r>
      <w:r>
        <w:rPr>
          <w:color w:val="0D0D0D"/>
          <w:spacing w:val="-1"/>
        </w:rPr>
        <w:t>数据中心节能技术，并且率先储备了管理</w:t>
      </w:r>
      <w:r>
        <w:rPr>
          <w:rFonts w:ascii="Times New Roman" w:hAnsi="Times New Roman" w:cs="Times New Roman" w:eastAsia="Times New Roman" w:hint="default"/>
          <w:color w:val="0D0D0D"/>
          <w:spacing w:val="-1"/>
        </w:rPr>
        <w:t>WUE</w:t>
      </w:r>
      <w:r>
        <w:rPr>
          <w:color w:val="0D0D0D"/>
          <w:spacing w:val="-1"/>
        </w:rPr>
        <w:t>值的先进技术。公司技术中心</w:t>
      </w:r>
      <w:r>
        <w:rPr>
          <w:rFonts w:ascii="Times New Roman" w:hAnsi="Times New Roman" w:cs="Times New Roman" w:eastAsia="Times New Roman" w:hint="default"/>
          <w:color w:val="0D0D0D"/>
          <w:spacing w:val="-1"/>
        </w:rPr>
        <w:t>2019</w:t>
      </w:r>
      <w:r>
        <w:rPr>
          <w:color w:val="0D0D0D"/>
          <w:spacing w:val="-1"/>
        </w:rPr>
        <w:t>年被认定为</w:t>
      </w:r>
      <w:r>
        <w:rPr>
          <w:color w:val="0D0D0D"/>
          <w:spacing w:val="-106"/>
        </w:rPr>
        <w:t> </w:t>
      </w:r>
      <w:r>
        <w:rPr>
          <w:color w:val="0D0D0D"/>
        </w:rPr>
        <w:t>国家企业技术中心，公司</w:t>
      </w:r>
      <w:r>
        <w:rPr>
          <w:rFonts w:ascii="Times New Roman" w:hAnsi="Times New Roman" w:cs="Times New Roman" w:eastAsia="Times New Roman" w:hint="default"/>
          <w:color w:val="0D0D0D"/>
        </w:rPr>
        <w:t>“</w:t>
      </w:r>
      <w:r>
        <w:rPr>
          <w:color w:val="0D0D0D"/>
        </w:rPr>
        <w:t>墨</w:t>
      </w:r>
      <w:r>
        <w:rPr>
          <w:rFonts w:ascii="Times New Roman" w:hAnsi="Times New Roman" w:cs="Times New Roman" w:eastAsia="Times New Roman" w:hint="default"/>
          <w:color w:val="0D0D0D"/>
        </w:rPr>
        <w:t>.</w:t>
      </w:r>
      <w:r>
        <w:rPr>
          <w:color w:val="0D0D0D"/>
        </w:rPr>
        <w:t>云系列多模制冷智能机组</w:t>
      </w:r>
      <w:r>
        <w:rPr>
          <w:rFonts w:ascii="Times New Roman" w:hAnsi="Times New Roman" w:cs="Times New Roman" w:eastAsia="Times New Roman" w:hint="default"/>
          <w:color w:val="0D0D0D"/>
        </w:rPr>
        <w:t>”</w:t>
      </w:r>
      <w:r>
        <w:rPr>
          <w:color w:val="0D0D0D"/>
        </w:rPr>
        <w:t>取得科学技术成果，其技术创新性整 体属于国内首创，该成果的核心技术达到国际先进水平。公司拥有先进制造基地，获评工信</w:t>
      </w:r>
      <w:r>
        <w:rPr/>
      </w:r>
    </w:p>
    <w:p>
      <w:pPr>
        <w:spacing w:after="0" w:line="343"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43" w:lineRule="auto"/>
        <w:ind w:right="0"/>
        <w:jc w:val="left"/>
      </w:pPr>
      <w:r>
        <w:rPr>
          <w:color w:val="0D0D0D"/>
        </w:rPr>
        <w:t>部</w:t>
      </w:r>
      <w:r>
        <w:rPr>
          <w:rFonts w:ascii="Times New Roman" w:hAnsi="Times New Roman" w:cs="Times New Roman" w:eastAsia="Times New Roman" w:hint="default"/>
          <w:color w:val="0D0D0D"/>
        </w:rPr>
        <w:t>2025</w:t>
      </w:r>
      <w:r>
        <w:rPr>
          <w:color w:val="0D0D0D"/>
        </w:rPr>
        <w:t>绿色制造系统集成项目及国家绿色工厂称号；公司还获得四川省技术创新示范企业、</w:t>
      </w:r>
      <w:r>
        <w:rPr>
          <w:color w:val="0D0D0D"/>
          <w:spacing w:val="-90"/>
        </w:rPr>
        <w:t> </w:t>
      </w:r>
      <w:r>
        <w:rPr>
          <w:color w:val="0D0D0D"/>
          <w:spacing w:val="-90"/>
        </w:rPr>
      </w:r>
      <w:r>
        <w:rPr>
          <w:color w:val="0D0D0D"/>
        </w:rPr>
        <w:t>四川省精密环境空调工程技术研究中心、四川省制造业百强、成都市制造业创新示范中心等</w:t>
      </w:r>
      <w:r>
        <w:rPr>
          <w:color w:val="0D0D0D"/>
          <w:spacing w:val="-93"/>
        </w:rPr>
        <w:t> </w:t>
      </w:r>
      <w:r>
        <w:rPr>
          <w:color w:val="0D0D0D"/>
          <w:spacing w:val="-93"/>
        </w:rPr>
      </w:r>
      <w:r>
        <w:rPr>
          <w:color w:val="0D0D0D"/>
        </w:rPr>
        <w:t>多项荣誉。公司所拥有的精密环境方面的产品</w:t>
      </w:r>
      <w:r>
        <w:rPr>
          <w:rFonts w:ascii="Times New Roman" w:hAnsi="Times New Roman" w:cs="Times New Roman" w:eastAsia="Times New Roman" w:hint="default"/>
          <w:color w:val="0D0D0D"/>
        </w:rPr>
        <w:t>/</w:t>
      </w:r>
      <w:r>
        <w:rPr>
          <w:color w:val="0D0D0D"/>
        </w:rPr>
        <w:t>技术所取得的成果及荣誉铸就了依米康品牌，</w:t>
      </w:r>
      <w:r>
        <w:rPr>
          <w:color w:val="0D0D0D"/>
          <w:spacing w:val="-49"/>
        </w:rPr>
        <w:t> </w:t>
      </w:r>
      <w:r>
        <w:rPr>
          <w:color w:val="0D0D0D"/>
          <w:spacing w:val="-49"/>
        </w:rPr>
      </w:r>
      <w:r>
        <w:rPr>
          <w:color w:val="0D0D0D"/>
        </w:rPr>
        <w:t>已成为公司核心竞争力的重要组成部分。</w:t>
      </w:r>
      <w:r>
        <w:rPr/>
      </w:r>
    </w:p>
    <w:p>
      <w:pPr>
        <w:spacing w:line="336" w:lineRule="auto" w:before="53"/>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color w:val="0D0D0D"/>
          <w:sz w:val="24"/>
          <w:szCs w:val="24"/>
        </w:rPr>
        <w:t>2</w:t>
      </w:r>
      <w:r>
        <w:rPr>
          <w:rFonts w:ascii="宋体" w:hAnsi="宋体" w:cs="宋体" w:eastAsia="宋体" w:hint="default"/>
          <w:b/>
          <w:bCs/>
          <w:color w:val="0D0D0D"/>
          <w:sz w:val="24"/>
          <w:szCs w:val="24"/>
        </w:rPr>
        <w:t>、智慧运营管理软件</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公司致力于研发智能软件，已拥有先进的关键设备和数据中心的智能监控和运营管理软</w:t>
      </w:r>
      <w:r>
        <w:rPr>
          <w:rFonts w:ascii="宋体" w:hAnsi="宋体" w:cs="宋体" w:eastAsia="宋体" w:hint="default"/>
          <w:sz w:val="24"/>
          <w:szCs w:val="24"/>
        </w:rPr>
      </w:r>
    </w:p>
    <w:p>
      <w:pPr>
        <w:pStyle w:val="BodyText"/>
        <w:spacing w:line="343" w:lineRule="auto" w:before="60"/>
        <w:ind w:right="1117"/>
        <w:jc w:val="both"/>
      </w:pPr>
      <w:r>
        <w:rPr>
          <w:color w:val="0D0D0D"/>
        </w:rPr>
        <w:t>件。智能软件正在形成依米康集团先进技术的驱动业务线，系统性实现集团向智慧业务转型</w:t>
      </w:r>
      <w:r>
        <w:rPr>
          <w:color w:val="0D0D0D"/>
          <w:spacing w:val="-93"/>
        </w:rPr>
        <w:t> </w:t>
      </w:r>
      <w:r>
        <w:rPr>
          <w:color w:val="0D0D0D"/>
          <w:spacing w:val="-93"/>
        </w:rPr>
      </w:r>
      <w:r>
        <w:rPr>
          <w:color w:val="0D0D0D"/>
          <w:spacing w:val="-2"/>
        </w:rPr>
        <w:t>的先驱。公司推出了基于全新的</w:t>
      </w:r>
      <w:r>
        <w:rPr>
          <w:rFonts w:ascii="Times New Roman" w:hAnsi="Times New Roman" w:cs="Times New Roman" w:eastAsia="Times New Roman" w:hint="default"/>
          <w:color w:val="0D0D0D"/>
          <w:spacing w:val="-2"/>
        </w:rPr>
        <w:t>AIoT</w:t>
      </w:r>
      <w:r>
        <w:rPr>
          <w:color w:val="0D0D0D"/>
          <w:spacing w:val="-2"/>
        </w:rPr>
        <w:t>底层技术平台，面向数据中心用户的</w:t>
      </w:r>
      <w:r>
        <w:rPr>
          <w:rFonts w:ascii="Times New Roman" w:hAnsi="Times New Roman" w:cs="Times New Roman" w:eastAsia="Times New Roman" w:hint="default"/>
          <w:color w:val="0D0D0D"/>
          <w:spacing w:val="-2"/>
        </w:rPr>
        <w:t>Centralink</w:t>
      </w:r>
      <w:r>
        <w:rPr>
          <w:color w:val="0D0D0D"/>
          <w:spacing w:val="-2"/>
        </w:rPr>
        <w:t>数据中心</w:t>
      </w:r>
      <w:r>
        <w:rPr>
          <w:color w:val="0D0D0D"/>
          <w:spacing w:val="-93"/>
        </w:rPr>
        <w:t> </w:t>
      </w:r>
      <w:r>
        <w:rPr>
          <w:color w:val="0D0D0D"/>
          <w:spacing w:val="3"/>
        </w:rPr>
        <w:t>智能管理系统平台、智能巡检机器人、</w:t>
      </w:r>
      <w:r>
        <w:rPr>
          <w:rFonts w:ascii="Times New Roman" w:hAnsi="Times New Roman" w:cs="Times New Roman" w:eastAsia="Times New Roman" w:hint="default"/>
          <w:color w:val="0D0D0D"/>
          <w:spacing w:val="3"/>
        </w:rPr>
        <w:t>iADU</w:t>
      </w:r>
      <w:r>
        <w:rPr>
          <w:color w:val="0D0D0D"/>
          <w:spacing w:val="3"/>
        </w:rPr>
        <w:t>机柜资产监测单元、</w:t>
      </w:r>
      <w:r>
        <w:rPr>
          <w:rFonts w:ascii="Times New Roman" w:hAnsi="Times New Roman" w:cs="Times New Roman" w:eastAsia="Times New Roman" w:hint="default"/>
          <w:color w:val="0D0D0D"/>
          <w:spacing w:val="3"/>
        </w:rPr>
        <w:t>AI</w:t>
      </w:r>
      <w:r>
        <w:rPr>
          <w:color w:val="0D0D0D"/>
          <w:spacing w:val="3"/>
        </w:rPr>
        <w:t>节能平台及面向站点的</w:t>
      </w:r>
      <w:r>
        <w:rPr>
          <w:color w:val="0D0D0D"/>
          <w:spacing w:val="-105"/>
        </w:rPr>
        <w:t> </w:t>
      </w:r>
      <w:r>
        <w:rPr>
          <w:rFonts w:ascii="Times New Roman" w:hAnsi="Times New Roman" w:cs="Times New Roman" w:eastAsia="Times New Roman" w:hint="default"/>
          <w:color w:val="0D0D0D"/>
        </w:rPr>
        <w:t>EdgeLink</w:t>
      </w:r>
      <w:r>
        <w:rPr>
          <w:color w:val="0D0D0D"/>
        </w:rPr>
        <w:t>边缘节点管理系统与智能温度控制单元等一系列核心产品与解决方案。</w:t>
      </w:r>
      <w:r>
        <w:rPr/>
      </w:r>
    </w:p>
    <w:p>
      <w:pPr>
        <w:pStyle w:val="BodyText"/>
        <w:spacing w:line="357" w:lineRule="auto" w:before="24"/>
        <w:ind w:right="1136" w:firstLine="480"/>
        <w:jc w:val="both"/>
      </w:pPr>
      <w:r>
        <w:rPr>
          <w:color w:val="0D0D0D"/>
        </w:rPr>
        <w:t>其中，公司于国内率先推出数据中心智能巡检机器人，提供自动化巡检、智能随工、数 据移动采集、视觉识别等功能，形成与传统人力巡检模式的有效补充，能够极大的提升数据</w:t>
      </w:r>
      <w:r>
        <w:rPr>
          <w:color w:val="0D0D0D"/>
          <w:spacing w:val="-93"/>
        </w:rPr>
        <w:t> </w:t>
      </w:r>
      <w:r>
        <w:rPr>
          <w:color w:val="0D0D0D"/>
          <w:spacing w:val="-93"/>
        </w:rPr>
      </w:r>
      <w:r>
        <w:rPr>
          <w:color w:val="0D0D0D"/>
        </w:rPr>
        <w:t>中心运维效率。</w:t>
      </w:r>
      <w:r>
        <w:rPr/>
      </w:r>
    </w:p>
    <w:p>
      <w:pPr>
        <w:pStyle w:val="BodyText"/>
        <w:spacing w:line="348" w:lineRule="auto" w:before="34"/>
        <w:ind w:left="244" w:right="0" w:firstLine="360"/>
        <w:jc w:val="left"/>
      </w:pPr>
      <w:r>
        <w:rPr>
          <w:color w:val="0D0D0D"/>
        </w:rPr>
        <w:t>为实现建设绿色数据中心，公司推出了行业领先的基于</w:t>
      </w:r>
      <w:r>
        <w:rPr>
          <w:rFonts w:ascii="Times New Roman" w:hAnsi="Times New Roman" w:cs="Times New Roman" w:eastAsia="Times New Roman" w:hint="default"/>
          <w:color w:val="0D0D0D"/>
        </w:rPr>
        <w:t>AI</w:t>
      </w:r>
      <w:r>
        <w:rPr>
          <w:color w:val="0D0D0D"/>
        </w:rPr>
        <w:t>算法的节能控制技术，通过对 数据中心相关点位的海量历史运行数据的分析、建模与处理，自动生成精确的负荷预测和优 </w:t>
      </w:r>
      <w:r>
        <w:rPr>
          <w:color w:val="0D0D0D"/>
          <w:spacing w:val="-2"/>
        </w:rPr>
        <w:t>化建议，能够有效地降低数据中心能耗与</w:t>
      </w:r>
      <w:r>
        <w:rPr>
          <w:rFonts w:ascii="Times New Roman" w:hAnsi="Times New Roman" w:cs="Times New Roman" w:eastAsia="Times New Roman" w:hint="default"/>
          <w:color w:val="0D0D0D"/>
          <w:spacing w:val="-2"/>
        </w:rPr>
        <w:t>PUE</w:t>
      </w:r>
      <w:r>
        <w:rPr>
          <w:color w:val="0D0D0D"/>
          <w:spacing w:val="-2"/>
        </w:rPr>
        <w:t>值。</w:t>
      </w:r>
      <w:r>
        <w:rPr>
          <w:rFonts w:ascii="Times New Roman" w:hAnsi="Times New Roman" w:cs="Times New Roman" w:eastAsia="Times New Roman" w:hint="default"/>
          <w:color w:val="0D0D0D"/>
          <w:spacing w:val="-2"/>
        </w:rPr>
        <w:t>Centralink</w:t>
      </w:r>
      <w:r>
        <w:rPr>
          <w:color w:val="0D0D0D"/>
          <w:spacing w:val="-2"/>
        </w:rPr>
        <w:t>数据中心智能管理系统平台作为</w:t>
      </w:r>
      <w:r>
        <w:rPr>
          <w:color w:val="0D0D0D"/>
          <w:spacing w:val="-116"/>
        </w:rPr>
        <w:t> </w:t>
      </w:r>
      <w:r>
        <w:rPr>
          <w:color w:val="0D0D0D"/>
        </w:rPr>
        <w:t>公司的核心业务平台，于业界率先采用微服务架构设计，并提供强大的集群化部署能力与接</w:t>
      </w:r>
      <w:r>
        <w:rPr>
          <w:color w:val="0D0D0D"/>
        </w:rPr>
        <w:t> 入能力，特别是与</w:t>
      </w:r>
      <w:r>
        <w:rPr>
          <w:rFonts w:ascii="Times New Roman" w:hAnsi="Times New Roman" w:cs="Times New Roman" w:eastAsia="Times New Roman" w:hint="default"/>
          <w:color w:val="0D0D0D"/>
        </w:rPr>
        <w:t>iADU</w:t>
      </w:r>
      <w:r>
        <w:rPr>
          <w:color w:val="0D0D0D"/>
        </w:rPr>
        <w:t>机柜资产监测单元、智能巡检机器人及</w:t>
      </w:r>
      <w:r>
        <w:rPr>
          <w:rFonts w:ascii="Times New Roman" w:hAnsi="Times New Roman" w:cs="Times New Roman" w:eastAsia="Times New Roman" w:hint="default"/>
          <w:color w:val="0D0D0D"/>
        </w:rPr>
        <w:t>AI</w:t>
      </w:r>
      <w:r>
        <w:rPr>
          <w:color w:val="0D0D0D"/>
        </w:rPr>
        <w:t>节能平台融合运用的情况</w:t>
      </w:r>
      <w:r>
        <w:rPr>
          <w:color w:val="0D0D0D"/>
          <w:spacing w:val="-67"/>
        </w:rPr>
        <w:t> </w:t>
      </w:r>
      <w:r>
        <w:rPr>
          <w:color w:val="0D0D0D"/>
          <w:spacing w:val="-67"/>
        </w:rPr>
      </w:r>
      <w:r>
        <w:rPr>
          <w:color w:val="0D0D0D"/>
        </w:rPr>
        <w:t>下，可最大化与创新性满足数据中心基础设施监测、故障根源分析、资产全生命周期管理、</w:t>
      </w:r>
      <w:r>
        <w:rPr>
          <w:color w:val="0D0D0D"/>
          <w:spacing w:val="-69"/>
        </w:rPr>
        <w:t> </w:t>
      </w:r>
      <w:r>
        <w:rPr>
          <w:color w:val="0D0D0D"/>
          <w:spacing w:val="-69"/>
        </w:rPr>
      </w:r>
      <w:r>
        <w:rPr>
          <w:color w:val="0D0D0D"/>
        </w:rPr>
        <w:t>资源效率优化、节能降耗、自动化运维管理等业务要求。</w:t>
      </w:r>
      <w:r>
        <w:rPr/>
      </w:r>
    </w:p>
    <w:p>
      <w:pPr>
        <w:pStyle w:val="BodyText"/>
        <w:spacing w:line="336" w:lineRule="auto" w:before="49"/>
        <w:ind w:left="633" w:right="0"/>
        <w:jc w:val="left"/>
      </w:pPr>
      <w:r>
        <w:rPr>
          <w:rFonts w:ascii="Times New Roman" w:hAnsi="Times New Roman" w:cs="Times New Roman" w:eastAsia="Times New Roman" w:hint="default"/>
          <w:b/>
          <w:bCs/>
          <w:color w:val="0D0D0D"/>
        </w:rPr>
        <w:t>3</w:t>
      </w:r>
      <w:r>
        <w:rPr>
          <w:rFonts w:ascii="宋体" w:hAnsi="宋体" w:cs="宋体" w:eastAsia="宋体" w:hint="default"/>
          <w:b/>
          <w:bCs/>
          <w:color w:val="0D0D0D"/>
        </w:rPr>
        <w:t>、智能工程</w:t>
      </w:r>
      <w:r>
        <w:rPr>
          <w:rFonts w:ascii="宋体" w:hAnsi="宋体" w:cs="宋体" w:eastAsia="宋体" w:hint="default"/>
          <w:b/>
          <w:bCs/>
          <w:color w:val="0D0D0D"/>
          <w:w w:val="99"/>
        </w:rPr>
        <w:t> </w:t>
      </w:r>
      <w:r>
        <w:rPr>
          <w:color w:val="0D0D0D"/>
        </w:rPr>
        <w:t>全资子公司智能工程公司以数据中心建设和智慧服务为核心业务，把握行业发展趋势，</w:t>
      </w:r>
      <w:r>
        <w:rPr/>
      </w:r>
    </w:p>
    <w:p>
      <w:pPr>
        <w:pStyle w:val="BodyText"/>
        <w:spacing w:line="357" w:lineRule="auto" w:before="60"/>
        <w:ind w:right="1133"/>
        <w:jc w:val="both"/>
      </w:pPr>
      <w:r>
        <w:rPr>
          <w:color w:val="0D0D0D"/>
        </w:rPr>
        <w:t>已经构建了独特的技术优势，拥有完善的咨询、设计和项目实施能力。为客户提供数据中心</w:t>
      </w:r>
      <w:r>
        <w:rPr>
          <w:color w:val="0D0D0D"/>
          <w:spacing w:val="-90"/>
        </w:rPr>
        <w:t> </w:t>
      </w:r>
      <w:r>
        <w:rPr>
          <w:color w:val="0D0D0D"/>
          <w:spacing w:val="-90"/>
        </w:rPr>
      </w:r>
      <w:r>
        <w:rPr>
          <w:color w:val="0D0D0D"/>
        </w:rPr>
        <w:t>和智慧服务业务的咨询、设计、建设、运营维护等全生命周期服务。运用数字技术等多种工</w:t>
      </w:r>
      <w:r>
        <w:rPr>
          <w:color w:val="0D0D0D"/>
          <w:spacing w:val="-93"/>
        </w:rPr>
        <w:t> </w:t>
      </w:r>
      <w:r>
        <w:rPr>
          <w:color w:val="0D0D0D"/>
          <w:spacing w:val="-93"/>
        </w:rPr>
      </w:r>
      <w:r>
        <w:rPr>
          <w:color w:val="0D0D0D"/>
        </w:rPr>
        <w:t>具贯穿项目全生命周期，使工程项目数字化、可视化、工厂预制化，并实现高效交付。</w:t>
      </w:r>
      <w:r>
        <w:rPr/>
      </w:r>
    </w:p>
    <w:p>
      <w:pPr>
        <w:pStyle w:val="BodyText"/>
        <w:spacing w:line="352" w:lineRule="auto" w:before="34"/>
        <w:ind w:right="1136" w:firstLine="480"/>
        <w:jc w:val="both"/>
      </w:pPr>
      <w:r>
        <w:rPr>
          <w:color w:val="0D0D0D"/>
        </w:rPr>
        <w:t>经过多年的积累，工程公司业务进入快速发展周期，先后承接了多个上亿元的大型数据 </w:t>
      </w:r>
      <w:r>
        <w:rPr>
          <w:color w:val="0D0D0D"/>
          <w:spacing w:val="-4"/>
        </w:rPr>
        <w:t>中心、控制中心、智慧服务等建设项目，形成覆盖</w:t>
      </w:r>
      <w:r>
        <w:rPr>
          <w:rFonts w:ascii="Times New Roman" w:hAnsi="Times New Roman" w:cs="Times New Roman" w:eastAsia="Times New Roman" w:hint="default"/>
          <w:color w:val="0D0D0D"/>
          <w:spacing w:val="-4"/>
        </w:rPr>
        <w:t>IDC</w:t>
      </w:r>
      <w:r>
        <w:rPr>
          <w:color w:val="0D0D0D"/>
          <w:spacing w:val="-4"/>
        </w:rPr>
        <w:t>、政府、金融、文化、科研、制造业、</w:t>
      </w:r>
      <w:r>
        <w:rPr>
          <w:color w:val="0D0D0D"/>
          <w:spacing w:val="-104"/>
        </w:rPr>
        <w:t> </w:t>
      </w:r>
      <w:r>
        <w:rPr>
          <w:color w:val="0D0D0D"/>
          <w:spacing w:val="-104"/>
        </w:rPr>
      </w:r>
      <w:r>
        <w:rPr>
          <w:color w:val="0D0D0D"/>
        </w:rPr>
        <w:t>教育、医疗卫生、交通、通信、能源等行业的庞大客户基础，正逐渐成为集团业务规模增长</w:t>
      </w:r>
      <w:r>
        <w:rPr>
          <w:color w:val="0D0D0D"/>
          <w:spacing w:val="-93"/>
        </w:rPr>
        <w:t> </w:t>
      </w:r>
      <w:r>
        <w:rPr>
          <w:color w:val="0D0D0D"/>
          <w:spacing w:val="-93"/>
        </w:rPr>
      </w:r>
      <w:r>
        <w:rPr>
          <w:color w:val="0D0D0D"/>
        </w:rPr>
        <w:t>的爆发点。</w:t>
      </w:r>
      <w:r>
        <w:rPr/>
      </w:r>
    </w:p>
    <w:p>
      <w:pPr>
        <w:spacing w:after="0" w:line="352"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36" w:lineRule="auto"/>
        <w:ind w:left="633" w:right="0"/>
        <w:jc w:val="left"/>
      </w:pPr>
      <w:r>
        <w:rPr>
          <w:rFonts w:ascii="Times New Roman" w:hAnsi="Times New Roman" w:cs="Times New Roman" w:eastAsia="Times New Roman" w:hint="default"/>
          <w:b/>
          <w:bCs/>
          <w:color w:val="0D0D0D"/>
        </w:rPr>
        <w:t>4</w:t>
      </w:r>
      <w:r>
        <w:rPr>
          <w:rFonts w:ascii="宋体" w:hAnsi="宋体" w:cs="宋体" w:eastAsia="宋体" w:hint="default"/>
          <w:b/>
          <w:bCs/>
          <w:color w:val="0D0D0D"/>
        </w:rPr>
        <w:t>、智慧服务</w:t>
      </w:r>
      <w:r>
        <w:rPr>
          <w:rFonts w:ascii="宋体" w:hAnsi="宋体" w:cs="宋体" w:eastAsia="宋体" w:hint="default"/>
          <w:b/>
          <w:bCs/>
          <w:color w:val="0D0D0D"/>
          <w:w w:val="99"/>
        </w:rPr>
        <w:t> </w:t>
      </w:r>
      <w:r>
        <w:rPr>
          <w:color w:val="0D0D0D"/>
        </w:rPr>
        <w:t>公司把握数据中心智慧服务市场的旺盛需求所带来的良好机遇，大力拓展云计算数据中</w:t>
      </w:r>
      <w:r>
        <w:rPr/>
      </w:r>
    </w:p>
    <w:p>
      <w:pPr>
        <w:pStyle w:val="BodyText"/>
        <w:spacing w:line="350" w:lineRule="auto" w:before="61"/>
        <w:ind w:right="1128"/>
        <w:jc w:val="both"/>
      </w:pPr>
      <w:r>
        <w:rPr>
          <w:color w:val="0D0D0D"/>
        </w:rPr>
        <w:t>心智慧运行维护及整体节能改造组合方案、设备上云预防性服务业务，在不断完善营销服务</w:t>
      </w:r>
      <w:r>
        <w:rPr>
          <w:color w:val="0D0D0D"/>
          <w:spacing w:val="-93"/>
        </w:rPr>
        <w:t> </w:t>
      </w:r>
      <w:r>
        <w:rPr>
          <w:color w:val="0D0D0D"/>
          <w:spacing w:val="-93"/>
        </w:rPr>
      </w:r>
      <w:r>
        <w:rPr>
          <w:color w:val="0D0D0D"/>
          <w:spacing w:val="-7"/>
          <w:w w:val="99"/>
        </w:rPr>
        <w:t>能力的同时，把管理</w:t>
      </w:r>
      <w:r>
        <w:rPr>
          <w:rFonts w:ascii="Times New Roman" w:hAnsi="Times New Roman" w:cs="Times New Roman" w:eastAsia="Times New Roman" w:hint="default"/>
          <w:color w:val="0D0D0D"/>
          <w:spacing w:val="-7"/>
          <w:w w:val="99"/>
        </w:rPr>
        <w:t>IT</w:t>
      </w:r>
      <w:r>
        <w:rPr>
          <w:color w:val="0D0D0D"/>
          <w:spacing w:val="-7"/>
          <w:w w:val="99"/>
        </w:rPr>
        <w:t>系统的方法和流程工具（如</w:t>
      </w:r>
      <w:r>
        <w:rPr>
          <w:rFonts w:ascii="Times New Roman" w:hAnsi="Times New Roman" w:cs="Times New Roman" w:eastAsia="Times New Roman" w:hint="default"/>
          <w:color w:val="0D0D0D"/>
          <w:spacing w:val="-7"/>
          <w:w w:val="99"/>
        </w:rPr>
        <w:t>ISO2000IT</w:t>
      </w:r>
      <w:r>
        <w:rPr>
          <w:color w:val="0D0D0D"/>
          <w:spacing w:val="-7"/>
          <w:w w:val="99"/>
        </w:rPr>
        <w:t>服务管理体系）延伸到数据中心，</w:t>
      </w:r>
      <w:r>
        <w:rPr>
          <w:color w:val="0D0D0D"/>
          <w:spacing w:val="-116"/>
          <w:w w:val="99"/>
        </w:rPr>
        <w:t> </w:t>
      </w:r>
      <w:r>
        <w:rPr>
          <w:color w:val="0D0D0D"/>
          <w:spacing w:val="-116"/>
          <w:w w:val="99"/>
        </w:rPr>
      </w:r>
      <w:r>
        <w:rPr>
          <w:color w:val="0D0D0D"/>
        </w:rPr>
        <w:t>构建成统一管理的运维体系，全面提升应用系统的服务质量，为用户提供服务生态平台维护</w:t>
      </w:r>
      <w:r>
        <w:rPr>
          <w:color w:val="0D0D0D"/>
          <w:spacing w:val="-93"/>
        </w:rPr>
        <w:t> </w:t>
      </w:r>
      <w:r>
        <w:rPr>
          <w:color w:val="0D0D0D"/>
          <w:spacing w:val="-93"/>
        </w:rPr>
      </w:r>
      <w:r>
        <w:rPr>
          <w:color w:val="0D0D0D"/>
        </w:rPr>
        <w:t>服务解决方案，为数据中心客户提供可靠、安全、节能和高效的综合运维管理服务，进一步</w:t>
      </w:r>
      <w:r>
        <w:rPr>
          <w:color w:val="0D0D0D"/>
          <w:spacing w:val="-93"/>
        </w:rPr>
        <w:t> </w:t>
      </w:r>
      <w:r>
        <w:rPr>
          <w:color w:val="0D0D0D"/>
          <w:spacing w:val="-93"/>
        </w:rPr>
      </w:r>
      <w:r>
        <w:rPr>
          <w:color w:val="0D0D0D"/>
        </w:rPr>
        <w:t>完善</w:t>
      </w:r>
      <w:r>
        <w:rPr>
          <w:rFonts w:ascii="Times New Roman" w:hAnsi="Times New Roman" w:cs="Times New Roman" w:eastAsia="Times New Roman" w:hint="default"/>
          <w:color w:val="0D0D0D"/>
        </w:rPr>
        <w:t>“</w:t>
      </w:r>
      <w:r>
        <w:rPr>
          <w:color w:val="0D0D0D"/>
        </w:rPr>
        <w:t>云计算基础设施全生命周期服务商</w:t>
      </w:r>
      <w:r>
        <w:rPr>
          <w:rFonts w:ascii="Times New Roman" w:hAnsi="Times New Roman" w:cs="Times New Roman" w:eastAsia="Times New Roman" w:hint="default"/>
          <w:color w:val="0D0D0D"/>
        </w:rPr>
        <w:t>”</w:t>
      </w:r>
      <w:r>
        <w:rPr>
          <w:color w:val="0D0D0D"/>
        </w:rPr>
        <w:t>的产业布局，有效提升数据中心基础设施科技建设</w:t>
      </w:r>
      <w:r>
        <w:rPr>
          <w:color w:val="0D0D0D"/>
          <w:spacing w:val="-72"/>
        </w:rPr>
        <w:t> </w:t>
      </w:r>
      <w:r>
        <w:rPr>
          <w:color w:val="0D0D0D"/>
          <w:spacing w:val="-72"/>
        </w:rPr>
      </w:r>
      <w:r>
        <w:rPr>
          <w:color w:val="0D0D0D"/>
        </w:rPr>
        <w:t>和运维的软硬件整体解决方案综合服务能力和水平。</w:t>
      </w:r>
      <w:r>
        <w:rPr/>
      </w:r>
    </w:p>
    <w:p>
      <w:pPr>
        <w:pStyle w:val="BodyText"/>
        <w:spacing w:line="348" w:lineRule="auto" w:before="46"/>
        <w:ind w:right="1136" w:firstLine="480"/>
        <w:jc w:val="both"/>
      </w:pPr>
      <w:r>
        <w:rPr>
          <w:color w:val="0D0D0D"/>
        </w:rPr>
        <w:t>公司的四大信息化子业务共享技术、供应链、营销和客户资源，实现</w:t>
      </w:r>
      <w:r>
        <w:rPr>
          <w:rFonts w:ascii="Times New Roman" w:hAnsi="Times New Roman" w:cs="Times New Roman" w:eastAsia="Times New Roman" w:hint="default"/>
          <w:color w:val="0D0D0D"/>
        </w:rPr>
        <w:t>1+1</w:t>
      </w:r>
      <w:r>
        <w:rPr>
          <w:color w:val="0D0D0D"/>
        </w:rPr>
        <w:t>大于</w:t>
      </w:r>
      <w:r>
        <w:rPr>
          <w:rFonts w:ascii="Times New Roman" w:hAnsi="Times New Roman" w:cs="Times New Roman" w:eastAsia="Times New Roman" w:hint="default"/>
          <w:color w:val="0D0D0D"/>
        </w:rPr>
        <w:t>2</w:t>
      </w:r>
      <w:r>
        <w:rPr>
          <w:color w:val="0D0D0D"/>
        </w:rPr>
        <w:t>的产业链 布局优势，有效提升了公司产品竞争力，也为公司整体解决方案业务在产品品牌和系统先进</w:t>
      </w:r>
      <w:r>
        <w:rPr>
          <w:color w:val="0D0D0D"/>
          <w:spacing w:val="-93"/>
        </w:rPr>
        <w:t> </w:t>
      </w:r>
      <w:r>
        <w:rPr>
          <w:color w:val="0D0D0D"/>
          <w:spacing w:val="-93"/>
        </w:rPr>
      </w:r>
      <w:r>
        <w:rPr>
          <w:color w:val="0D0D0D"/>
        </w:rPr>
        <w:t>节能方面提升了优势。</w:t>
      </w:r>
      <w:r>
        <w:rPr/>
      </w:r>
    </w:p>
    <w:p>
      <w:pPr>
        <w:spacing w:line="360" w:lineRule="auto" w:before="43"/>
        <w:ind w:left="633" w:right="0" w:firstLine="0"/>
        <w:jc w:val="left"/>
        <w:rPr>
          <w:rFonts w:ascii="宋体" w:hAnsi="宋体" w:cs="宋体" w:eastAsia="宋体" w:hint="default"/>
          <w:sz w:val="24"/>
          <w:szCs w:val="24"/>
        </w:rPr>
      </w:pPr>
      <w:r>
        <w:rPr>
          <w:rFonts w:ascii="宋体" w:hAnsi="宋体" w:cs="宋体" w:eastAsia="宋体" w:hint="default"/>
          <w:b/>
          <w:bCs/>
          <w:color w:val="0D0D0D"/>
          <w:sz w:val="24"/>
          <w:szCs w:val="24"/>
        </w:rPr>
        <w:t>（二）完善产业链整合</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公司不断完善打造产业链协同的能力，已经成为从设备到软件、从架构建设到服务的云</w:t>
      </w:r>
      <w:r>
        <w:rPr>
          <w:rFonts w:ascii="宋体" w:hAnsi="宋体" w:cs="宋体" w:eastAsia="宋体" w:hint="default"/>
          <w:sz w:val="24"/>
          <w:szCs w:val="24"/>
        </w:rPr>
      </w:r>
    </w:p>
    <w:p>
      <w:pPr>
        <w:pStyle w:val="BodyText"/>
        <w:spacing w:line="355" w:lineRule="auto" w:before="32"/>
        <w:ind w:right="1133"/>
        <w:jc w:val="both"/>
      </w:pPr>
      <w:r>
        <w:rPr>
          <w:color w:val="0D0D0D"/>
        </w:rPr>
        <w:t>数据中心全生命周期整体解决方案的先进服务商，构建了完善全产业链服务，能为客户提供</w:t>
      </w:r>
      <w:r>
        <w:rPr>
          <w:color w:val="0D0D0D"/>
          <w:spacing w:val="-93"/>
        </w:rPr>
        <w:t> </w:t>
      </w:r>
      <w:r>
        <w:rPr>
          <w:color w:val="0D0D0D"/>
          <w:spacing w:val="-93"/>
        </w:rPr>
      </w:r>
      <w:r>
        <w:rPr>
          <w:color w:val="0D0D0D"/>
        </w:rPr>
        <w:t>一站式服务。同时公司拥有多维度协同的市场和营销渠道，完善的渠道营销和大客户协同战</w:t>
      </w:r>
      <w:r>
        <w:rPr>
          <w:color w:val="0D0D0D"/>
          <w:spacing w:val="-93"/>
        </w:rPr>
        <w:t> </w:t>
      </w:r>
      <w:r>
        <w:rPr>
          <w:color w:val="0D0D0D"/>
          <w:spacing w:val="-93"/>
        </w:rPr>
      </w:r>
      <w:r>
        <w:rPr>
          <w:color w:val="0D0D0D"/>
        </w:rPr>
        <w:t>略体系，基于公司多年对行业深刻理解以及对先进技术的持续追求，在各行业积累的经验与</w:t>
      </w:r>
      <w:r>
        <w:rPr>
          <w:color w:val="0D0D0D"/>
          <w:spacing w:val="-91"/>
        </w:rPr>
        <w:t> </w:t>
      </w:r>
      <w:r>
        <w:rPr>
          <w:color w:val="0D0D0D"/>
          <w:spacing w:val="-91"/>
        </w:rPr>
      </w:r>
      <w:r>
        <w:rPr>
          <w:color w:val="0D0D0D"/>
        </w:rPr>
        <w:t>市场优势，依托大数据、云计算、物联网、</w:t>
      </w:r>
      <w:r>
        <w:rPr>
          <w:rFonts w:ascii="Times New Roman" w:hAnsi="Times New Roman" w:cs="Times New Roman" w:eastAsia="Times New Roman" w:hint="default"/>
          <w:color w:val="0D0D0D"/>
        </w:rPr>
        <w:t>AI</w:t>
      </w:r>
      <w:r>
        <w:rPr>
          <w:color w:val="0D0D0D"/>
        </w:rPr>
        <w:t>等技术的支撑，构建了完善的产品及服务生态</w:t>
      </w:r>
      <w:r>
        <w:rPr>
          <w:color w:val="0D0D0D"/>
          <w:spacing w:val="-107"/>
        </w:rPr>
        <w:t> </w:t>
      </w:r>
      <w:r>
        <w:rPr>
          <w:color w:val="0D0D0D"/>
          <w:spacing w:val="-107"/>
        </w:rPr>
      </w:r>
      <w:r>
        <w:rPr>
          <w:color w:val="0D0D0D"/>
        </w:rPr>
        <w:t>圈，为客户提供不同需求的解决方案并交付实施，利用领先的产品、整体解决方案、品质优</w:t>
      </w:r>
      <w:r>
        <w:rPr>
          <w:color w:val="0D0D0D"/>
          <w:spacing w:val="-93"/>
        </w:rPr>
        <w:t> </w:t>
      </w:r>
      <w:r>
        <w:rPr>
          <w:color w:val="0D0D0D"/>
          <w:spacing w:val="-93"/>
        </w:rPr>
      </w:r>
      <w:r>
        <w:rPr>
          <w:color w:val="0D0D0D"/>
        </w:rPr>
        <w:t>势，实现与经销商、合作伙伴共同成长、创造双赢的目标。</w:t>
      </w:r>
      <w:r>
        <w:rPr/>
      </w:r>
    </w:p>
    <w:p>
      <w:pPr>
        <w:spacing w:line="360" w:lineRule="auto" w:before="36"/>
        <w:ind w:left="633" w:right="0" w:firstLine="0"/>
        <w:jc w:val="left"/>
        <w:rPr>
          <w:rFonts w:ascii="宋体" w:hAnsi="宋体" w:cs="宋体" w:eastAsia="宋体" w:hint="default"/>
          <w:sz w:val="24"/>
          <w:szCs w:val="24"/>
        </w:rPr>
      </w:pPr>
      <w:r>
        <w:rPr>
          <w:rFonts w:ascii="宋体" w:hAnsi="宋体" w:cs="宋体" w:eastAsia="宋体" w:hint="default"/>
          <w:b/>
          <w:bCs/>
          <w:color w:val="0D0D0D"/>
          <w:sz w:val="24"/>
          <w:szCs w:val="24"/>
        </w:rPr>
        <w:t>（三）创新研发机制</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公司在技术研发方面坚持注重创新研发，打造了以专家为核心的研发团队，配置了先进</w:t>
      </w:r>
      <w:r>
        <w:rPr>
          <w:rFonts w:ascii="宋体" w:hAnsi="宋体" w:cs="宋体" w:eastAsia="宋体" w:hint="default"/>
          <w:sz w:val="24"/>
          <w:szCs w:val="24"/>
        </w:rPr>
      </w:r>
    </w:p>
    <w:p>
      <w:pPr>
        <w:pStyle w:val="BodyText"/>
        <w:spacing w:line="338" w:lineRule="auto" w:before="31"/>
        <w:ind w:right="0"/>
        <w:jc w:val="left"/>
        <w:rPr>
          <w:rFonts w:ascii="Times New Roman" w:hAnsi="Times New Roman" w:cs="Times New Roman" w:eastAsia="Times New Roman" w:hint="default"/>
        </w:rPr>
      </w:pPr>
      <w:r>
        <w:rPr>
          <w:color w:val="0D0D0D"/>
        </w:rPr>
        <w:t>的研发软件、硬件和实验中心。公司技术中心获得</w:t>
      </w:r>
      <w:r>
        <w:rPr>
          <w:rFonts w:ascii="Times New Roman" w:hAnsi="Times New Roman" w:cs="Times New Roman" w:eastAsia="Times New Roman" w:hint="default"/>
          <w:color w:val="0D0D0D"/>
        </w:rPr>
        <w:t>“</w:t>
      </w:r>
      <w:r>
        <w:rPr>
          <w:color w:val="0D0D0D"/>
        </w:rPr>
        <w:t>国家企业技术中心认定</w:t>
      </w:r>
      <w:r>
        <w:rPr>
          <w:rFonts w:ascii="Times New Roman" w:hAnsi="Times New Roman" w:cs="Times New Roman" w:eastAsia="Times New Roman" w:hint="default"/>
          <w:color w:val="0D0D0D"/>
        </w:rPr>
        <w:t>”</w:t>
      </w:r>
      <w:r>
        <w:rPr>
          <w:color w:val="0D0D0D"/>
        </w:rPr>
        <w:t>，已拥有百余项</w:t>
      </w:r>
      <w:r>
        <w:rPr>
          <w:color w:val="0D0D0D"/>
          <w:spacing w:val="-65"/>
        </w:rPr>
        <w:t> </w:t>
      </w:r>
      <w:r>
        <w:rPr>
          <w:color w:val="0D0D0D"/>
          <w:spacing w:val="-65"/>
        </w:rPr>
      </w:r>
      <w:r>
        <w:rPr>
          <w:color w:val="0D0D0D"/>
        </w:rPr>
        <w:t>专利技术与软件著作权；公司自主研发的</w:t>
      </w:r>
      <w:r>
        <w:rPr>
          <w:rFonts w:ascii="Times New Roman" w:hAnsi="Times New Roman" w:cs="Times New Roman" w:eastAsia="Times New Roman" w:hint="default"/>
          <w:color w:val="0D0D0D"/>
        </w:rPr>
        <w:t>“</w:t>
      </w:r>
      <w:r>
        <w:rPr>
          <w:color w:val="0D0D0D"/>
        </w:rPr>
        <w:t>墨</w:t>
      </w:r>
      <w:r>
        <w:rPr>
          <w:rFonts w:ascii="Times New Roman" w:hAnsi="Times New Roman" w:cs="Times New Roman" w:eastAsia="Times New Roman" w:hint="default"/>
          <w:color w:val="0D0D0D"/>
        </w:rPr>
        <w:t>•</w:t>
      </w:r>
      <w:r>
        <w:rPr>
          <w:color w:val="0D0D0D"/>
        </w:rPr>
        <w:t>云系列多模制冷智能机组</w:t>
      </w:r>
      <w:r>
        <w:rPr>
          <w:rFonts w:ascii="Times New Roman" w:hAnsi="Times New Roman" w:cs="Times New Roman" w:eastAsia="Times New Roman" w:hint="default"/>
          <w:color w:val="0D0D0D"/>
        </w:rPr>
        <w:t>”</w:t>
      </w:r>
      <w:r>
        <w:rPr>
          <w:color w:val="0D0D0D"/>
        </w:rPr>
        <w:t>项目获得国家科学技 术成果认定，</w:t>
      </w:r>
      <w:r>
        <w:rPr>
          <w:rFonts w:ascii="Times New Roman" w:hAnsi="Times New Roman" w:cs="Times New Roman" w:eastAsia="Times New Roman" w:hint="default"/>
          <w:color w:val="0D0D0D"/>
        </w:rPr>
        <w:t>“</w:t>
      </w:r>
      <w:r>
        <w:rPr>
          <w:color w:val="0D0D0D"/>
        </w:rPr>
        <w:t>基于多模制冷节能空调的间接蒸发冷却技术</w:t>
      </w:r>
      <w:r>
        <w:rPr>
          <w:rFonts w:ascii="Times New Roman" w:hAnsi="Times New Roman" w:cs="Times New Roman" w:eastAsia="Times New Roman" w:hint="default"/>
          <w:color w:val="0D0D0D"/>
        </w:rPr>
        <w:t>”</w:t>
      </w:r>
      <w:r>
        <w:rPr>
          <w:color w:val="0D0D0D"/>
        </w:rPr>
        <w:t>荣获</w:t>
      </w:r>
      <w:r>
        <w:rPr>
          <w:rFonts w:ascii="Times New Roman" w:hAnsi="Times New Roman" w:cs="Times New Roman" w:eastAsia="Times New Roman" w:hint="default"/>
          <w:color w:val="0D0D0D"/>
        </w:rPr>
        <w:t>“</w:t>
      </w:r>
      <w:r>
        <w:rPr>
          <w:color w:val="0D0D0D"/>
        </w:rPr>
        <w:t>全国电子节能环保优秀推荐 </w:t>
      </w:r>
      <w:r>
        <w:rPr>
          <w:color w:val="0D0D0D"/>
          <w:spacing w:val="-5"/>
        </w:rPr>
        <w:t>产品技术</w:t>
      </w:r>
      <w:r>
        <w:rPr>
          <w:rFonts w:ascii="Times New Roman" w:hAnsi="Times New Roman" w:cs="Times New Roman" w:eastAsia="Times New Roman" w:hint="default"/>
          <w:color w:val="0D0D0D"/>
          <w:spacing w:val="-5"/>
        </w:rPr>
        <w:t>”</w:t>
      </w:r>
      <w:r>
        <w:rPr>
          <w:color w:val="0D0D0D"/>
          <w:spacing w:val="-5"/>
        </w:rPr>
        <w:t>；创新研发的多型号多系列精密空调通过了国家级实验室抗震性能测试检验，其中，</w:t>
      </w:r>
      <w:r>
        <w:rPr>
          <w:color w:val="0D0D0D"/>
          <w:spacing w:val="-103"/>
        </w:rPr>
        <w:t> </w:t>
      </w:r>
      <w:r>
        <w:rPr>
          <w:color w:val="0D0D0D"/>
          <w:spacing w:val="-103"/>
        </w:rPr>
      </w:r>
      <w:r>
        <w:rPr>
          <w:rFonts w:ascii="Times New Roman" w:hAnsi="Times New Roman" w:cs="Times New Roman" w:eastAsia="Times New Roman" w:hint="default"/>
          <w:color w:val="0D0D0D"/>
        </w:rPr>
        <w:t>5G</w:t>
      </w:r>
      <w:r>
        <w:rPr>
          <w:color w:val="0D0D0D"/>
        </w:rPr>
        <w:t>基站空调获得</w:t>
      </w:r>
      <w:r>
        <w:rPr>
          <w:rFonts w:ascii="Times New Roman" w:hAnsi="Times New Roman" w:cs="Times New Roman" w:eastAsia="Times New Roman" w:hint="default"/>
          <w:color w:val="0D0D0D"/>
        </w:rPr>
        <w:t>8</w:t>
      </w:r>
      <w:r>
        <w:rPr>
          <w:color w:val="0D0D0D"/>
        </w:rPr>
        <w:t>级抗震认证，风冷房间、冷冻水房间、风冷列间、冷冻水列间空调获得</w:t>
      </w:r>
      <w:r>
        <w:rPr>
          <w:rFonts w:ascii="Times New Roman" w:hAnsi="Times New Roman" w:cs="Times New Roman" w:eastAsia="Times New Roman" w:hint="default"/>
          <w:color w:val="0D0D0D"/>
        </w:rPr>
        <w:t>9</w:t>
      </w:r>
      <w:r>
        <w:rPr>
          <w:color w:val="0D0D0D"/>
        </w:rPr>
        <w:t>级 认证；同时，创新开发了针对小型数据机房和通讯基站市场的专业精密空调</w:t>
      </w:r>
      <w:r>
        <w:rPr>
          <w:rFonts w:ascii="Times New Roman" w:hAnsi="Times New Roman" w:cs="Times New Roman" w:eastAsia="Times New Roman" w:hint="default"/>
          <w:color w:val="0D0D0D"/>
        </w:rPr>
        <w:t>“</w:t>
      </w:r>
      <w:r>
        <w:rPr>
          <w:color w:val="0D0D0D"/>
        </w:rPr>
        <w:t>边云系列新一代 小型精密空调机组</w:t>
      </w:r>
      <w:r>
        <w:rPr>
          <w:rFonts w:ascii="Times New Roman" w:hAnsi="Times New Roman" w:cs="Times New Roman" w:eastAsia="Times New Roman" w:hint="default"/>
          <w:color w:val="0D0D0D"/>
        </w:rPr>
        <w:t>SGA”</w:t>
      </w:r>
      <w:r>
        <w:rPr>
          <w:color w:val="0D0D0D"/>
        </w:rPr>
        <w:t>、</w:t>
      </w:r>
      <w:r>
        <w:rPr>
          <w:rFonts w:ascii="Times New Roman" w:hAnsi="Times New Roman" w:cs="Times New Roman" w:eastAsia="Times New Roman" w:hint="default"/>
          <w:color w:val="0D0D0D"/>
        </w:rPr>
        <w:t>“</w:t>
      </w:r>
      <w:r>
        <w:rPr>
          <w:color w:val="0D0D0D"/>
        </w:rPr>
        <w:t>边云系列小型机房热管一体式空调机组</w:t>
      </w:r>
      <w:r>
        <w:rPr>
          <w:rFonts w:ascii="Times New Roman" w:hAnsi="Times New Roman" w:cs="Times New Roman" w:eastAsia="Times New Roman" w:hint="default"/>
          <w:color w:val="0D0D0D"/>
        </w:rPr>
        <w:t>SDA.HP”</w:t>
      </w:r>
      <w:r>
        <w:rPr>
          <w:color w:val="0D0D0D"/>
        </w:rPr>
        <w:t>，具有比传统空</w:t>
      </w:r>
      <w:r>
        <w:rPr>
          <w:color w:val="0D0D0D"/>
          <w:spacing w:val="-67"/>
        </w:rPr>
        <w:t> </w:t>
      </w:r>
      <w:r>
        <w:rPr>
          <w:color w:val="0D0D0D"/>
          <w:spacing w:val="-67"/>
        </w:rPr>
      </w:r>
      <w:r>
        <w:rPr>
          <w:color w:val="0D0D0D"/>
          <w:spacing w:val="4"/>
        </w:rPr>
        <w:t>调更高能效比等特点；另外，由公司参编的国家标准《云计算数据中心基本要求》（</w:t>
      </w:r>
      <w:r>
        <w:rPr>
          <w:rFonts w:ascii="Times New Roman" w:hAnsi="Times New Roman" w:cs="Times New Roman" w:eastAsia="Times New Roman" w:hint="default"/>
          <w:color w:val="0D0D0D"/>
          <w:spacing w:val="4"/>
        </w:rPr>
        <w:t>GB/T</w:t>
      </w:r>
      <w:r>
        <w:rPr>
          <w:rFonts w:ascii="Times New Roman" w:hAnsi="Times New Roman" w:cs="Times New Roman" w:eastAsia="Times New Roman" w:hint="default"/>
          <w:spacing w:val="4"/>
        </w:rPr>
      </w:r>
    </w:p>
    <w:p>
      <w:pPr>
        <w:spacing w:after="0" w:line="338" w:lineRule="auto"/>
        <w:jc w:val="left"/>
        <w:rPr>
          <w:rFonts w:ascii="Times New Roman" w:hAnsi="Times New Roman" w:cs="Times New Roman" w:eastAsia="Times New Roman" w:hint="default"/>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pStyle w:val="BodyText"/>
        <w:spacing w:line="336" w:lineRule="auto" w:before="188"/>
        <w:ind w:right="0"/>
        <w:jc w:val="left"/>
      </w:pPr>
      <w:r>
        <w:rPr>
          <w:rFonts w:ascii="Times New Roman" w:hAnsi="Times New Roman" w:cs="Times New Roman" w:eastAsia="Times New Roman" w:hint="default"/>
          <w:color w:val="0D0D0D"/>
        </w:rPr>
        <w:t>34982-2017</w:t>
      </w:r>
      <w:r>
        <w:rPr>
          <w:color w:val="0D0D0D"/>
        </w:rPr>
        <w:t>）获得国标委批准发布并于</w:t>
      </w:r>
      <w:r>
        <w:rPr>
          <w:rFonts w:ascii="Times New Roman" w:hAnsi="Times New Roman" w:cs="Times New Roman" w:eastAsia="Times New Roman" w:hint="default"/>
          <w:color w:val="0D0D0D"/>
        </w:rPr>
        <w:t>2018</w:t>
      </w:r>
      <w:r>
        <w:rPr>
          <w:color w:val="0D0D0D"/>
        </w:rPr>
        <w:t>年</w:t>
      </w:r>
      <w:r>
        <w:rPr>
          <w:rFonts w:ascii="Times New Roman" w:hAnsi="Times New Roman" w:cs="Times New Roman" w:eastAsia="Times New Roman" w:hint="default"/>
          <w:color w:val="0D0D0D"/>
        </w:rPr>
        <w:t>5</w:t>
      </w:r>
      <w:r>
        <w:rPr>
          <w:color w:val="0D0D0D"/>
        </w:rPr>
        <w:t>月</w:t>
      </w:r>
      <w:r>
        <w:rPr>
          <w:rFonts w:ascii="Times New Roman" w:hAnsi="Times New Roman" w:cs="Times New Roman" w:eastAsia="Times New Roman" w:hint="default"/>
          <w:color w:val="0D0D0D"/>
        </w:rPr>
        <w:t>1</w:t>
      </w:r>
      <w:r>
        <w:rPr>
          <w:color w:val="0D0D0D"/>
        </w:rPr>
        <w:t>日起正式实施。公司在技术研发方面不断</w:t>
      </w:r>
      <w:r>
        <w:rPr>
          <w:color w:val="0D0D0D"/>
          <w:spacing w:val="-62"/>
        </w:rPr>
        <w:t> </w:t>
      </w:r>
      <w:r>
        <w:rPr>
          <w:color w:val="0D0D0D"/>
          <w:spacing w:val="-62"/>
        </w:rPr>
      </w:r>
      <w:r>
        <w:rPr>
          <w:color w:val="0D0D0D"/>
        </w:rPr>
        <w:t>积累与创新已成为公司获取更多市场份额的必备武器。</w:t>
      </w:r>
      <w:r>
        <w:rPr/>
      </w:r>
    </w:p>
    <w:p>
      <w:pPr>
        <w:spacing w:line="355" w:lineRule="auto" w:before="61"/>
        <w:ind w:left="633" w:right="0" w:firstLine="0"/>
        <w:jc w:val="left"/>
        <w:rPr>
          <w:rFonts w:ascii="宋体" w:hAnsi="宋体" w:cs="宋体" w:eastAsia="宋体" w:hint="default"/>
          <w:sz w:val="24"/>
          <w:szCs w:val="24"/>
        </w:rPr>
      </w:pPr>
      <w:r>
        <w:rPr>
          <w:rFonts w:ascii="宋体" w:hAnsi="宋体" w:cs="宋体" w:eastAsia="宋体" w:hint="default"/>
          <w:b/>
          <w:bCs/>
          <w:color w:val="0D0D0D"/>
          <w:sz w:val="24"/>
          <w:szCs w:val="24"/>
        </w:rPr>
        <w:t>（四）品牌经营优势</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公司秉承</w:t>
      </w:r>
      <w:r>
        <w:rPr>
          <w:rFonts w:ascii="Times New Roman" w:hAnsi="Times New Roman" w:cs="Times New Roman" w:eastAsia="Times New Roman" w:hint="default"/>
          <w:color w:val="0D0D0D"/>
          <w:sz w:val="24"/>
          <w:szCs w:val="24"/>
        </w:rPr>
        <w:t>“</w:t>
      </w:r>
      <w:r>
        <w:rPr>
          <w:rFonts w:ascii="宋体" w:hAnsi="宋体" w:cs="宋体" w:eastAsia="宋体" w:hint="default"/>
          <w:color w:val="0D0D0D"/>
          <w:sz w:val="24"/>
          <w:szCs w:val="24"/>
        </w:rPr>
        <w:t>品牌经营</w:t>
      </w:r>
      <w:r>
        <w:rPr>
          <w:rFonts w:ascii="Times New Roman" w:hAnsi="Times New Roman" w:cs="Times New Roman" w:eastAsia="Times New Roman" w:hint="default"/>
          <w:color w:val="0D0D0D"/>
          <w:sz w:val="24"/>
          <w:szCs w:val="24"/>
        </w:rPr>
        <w:t>”</w:t>
      </w:r>
      <w:r>
        <w:rPr>
          <w:rFonts w:ascii="宋体" w:hAnsi="宋体" w:cs="宋体" w:eastAsia="宋体" w:hint="default"/>
          <w:color w:val="0D0D0D"/>
          <w:sz w:val="24"/>
          <w:szCs w:val="24"/>
        </w:rPr>
        <w:t>理念，聚焦数据中心科技基础设施行业的耕耘，构建了在行业内实</w:t>
      </w:r>
      <w:r>
        <w:rPr>
          <w:rFonts w:ascii="宋体" w:hAnsi="宋体" w:cs="宋体" w:eastAsia="宋体" w:hint="default"/>
          <w:sz w:val="24"/>
          <w:szCs w:val="24"/>
        </w:rPr>
      </w:r>
    </w:p>
    <w:p>
      <w:pPr>
        <w:pStyle w:val="BodyText"/>
        <w:spacing w:line="350" w:lineRule="auto" w:before="10"/>
        <w:ind w:right="0"/>
        <w:jc w:val="left"/>
      </w:pPr>
      <w:r>
        <w:rPr>
          <w:color w:val="0D0D0D"/>
          <w:spacing w:val="-5"/>
        </w:rPr>
        <w:t>现产业链的贯通经营，已经形成专业整体解决方案品牌优势。同时，公司以客户体验为抓手，</w:t>
      </w:r>
      <w:r>
        <w:rPr>
          <w:color w:val="0D0D0D"/>
        </w:rPr>
        <w:t> 构建公司从技术到市场领先品牌目标，随着集团内数据中心关键设备智能制造、设计与集成</w:t>
      </w:r>
      <w:r>
        <w:rPr>
          <w:color w:val="0D0D0D"/>
          <w:spacing w:val="-93"/>
        </w:rPr>
        <w:t> </w:t>
      </w:r>
      <w:r>
        <w:rPr>
          <w:color w:val="0D0D0D"/>
          <w:spacing w:val="-93"/>
        </w:rPr>
      </w:r>
      <w:r>
        <w:rPr>
          <w:color w:val="0D0D0D"/>
        </w:rPr>
        <w:t>总包、传统动环监控与物联网与</w:t>
      </w:r>
      <w:r>
        <w:rPr>
          <w:rFonts w:ascii="Times New Roman" w:hAnsi="Times New Roman" w:cs="Times New Roman" w:eastAsia="Times New Roman" w:hint="default"/>
          <w:color w:val="0D0D0D"/>
        </w:rPr>
        <w:t>AI</w:t>
      </w:r>
      <w:r>
        <w:rPr>
          <w:color w:val="0D0D0D"/>
        </w:rPr>
        <w:t>算法平台、以及智慧服务和数据中心迭代升级服务四条业</w:t>
      </w:r>
      <w:r>
        <w:rPr>
          <w:color w:val="0D0D0D"/>
          <w:spacing w:val="-108"/>
        </w:rPr>
        <w:t> </w:t>
      </w:r>
      <w:r>
        <w:rPr>
          <w:color w:val="0D0D0D"/>
          <w:spacing w:val="-108"/>
        </w:rPr>
      </w:r>
      <w:r>
        <w:rPr>
          <w:color w:val="0D0D0D"/>
        </w:rPr>
        <w:t>务线在技术、系统解决方案、市场和渠道多维度全面协同，同时持续加强品牌经营与管理，</w:t>
      </w:r>
      <w:r>
        <w:rPr>
          <w:color w:val="0D0D0D"/>
          <w:spacing w:val="-93"/>
        </w:rPr>
        <w:t> </w:t>
      </w:r>
      <w:r>
        <w:rPr>
          <w:color w:val="0D0D0D"/>
          <w:spacing w:val="-93"/>
        </w:rPr>
      </w:r>
      <w:r>
        <w:rPr>
          <w:color w:val="0D0D0D"/>
        </w:rPr>
        <w:t>不断增强公司品牌优势，实现</w:t>
      </w:r>
      <w:r>
        <w:rPr>
          <w:rFonts w:ascii="Times New Roman" w:hAnsi="Times New Roman" w:cs="Times New Roman" w:eastAsia="Times New Roman" w:hint="default"/>
          <w:color w:val="0D0D0D"/>
        </w:rPr>
        <w:t>YMK</w:t>
      </w:r>
      <w:r>
        <w:rPr>
          <w:color w:val="0D0D0D"/>
        </w:rPr>
        <w:t>高质量、可信赖品牌目标，为客户创造更多价值，同时，</w:t>
      </w:r>
      <w:r>
        <w:rPr>
          <w:color w:val="0D0D0D"/>
          <w:spacing w:val="-58"/>
        </w:rPr>
        <w:t> </w:t>
      </w:r>
      <w:r>
        <w:rPr>
          <w:color w:val="0D0D0D"/>
          <w:spacing w:val="-58"/>
        </w:rPr>
      </w:r>
      <w:r>
        <w:rPr>
          <w:color w:val="0D0D0D"/>
        </w:rPr>
        <w:t>也为公司创造更多效益。</w:t>
      </w:r>
      <w:r>
        <w:rPr/>
      </w:r>
    </w:p>
    <w:p>
      <w:pPr>
        <w:pStyle w:val="BodyText"/>
        <w:spacing w:line="355" w:lineRule="auto" w:before="46"/>
        <w:ind w:left="633" w:right="0"/>
        <w:jc w:val="left"/>
      </w:pPr>
      <w:r>
        <w:rPr>
          <w:rFonts w:ascii="宋体" w:hAnsi="宋体" w:cs="宋体" w:eastAsia="宋体" w:hint="default"/>
          <w:b/>
          <w:bCs/>
          <w:color w:val="0D0D0D"/>
        </w:rPr>
        <w:t>（五）服务优势</w:t>
      </w:r>
      <w:r>
        <w:rPr>
          <w:rFonts w:ascii="宋体" w:hAnsi="宋体" w:cs="宋体" w:eastAsia="宋体" w:hint="default"/>
          <w:b/>
          <w:bCs/>
          <w:color w:val="0D0D0D"/>
          <w:w w:val="99"/>
        </w:rPr>
        <w:t> </w:t>
      </w:r>
      <w:r>
        <w:rPr>
          <w:color w:val="0D0D0D"/>
        </w:rPr>
        <w:t>公司拥有一支专业的服务团队，所有人员均经过严格训练，具有丰富的经验。公司在全</w:t>
      </w:r>
      <w:r>
        <w:rPr/>
      </w:r>
    </w:p>
    <w:p>
      <w:pPr>
        <w:pStyle w:val="BodyText"/>
        <w:spacing w:line="338" w:lineRule="auto" w:before="41"/>
        <w:ind w:right="1133"/>
        <w:jc w:val="both"/>
      </w:pPr>
      <w:r>
        <w:rPr>
          <w:color w:val="0D0D0D"/>
        </w:rPr>
        <w:t>国近</w:t>
      </w:r>
      <w:r>
        <w:rPr>
          <w:rFonts w:ascii="Times New Roman" w:hAnsi="Times New Roman" w:cs="Times New Roman" w:eastAsia="Times New Roman" w:hint="default"/>
          <w:color w:val="0D0D0D"/>
        </w:rPr>
        <w:t>30</w:t>
      </w:r>
      <w:r>
        <w:rPr>
          <w:color w:val="0D0D0D"/>
        </w:rPr>
        <w:t>个主要城市均设有售后服务网点，服务人员定期对覆盖区域的精密空调进行巡检，以</w:t>
      </w:r>
      <w:r>
        <w:rPr>
          <w:color w:val="0D0D0D"/>
          <w:spacing w:val="-93"/>
        </w:rPr>
        <w:t> </w:t>
      </w:r>
      <w:r>
        <w:rPr>
          <w:color w:val="0D0D0D"/>
          <w:spacing w:val="-93"/>
        </w:rPr>
      </w:r>
      <w:r>
        <w:rPr>
          <w:color w:val="0D0D0D"/>
          <w:spacing w:val="-2"/>
        </w:rPr>
        <w:t>确保机房各服务器的正常运行。同时，公司设有</w:t>
      </w:r>
      <w:r>
        <w:rPr>
          <w:rFonts w:ascii="Times New Roman" w:hAnsi="Times New Roman" w:cs="Times New Roman" w:eastAsia="Times New Roman" w:hint="default"/>
          <w:color w:val="0D0D0D"/>
          <w:spacing w:val="-2"/>
        </w:rPr>
        <w:t>“400”</w:t>
      </w:r>
      <w:r>
        <w:rPr>
          <w:color w:val="0D0D0D"/>
          <w:spacing w:val="-2"/>
        </w:rPr>
        <w:t>客服电话，确保</w:t>
      </w:r>
      <w:r>
        <w:rPr>
          <w:rFonts w:ascii="Times New Roman" w:hAnsi="Times New Roman" w:cs="Times New Roman" w:eastAsia="Times New Roman" w:hint="default"/>
          <w:color w:val="0D0D0D"/>
          <w:spacing w:val="-2"/>
        </w:rPr>
        <w:t>7*24</w:t>
      </w:r>
      <w:r>
        <w:rPr>
          <w:color w:val="0D0D0D"/>
          <w:spacing w:val="-2"/>
        </w:rPr>
        <w:t>小时能够向客户提</w:t>
      </w:r>
      <w:r>
        <w:rPr>
          <w:color w:val="0D0D0D"/>
          <w:spacing w:val="-95"/>
        </w:rPr>
        <w:t> </w:t>
      </w:r>
      <w:r>
        <w:rPr>
          <w:color w:val="0D0D0D"/>
          <w:spacing w:val="-2"/>
        </w:rPr>
        <w:t>供检测抢修服务，及时排除设备故障。公司向客户承诺</w:t>
      </w:r>
      <w:r>
        <w:rPr>
          <w:rFonts w:ascii="Times New Roman" w:hAnsi="Times New Roman" w:cs="Times New Roman" w:eastAsia="Times New Roman" w:hint="default"/>
          <w:color w:val="0D0D0D"/>
          <w:spacing w:val="-2"/>
        </w:rPr>
        <w:t>“24</w:t>
      </w:r>
      <w:r>
        <w:rPr>
          <w:color w:val="0D0D0D"/>
          <w:spacing w:val="-2"/>
        </w:rPr>
        <w:t>小时内解决问题、排除故障，售后</w:t>
      </w:r>
      <w:r>
        <w:rPr>
          <w:color w:val="0D0D0D"/>
          <w:spacing w:val="-113"/>
        </w:rPr>
        <w:t> </w:t>
      </w:r>
      <w:r>
        <w:rPr>
          <w:color w:val="0D0D0D"/>
          <w:spacing w:val="-113"/>
        </w:rPr>
      </w:r>
      <w:r>
        <w:rPr>
          <w:color w:val="0D0D0D"/>
          <w:spacing w:val="-2"/>
        </w:rPr>
        <w:t>服务节假日从不打烊</w:t>
      </w:r>
      <w:r>
        <w:rPr>
          <w:rFonts w:ascii="Times New Roman" w:hAnsi="Times New Roman" w:cs="Times New Roman" w:eastAsia="Times New Roman" w:hint="default"/>
          <w:color w:val="0D0D0D"/>
          <w:spacing w:val="-2"/>
        </w:rPr>
        <w:t>”</w:t>
      </w:r>
      <w:r>
        <w:rPr>
          <w:color w:val="0D0D0D"/>
          <w:spacing w:val="-2"/>
        </w:rPr>
        <w:t>。公司快速、专业、贴心的售后服务，赢得了多个客户的公开表扬，也</w:t>
      </w:r>
      <w:r>
        <w:rPr>
          <w:color w:val="0D0D0D"/>
          <w:spacing w:val="-114"/>
        </w:rPr>
        <w:t> </w:t>
      </w:r>
      <w:r>
        <w:rPr>
          <w:color w:val="0D0D0D"/>
          <w:spacing w:val="-114"/>
        </w:rPr>
      </w:r>
      <w:r>
        <w:rPr>
          <w:color w:val="0D0D0D"/>
        </w:rPr>
        <w:t>为公司开展维保服务及孵化新业务奠定了坚实的基础。</w:t>
      </w:r>
      <w:r>
        <w:rPr/>
      </w:r>
    </w:p>
    <w:p>
      <w:pPr>
        <w:pStyle w:val="Heading2"/>
        <w:spacing w:line="240" w:lineRule="auto" w:before="53"/>
        <w:ind w:left="633" w:right="0"/>
        <w:jc w:val="left"/>
        <w:rPr>
          <w:b w:val="0"/>
          <w:bCs w:val="0"/>
        </w:rPr>
      </w:pPr>
      <w:r>
        <w:rPr>
          <w:color w:val="0D0D0D"/>
        </w:rPr>
        <w:t>（六）企业文化</w:t>
      </w:r>
      <w:r>
        <w:rPr>
          <w:b w:val="0"/>
          <w:bCs w:val="0"/>
        </w:rPr>
      </w:r>
    </w:p>
    <w:p>
      <w:pPr>
        <w:pStyle w:val="BodyText"/>
        <w:spacing w:line="350" w:lineRule="auto" w:before="156"/>
        <w:ind w:right="1123" w:firstLine="480"/>
        <w:jc w:val="both"/>
      </w:pPr>
      <w:r>
        <w:rPr>
          <w:color w:val="0D0D0D"/>
          <w:spacing w:val="2"/>
        </w:rPr>
        <w:t>公司坚持</w:t>
      </w:r>
      <w:r>
        <w:rPr>
          <w:rFonts w:ascii="Times New Roman" w:hAnsi="Times New Roman" w:cs="Times New Roman" w:eastAsia="Times New Roman" w:hint="default"/>
          <w:color w:val="0D0D0D"/>
          <w:spacing w:val="2"/>
        </w:rPr>
        <w:t>“</w:t>
      </w:r>
      <w:r>
        <w:rPr>
          <w:color w:val="0D0D0D"/>
          <w:spacing w:val="2"/>
        </w:rPr>
        <w:t>为智能驾云保驾护航</w:t>
      </w:r>
      <w:r>
        <w:rPr>
          <w:color w:val="0D0D0D"/>
          <w:spacing w:val="-9"/>
        </w:rPr>
        <w:t> </w:t>
      </w:r>
      <w:r>
        <w:rPr>
          <w:color w:val="0D0D0D"/>
          <w:spacing w:val="2"/>
        </w:rPr>
        <w:t>要云物连通改变世界</w:t>
      </w:r>
      <w:r>
        <w:rPr>
          <w:rFonts w:ascii="Times New Roman" w:hAnsi="Times New Roman" w:cs="Times New Roman" w:eastAsia="Times New Roman" w:hint="default"/>
          <w:color w:val="0D0D0D"/>
          <w:spacing w:val="2"/>
        </w:rPr>
        <w:t>”</w:t>
      </w:r>
      <w:r>
        <w:rPr>
          <w:color w:val="0D0D0D"/>
          <w:spacing w:val="2"/>
        </w:rPr>
        <w:t>的使命，</w:t>
      </w:r>
      <w:r>
        <w:rPr>
          <w:rFonts w:ascii="Times New Roman" w:hAnsi="Times New Roman" w:cs="Times New Roman" w:eastAsia="Times New Roman" w:hint="default"/>
          <w:color w:val="0D0D0D"/>
          <w:spacing w:val="2"/>
        </w:rPr>
        <w:t>“</w:t>
      </w:r>
      <w:r>
        <w:rPr>
          <w:color w:val="0D0D0D"/>
          <w:spacing w:val="2"/>
        </w:rPr>
        <w:t>成为云服务基础建设全</w:t>
      </w:r>
      <w:r>
        <w:rPr>
          <w:color w:val="0D0D0D"/>
        </w:rPr>
        <w:t> </w:t>
      </w:r>
      <w:r>
        <w:rPr>
          <w:color w:val="0D0D0D"/>
          <w:spacing w:val="-2"/>
        </w:rPr>
        <w:t>生命周期管理最佳方案专家</w:t>
      </w:r>
      <w:r>
        <w:rPr>
          <w:rFonts w:ascii="Times New Roman" w:hAnsi="Times New Roman" w:cs="Times New Roman" w:eastAsia="Times New Roman" w:hint="default"/>
          <w:color w:val="0D0D0D"/>
          <w:spacing w:val="-2"/>
        </w:rPr>
        <w:t>”</w:t>
      </w:r>
      <w:r>
        <w:rPr>
          <w:color w:val="0D0D0D"/>
          <w:spacing w:val="-2"/>
        </w:rPr>
        <w:t>的愿景，坚持以客户为中心、以领军人才和技术为驱动、以激励</w:t>
      </w:r>
      <w:r>
        <w:rPr>
          <w:color w:val="0D0D0D"/>
          <w:spacing w:val="-111"/>
        </w:rPr>
        <w:t> </w:t>
      </w:r>
      <w:r>
        <w:rPr>
          <w:color w:val="0D0D0D"/>
          <w:spacing w:val="-111"/>
        </w:rPr>
      </w:r>
      <w:r>
        <w:rPr>
          <w:color w:val="0D0D0D"/>
        </w:rPr>
        <w:t>创造价值的奋斗者为导向的核心理念；立志于不断为客户提供创新、优秀的产品、解决方案</w:t>
      </w:r>
      <w:r>
        <w:rPr>
          <w:color w:val="0D0D0D"/>
          <w:spacing w:val="-93"/>
        </w:rPr>
        <w:t> </w:t>
      </w:r>
      <w:r>
        <w:rPr>
          <w:color w:val="0D0D0D"/>
          <w:spacing w:val="-93"/>
        </w:rPr>
      </w:r>
      <w:r>
        <w:rPr>
          <w:color w:val="0D0D0D"/>
        </w:rPr>
        <w:t>与服务，为客户创造价值，提升客户对公司产品、服务质量的满意度和信任度；公司通过优</w:t>
      </w:r>
      <w:r>
        <w:rPr>
          <w:color w:val="0D0D0D"/>
          <w:spacing w:val="-90"/>
        </w:rPr>
        <w:t> </w:t>
      </w:r>
      <w:r>
        <w:rPr>
          <w:color w:val="0D0D0D"/>
          <w:spacing w:val="-90"/>
        </w:rPr>
      </w:r>
      <w:r>
        <w:rPr>
          <w:color w:val="0D0D0D"/>
        </w:rPr>
        <w:t>秀的企业文化加强了内部团队建设力、凝聚力，增强了整体竞争力，提升了客户的满意度和</w:t>
      </w:r>
      <w:r>
        <w:rPr>
          <w:color w:val="0D0D0D"/>
          <w:spacing w:val="-93"/>
        </w:rPr>
        <w:t> </w:t>
      </w:r>
      <w:r>
        <w:rPr>
          <w:color w:val="0D0D0D"/>
          <w:spacing w:val="-93"/>
        </w:rPr>
      </w:r>
      <w:r>
        <w:rPr>
          <w:color w:val="0D0D0D"/>
        </w:rPr>
        <w:t>忠诚度，从而提高品牌影响力，为公司长期健康稳定发展提供了坚实稳定的基础。</w:t>
      </w:r>
      <w:r>
        <w:rPr/>
      </w:r>
    </w:p>
    <w:p>
      <w:pPr>
        <w:spacing w:after="0" w:line="350"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0"/>
        <w:jc w:val="left"/>
        <w:rPr>
          <w:b w:val="0"/>
          <w:bCs w:val="0"/>
        </w:rPr>
      </w:pPr>
      <w:bookmarkStart w:name="第四节经营情况讨论与分析" w:id="22"/>
      <w:bookmarkEnd w:id="22"/>
      <w:r>
        <w:rPr>
          <w:b w:val="0"/>
          <w:bCs w:val="0"/>
        </w:rPr>
      </w:r>
      <w:bookmarkStart w:name="_bookmark3"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9"/>
          <w:szCs w:val="29"/>
        </w:rPr>
      </w:pPr>
    </w:p>
    <w:p>
      <w:pPr>
        <w:spacing w:line="355" w:lineRule="auto" w:before="0"/>
        <w:ind w:left="633" w:right="0" w:firstLine="0"/>
        <w:jc w:val="left"/>
        <w:rPr>
          <w:rFonts w:ascii="宋体" w:hAnsi="宋体" w:cs="宋体" w:eastAsia="宋体" w:hint="default"/>
          <w:sz w:val="24"/>
          <w:szCs w:val="24"/>
        </w:rPr>
      </w:pPr>
      <w:r>
        <w:rPr>
          <w:rFonts w:ascii="宋体" w:hAnsi="宋体" w:cs="宋体" w:eastAsia="宋体" w:hint="default"/>
          <w:b/>
          <w:bCs/>
          <w:color w:val="0D0D0D"/>
          <w:sz w:val="24"/>
          <w:szCs w:val="24"/>
        </w:rPr>
        <w:t>（一）主要业务经营情况</w:t>
      </w:r>
      <w:r>
        <w:rPr>
          <w:rFonts w:ascii="宋体" w:hAnsi="宋体" w:cs="宋体" w:eastAsia="宋体" w:hint="default"/>
          <w:b/>
          <w:bCs/>
          <w:color w:val="0D0D0D"/>
          <w:w w:val="99"/>
          <w:sz w:val="24"/>
          <w:szCs w:val="24"/>
        </w:rPr>
        <w:t> </w:t>
      </w:r>
      <w:r>
        <w:rPr>
          <w:rFonts w:ascii="宋体" w:hAnsi="宋体" w:cs="宋体" w:eastAsia="宋体" w:hint="default"/>
          <w:sz w:val="24"/>
          <w:szCs w:val="24"/>
        </w:rPr>
        <w:t>报告期内，面对机遇和挑战并存、困难和矛盾交织的复杂局面，公司始终坚持稳中求进</w:t>
      </w:r>
    </w:p>
    <w:p>
      <w:pPr>
        <w:pStyle w:val="BodyText"/>
        <w:spacing w:line="338" w:lineRule="auto" w:before="41"/>
        <w:ind w:right="1130"/>
        <w:jc w:val="both"/>
      </w:pPr>
      <w:r>
        <w:rPr>
          <w:spacing w:val="-2"/>
        </w:rPr>
        <w:t>的工作基调，在集团管理层的领导下，继续秉承深化</w:t>
      </w:r>
      <w:r>
        <w:rPr>
          <w:rFonts w:ascii="Times New Roman" w:hAnsi="Times New Roman" w:cs="Times New Roman" w:eastAsia="Times New Roman" w:hint="default"/>
          <w:spacing w:val="-2"/>
        </w:rPr>
        <w:t>“</w:t>
      </w:r>
      <w:r>
        <w:rPr>
          <w:spacing w:val="-2"/>
        </w:rPr>
        <w:t>前瞻性意识、创新型管理、思想决定道</w:t>
      </w:r>
      <w:r>
        <w:rPr>
          <w:spacing w:val="-114"/>
        </w:rPr>
        <w:t> </w:t>
      </w:r>
      <w:r>
        <w:rPr>
          <w:spacing w:val="-114"/>
        </w:rPr>
      </w:r>
      <w:r>
        <w:rPr>
          <w:spacing w:val="-2"/>
        </w:rPr>
        <w:t>路、战略成就发展</w:t>
      </w:r>
      <w:r>
        <w:rPr>
          <w:rFonts w:ascii="Times New Roman" w:hAnsi="Times New Roman" w:cs="Times New Roman" w:eastAsia="Times New Roman" w:hint="default"/>
          <w:spacing w:val="-2"/>
        </w:rPr>
        <w:t>”</w:t>
      </w:r>
      <w:r>
        <w:rPr>
          <w:spacing w:val="-2"/>
        </w:rPr>
        <w:t>的理念，制定了公司未来发展战略目标及发展战略，并分步制定了与之匹</w:t>
      </w:r>
      <w:r>
        <w:rPr>
          <w:spacing w:val="-107"/>
        </w:rPr>
        <w:t> </w:t>
      </w:r>
      <w:r>
        <w:rPr>
          <w:spacing w:val="-107"/>
        </w:rPr>
      </w:r>
      <w:r>
        <w:rPr/>
        <w:t>配的</w:t>
      </w:r>
      <w:r>
        <w:rPr>
          <w:rFonts w:ascii="Times New Roman" w:hAnsi="Times New Roman" w:cs="Times New Roman" w:eastAsia="Times New Roman" w:hint="default"/>
        </w:rPr>
        <w:t>2019</w:t>
      </w:r>
      <w:r>
        <w:rPr/>
        <w:t>年各项经营计划及业绩规划，公司发展战略和各项经营计划在报告期内得到了较好</w:t>
      </w:r>
      <w:r>
        <w:rPr>
          <w:spacing w:val="-93"/>
        </w:rPr>
        <w:t> </w:t>
      </w:r>
      <w:r>
        <w:rPr>
          <w:spacing w:val="-93"/>
        </w:rPr>
      </w:r>
      <w:r>
        <w:rPr/>
        <w:t>的贯彻和执行，取得了一定的成效。</w:t>
      </w:r>
    </w:p>
    <w:p>
      <w:pPr>
        <w:pStyle w:val="BodyText"/>
        <w:spacing w:line="240" w:lineRule="auto" w:before="58"/>
        <w:ind w:left="633" w:right="0"/>
        <w:jc w:val="left"/>
      </w:pPr>
      <w:r>
        <w:rPr>
          <w:rFonts w:ascii="Times New Roman" w:hAnsi="Times New Roman" w:cs="Times New Roman" w:eastAsia="Times New Roman" w:hint="default"/>
          <w:spacing w:val="8"/>
        </w:rPr>
        <w:t>2019</w:t>
      </w:r>
      <w:r>
        <w:rPr>
          <w:spacing w:val="8"/>
        </w:rPr>
        <w:t>年全年，公司实现营业总收入</w:t>
      </w:r>
      <w:r>
        <w:rPr>
          <w:rFonts w:ascii="Times New Roman" w:hAnsi="Times New Roman" w:cs="Times New Roman" w:eastAsia="Times New Roman" w:hint="default"/>
          <w:spacing w:val="8"/>
        </w:rPr>
        <w:t>117,935.49</w:t>
      </w:r>
      <w:r>
        <w:rPr>
          <w:spacing w:val="8"/>
        </w:rPr>
        <w:t>万元；实现归属于上市公司股东净利润</w:t>
      </w:r>
    </w:p>
    <w:p>
      <w:pPr>
        <w:pStyle w:val="BodyText"/>
        <w:spacing w:line="340" w:lineRule="auto" w:before="133"/>
        <w:ind w:left="633" w:right="1131" w:hanging="480"/>
        <w:jc w:val="left"/>
      </w:pPr>
      <w:r>
        <w:rPr>
          <w:rFonts w:ascii="Times New Roman" w:hAnsi="Times New Roman" w:cs="Times New Roman" w:eastAsia="Times New Roman" w:hint="default"/>
        </w:rPr>
        <w:t>327.82</w:t>
      </w:r>
      <w:r>
        <w:rPr/>
        <w:t>万元；实现扣除非经常性损益后的净利润</w:t>
      </w:r>
      <w:r>
        <w:rPr>
          <w:rFonts w:ascii="Times New Roman" w:hAnsi="Times New Roman" w:cs="Times New Roman" w:eastAsia="Times New Roman" w:hint="default"/>
        </w:rPr>
        <w:t>-2,927.54</w:t>
      </w:r>
      <w:r>
        <w:rPr/>
        <w:t>万元。</w:t>
      </w:r>
      <w:r>
        <w:rPr>
          <w:spacing w:val="-118"/>
        </w:rPr>
        <w:t> </w:t>
      </w:r>
      <w:r>
        <w:rPr>
          <w:color w:val="0D0D0D"/>
        </w:rPr>
        <w:t>其中，信息数据领域实现营收</w:t>
      </w:r>
      <w:r>
        <w:rPr>
          <w:rFonts w:ascii="Times New Roman" w:hAnsi="Times New Roman" w:cs="Times New Roman" w:eastAsia="Times New Roman" w:hint="default"/>
          <w:color w:val="0D0D0D"/>
        </w:rPr>
        <w:t>73,379.55</w:t>
      </w:r>
      <w:r>
        <w:rPr>
          <w:color w:val="0D0D0D"/>
        </w:rPr>
        <w:t>万元，同比下降</w:t>
      </w:r>
      <w:r>
        <w:rPr>
          <w:rFonts w:ascii="Times New Roman" w:hAnsi="Times New Roman" w:cs="Times New Roman" w:eastAsia="Times New Roman" w:hint="default"/>
          <w:color w:val="0D0D0D"/>
        </w:rPr>
        <w:t>28.66%</w:t>
      </w:r>
      <w:r>
        <w:rPr>
          <w:color w:val="0D0D0D"/>
        </w:rPr>
        <w:t>，截至报告期末在手订单</w:t>
      </w:r>
      <w:r>
        <w:rPr/>
      </w:r>
    </w:p>
    <w:p>
      <w:pPr>
        <w:pStyle w:val="BodyText"/>
        <w:spacing w:line="338" w:lineRule="auto" w:before="22"/>
        <w:ind w:right="0"/>
        <w:jc w:val="left"/>
      </w:pPr>
      <w:r>
        <w:rPr>
          <w:rFonts w:ascii="Times New Roman" w:hAnsi="Times New Roman" w:cs="Times New Roman" w:eastAsia="Times New Roman" w:hint="default"/>
          <w:color w:val="0D0D0D"/>
          <w:spacing w:val="-3"/>
        </w:rPr>
        <w:t>117,847.53</w:t>
      </w:r>
      <w:r>
        <w:rPr>
          <w:color w:val="0D0D0D"/>
          <w:spacing w:val="-3"/>
        </w:rPr>
        <w:t>万元，同比下降</w:t>
      </w:r>
      <w:r>
        <w:rPr>
          <w:rFonts w:ascii="Times New Roman" w:hAnsi="Times New Roman" w:cs="Times New Roman" w:eastAsia="Times New Roman" w:hint="default"/>
          <w:color w:val="0D0D0D"/>
          <w:spacing w:val="-3"/>
        </w:rPr>
        <w:t>1.25%</w:t>
      </w:r>
      <w:r>
        <w:rPr>
          <w:color w:val="0D0D0D"/>
          <w:spacing w:val="-3"/>
        </w:rPr>
        <w:t>；医疗健康领域实现营收</w:t>
      </w:r>
      <w:r>
        <w:rPr>
          <w:rFonts w:ascii="Times New Roman" w:hAnsi="Times New Roman" w:cs="Times New Roman" w:eastAsia="Times New Roman" w:hint="default"/>
          <w:color w:val="0D0D0D"/>
          <w:spacing w:val="-3"/>
        </w:rPr>
        <w:t>21,544.95</w:t>
      </w:r>
      <w:r>
        <w:rPr>
          <w:color w:val="0D0D0D"/>
          <w:spacing w:val="-3"/>
        </w:rPr>
        <w:t>万元，同比增长</w:t>
      </w:r>
      <w:r>
        <w:rPr>
          <w:rFonts w:ascii="Times New Roman" w:hAnsi="Times New Roman" w:cs="Times New Roman" w:eastAsia="Times New Roman" w:hint="default"/>
          <w:color w:val="0D0D0D"/>
          <w:spacing w:val="-3"/>
        </w:rPr>
        <w:t>212.47%</w:t>
      </w:r>
      <w:r>
        <w:rPr>
          <w:color w:val="0D0D0D"/>
          <w:spacing w:val="-3"/>
        </w:rPr>
        <w:t>，</w:t>
      </w:r>
      <w:r>
        <w:rPr>
          <w:color w:val="0D0D0D"/>
          <w:spacing w:val="-69"/>
        </w:rPr>
        <w:t> </w:t>
      </w:r>
      <w:r>
        <w:rPr>
          <w:color w:val="0D0D0D"/>
        </w:rPr>
        <w:t>截至报告期末在手订单</w:t>
      </w:r>
      <w:r>
        <w:rPr>
          <w:rFonts w:ascii="Times New Roman" w:hAnsi="Times New Roman" w:cs="Times New Roman" w:eastAsia="Times New Roman" w:hint="default"/>
          <w:color w:val="0D0D0D"/>
        </w:rPr>
        <w:t>36,044.57</w:t>
      </w:r>
      <w:r>
        <w:rPr>
          <w:color w:val="0D0D0D"/>
        </w:rPr>
        <w:t>万元，同比增长</w:t>
      </w:r>
      <w:r>
        <w:rPr>
          <w:rFonts w:ascii="Times New Roman" w:hAnsi="Times New Roman" w:cs="Times New Roman" w:eastAsia="Times New Roman" w:hint="default"/>
          <w:color w:val="0D0D0D"/>
        </w:rPr>
        <w:t>141.52%</w:t>
      </w:r>
      <w:r>
        <w:rPr>
          <w:color w:val="0D0D0D"/>
        </w:rPr>
        <w:t>；环保领域实现营收</w:t>
      </w:r>
      <w:r>
        <w:rPr>
          <w:rFonts w:ascii="Times New Roman" w:hAnsi="Times New Roman" w:cs="Times New Roman" w:eastAsia="Times New Roman" w:hint="default"/>
          <w:color w:val="0D0D0D"/>
        </w:rPr>
        <w:t>23,010.99</w:t>
      </w:r>
      <w:r>
        <w:rPr>
          <w:color w:val="0D0D0D"/>
        </w:rPr>
        <w:t>万元，</w:t>
      </w:r>
      <w:r>
        <w:rPr>
          <w:color w:val="0D0D0D"/>
          <w:spacing w:val="-104"/>
        </w:rPr>
        <w:t> </w:t>
      </w:r>
      <w:r>
        <w:rPr>
          <w:color w:val="0D0D0D"/>
        </w:rPr>
        <w:t>同比下降</w:t>
      </w:r>
      <w:r>
        <w:rPr>
          <w:rFonts w:ascii="Times New Roman" w:hAnsi="Times New Roman" w:cs="Times New Roman" w:eastAsia="Times New Roman" w:hint="default"/>
          <w:color w:val="0D0D0D"/>
        </w:rPr>
        <w:t>15.9%</w:t>
      </w:r>
      <w:r>
        <w:rPr>
          <w:color w:val="0D0D0D"/>
        </w:rPr>
        <w:t>，截至报告期末在手订单</w:t>
      </w:r>
      <w:r>
        <w:rPr>
          <w:rFonts w:ascii="Times New Roman" w:hAnsi="Times New Roman" w:cs="Times New Roman" w:eastAsia="Times New Roman" w:hint="default"/>
          <w:color w:val="0D0D0D"/>
        </w:rPr>
        <w:t>21,334.48</w:t>
      </w:r>
      <w:r>
        <w:rPr>
          <w:color w:val="0D0D0D"/>
        </w:rPr>
        <w:t>万元，同比增长</w:t>
      </w:r>
      <w:r>
        <w:rPr>
          <w:rFonts w:ascii="Times New Roman" w:hAnsi="Times New Roman" w:cs="Times New Roman" w:eastAsia="Times New Roman" w:hint="default"/>
          <w:color w:val="0D0D0D"/>
        </w:rPr>
        <w:t>26.75%</w:t>
      </w:r>
      <w:r>
        <w:rPr>
          <w:color w:val="0D0D0D"/>
        </w:rPr>
        <w:t>。</w:t>
      </w:r>
      <w:r>
        <w:rPr/>
      </w:r>
    </w:p>
    <w:p>
      <w:pPr>
        <w:pStyle w:val="BodyText"/>
        <w:spacing w:line="343" w:lineRule="auto" w:before="29"/>
        <w:ind w:right="1001" w:firstLine="480"/>
        <w:jc w:val="left"/>
      </w:pPr>
      <w:r>
        <w:rPr>
          <w:color w:val="0D0D0D"/>
          <w:spacing w:val="-5"/>
        </w:rPr>
        <w:t>报告期内，公司经营业绩未达预期，扣除非经常性损益后的净利润同比下滑</w:t>
      </w:r>
      <w:r>
        <w:rPr>
          <w:rFonts w:ascii="Times New Roman" w:hAnsi="Times New Roman" w:cs="Times New Roman" w:eastAsia="Times New Roman" w:hint="default"/>
          <w:color w:val="0D0D0D"/>
          <w:spacing w:val="-5"/>
        </w:rPr>
        <w:t>5,285.80</w:t>
      </w:r>
      <w:r>
        <w:rPr>
          <w:color w:val="0D0D0D"/>
          <w:spacing w:val="-5"/>
        </w:rPr>
        <w:t>万元，</w:t>
      </w:r>
      <w:r>
        <w:rPr>
          <w:color w:val="0D0D0D"/>
        </w:rPr>
        <w:t> </w:t>
      </w:r>
      <w:r>
        <w:rPr>
          <w:color w:val="0D0D0D"/>
          <w:spacing w:val="-5"/>
        </w:rPr>
        <w:t>净利润下滑的主要原因在于：</w:t>
      </w:r>
      <w:r>
        <w:rPr>
          <w:rFonts w:ascii="Times New Roman" w:hAnsi="Times New Roman" w:cs="Times New Roman" w:eastAsia="Times New Roman" w:hint="default"/>
          <w:color w:val="0D0D0D"/>
          <w:spacing w:val="-5"/>
        </w:rPr>
        <w:t>1</w:t>
      </w:r>
      <w:r>
        <w:rPr>
          <w:color w:val="0D0D0D"/>
          <w:spacing w:val="-5"/>
        </w:rPr>
        <w:t>、部分大项目因业主原因或工期较长在本报告期内未验收交付，</w:t>
      </w:r>
      <w:r>
        <w:rPr>
          <w:color w:val="0D0D0D"/>
          <w:spacing w:val="-111"/>
        </w:rPr>
        <w:t> </w:t>
      </w:r>
      <w:r>
        <w:rPr>
          <w:color w:val="0D0D0D"/>
          <w:spacing w:val="-111"/>
        </w:rPr>
      </w:r>
      <w:r>
        <w:rPr>
          <w:color w:val="0D0D0D"/>
          <w:spacing w:val="-7"/>
        </w:rPr>
        <w:t>导致收入低于预期，营业收入同比下降</w:t>
      </w:r>
      <w:r>
        <w:rPr>
          <w:rFonts w:ascii="Times New Roman" w:hAnsi="Times New Roman" w:cs="Times New Roman" w:eastAsia="Times New Roman" w:hint="default"/>
          <w:color w:val="0D0D0D"/>
          <w:spacing w:val="-7"/>
        </w:rPr>
        <w:t>13.99%</w:t>
      </w:r>
      <w:r>
        <w:rPr>
          <w:color w:val="0D0D0D"/>
          <w:spacing w:val="-7"/>
        </w:rPr>
        <w:t>，同比减少</w:t>
      </w:r>
      <w:r>
        <w:rPr>
          <w:rFonts w:ascii="Times New Roman" w:hAnsi="Times New Roman" w:cs="Times New Roman" w:eastAsia="Times New Roman" w:hint="default"/>
          <w:color w:val="0D0D0D"/>
          <w:spacing w:val="-7"/>
        </w:rPr>
        <w:t>19,182.30</w:t>
      </w:r>
      <w:r>
        <w:rPr>
          <w:color w:val="0D0D0D"/>
          <w:spacing w:val="-7"/>
        </w:rPr>
        <w:t>万元，影响毛利润约</w:t>
      </w:r>
      <w:r>
        <w:rPr>
          <w:rFonts w:ascii="Times New Roman" w:hAnsi="Times New Roman" w:cs="Times New Roman" w:eastAsia="Times New Roman" w:hint="default"/>
          <w:color w:val="0D0D0D"/>
          <w:spacing w:val="-7"/>
        </w:rPr>
        <w:t>4,791.66</w:t>
      </w:r>
      <w:r>
        <w:rPr>
          <w:rFonts w:ascii="Times New Roman" w:hAnsi="Times New Roman" w:cs="Times New Roman" w:eastAsia="Times New Roman" w:hint="default"/>
          <w:color w:val="0D0D0D"/>
          <w:spacing w:val="-22"/>
        </w:rPr>
        <w:t> </w:t>
      </w:r>
      <w:r>
        <w:rPr>
          <w:rFonts w:ascii="Times New Roman" w:hAnsi="Times New Roman" w:cs="Times New Roman" w:eastAsia="Times New Roman" w:hint="default"/>
          <w:color w:val="0D0D0D"/>
          <w:spacing w:val="-22"/>
        </w:rPr>
      </w:r>
      <w:r>
        <w:rPr>
          <w:color w:val="0D0D0D"/>
        </w:rPr>
        <w:t>万元；</w:t>
      </w:r>
      <w:r>
        <w:rPr>
          <w:rFonts w:ascii="Times New Roman" w:hAnsi="Times New Roman" w:cs="Times New Roman" w:eastAsia="Times New Roman" w:hint="default"/>
          <w:color w:val="0D0D0D"/>
        </w:rPr>
        <w:t>2</w:t>
      </w:r>
      <w:r>
        <w:rPr>
          <w:color w:val="0D0D0D"/>
        </w:rPr>
        <w:t>、公司在建项目较多，加之应收账款回款低于预期，导致公司融资规模较大，同时受 </w:t>
      </w:r>
      <w:r>
        <w:rPr>
          <w:color w:val="0D0D0D"/>
          <w:spacing w:val="-5"/>
        </w:rPr>
        <w:t>宏观金融去杠杆影响，导致公司融资成本进一步增加，财务费用较去年同期增加</w:t>
      </w:r>
      <w:r>
        <w:rPr>
          <w:rFonts w:ascii="Times New Roman" w:hAnsi="Times New Roman" w:cs="Times New Roman" w:eastAsia="Times New Roman" w:hint="default"/>
          <w:color w:val="0D0D0D"/>
          <w:spacing w:val="-5"/>
        </w:rPr>
        <w:t>1,539.78</w:t>
      </w:r>
      <w:r>
        <w:rPr>
          <w:color w:val="0D0D0D"/>
          <w:spacing w:val="-5"/>
        </w:rPr>
        <w:t>万元。</w:t>
      </w:r>
      <w:r>
        <w:rPr>
          <w:color w:val="0D0D0D"/>
          <w:spacing w:val="-91"/>
        </w:rPr>
        <w:t> </w:t>
      </w:r>
      <w:r>
        <w:rPr>
          <w:color w:val="0D0D0D"/>
          <w:spacing w:val="-91"/>
        </w:rPr>
      </w:r>
      <w:r>
        <w:rPr>
          <w:color w:val="0D0D0D"/>
        </w:rPr>
        <w:t>报告期内，公司核心业务信息数据领域订单情况稳定，随着经营工作推进，公司已经储备的</w:t>
      </w:r>
      <w:r>
        <w:rPr>
          <w:color w:val="0D0D0D"/>
          <w:spacing w:val="-91"/>
        </w:rPr>
        <w:t> </w:t>
      </w:r>
      <w:r>
        <w:rPr>
          <w:color w:val="0D0D0D"/>
          <w:spacing w:val="-91"/>
        </w:rPr>
      </w:r>
      <w:r>
        <w:rPr>
          <w:color w:val="0D0D0D"/>
        </w:rPr>
        <w:t>大量商机将陆续转化为新增订单。展望未来，随着公司战略布局的成果显现以及在手订单顺</w:t>
      </w:r>
      <w:r>
        <w:rPr>
          <w:color w:val="0D0D0D"/>
          <w:spacing w:val="-93"/>
        </w:rPr>
        <w:t> </w:t>
      </w:r>
      <w:r>
        <w:rPr>
          <w:color w:val="0D0D0D"/>
          <w:spacing w:val="-93"/>
        </w:rPr>
      </w:r>
      <w:r>
        <w:rPr>
          <w:color w:val="0D0D0D"/>
        </w:rPr>
        <w:t>利执行，公司对年度经营目标及未来发展充满信心。</w:t>
      </w:r>
      <w:r>
        <w:rPr/>
      </w:r>
    </w:p>
    <w:p>
      <w:pPr>
        <w:pStyle w:val="Heading2"/>
        <w:spacing w:line="240" w:lineRule="auto" w:before="53"/>
        <w:ind w:left="633" w:right="0"/>
        <w:jc w:val="left"/>
        <w:rPr>
          <w:b w:val="0"/>
          <w:bCs w:val="0"/>
        </w:rPr>
      </w:pPr>
      <w:r>
        <w:rPr>
          <w:color w:val="0D0D0D"/>
        </w:rPr>
        <w:t>（二）业务回顾</w:t>
      </w:r>
      <w:r>
        <w:rPr>
          <w:b w:val="0"/>
          <w:bCs w:val="0"/>
        </w:rPr>
      </w:r>
    </w:p>
    <w:p>
      <w:pPr>
        <w:pStyle w:val="Heading2"/>
        <w:spacing w:line="240" w:lineRule="auto" w:before="151"/>
        <w:ind w:left="633" w:right="0"/>
        <w:jc w:val="left"/>
        <w:rPr>
          <w:b w:val="0"/>
          <w:bCs w:val="0"/>
        </w:rPr>
      </w:pPr>
      <w:r>
        <w:rPr>
          <w:rFonts w:ascii="Times New Roman" w:hAnsi="Times New Roman" w:cs="Times New Roman" w:eastAsia="Times New Roman" w:hint="default"/>
          <w:color w:val="0D0D0D"/>
        </w:rPr>
        <w:t>1</w:t>
      </w:r>
      <w:r>
        <w:rPr>
          <w:color w:val="0D0D0D"/>
        </w:rPr>
        <w:t>、信息数据领域</w:t>
      </w:r>
      <w:r>
        <w:rPr>
          <w:b w:val="0"/>
          <w:bCs w:val="0"/>
        </w:rPr>
      </w:r>
    </w:p>
    <w:p>
      <w:pPr>
        <w:spacing w:line="336" w:lineRule="auto" w:before="138"/>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）业务战略持续发力，积极布局市场</w:t>
      </w:r>
      <w:r>
        <w:rPr>
          <w:rFonts w:ascii="宋体" w:hAnsi="宋体" w:cs="宋体" w:eastAsia="宋体" w:hint="default"/>
          <w:b/>
          <w:bCs/>
          <w:w w:val="99"/>
          <w:sz w:val="24"/>
          <w:szCs w:val="24"/>
        </w:rPr>
        <w:t> </w:t>
      </w:r>
      <w:r>
        <w:rPr>
          <w:rFonts w:ascii="宋体" w:hAnsi="宋体" w:cs="宋体" w:eastAsia="宋体" w:hint="default"/>
          <w:sz w:val="24"/>
          <w:szCs w:val="24"/>
        </w:rPr>
        <w:t>公司始终坚持以市场为导向，以满足客户需求为目标，积极寻求行业内上下游厂商的广</w:t>
      </w:r>
    </w:p>
    <w:p>
      <w:pPr>
        <w:pStyle w:val="BodyText"/>
        <w:spacing w:line="240" w:lineRule="auto" w:before="60"/>
        <w:ind w:right="0"/>
        <w:jc w:val="left"/>
      </w:pPr>
      <w:r>
        <w:rPr/>
        <w:t>泛合作，从维护现有客户和开拓新客户资源两个维度保证客户群体稳定，构建良好的解决方</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7" w:lineRule="auto"/>
        <w:ind w:left="0" w:right="1130"/>
        <w:jc w:val="right"/>
      </w:pPr>
      <w:r>
        <w:rPr/>
        <w:t>案合作生态圈。公司已打造了横贯关键设备、智能工程、物联软件及智慧服务的完善产业布</w:t>
      </w:r>
      <w:r>
        <w:rPr>
          <w:spacing w:val="-112"/>
        </w:rPr>
        <w:t> </w:t>
      </w:r>
      <w:r>
        <w:rPr>
          <w:spacing w:val="-112"/>
        </w:rPr>
      </w:r>
      <w:r>
        <w:rPr>
          <w:spacing w:val="-5"/>
        </w:rPr>
        <w:t>局，逐步聚焦产业链高增长、高价值领域，着力打造多产业协同发展的一体化供应链生态圈。</w:t>
      </w:r>
      <w:r>
        <w:rPr/>
        <w:t> 报告期内，公司传统业务精密空调设备和创新业务频频发力，公司多型号多系列创新机</w:t>
      </w:r>
    </w:p>
    <w:p>
      <w:pPr>
        <w:pStyle w:val="BodyText"/>
        <w:spacing w:line="345" w:lineRule="auto" w:before="34"/>
        <w:ind w:right="1007"/>
        <w:jc w:val="left"/>
      </w:pPr>
      <w:r>
        <w:rPr>
          <w:spacing w:val="-2"/>
        </w:rPr>
        <w:t>房空调产品在运营商机房空调领域持续获得认可，先后中标陕西电信列间空调及冷通道集采、</w:t>
      </w:r>
      <w:r>
        <w:rPr>
          <w:spacing w:val="-118"/>
        </w:rPr>
        <w:t> </w:t>
      </w:r>
      <w:r>
        <w:rPr>
          <w:spacing w:val="-118"/>
        </w:rPr>
      </w:r>
      <w:r>
        <w:rPr/>
        <w:t>甘肃移动氟泵空调集采、中国移动风冷型列间空调集采、中国电信小型机房空调集采及中国</w:t>
      </w:r>
      <w:r>
        <w:rPr>
          <w:spacing w:val="-91"/>
        </w:rPr>
        <w:t> </w:t>
      </w:r>
      <w:r>
        <w:rPr>
          <w:spacing w:val="-91"/>
        </w:rPr>
      </w:r>
      <w:r>
        <w:rPr/>
        <w:t>移动风冷型机房专用空调集采等项目。智能工程继中标</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东盟信息港南宁五象远洋大数</w:t>
      </w:r>
      <w:r>
        <w:rPr>
          <w:spacing w:val="-113"/>
        </w:rPr>
        <w:t> </w:t>
      </w:r>
      <w:r>
        <w:rPr>
          <w:spacing w:val="-3"/>
          <w:w w:val="100"/>
        </w:rPr>
        <w:t>据产业园</w:t>
      </w:r>
      <w:r>
        <w:rPr>
          <w:rFonts w:ascii="Times New Roman" w:hAnsi="Times New Roman" w:cs="Times New Roman" w:eastAsia="Times New Roman" w:hint="default"/>
          <w:spacing w:val="-3"/>
          <w:w w:val="100"/>
        </w:rPr>
        <w:t>A1</w:t>
      </w:r>
      <w:r>
        <w:rPr>
          <w:spacing w:val="-3"/>
          <w:w w:val="100"/>
        </w:rPr>
        <w:t>机房项目</w:t>
      </w:r>
      <w:r>
        <w:rPr>
          <w:rFonts w:ascii="Times New Roman" w:hAnsi="Times New Roman" w:cs="Times New Roman" w:eastAsia="Times New Roman" w:hint="default"/>
          <w:spacing w:val="-3"/>
          <w:w w:val="100"/>
        </w:rPr>
        <w:t>”</w:t>
      </w:r>
      <w:r>
        <w:rPr>
          <w:spacing w:val="-3"/>
          <w:w w:val="100"/>
        </w:rPr>
        <w:t>后，与云晟数据针对</w:t>
      </w:r>
      <w:r>
        <w:rPr>
          <w:rFonts w:ascii="Times New Roman" w:hAnsi="Times New Roman" w:cs="Times New Roman" w:eastAsia="Times New Roman" w:hint="default"/>
          <w:spacing w:val="-3"/>
          <w:w w:val="100"/>
        </w:rPr>
        <w:t>“</w:t>
      </w:r>
      <w:r>
        <w:rPr>
          <w:spacing w:val="-3"/>
          <w:w w:val="100"/>
        </w:rPr>
        <w:t>重庆同城双活数据中心项目长寿一期工程</w:t>
      </w:r>
      <w:r>
        <w:rPr>
          <w:rFonts w:ascii="Times New Roman" w:hAnsi="Times New Roman" w:cs="Times New Roman" w:eastAsia="Times New Roman" w:hint="default"/>
          <w:spacing w:val="-3"/>
          <w:w w:val="100"/>
        </w:rPr>
        <w:t>”</w:t>
      </w:r>
      <w:r>
        <w:rPr>
          <w:spacing w:val="-3"/>
          <w:w w:val="100"/>
        </w:rPr>
        <w:t>项目达</w:t>
      </w:r>
      <w:r>
        <w:rPr>
          <w:spacing w:val="-86"/>
          <w:w w:val="100"/>
        </w:rPr>
        <w:t> </w:t>
      </w:r>
      <w:r>
        <w:rPr/>
        <w:t>成了合作，公司智能工程业务板块在数据中心应用领域得到客户充分认可；另外，智能工程</w:t>
      </w:r>
      <w:r>
        <w:rPr>
          <w:spacing w:val="-93"/>
        </w:rPr>
        <w:t> </w:t>
      </w:r>
      <w:r>
        <w:rPr>
          <w:spacing w:val="-93"/>
        </w:rPr>
      </w:r>
      <w:r>
        <w:rPr>
          <w:spacing w:val="-6"/>
        </w:rPr>
        <w:t>还成功入围</w:t>
      </w:r>
      <w:r>
        <w:rPr>
          <w:rFonts w:ascii="Times New Roman" w:hAnsi="Times New Roman" w:cs="Times New Roman" w:eastAsia="Times New Roman" w:hint="default"/>
          <w:spacing w:val="-6"/>
        </w:rPr>
        <w:t>“</w:t>
      </w:r>
      <w:r>
        <w:rPr>
          <w:spacing w:val="-6"/>
        </w:rPr>
        <w:t>广东联通、广东系统集成、广东产业互联网公司、广州联通创新业务合作伙伴</w:t>
      </w:r>
      <w:r>
        <w:rPr>
          <w:rFonts w:ascii="Times New Roman" w:hAnsi="Times New Roman" w:cs="Times New Roman" w:eastAsia="Times New Roman" w:hint="default"/>
          <w:spacing w:val="-6"/>
        </w:rPr>
        <w:t>ITO</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spacing w:val="-8"/>
        </w:rPr>
        <w:t>专业及建筑智能化专业方向</w:t>
      </w:r>
      <w:r>
        <w:rPr>
          <w:rFonts w:ascii="Times New Roman" w:hAnsi="Times New Roman" w:cs="Times New Roman" w:eastAsia="Times New Roman" w:hint="default"/>
          <w:spacing w:val="-8"/>
        </w:rPr>
        <w:t>”</w:t>
      </w:r>
      <w:r>
        <w:rPr>
          <w:spacing w:val="-8"/>
        </w:rPr>
        <w:t>的供应商名录，智能工程未来将在智慧领域、系统集成、云计算、</w:t>
      </w:r>
      <w:r>
        <w:rPr>
          <w:spacing w:val="-89"/>
        </w:rPr>
        <w:t> </w:t>
      </w:r>
      <w:r>
        <w:rPr>
          <w:spacing w:val="-89"/>
        </w:rPr>
      </w:r>
      <w:r>
        <w:rPr/>
        <w:t>大数据、工业互联网等多行业、多领域与中国联通展开创新业务合作，有力的提升了</w:t>
      </w:r>
      <w:r>
        <w:rPr>
          <w:rFonts w:ascii="Times New Roman" w:hAnsi="Times New Roman" w:cs="Times New Roman" w:eastAsia="Times New Roman" w:hint="default"/>
        </w:rPr>
        <w:t>YMK</w:t>
      </w:r>
      <w:r>
        <w:rPr/>
        <w:t>品 牌效应。</w:t>
      </w:r>
    </w:p>
    <w:p>
      <w:pPr>
        <w:spacing w:line="336" w:lineRule="auto" w:before="50"/>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）协同战略效应凸显</w:t>
      </w:r>
      <w:r>
        <w:rPr>
          <w:rFonts w:ascii="宋体" w:hAnsi="宋体" w:cs="宋体" w:eastAsia="宋体" w:hint="default"/>
          <w:b/>
          <w:bCs/>
          <w:w w:val="99"/>
          <w:sz w:val="24"/>
          <w:szCs w:val="24"/>
        </w:rPr>
        <w:t> </w:t>
      </w:r>
      <w:r>
        <w:rPr>
          <w:rFonts w:ascii="宋体" w:hAnsi="宋体" w:cs="宋体" w:eastAsia="宋体" w:hint="default"/>
          <w:sz w:val="24"/>
          <w:szCs w:val="24"/>
        </w:rPr>
        <w:t>本报告期，公司全力贯彻协同战略，集合四大业务线所有商机、客户、关系和技术资源</w:t>
      </w:r>
    </w:p>
    <w:p>
      <w:pPr>
        <w:pStyle w:val="BodyText"/>
        <w:spacing w:line="348" w:lineRule="auto" w:before="60"/>
        <w:ind w:right="1129"/>
        <w:jc w:val="both"/>
      </w:pPr>
      <w:r>
        <w:rPr>
          <w:spacing w:val="-5"/>
        </w:rPr>
        <w:t>变成价值输出，从根本上实施</w:t>
      </w:r>
      <w:r>
        <w:rPr>
          <w:rFonts w:ascii="Times New Roman" w:hAnsi="Times New Roman" w:cs="Times New Roman" w:eastAsia="Times New Roman" w:hint="default"/>
          <w:spacing w:val="-5"/>
        </w:rPr>
        <w:t>“</w:t>
      </w:r>
      <w:r>
        <w:rPr>
          <w:spacing w:val="-5"/>
        </w:rPr>
        <w:t>协同战略</w:t>
      </w:r>
      <w:r>
        <w:rPr>
          <w:rFonts w:ascii="Times New Roman" w:hAnsi="Times New Roman" w:cs="Times New Roman" w:eastAsia="Times New Roman" w:hint="default"/>
          <w:spacing w:val="-5"/>
        </w:rPr>
        <w:t>”</w:t>
      </w:r>
      <w:r>
        <w:rPr>
          <w:spacing w:val="-5"/>
        </w:rPr>
        <w:t>，实现优势板块资源带动其他板块业务的发展效应，</w:t>
      </w:r>
      <w:r>
        <w:rPr>
          <w:spacing w:val="-87"/>
        </w:rPr>
        <w:t> </w:t>
      </w:r>
      <w:r>
        <w:rPr>
          <w:spacing w:val="-87"/>
        </w:rPr>
      </w:r>
      <w:r>
        <w:rPr>
          <w:spacing w:val="-6"/>
        </w:rPr>
        <w:t>产业协作生态快速延展，全面发挥依米康技术、智能制造、集成实施、市场渠道核心竞争力，</w:t>
      </w:r>
      <w:r>
        <w:rPr>
          <w:spacing w:val="-86"/>
        </w:rPr>
        <w:t> </w:t>
      </w:r>
      <w:r>
        <w:rPr>
          <w:spacing w:val="-86"/>
        </w:rPr>
      </w:r>
      <w:r>
        <w:rPr/>
        <w:t>形成</w:t>
      </w:r>
      <w:r>
        <w:rPr>
          <w:rFonts w:ascii="Times New Roman" w:hAnsi="Times New Roman" w:cs="Times New Roman" w:eastAsia="Times New Roman" w:hint="default"/>
        </w:rPr>
        <w:t>“YMK”</w:t>
      </w:r>
      <w:r>
        <w:rPr/>
        <w:t>品牌合力。</w:t>
      </w:r>
    </w:p>
    <w:p>
      <w:pPr>
        <w:pStyle w:val="BodyText"/>
        <w:spacing w:line="338" w:lineRule="auto" w:before="14"/>
        <w:ind w:right="0" w:firstLine="480"/>
        <w:jc w:val="left"/>
      </w:pPr>
      <w:r>
        <w:rPr/>
        <w:t>报告期内，公司全员</w:t>
      </w:r>
      <w:r>
        <w:rPr>
          <w:rFonts w:ascii="Times New Roman" w:hAnsi="Times New Roman" w:cs="Times New Roman" w:eastAsia="Times New Roman" w:hint="default"/>
        </w:rPr>
        <w:t>“</w:t>
      </w:r>
      <w:r>
        <w:rPr/>
        <w:t>以完成公司整体指标为目的</w:t>
      </w:r>
      <w:r>
        <w:rPr>
          <w:rFonts w:ascii="Times New Roman" w:hAnsi="Times New Roman" w:cs="Times New Roman" w:eastAsia="Times New Roman" w:hint="default"/>
        </w:rPr>
        <w:t>”</w:t>
      </w:r>
      <w:r>
        <w:rPr/>
        <w:t>，共享技术、供应链、营销和客户资 源，协同效应凸显。设备与工程事业部全面协同作战，智能工程成功签署</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东盟信息港 南宁五象远洋大数据产业园</w:t>
      </w:r>
      <w:r>
        <w:rPr>
          <w:rFonts w:ascii="Times New Roman" w:hAnsi="Times New Roman" w:cs="Times New Roman" w:eastAsia="Times New Roman" w:hint="default"/>
        </w:rPr>
        <w:t>A1</w:t>
      </w:r>
      <w:r>
        <w:rPr/>
        <w:t>机房项目</w:t>
      </w:r>
      <w:r>
        <w:rPr>
          <w:rFonts w:ascii="Times New Roman" w:hAnsi="Times New Roman" w:cs="Times New Roman" w:eastAsia="Times New Roman" w:hint="default"/>
        </w:rPr>
        <w:t>”</w:t>
      </w:r>
      <w:r>
        <w:rPr/>
        <w:t>合同，金额约</w:t>
      </w:r>
      <w:r>
        <w:rPr>
          <w:rFonts w:ascii="Times New Roman" w:hAnsi="Times New Roman" w:cs="Times New Roman" w:eastAsia="Times New Roman" w:hint="default"/>
        </w:rPr>
        <w:t>3.53</w:t>
      </w:r>
      <w:r>
        <w:rPr/>
        <w:t>亿元。未来公司将继续协同着力，</w:t>
      </w:r>
      <w:r>
        <w:rPr>
          <w:spacing w:val="-79"/>
        </w:rPr>
        <w:t> </w:t>
      </w:r>
      <w:r>
        <w:rPr>
          <w:spacing w:val="-79"/>
        </w:rPr>
      </w:r>
      <w:r>
        <w:rPr/>
        <w:t>持续为客户创造和提供高端、优质、可靠的产品和服务体验，持续打造公司优势竞争力。</w:t>
      </w:r>
    </w:p>
    <w:p>
      <w:pPr>
        <w:pStyle w:val="Heading2"/>
        <w:spacing w:line="240" w:lineRule="auto" w:before="53"/>
        <w:ind w:left="633" w:right="0"/>
        <w:jc w:val="left"/>
        <w:rPr>
          <w:b w:val="0"/>
          <w:bCs w:val="0"/>
        </w:rPr>
      </w:pPr>
      <w:r>
        <w:rPr>
          <w:color w:val="0D0D0D"/>
        </w:rPr>
        <w:t>（</w:t>
      </w:r>
      <w:r>
        <w:rPr>
          <w:rFonts w:ascii="Times New Roman" w:hAnsi="Times New Roman" w:cs="Times New Roman" w:eastAsia="Times New Roman" w:hint="default"/>
          <w:color w:val="0D0D0D"/>
        </w:rPr>
        <w:t>3</w:t>
      </w:r>
      <w:r>
        <w:rPr>
          <w:color w:val="0D0D0D"/>
        </w:rPr>
        <w:t>）新产品研发取得突破，不断创新</w:t>
      </w:r>
      <w:r>
        <w:rPr>
          <w:b w:val="0"/>
          <w:bCs w:val="0"/>
        </w:rPr>
      </w:r>
    </w:p>
    <w:p>
      <w:pPr>
        <w:pStyle w:val="BodyText"/>
        <w:spacing w:line="340" w:lineRule="auto" w:before="138"/>
        <w:ind w:right="1129" w:firstLine="480"/>
        <w:jc w:val="both"/>
      </w:pPr>
      <w:r>
        <w:rPr>
          <w:rFonts w:ascii="Times New Roman" w:hAnsi="Times New Roman" w:cs="Times New Roman" w:eastAsia="Times New Roman" w:hint="default"/>
          <w:color w:val="0D0D0D"/>
        </w:rPr>
        <w:t>2019</w:t>
      </w:r>
      <w:r>
        <w:rPr>
          <w:color w:val="0D0D0D"/>
        </w:rPr>
        <w:t>年，集团及下属分子公司均完成了技术、产品和解决方案升级工作计划的制定，继 </w:t>
      </w:r>
      <w:r>
        <w:rPr>
          <w:color w:val="0D0D0D"/>
          <w:spacing w:val="-2"/>
        </w:rPr>
        <w:t>续加强技术能力建设，运用技术驱动为公司持续发展保驾护航。报告期内，公司</w:t>
      </w:r>
      <w:r>
        <w:rPr>
          <w:rFonts w:ascii="Times New Roman" w:hAnsi="Times New Roman" w:cs="Times New Roman" w:eastAsia="Times New Roman" w:hint="default"/>
          <w:color w:val="0D0D0D"/>
          <w:spacing w:val="-2"/>
        </w:rPr>
        <w:t>“</w:t>
      </w:r>
      <w:r>
        <w:rPr>
          <w:color w:val="0D0D0D"/>
          <w:spacing w:val="-2"/>
        </w:rPr>
        <w:t>基于多模制</w:t>
      </w:r>
      <w:r>
        <w:rPr>
          <w:color w:val="0D0D0D"/>
          <w:spacing w:val="-108"/>
        </w:rPr>
        <w:t> </w:t>
      </w:r>
      <w:r>
        <w:rPr>
          <w:color w:val="0D0D0D"/>
          <w:spacing w:val="-2"/>
        </w:rPr>
        <w:t>冷节能空调的间接蒸发冷却技术</w:t>
      </w:r>
      <w:r>
        <w:rPr>
          <w:rFonts w:ascii="Times New Roman" w:hAnsi="Times New Roman" w:cs="Times New Roman" w:eastAsia="Times New Roman" w:hint="default"/>
          <w:color w:val="0D0D0D"/>
          <w:spacing w:val="-2"/>
        </w:rPr>
        <w:t>”</w:t>
      </w:r>
      <w:r>
        <w:rPr>
          <w:color w:val="0D0D0D"/>
          <w:spacing w:val="-2"/>
        </w:rPr>
        <w:t>荣获</w:t>
      </w:r>
      <w:r>
        <w:rPr>
          <w:rFonts w:ascii="Times New Roman" w:hAnsi="Times New Roman" w:cs="Times New Roman" w:eastAsia="Times New Roman" w:hint="default"/>
          <w:color w:val="0D0D0D"/>
          <w:spacing w:val="-2"/>
        </w:rPr>
        <w:t>“</w:t>
      </w:r>
      <w:r>
        <w:rPr>
          <w:color w:val="0D0D0D"/>
          <w:spacing w:val="-2"/>
        </w:rPr>
        <w:t>全国电子节能环保优秀推荐产品技术</w:t>
      </w:r>
      <w:r>
        <w:rPr>
          <w:rFonts w:ascii="Times New Roman" w:hAnsi="Times New Roman" w:cs="Times New Roman" w:eastAsia="Times New Roman" w:hint="default"/>
          <w:color w:val="0D0D0D"/>
          <w:spacing w:val="-2"/>
        </w:rPr>
        <w:t>”</w:t>
      </w:r>
      <w:r>
        <w:rPr>
          <w:color w:val="0D0D0D"/>
          <w:spacing w:val="-2"/>
        </w:rPr>
        <w:t>；为更好的抢占</w:t>
      </w:r>
      <w:r>
        <w:rPr>
          <w:color w:val="0D0D0D"/>
          <w:spacing w:val="-82"/>
        </w:rPr>
        <w:t> </w:t>
      </w:r>
      <w:r>
        <w:rPr>
          <w:color w:val="0D0D0D"/>
          <w:spacing w:val="-82"/>
        </w:rPr>
      </w:r>
      <w:r>
        <w:rPr>
          <w:rFonts w:ascii="Times New Roman" w:hAnsi="Times New Roman" w:cs="Times New Roman" w:eastAsia="Times New Roman" w:hint="default"/>
          <w:color w:val="0D0D0D"/>
          <w:spacing w:val="-3"/>
          <w:w w:val="99"/>
        </w:rPr>
        <w:t>5G</w:t>
      </w:r>
      <w:r>
        <w:rPr>
          <w:color w:val="0D0D0D"/>
          <w:spacing w:val="-3"/>
          <w:w w:val="99"/>
        </w:rPr>
        <w:t>相关市场，公司开发了</w:t>
      </w:r>
      <w:r>
        <w:rPr>
          <w:rFonts w:ascii="Times New Roman" w:hAnsi="Times New Roman" w:cs="Times New Roman" w:eastAsia="Times New Roman" w:hint="default"/>
          <w:color w:val="0D0D0D"/>
          <w:spacing w:val="-3"/>
          <w:w w:val="99"/>
        </w:rPr>
        <w:t>“</w:t>
      </w:r>
      <w:r>
        <w:rPr>
          <w:color w:val="0D0D0D"/>
          <w:spacing w:val="-3"/>
          <w:w w:val="99"/>
        </w:rPr>
        <w:t>边云系列新一代小型精密空调机组</w:t>
      </w:r>
      <w:r>
        <w:rPr>
          <w:rFonts w:ascii="Times New Roman" w:hAnsi="Times New Roman" w:cs="Times New Roman" w:eastAsia="Times New Roman" w:hint="default"/>
          <w:color w:val="0D0D0D"/>
          <w:spacing w:val="-3"/>
          <w:w w:val="99"/>
        </w:rPr>
        <w:t>SGA”</w:t>
      </w:r>
      <w:r>
        <w:rPr>
          <w:color w:val="0D0D0D"/>
          <w:spacing w:val="-3"/>
          <w:w w:val="99"/>
        </w:rPr>
        <w:t>及</w:t>
      </w:r>
      <w:r>
        <w:rPr>
          <w:rFonts w:ascii="Times New Roman" w:hAnsi="Times New Roman" w:cs="Times New Roman" w:eastAsia="Times New Roman" w:hint="default"/>
          <w:color w:val="0D0D0D"/>
          <w:spacing w:val="-3"/>
          <w:w w:val="99"/>
        </w:rPr>
        <w:t>“</w:t>
      </w:r>
      <w:r>
        <w:rPr>
          <w:color w:val="0D0D0D"/>
          <w:spacing w:val="-3"/>
          <w:w w:val="99"/>
        </w:rPr>
        <w:t>边云系列小型机房热管</w:t>
      </w:r>
      <w:r>
        <w:rPr>
          <w:color w:val="0D0D0D"/>
          <w:spacing w:val="-95"/>
          <w:w w:val="99"/>
        </w:rPr>
        <w:t> </w:t>
      </w:r>
      <w:r>
        <w:rPr>
          <w:color w:val="0D0D0D"/>
        </w:rPr>
        <w:t>一体式空调机组</w:t>
      </w:r>
      <w:r>
        <w:rPr>
          <w:rFonts w:ascii="Times New Roman" w:hAnsi="Times New Roman" w:cs="Times New Roman" w:eastAsia="Times New Roman" w:hint="default"/>
          <w:color w:val="0D0D0D"/>
        </w:rPr>
        <w:t>SDA.HP”</w:t>
      </w:r>
      <w:r>
        <w:rPr>
          <w:color w:val="0D0D0D"/>
        </w:rPr>
        <w:t>新产品，两款新品均是针对小型数据机房和通讯基站市场而开发的</w:t>
      </w:r>
      <w:r>
        <w:rPr>
          <w:color w:val="0D0D0D"/>
          <w:spacing w:val="-89"/>
        </w:rPr>
        <w:t> </w:t>
      </w:r>
      <w:r>
        <w:rPr>
          <w:color w:val="0D0D0D"/>
          <w:spacing w:val="-89"/>
        </w:rPr>
      </w:r>
      <w:r>
        <w:rPr>
          <w:color w:val="0D0D0D"/>
        </w:rPr>
        <w:t>专业精密空调，兼具了比传统空调更高能效比等特点；公司多型号多系列精密空调通过了国</w:t>
      </w:r>
      <w:r>
        <w:rPr>
          <w:color w:val="0D0D0D"/>
          <w:spacing w:val="-93"/>
        </w:rPr>
        <w:t> </w:t>
      </w:r>
      <w:r>
        <w:rPr>
          <w:color w:val="0D0D0D"/>
          <w:spacing w:val="-93"/>
        </w:rPr>
      </w:r>
      <w:r>
        <w:rPr>
          <w:color w:val="0D0D0D"/>
          <w:spacing w:val="2"/>
        </w:rPr>
        <w:t>家级实验室抗震性能测试检验，其中，</w:t>
      </w:r>
      <w:r>
        <w:rPr>
          <w:rFonts w:ascii="Times New Roman" w:hAnsi="Times New Roman" w:cs="Times New Roman" w:eastAsia="Times New Roman" w:hint="default"/>
          <w:color w:val="0D0D0D"/>
          <w:spacing w:val="2"/>
        </w:rPr>
        <w:t>5G</w:t>
      </w:r>
      <w:r>
        <w:rPr>
          <w:color w:val="0D0D0D"/>
          <w:spacing w:val="2"/>
        </w:rPr>
        <w:t>基站空调获得</w:t>
      </w:r>
      <w:r>
        <w:rPr>
          <w:rFonts w:ascii="Times New Roman" w:hAnsi="Times New Roman" w:cs="Times New Roman" w:eastAsia="Times New Roman" w:hint="default"/>
          <w:color w:val="0D0D0D"/>
          <w:spacing w:val="2"/>
        </w:rPr>
        <w:t>8</w:t>
      </w:r>
      <w:r>
        <w:rPr>
          <w:color w:val="0D0D0D"/>
          <w:spacing w:val="2"/>
        </w:rPr>
        <w:t>级抗震认证，风冷房间、冷冻水房</w:t>
      </w:r>
      <w:r>
        <w:rPr>
          <w:spacing w:val="2"/>
        </w:rPr>
      </w:r>
    </w:p>
    <w:p>
      <w:pPr>
        <w:spacing w:after="0" w:line="340"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43" w:lineRule="auto"/>
        <w:ind w:right="1128"/>
        <w:jc w:val="both"/>
      </w:pPr>
      <w:r>
        <w:rPr>
          <w:color w:val="0D0D0D"/>
          <w:spacing w:val="-3"/>
        </w:rPr>
        <w:t>间、风冷列间、冷冻水列间空调获得</w:t>
      </w:r>
      <w:r>
        <w:rPr>
          <w:rFonts w:ascii="Times New Roman" w:hAnsi="Times New Roman" w:cs="Times New Roman" w:eastAsia="Times New Roman" w:hint="default"/>
          <w:color w:val="0D0D0D"/>
          <w:spacing w:val="-3"/>
        </w:rPr>
        <w:t>9</w:t>
      </w:r>
      <w:r>
        <w:rPr>
          <w:color w:val="0D0D0D"/>
          <w:spacing w:val="-3"/>
        </w:rPr>
        <w:t>级认证；软件公司与华为联合开发智能基站温控器，该</w:t>
      </w:r>
      <w:r>
        <w:rPr>
          <w:color w:val="0D0D0D"/>
          <w:spacing w:val="-80"/>
        </w:rPr>
        <w:t> </w:t>
      </w:r>
      <w:r>
        <w:rPr>
          <w:color w:val="0D0D0D"/>
          <w:spacing w:val="-80"/>
        </w:rPr>
      </w:r>
      <w:r>
        <w:rPr>
          <w:color w:val="0D0D0D"/>
        </w:rPr>
        <w:t>基站温控设备节能</w:t>
      </w:r>
      <w:r>
        <w:rPr>
          <w:rFonts w:ascii="Times New Roman" w:hAnsi="Times New Roman" w:cs="Times New Roman" w:eastAsia="Times New Roman" w:hint="default"/>
          <w:color w:val="0D0D0D"/>
        </w:rPr>
        <w:t>20%-90%</w:t>
      </w:r>
      <w:r>
        <w:rPr>
          <w:color w:val="0D0D0D"/>
        </w:rPr>
        <w:t>；智能工程发布小型数据中心解决方案产品，在工程产品化、服</w:t>
      </w:r>
      <w:r>
        <w:rPr>
          <w:color w:val="0D0D0D"/>
          <w:spacing w:val="-93"/>
        </w:rPr>
        <w:t> </w:t>
      </w:r>
      <w:r>
        <w:rPr>
          <w:color w:val="0D0D0D"/>
          <w:spacing w:val="-93"/>
        </w:rPr>
      </w:r>
      <w:r>
        <w:rPr>
          <w:color w:val="0D0D0D"/>
          <w:spacing w:val="-5"/>
        </w:rPr>
        <w:t>务模式创新方向实现了新突破；公司顺利通过新版节能技术标准认证；公司还参与了包括《数</w:t>
      </w:r>
      <w:r>
        <w:rPr>
          <w:color w:val="0D0D0D"/>
          <w:spacing w:val="-118"/>
        </w:rPr>
        <w:t> </w:t>
      </w:r>
      <w:r>
        <w:rPr>
          <w:color w:val="0D0D0D"/>
          <w:spacing w:val="-118"/>
        </w:rPr>
      </w:r>
      <w:r>
        <w:rPr>
          <w:color w:val="0D0D0D"/>
          <w:spacing w:val="-6"/>
        </w:rPr>
        <w:t>据中心能效评价技术依据》、《数据中心蒸发冷却水系统及高效空调末端集成技术白皮书》、</w:t>
      </w:r>
      <w:r>
        <w:rPr>
          <w:spacing w:val="-6"/>
        </w:rPr>
      </w:r>
    </w:p>
    <w:p>
      <w:pPr>
        <w:pStyle w:val="BodyText"/>
        <w:spacing w:line="336" w:lineRule="auto" w:before="53"/>
        <w:ind w:right="1125"/>
        <w:jc w:val="left"/>
      </w:pPr>
      <w:r>
        <w:rPr>
          <w:color w:val="0D0D0D"/>
          <w:spacing w:val="-1"/>
        </w:rPr>
        <w:t>《数据中心蒸发冷却空调技术规范》在内的多项课题</w:t>
      </w:r>
      <w:r>
        <w:rPr>
          <w:rFonts w:ascii="Times New Roman" w:hAnsi="Times New Roman" w:cs="Times New Roman" w:eastAsia="Times New Roman" w:hint="default"/>
          <w:color w:val="0D0D0D"/>
          <w:spacing w:val="-1"/>
        </w:rPr>
        <w:t>/</w:t>
      </w:r>
      <w:r>
        <w:rPr>
          <w:color w:val="0D0D0D"/>
          <w:spacing w:val="-1"/>
        </w:rPr>
        <w:t>技术规范文件的编制，研发实力得到了</w:t>
      </w:r>
      <w:r>
        <w:rPr>
          <w:color w:val="0D0D0D"/>
          <w:spacing w:val="-108"/>
        </w:rPr>
        <w:t> </w:t>
      </w:r>
      <w:r>
        <w:rPr>
          <w:color w:val="0D0D0D"/>
          <w:spacing w:val="-108"/>
        </w:rPr>
      </w:r>
      <w:r>
        <w:rPr>
          <w:color w:val="0D0D0D"/>
        </w:rPr>
        <w:t>高度认可。</w:t>
      </w:r>
      <w:r>
        <w:rPr/>
      </w:r>
    </w:p>
    <w:p>
      <w:pPr>
        <w:pStyle w:val="BodyText"/>
        <w:spacing w:line="338" w:lineRule="auto" w:before="60"/>
        <w:ind w:right="1122" w:firstLine="480"/>
        <w:jc w:val="both"/>
      </w:pPr>
      <w:r>
        <w:rPr>
          <w:color w:val="0D0D0D"/>
          <w:spacing w:val="-2"/>
        </w:rPr>
        <w:t>本报告期，公司新获得</w:t>
      </w:r>
      <w:r>
        <w:rPr>
          <w:rFonts w:ascii="Times New Roman" w:hAnsi="Times New Roman" w:cs="Times New Roman" w:eastAsia="Times New Roman" w:hint="default"/>
          <w:color w:val="0D0D0D"/>
          <w:spacing w:val="-2"/>
        </w:rPr>
        <w:t>34</w:t>
      </w:r>
      <w:r>
        <w:rPr>
          <w:color w:val="0D0D0D"/>
          <w:spacing w:val="-2"/>
        </w:rPr>
        <w:t>项实用新型专利、</w:t>
      </w:r>
      <w:r>
        <w:rPr>
          <w:rFonts w:ascii="Times New Roman" w:hAnsi="Times New Roman" w:cs="Times New Roman" w:eastAsia="Times New Roman" w:hint="default"/>
          <w:color w:val="0D0D0D"/>
          <w:spacing w:val="-2"/>
        </w:rPr>
        <w:t>3</w:t>
      </w:r>
      <w:r>
        <w:rPr>
          <w:color w:val="0D0D0D"/>
          <w:spacing w:val="-2"/>
        </w:rPr>
        <w:t>项发明专利、</w:t>
      </w:r>
      <w:r>
        <w:rPr>
          <w:rFonts w:ascii="Times New Roman" w:hAnsi="Times New Roman" w:cs="Times New Roman" w:eastAsia="Times New Roman" w:hint="default"/>
          <w:color w:val="0D0D0D"/>
          <w:spacing w:val="-2"/>
        </w:rPr>
        <w:t>10</w:t>
      </w:r>
      <w:r>
        <w:rPr>
          <w:color w:val="0D0D0D"/>
          <w:spacing w:val="-2"/>
        </w:rPr>
        <w:t>个商标、</w:t>
      </w:r>
      <w:r>
        <w:rPr>
          <w:rFonts w:ascii="Times New Roman" w:hAnsi="Times New Roman" w:cs="Times New Roman" w:eastAsia="Times New Roman" w:hint="default"/>
          <w:color w:val="0D0D0D"/>
          <w:spacing w:val="-2"/>
        </w:rPr>
        <w:t>9</w:t>
      </w:r>
      <w:r>
        <w:rPr>
          <w:color w:val="0D0D0D"/>
          <w:spacing w:val="-2"/>
        </w:rPr>
        <w:t>项软件著作权、</w:t>
      </w:r>
      <w:r>
        <w:rPr>
          <w:rFonts w:ascii="Times New Roman" w:hAnsi="Times New Roman" w:cs="Times New Roman" w:eastAsia="Times New Roman" w:hint="default"/>
          <w:color w:val="0D0D0D"/>
          <w:spacing w:val="-2"/>
        </w:rPr>
        <w:t>4</w:t>
      </w:r>
      <w:r>
        <w:rPr>
          <w:rFonts w:ascii="Times New Roman" w:hAnsi="Times New Roman" w:cs="Times New Roman" w:eastAsia="Times New Roman" w:hint="default"/>
          <w:color w:val="0D0D0D"/>
        </w:rPr>
        <w:t> </w:t>
      </w:r>
      <w:r>
        <w:rPr>
          <w:color w:val="0D0D0D"/>
        </w:rPr>
        <w:t>项</w:t>
      </w:r>
      <w:r>
        <w:rPr>
          <w:rFonts w:ascii="Times New Roman" w:hAnsi="Times New Roman" w:cs="Times New Roman" w:eastAsia="Times New Roman" w:hint="default"/>
          <w:color w:val="0D0D0D"/>
        </w:rPr>
        <w:t>CCC</w:t>
      </w:r>
      <w:r>
        <w:rPr>
          <w:color w:val="0D0D0D"/>
        </w:rPr>
        <w:t>产品认证、</w:t>
      </w:r>
      <w:r>
        <w:rPr>
          <w:rFonts w:ascii="Times New Roman" w:hAnsi="Times New Roman" w:cs="Times New Roman" w:eastAsia="Times New Roman" w:hint="default"/>
          <w:color w:val="0D0D0D"/>
        </w:rPr>
        <w:t>21</w:t>
      </w:r>
      <w:r>
        <w:rPr>
          <w:color w:val="0D0D0D"/>
        </w:rPr>
        <w:t>项节能产品认证、</w:t>
      </w:r>
      <w:r>
        <w:rPr>
          <w:rFonts w:ascii="Times New Roman" w:hAnsi="Times New Roman" w:cs="Times New Roman" w:eastAsia="Times New Roman" w:hint="default"/>
          <w:color w:val="0D0D0D"/>
        </w:rPr>
        <w:t>1</w:t>
      </w:r>
      <w:r>
        <w:rPr>
          <w:color w:val="0D0D0D"/>
        </w:rPr>
        <w:t>项华为</w:t>
      </w:r>
      <w:r>
        <w:rPr>
          <w:rFonts w:ascii="Times New Roman" w:hAnsi="Times New Roman" w:cs="Times New Roman" w:eastAsia="Times New Roman" w:hint="default"/>
          <w:color w:val="0D0D0D"/>
        </w:rPr>
        <w:t>CE</w:t>
      </w:r>
      <w:r>
        <w:rPr>
          <w:color w:val="0D0D0D"/>
        </w:rPr>
        <w:t>认证；已受理</w:t>
      </w:r>
      <w:r>
        <w:rPr>
          <w:rFonts w:ascii="Times New Roman" w:hAnsi="Times New Roman" w:cs="Times New Roman" w:eastAsia="Times New Roman" w:hint="default"/>
          <w:color w:val="0D0D0D"/>
        </w:rPr>
        <w:t>16</w:t>
      </w:r>
      <w:r>
        <w:rPr>
          <w:color w:val="0D0D0D"/>
        </w:rPr>
        <w:t>项实用新型专利、</w:t>
      </w:r>
      <w:r>
        <w:rPr>
          <w:rFonts w:ascii="Times New Roman" w:hAnsi="Times New Roman" w:cs="Times New Roman" w:eastAsia="Times New Roman" w:hint="default"/>
          <w:color w:val="0D0D0D"/>
        </w:rPr>
        <w:t>19</w:t>
      </w:r>
      <w:r>
        <w:rPr>
          <w:color w:val="0D0D0D"/>
        </w:rPr>
        <w:t>项发</w:t>
      </w:r>
      <w:r>
        <w:rPr>
          <w:color w:val="0D0D0D"/>
          <w:spacing w:val="-51"/>
        </w:rPr>
        <w:t> </w:t>
      </w:r>
      <w:r>
        <w:rPr>
          <w:color w:val="0D0D0D"/>
          <w:spacing w:val="-2"/>
        </w:rPr>
        <w:t>明专利、</w:t>
      </w:r>
      <w:r>
        <w:rPr>
          <w:rFonts w:ascii="Times New Roman" w:hAnsi="Times New Roman" w:cs="Times New Roman" w:eastAsia="Times New Roman" w:hint="default"/>
          <w:color w:val="0D0D0D"/>
          <w:spacing w:val="-2"/>
        </w:rPr>
        <w:t>3</w:t>
      </w:r>
      <w:r>
        <w:rPr>
          <w:color w:val="0D0D0D"/>
          <w:spacing w:val="-2"/>
        </w:rPr>
        <w:t>个商标注册。公司相关研发建设工作得到分步、有效实施，取得了预期的成效，公</w:t>
      </w:r>
      <w:r>
        <w:rPr>
          <w:color w:val="0D0D0D"/>
          <w:spacing w:val="-117"/>
        </w:rPr>
        <w:t> </w:t>
      </w:r>
      <w:r>
        <w:rPr>
          <w:color w:val="0D0D0D"/>
          <w:spacing w:val="-117"/>
        </w:rPr>
      </w:r>
      <w:r>
        <w:rPr>
          <w:color w:val="0D0D0D"/>
        </w:rPr>
        <w:t>司核心竞争力得到有力提升。</w:t>
      </w:r>
      <w:r>
        <w:rPr/>
      </w:r>
    </w:p>
    <w:p>
      <w:pPr>
        <w:spacing w:line="336" w:lineRule="auto" w:before="58"/>
        <w:ind w:left="633" w:right="0" w:firstLine="0"/>
        <w:jc w:val="left"/>
        <w:rPr>
          <w:rFonts w:ascii="宋体" w:hAnsi="宋体" w:cs="宋体" w:eastAsia="宋体" w:hint="default"/>
          <w:sz w:val="24"/>
          <w:szCs w:val="24"/>
        </w:rPr>
      </w:pPr>
      <w:r>
        <w:rPr>
          <w:rFonts w:ascii="宋体" w:hAnsi="宋体" w:cs="宋体" w:eastAsia="宋体" w:hint="default"/>
          <w:b/>
          <w:bCs/>
          <w:color w:val="0D0D0D"/>
          <w:sz w:val="24"/>
          <w:szCs w:val="24"/>
        </w:rPr>
        <w:t>（</w:t>
      </w:r>
      <w:r>
        <w:rPr>
          <w:rFonts w:ascii="Times New Roman" w:hAnsi="Times New Roman" w:cs="Times New Roman" w:eastAsia="Times New Roman" w:hint="default"/>
          <w:b/>
          <w:bCs/>
          <w:color w:val="0D0D0D"/>
          <w:sz w:val="24"/>
          <w:szCs w:val="24"/>
        </w:rPr>
        <w:t>4</w:t>
      </w:r>
      <w:r>
        <w:rPr>
          <w:rFonts w:ascii="宋体" w:hAnsi="宋体" w:cs="宋体" w:eastAsia="宋体" w:hint="default"/>
          <w:b/>
          <w:bCs/>
          <w:color w:val="0D0D0D"/>
          <w:sz w:val="24"/>
          <w:szCs w:val="24"/>
        </w:rPr>
        <w:t>）获颁资质与奖项，公司实力再获认可</w:t>
      </w:r>
      <w:r>
        <w:rPr>
          <w:rFonts w:ascii="宋体" w:hAnsi="宋体" w:cs="宋体" w:eastAsia="宋体" w:hint="default"/>
          <w:b/>
          <w:bCs/>
          <w:color w:val="0D0D0D"/>
          <w:w w:val="99"/>
          <w:sz w:val="24"/>
          <w:szCs w:val="24"/>
        </w:rPr>
        <w:t> </w:t>
      </w:r>
      <w:r>
        <w:rPr>
          <w:rFonts w:ascii="宋体" w:hAnsi="宋体" w:cs="宋体" w:eastAsia="宋体" w:hint="default"/>
          <w:sz w:val="24"/>
          <w:szCs w:val="24"/>
        </w:rPr>
        <w:t>报告期内，公司技术中心凭借突出的创新能力和创新业绩通过国家企业技术中心认定及</w:t>
      </w:r>
    </w:p>
    <w:p>
      <w:pPr>
        <w:pStyle w:val="BodyText"/>
        <w:spacing w:line="338" w:lineRule="auto" w:before="60"/>
        <w:ind w:right="0"/>
        <w:jc w:val="left"/>
      </w:pPr>
      <w:r>
        <w:rPr/>
        <w:t>复审；公司智能绿色生产基地荣获国家绿色工厂称号；公司成功蝉联</w:t>
      </w:r>
      <w:r>
        <w:rPr>
          <w:rFonts w:ascii="Times New Roman" w:hAnsi="Times New Roman" w:cs="Times New Roman" w:eastAsia="Times New Roman" w:hint="default"/>
        </w:rPr>
        <w:t>“2019</w:t>
      </w:r>
      <w:r>
        <w:rPr/>
        <w:t>年度全国政府采购 </w:t>
      </w:r>
      <w:r>
        <w:rPr>
          <w:spacing w:val="-3"/>
          <w:w w:val="100"/>
        </w:rPr>
        <w:t>机房空调首选节能品牌</w:t>
      </w:r>
      <w:r>
        <w:rPr>
          <w:rFonts w:ascii="Times New Roman" w:hAnsi="Times New Roman" w:cs="Times New Roman" w:eastAsia="Times New Roman" w:hint="default"/>
          <w:spacing w:val="-3"/>
          <w:w w:val="100"/>
        </w:rPr>
        <w:t>”</w:t>
      </w:r>
      <w:r>
        <w:rPr>
          <w:spacing w:val="-3"/>
          <w:w w:val="100"/>
        </w:rPr>
        <w:t>年度大奖；公司</w:t>
      </w:r>
      <w:r>
        <w:rPr>
          <w:rFonts w:ascii="Times New Roman" w:hAnsi="Times New Roman" w:cs="Times New Roman" w:eastAsia="Times New Roman" w:hint="default"/>
          <w:spacing w:val="-3"/>
          <w:w w:val="100"/>
        </w:rPr>
        <w:t>“</w:t>
      </w:r>
      <w:r>
        <w:rPr>
          <w:spacing w:val="-3"/>
          <w:w w:val="100"/>
        </w:rPr>
        <w:t>间接蒸发冷却</w:t>
      </w:r>
      <w:r>
        <w:rPr>
          <w:rFonts w:ascii="Times New Roman" w:hAnsi="Times New Roman" w:cs="Times New Roman" w:eastAsia="Times New Roman" w:hint="default"/>
          <w:spacing w:val="-3"/>
          <w:w w:val="100"/>
        </w:rPr>
        <w:t>”</w:t>
      </w:r>
      <w:r>
        <w:rPr>
          <w:spacing w:val="-3"/>
          <w:w w:val="100"/>
        </w:rPr>
        <w:t>产品</w:t>
      </w:r>
      <w:r>
        <w:rPr>
          <w:rFonts w:ascii="Times New Roman" w:hAnsi="Times New Roman" w:cs="Times New Roman" w:eastAsia="Times New Roman" w:hint="default"/>
          <w:spacing w:val="-3"/>
          <w:w w:val="100"/>
        </w:rPr>
        <w:t>/</w:t>
      </w:r>
      <w:r>
        <w:rPr>
          <w:spacing w:val="-3"/>
          <w:w w:val="100"/>
        </w:rPr>
        <w:t>技术荣膺全国节能环保优秀推荐</w:t>
      </w:r>
      <w:r>
        <w:rPr>
          <w:spacing w:val="-102"/>
          <w:w w:val="100"/>
        </w:rPr>
        <w:t> </w:t>
      </w:r>
      <w:r>
        <w:rPr/>
        <w:t>产品、技术；公司及全资子公司深圳龙控分别凭借</w:t>
      </w:r>
      <w:r>
        <w:rPr>
          <w:rFonts w:ascii="Times New Roman" w:hAnsi="Times New Roman" w:cs="Times New Roman" w:eastAsia="Times New Roman" w:hint="default"/>
        </w:rPr>
        <w:t>“</w:t>
      </w:r>
      <w:r>
        <w:rPr/>
        <w:t>直流变频列间空调</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基于</w:t>
      </w:r>
      <w:r>
        <w:rPr>
          <w:rFonts w:ascii="Times New Roman" w:hAnsi="Times New Roman" w:cs="Times New Roman" w:eastAsia="Times New Roman" w:hint="default"/>
        </w:rPr>
        <w:t>AI</w:t>
      </w:r>
      <w:r>
        <w:rPr/>
        <w:t>的数据中心 制冷系统运行优化</w:t>
      </w:r>
      <w:r>
        <w:rPr>
          <w:rFonts w:ascii="Times New Roman" w:hAnsi="Times New Roman" w:cs="Times New Roman" w:eastAsia="Times New Roman" w:hint="default"/>
        </w:rPr>
        <w:t>”</w:t>
      </w:r>
      <w:r>
        <w:rPr/>
        <w:t>项目，荣获两项</w:t>
      </w:r>
      <w:r>
        <w:rPr>
          <w:rFonts w:ascii="Times New Roman" w:hAnsi="Times New Roman" w:cs="Times New Roman" w:eastAsia="Times New Roman" w:hint="default"/>
        </w:rPr>
        <w:t>“</w:t>
      </w:r>
      <w:r>
        <w:rPr/>
        <w:t>云计算中心科技奖</w:t>
      </w:r>
      <w:r>
        <w:rPr>
          <w:rFonts w:ascii="Times New Roman" w:hAnsi="Times New Roman" w:cs="Times New Roman" w:eastAsia="Times New Roman" w:hint="default"/>
        </w:rPr>
        <w:t>”</w:t>
      </w:r>
      <w:r>
        <w:rPr/>
        <w:t>，分别凭借</w:t>
      </w:r>
      <w:r>
        <w:rPr>
          <w:rFonts w:ascii="Times New Roman" w:hAnsi="Times New Roman" w:cs="Times New Roman" w:eastAsia="Times New Roman" w:hint="default"/>
        </w:rPr>
        <w:t>“</w:t>
      </w:r>
      <w:r>
        <w:rPr/>
        <w:t>基于绿色节能列间空调</w:t>
      </w:r>
      <w:r>
        <w:rPr>
          <w:spacing w:val="-42"/>
        </w:rPr>
        <w:t> </w:t>
      </w:r>
      <w:r>
        <w:rPr>
          <w:spacing w:val="-42"/>
        </w:rPr>
      </w:r>
      <w:r>
        <w:rPr>
          <w:spacing w:val="2"/>
        </w:rPr>
        <w:t>的直流变频控制技术</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数据中心智能运维机器人应用</w:t>
      </w:r>
      <w:r>
        <w:rPr>
          <w:rFonts w:ascii="Times New Roman" w:hAnsi="Times New Roman" w:cs="Times New Roman" w:eastAsia="Times New Roman" w:hint="default"/>
          <w:spacing w:val="2"/>
        </w:rPr>
        <w:t>”</w:t>
      </w:r>
      <w:r>
        <w:rPr>
          <w:spacing w:val="2"/>
        </w:rPr>
        <w:t>，荣获两项</w:t>
      </w:r>
      <w:r>
        <w:rPr>
          <w:rFonts w:ascii="Times New Roman" w:hAnsi="Times New Roman" w:cs="Times New Roman" w:eastAsia="Times New Roman" w:hint="default"/>
          <w:spacing w:val="2"/>
        </w:rPr>
        <w:t>“</w:t>
      </w:r>
      <w:r>
        <w:rPr>
          <w:spacing w:val="2"/>
        </w:rPr>
        <w:t>数据中心科技成果奖</w:t>
      </w:r>
      <w:r>
        <w:rPr>
          <w:rFonts w:ascii="Times New Roman" w:hAnsi="Times New Roman" w:cs="Times New Roman" w:eastAsia="Times New Roman" w:hint="default"/>
          <w:spacing w:val="2"/>
        </w:rPr>
        <w:t>”</w:t>
      </w:r>
      <w:r>
        <w:rPr>
          <w:spacing w:val="2"/>
        </w:rPr>
        <w:t>；</w:t>
      </w:r>
      <w:r>
        <w:rPr>
          <w:spacing w:val="-112"/>
        </w:rPr>
        <w:t> </w:t>
      </w:r>
      <w:r>
        <w:rPr/>
        <w:t>深圳龙控还凭借</w:t>
      </w:r>
      <w:r>
        <w:rPr>
          <w:rFonts w:ascii="Times New Roman" w:hAnsi="Times New Roman" w:cs="Times New Roman" w:eastAsia="Times New Roman" w:hint="default"/>
        </w:rPr>
        <w:t>“Centralink</w:t>
      </w:r>
      <w:r>
        <w:rPr/>
        <w:t>数据中心智能管理平台</w:t>
      </w:r>
      <w:r>
        <w:rPr>
          <w:rFonts w:ascii="Times New Roman" w:hAnsi="Times New Roman" w:cs="Times New Roman" w:eastAsia="Times New Roman" w:hint="default"/>
        </w:rPr>
        <w:t>”</w:t>
      </w:r>
      <w:r>
        <w:rPr/>
        <w:t>荣获</w:t>
      </w:r>
      <w:r>
        <w:rPr>
          <w:rFonts w:ascii="Times New Roman" w:hAnsi="Times New Roman" w:cs="Times New Roman" w:eastAsia="Times New Roman" w:hint="default"/>
        </w:rPr>
        <w:t>“</w:t>
      </w:r>
      <w:r>
        <w:rPr/>
        <w:t>数据中心优秀产品奖</w:t>
      </w:r>
      <w:r>
        <w:rPr>
          <w:rFonts w:ascii="Times New Roman" w:hAnsi="Times New Roman" w:cs="Times New Roman" w:eastAsia="Times New Roman" w:hint="default"/>
        </w:rPr>
        <w:t>”</w:t>
      </w:r>
      <w:r>
        <w:rPr/>
        <w:t>；公司在军工</w:t>
      </w:r>
      <w:r>
        <w:rPr>
          <w:spacing w:val="-92"/>
        </w:rPr>
        <w:t> </w:t>
      </w:r>
      <w:r>
        <w:rPr>
          <w:spacing w:val="-92"/>
        </w:rPr>
      </w:r>
      <w:r>
        <w:rPr/>
        <w:t>资质方面取得突破，成功通过</w:t>
      </w:r>
      <w:r>
        <w:rPr>
          <w:rFonts w:ascii="Times New Roman" w:hAnsi="Times New Roman" w:cs="Times New Roman" w:eastAsia="Times New Roman" w:hint="default"/>
        </w:rPr>
        <w:t>“</w:t>
      </w:r>
      <w:r>
        <w:rPr/>
        <w:t>武器装备科研生产单位保密资格</w:t>
      </w:r>
      <w:r>
        <w:rPr>
          <w:rFonts w:ascii="Times New Roman" w:hAnsi="Times New Roman" w:cs="Times New Roman" w:eastAsia="Times New Roman" w:hint="default"/>
        </w:rPr>
        <w:t>”</w:t>
      </w:r>
      <w:r>
        <w:rPr/>
        <w:t>认定，顺利通过</w:t>
      </w:r>
      <w:r>
        <w:rPr>
          <w:rFonts w:ascii="Times New Roman" w:hAnsi="Times New Roman" w:cs="Times New Roman" w:eastAsia="Times New Roman" w:hint="default"/>
        </w:rPr>
        <w:t>“</w:t>
      </w:r>
      <w:r>
        <w:rPr/>
        <w:t>国军标质量 管理体系</w:t>
      </w:r>
      <w:r>
        <w:rPr>
          <w:rFonts w:ascii="Times New Roman" w:hAnsi="Times New Roman" w:cs="Times New Roman" w:eastAsia="Times New Roman" w:hint="default"/>
        </w:rPr>
        <w:t>2019</w:t>
      </w:r>
      <w:r>
        <w:rPr/>
        <w:t>年度监督审核</w:t>
      </w:r>
      <w:r>
        <w:rPr>
          <w:rFonts w:ascii="Times New Roman" w:hAnsi="Times New Roman" w:cs="Times New Roman" w:eastAsia="Times New Roman" w:hint="default"/>
        </w:rPr>
        <w:t>”</w:t>
      </w:r>
      <w:r>
        <w:rPr/>
        <w:t>；</w:t>
      </w:r>
      <w:r>
        <w:rPr>
          <w:color w:val="0D0D0D"/>
        </w:rPr>
        <w:t>公司还获得</w:t>
      </w:r>
      <w:r>
        <w:rPr>
          <w:rFonts w:ascii="Times New Roman" w:hAnsi="Times New Roman" w:cs="Times New Roman" w:eastAsia="Times New Roman" w:hint="default"/>
          <w:color w:val="0D0D0D"/>
        </w:rPr>
        <w:t>“</w:t>
      </w:r>
      <w:r>
        <w:rPr>
          <w:color w:val="0D0D0D"/>
        </w:rPr>
        <w:t>四川省诚信示范企业</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四川省精密环境空调工</w:t>
      </w:r>
      <w:r>
        <w:rPr>
          <w:color w:val="0D0D0D"/>
          <w:spacing w:val="-45"/>
        </w:rPr>
        <w:t> </w:t>
      </w:r>
      <w:r>
        <w:rPr>
          <w:color w:val="0D0D0D"/>
          <w:spacing w:val="-45"/>
        </w:rPr>
      </w:r>
      <w:r>
        <w:rPr>
          <w:color w:val="0D0D0D"/>
          <w:spacing w:val="2"/>
        </w:rPr>
        <w:t>程技术研究中心</w:t>
      </w:r>
      <w:r>
        <w:rPr>
          <w:rFonts w:ascii="Times New Roman" w:hAnsi="Times New Roman" w:cs="Times New Roman" w:eastAsia="Times New Roman" w:hint="default"/>
          <w:color w:val="0D0D0D"/>
          <w:spacing w:val="2"/>
        </w:rPr>
        <w:t>”</w:t>
      </w:r>
      <w:r>
        <w:rPr>
          <w:color w:val="0D0D0D"/>
          <w:spacing w:val="2"/>
        </w:rPr>
        <w:t>及</w:t>
      </w:r>
      <w:r>
        <w:rPr>
          <w:rFonts w:ascii="Times New Roman" w:hAnsi="Times New Roman" w:cs="Times New Roman" w:eastAsia="Times New Roman" w:hint="default"/>
          <w:color w:val="0D0D0D"/>
          <w:spacing w:val="2"/>
        </w:rPr>
        <w:t>“</w:t>
      </w:r>
      <w:r>
        <w:rPr>
          <w:color w:val="0D0D0D"/>
          <w:spacing w:val="2"/>
        </w:rPr>
        <w:t>四川省制造业百强</w:t>
      </w:r>
      <w:r>
        <w:rPr>
          <w:rFonts w:ascii="Times New Roman" w:hAnsi="Times New Roman" w:cs="Times New Roman" w:eastAsia="Times New Roman" w:hint="default"/>
          <w:color w:val="0D0D0D"/>
          <w:spacing w:val="2"/>
        </w:rPr>
        <w:t>”</w:t>
      </w:r>
      <w:r>
        <w:rPr>
          <w:color w:val="0D0D0D"/>
          <w:spacing w:val="2"/>
        </w:rPr>
        <w:t>、</w:t>
      </w:r>
      <w:r>
        <w:rPr>
          <w:rFonts w:ascii="Times New Roman" w:hAnsi="Times New Roman" w:cs="Times New Roman" w:eastAsia="Times New Roman" w:hint="default"/>
          <w:color w:val="0D0D0D"/>
          <w:spacing w:val="2"/>
        </w:rPr>
        <w:t>“2019</w:t>
      </w:r>
      <w:r>
        <w:rPr>
          <w:color w:val="0D0D0D"/>
          <w:spacing w:val="2"/>
        </w:rPr>
        <w:t>年度省级服务型制造示范企业</w:t>
      </w:r>
      <w:r>
        <w:rPr>
          <w:rFonts w:ascii="Times New Roman" w:hAnsi="Times New Roman" w:cs="Times New Roman" w:eastAsia="Times New Roman" w:hint="default"/>
          <w:color w:val="0D0D0D"/>
          <w:spacing w:val="2"/>
        </w:rPr>
        <w:t>”</w:t>
      </w:r>
      <w:r>
        <w:rPr>
          <w:color w:val="0D0D0D"/>
          <w:spacing w:val="2"/>
        </w:rPr>
        <w:t>、</w:t>
      </w:r>
      <w:r>
        <w:rPr>
          <w:rFonts w:ascii="Times New Roman" w:hAnsi="Times New Roman" w:cs="Times New Roman" w:eastAsia="Times New Roman" w:hint="default"/>
          <w:color w:val="0D0D0D"/>
          <w:spacing w:val="2"/>
        </w:rPr>
        <w:t>“</w:t>
      </w:r>
      <w:r>
        <w:rPr>
          <w:color w:val="0D0D0D"/>
          <w:spacing w:val="2"/>
        </w:rPr>
        <w:t>成都市制</w:t>
      </w:r>
      <w:r>
        <w:rPr>
          <w:color w:val="0D0D0D"/>
          <w:spacing w:val="-97"/>
        </w:rPr>
        <w:t> </w:t>
      </w:r>
      <w:r>
        <w:rPr>
          <w:color w:val="0D0D0D"/>
        </w:rPr>
        <w:t>造业创新示范中心</w:t>
      </w:r>
      <w:r>
        <w:rPr>
          <w:rFonts w:ascii="Times New Roman" w:hAnsi="Times New Roman" w:cs="Times New Roman" w:eastAsia="Times New Roman" w:hint="default"/>
          <w:color w:val="0D0D0D"/>
        </w:rPr>
        <w:t>”</w:t>
      </w:r>
      <w:r>
        <w:rPr>
          <w:color w:val="0D0D0D"/>
        </w:rPr>
        <w:t>等荣誉称号，荣膺</w:t>
      </w:r>
      <w:r>
        <w:rPr>
          <w:rFonts w:ascii="Times New Roman" w:hAnsi="Times New Roman" w:cs="Times New Roman" w:eastAsia="Times New Roman" w:hint="default"/>
          <w:color w:val="0D0D0D"/>
        </w:rPr>
        <w:t>“</w:t>
      </w:r>
      <w:r>
        <w:rPr>
          <w:color w:val="0D0D0D"/>
        </w:rPr>
        <w:t>中国制冷空调工业协会理事单位</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成都市大数据协</w:t>
      </w:r>
      <w:r>
        <w:rPr>
          <w:color w:val="0D0D0D"/>
          <w:spacing w:val="-42"/>
        </w:rPr>
        <w:t> </w:t>
      </w:r>
      <w:r>
        <w:rPr>
          <w:color w:val="0D0D0D"/>
          <w:spacing w:val="-42"/>
        </w:rPr>
      </w:r>
      <w:r>
        <w:rPr>
          <w:color w:val="0D0D0D"/>
        </w:rPr>
        <w:t>会会员单位</w:t>
      </w:r>
      <w:r>
        <w:rPr>
          <w:rFonts w:ascii="Times New Roman" w:hAnsi="Times New Roman" w:cs="Times New Roman" w:eastAsia="Times New Roman" w:hint="default"/>
          <w:color w:val="0D0D0D"/>
        </w:rPr>
        <w:t>”</w:t>
      </w:r>
      <w:r>
        <w:rPr>
          <w:color w:val="0D0D0D"/>
        </w:rPr>
        <w:t>；子公司依米康龙控软件被授予</w:t>
      </w:r>
      <w:r>
        <w:rPr>
          <w:rFonts w:ascii="Times New Roman" w:hAnsi="Times New Roman" w:cs="Times New Roman" w:eastAsia="Times New Roman" w:hint="default"/>
          <w:color w:val="0D0D0D"/>
        </w:rPr>
        <w:t>“</w:t>
      </w:r>
      <w:r>
        <w:rPr>
          <w:color w:val="0D0D0D"/>
        </w:rPr>
        <w:t>成都高新区瞪羚企业</w:t>
      </w:r>
      <w:r>
        <w:rPr>
          <w:rFonts w:ascii="Times New Roman" w:hAnsi="Times New Roman" w:cs="Times New Roman" w:eastAsia="Times New Roman" w:hint="default"/>
          <w:color w:val="0D0D0D"/>
        </w:rPr>
        <w:t>”</w:t>
      </w:r>
      <w:r>
        <w:rPr>
          <w:color w:val="0D0D0D"/>
        </w:rPr>
        <w:t>称号。</w:t>
      </w:r>
      <w:r>
        <w:rPr/>
        <w:t>公司总经理张菀女</w:t>
      </w:r>
      <w:r>
        <w:rPr/>
        <w:t> </w:t>
      </w:r>
      <w:r>
        <w:rPr>
          <w:spacing w:val="-3"/>
        </w:rPr>
        <w:t>士继获得</w:t>
      </w:r>
      <w:r>
        <w:rPr>
          <w:rFonts w:ascii="Times New Roman" w:hAnsi="Times New Roman" w:cs="Times New Roman" w:eastAsia="Times New Roman" w:hint="default"/>
          <w:spacing w:val="-3"/>
        </w:rPr>
        <w:t>“</w:t>
      </w:r>
      <w:r>
        <w:rPr>
          <w:spacing w:val="-3"/>
        </w:rPr>
        <w:t>四川省优秀民营企业家</w:t>
      </w:r>
      <w:r>
        <w:rPr>
          <w:rFonts w:ascii="Times New Roman" w:hAnsi="Times New Roman" w:cs="Times New Roman" w:eastAsia="Times New Roman" w:hint="default"/>
          <w:spacing w:val="-3"/>
        </w:rPr>
        <w:t>”</w:t>
      </w:r>
      <w:r>
        <w:rPr>
          <w:spacing w:val="-3"/>
        </w:rPr>
        <w:t>之后，再度荣获</w:t>
      </w:r>
      <w:r>
        <w:rPr>
          <w:rFonts w:ascii="Times New Roman" w:hAnsi="Times New Roman" w:cs="Times New Roman" w:eastAsia="Times New Roman" w:hint="default"/>
          <w:spacing w:val="-3"/>
        </w:rPr>
        <w:t>“2018 </w:t>
      </w:r>
      <w:r>
        <w:rPr>
          <w:spacing w:val="-4"/>
        </w:rPr>
        <w:t>四川十大新经济领军人物</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云计算</w:t>
      </w:r>
      <w:r>
        <w:rPr>
          <w:spacing w:val="-98"/>
        </w:rPr>
        <w:t> </w:t>
      </w:r>
      <w:r>
        <w:rPr>
          <w:spacing w:val="-98"/>
        </w:rPr>
      </w:r>
      <w:r>
        <w:rPr/>
        <w:t>中心科技奖人才奖</w:t>
      </w:r>
      <w:r>
        <w:rPr>
          <w:rFonts w:ascii="Times New Roman" w:hAnsi="Times New Roman" w:cs="Times New Roman" w:eastAsia="Times New Roman" w:hint="default"/>
        </w:rPr>
        <w:t>”</w:t>
      </w:r>
      <w:r>
        <w:rPr/>
        <w:t>等荣誉。</w:t>
      </w:r>
    </w:p>
    <w:p>
      <w:pPr>
        <w:spacing w:line="340" w:lineRule="auto" w:before="24"/>
        <w:ind w:left="633" w:right="0" w:firstLine="0"/>
        <w:jc w:val="left"/>
        <w:rPr>
          <w:rFonts w:ascii="宋体" w:hAnsi="宋体" w:cs="宋体" w:eastAsia="宋体" w:hint="default"/>
          <w:sz w:val="24"/>
          <w:szCs w:val="24"/>
        </w:rPr>
      </w:pPr>
      <w:r>
        <w:rPr>
          <w:rFonts w:ascii="宋体" w:hAnsi="宋体" w:cs="宋体" w:eastAsia="宋体" w:hint="default"/>
          <w:b/>
          <w:bCs/>
          <w:color w:val="0D0D0D"/>
          <w:sz w:val="24"/>
          <w:szCs w:val="24"/>
        </w:rPr>
        <w:t>（</w:t>
      </w:r>
      <w:r>
        <w:rPr>
          <w:rFonts w:ascii="Times New Roman" w:hAnsi="Times New Roman" w:cs="Times New Roman" w:eastAsia="Times New Roman" w:hint="default"/>
          <w:b/>
          <w:bCs/>
          <w:color w:val="0D0D0D"/>
          <w:sz w:val="24"/>
          <w:szCs w:val="24"/>
        </w:rPr>
        <w:t>5</w:t>
      </w:r>
      <w:r>
        <w:rPr>
          <w:rFonts w:ascii="宋体" w:hAnsi="宋体" w:cs="宋体" w:eastAsia="宋体" w:hint="default"/>
          <w:b/>
          <w:bCs/>
          <w:color w:val="0D0D0D"/>
          <w:sz w:val="24"/>
          <w:szCs w:val="24"/>
        </w:rPr>
        <w:t>）加强品牌管理，树立公司优质形象</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随着集团战略转型发展，本报告期，公司不断实现智能化升级和改造，着力将公司制造</w:t>
      </w:r>
      <w:r>
        <w:rPr>
          <w:rFonts w:ascii="宋体" w:hAnsi="宋体" w:cs="宋体" w:eastAsia="宋体" w:hint="default"/>
          <w:sz w:val="24"/>
          <w:szCs w:val="24"/>
        </w:rPr>
      </w:r>
    </w:p>
    <w:p>
      <w:pPr>
        <w:pStyle w:val="BodyText"/>
        <w:spacing w:line="360" w:lineRule="auto" w:before="51"/>
        <w:ind w:right="0"/>
        <w:jc w:val="left"/>
      </w:pPr>
      <w:r>
        <w:rPr>
          <w:color w:val="0D0D0D"/>
        </w:rPr>
        <w:t>基地打造成行业内先进的智能绿色生产基地，不断推出新产品、技术及整体解决方案，持续</w:t>
      </w:r>
      <w:r>
        <w:rPr>
          <w:color w:val="0D0D0D"/>
          <w:spacing w:val="-93"/>
        </w:rPr>
        <w:t> </w:t>
      </w:r>
      <w:r>
        <w:rPr>
          <w:color w:val="0D0D0D"/>
          <w:spacing w:val="-93"/>
        </w:rPr>
      </w:r>
      <w:r>
        <w:rPr>
          <w:color w:val="0D0D0D"/>
          <w:spacing w:val="-2"/>
        </w:rPr>
        <w:t>多方位打造</w:t>
      </w:r>
      <w:r>
        <w:rPr>
          <w:rFonts w:ascii="Times New Roman" w:hAnsi="Times New Roman" w:cs="Times New Roman" w:eastAsia="Times New Roman" w:hint="default"/>
          <w:color w:val="0D0D0D"/>
          <w:spacing w:val="-2"/>
        </w:rPr>
        <w:t>YMK</w:t>
      </w:r>
      <w:r>
        <w:rPr>
          <w:color w:val="0D0D0D"/>
          <w:spacing w:val="-2"/>
        </w:rPr>
        <w:t>集团对外品牌，力争成为信息化行业知名品牌之一。设备、软件、工程、服</w:t>
      </w:r>
      <w:r>
        <w:rPr>
          <w:spacing w:val="-2"/>
        </w:rPr>
      </w:r>
    </w:p>
    <w:p>
      <w:pPr>
        <w:spacing w:after="0" w:line="36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38" w:lineRule="auto"/>
        <w:ind w:right="1129"/>
        <w:jc w:val="both"/>
      </w:pPr>
      <w:r>
        <w:rPr>
          <w:color w:val="0D0D0D"/>
          <w:spacing w:val="-2"/>
        </w:rPr>
        <w:t>务全业务板块联合出击，携硬件及软件多款新品打响集团</w:t>
      </w:r>
      <w:r>
        <w:rPr>
          <w:rFonts w:ascii="Times New Roman" w:hAnsi="Times New Roman" w:cs="Times New Roman" w:eastAsia="Times New Roman" w:hint="default"/>
          <w:color w:val="0D0D0D"/>
          <w:spacing w:val="-2"/>
        </w:rPr>
        <w:t>“</w:t>
      </w:r>
      <w:r>
        <w:rPr>
          <w:color w:val="0D0D0D"/>
          <w:spacing w:val="-2"/>
        </w:rPr>
        <w:t>云服务基础建设全生命周期解决方</w:t>
      </w:r>
      <w:r>
        <w:rPr>
          <w:color w:val="0D0D0D"/>
          <w:spacing w:val="-110"/>
        </w:rPr>
        <w:t> </w:t>
      </w:r>
      <w:r>
        <w:rPr>
          <w:color w:val="0D0D0D"/>
          <w:spacing w:val="-2"/>
        </w:rPr>
        <w:t>案服务商</w:t>
      </w:r>
      <w:r>
        <w:rPr>
          <w:rFonts w:ascii="Times New Roman" w:hAnsi="Times New Roman" w:cs="Times New Roman" w:eastAsia="Times New Roman" w:hint="default"/>
          <w:color w:val="0D0D0D"/>
          <w:spacing w:val="-2"/>
        </w:rPr>
        <w:t>”</w:t>
      </w:r>
      <w:r>
        <w:rPr>
          <w:color w:val="0D0D0D"/>
          <w:spacing w:val="-2"/>
        </w:rPr>
        <w:t>的行业新形象，向业内专家及行业用户展示数据中心基础建设最新技术、产品及理</w:t>
      </w:r>
      <w:r>
        <w:rPr>
          <w:color w:val="0D0D0D"/>
          <w:spacing w:val="-107"/>
        </w:rPr>
        <w:t> </w:t>
      </w:r>
      <w:r>
        <w:rPr>
          <w:color w:val="0D0D0D"/>
          <w:spacing w:val="-107"/>
        </w:rPr>
      </w:r>
      <w:r>
        <w:rPr>
          <w:color w:val="0D0D0D"/>
        </w:rPr>
        <w:t>念。</w:t>
      </w:r>
      <w:r>
        <w:rPr/>
      </w:r>
    </w:p>
    <w:p>
      <w:pPr>
        <w:spacing w:line="340" w:lineRule="auto" w:before="53"/>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color w:val="0D0D0D"/>
          <w:sz w:val="24"/>
          <w:szCs w:val="24"/>
        </w:rPr>
        <w:t>1</w:t>
      </w:r>
      <w:r>
        <w:rPr>
          <w:rFonts w:ascii="宋体" w:hAnsi="宋体" w:cs="宋体" w:eastAsia="宋体" w:hint="default"/>
          <w:b/>
          <w:bCs/>
          <w:color w:val="0D0D0D"/>
          <w:sz w:val="24"/>
          <w:szCs w:val="24"/>
        </w:rPr>
        <w:t>）打造行业先进的智能绿色生产基地</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目前，公司智能绿色生产基地已获评工信部</w:t>
      </w:r>
      <w:r>
        <w:rPr>
          <w:rFonts w:ascii="Times New Roman" w:hAnsi="Times New Roman" w:cs="Times New Roman" w:eastAsia="Times New Roman" w:hint="default"/>
          <w:color w:val="0D0D0D"/>
          <w:sz w:val="24"/>
          <w:szCs w:val="24"/>
        </w:rPr>
        <w:t>2025</w:t>
      </w:r>
      <w:r>
        <w:rPr>
          <w:rFonts w:ascii="宋体" w:hAnsi="宋体" w:cs="宋体" w:eastAsia="宋体" w:hint="default"/>
          <w:color w:val="0D0D0D"/>
          <w:sz w:val="24"/>
          <w:szCs w:val="24"/>
        </w:rPr>
        <w:t>绿色制造系统集成项目及国家绿色工厂</w:t>
      </w:r>
      <w:r>
        <w:rPr>
          <w:rFonts w:ascii="宋体" w:hAnsi="宋体" w:cs="宋体" w:eastAsia="宋体" w:hint="default"/>
          <w:sz w:val="24"/>
          <w:szCs w:val="24"/>
        </w:rPr>
      </w:r>
    </w:p>
    <w:p>
      <w:pPr>
        <w:pStyle w:val="BodyText"/>
        <w:spacing w:line="357" w:lineRule="auto" w:before="21"/>
        <w:ind w:right="1136"/>
        <w:jc w:val="both"/>
      </w:pPr>
      <w:r>
        <w:rPr>
          <w:color w:val="0D0D0D"/>
        </w:rPr>
        <w:t>称号，公司技术中心荣获国家企业技术中心认定，公司荣获四川省精密环境空调工程技术研</w:t>
      </w:r>
      <w:r>
        <w:rPr>
          <w:color w:val="0D0D0D"/>
          <w:spacing w:val="-93"/>
        </w:rPr>
        <w:t> </w:t>
      </w:r>
      <w:r>
        <w:rPr>
          <w:color w:val="0D0D0D"/>
          <w:spacing w:val="-93"/>
        </w:rPr>
      </w:r>
      <w:r>
        <w:rPr>
          <w:color w:val="0D0D0D"/>
        </w:rPr>
        <w:t>究中心、四川省制造业百强、成都市制造业创新示范中心等多项荣誉，展现了依米康强大的</w:t>
      </w:r>
      <w:r>
        <w:rPr>
          <w:color w:val="0D0D0D"/>
          <w:spacing w:val="-93"/>
        </w:rPr>
        <w:t> </w:t>
      </w:r>
      <w:r>
        <w:rPr>
          <w:color w:val="0D0D0D"/>
          <w:spacing w:val="-93"/>
        </w:rPr>
      </w:r>
      <w:r>
        <w:rPr>
          <w:color w:val="0D0D0D"/>
        </w:rPr>
        <w:t>科研与智能制造实力。</w:t>
      </w:r>
      <w:r>
        <w:rPr/>
      </w:r>
    </w:p>
    <w:p>
      <w:pPr>
        <w:pStyle w:val="BodyText"/>
        <w:spacing w:line="340" w:lineRule="auto" w:before="38"/>
        <w:ind w:right="1128" w:firstLine="480"/>
        <w:jc w:val="both"/>
      </w:pPr>
      <w:r>
        <w:rPr>
          <w:color w:val="0D0D0D"/>
          <w:spacing w:val="-2"/>
        </w:rPr>
        <w:t>报告期内，公司接待了国家工信部组织专家组</w:t>
      </w:r>
      <w:r>
        <w:rPr>
          <w:rFonts w:ascii="Times New Roman" w:hAnsi="Times New Roman" w:cs="Times New Roman" w:eastAsia="Times New Roman" w:hint="default"/>
          <w:color w:val="0D0D0D"/>
          <w:spacing w:val="-2"/>
        </w:rPr>
        <w:t>--</w:t>
      </w:r>
      <w:r>
        <w:rPr>
          <w:rFonts w:ascii="Times New Roman" w:hAnsi="Times New Roman" w:cs="Times New Roman" w:eastAsia="Times New Roman" w:hint="default"/>
          <w:color w:val="0D0D0D"/>
          <w:spacing w:val="-2"/>
        </w:rPr>
        <w:t>“CDCC</w:t>
      </w:r>
      <w:r>
        <w:rPr>
          <w:color w:val="0D0D0D"/>
          <w:spacing w:val="-2"/>
        </w:rPr>
        <w:t>数据中心工作组</w:t>
      </w:r>
      <w:r>
        <w:rPr>
          <w:rFonts w:ascii="Times New Roman" w:hAnsi="Times New Roman" w:cs="Times New Roman" w:eastAsia="Times New Roman" w:hint="default"/>
          <w:color w:val="0D0D0D"/>
          <w:spacing w:val="-2"/>
        </w:rPr>
        <w:t>”</w:t>
      </w:r>
      <w:r>
        <w:rPr>
          <w:color w:val="0D0D0D"/>
          <w:spacing w:val="-2"/>
        </w:rPr>
        <w:t>及</w:t>
      </w:r>
      <w:r>
        <w:rPr>
          <w:rFonts w:ascii="Times New Roman" w:hAnsi="Times New Roman" w:cs="Times New Roman" w:eastAsia="Times New Roman" w:hint="default"/>
          <w:color w:val="0D0D0D"/>
          <w:spacing w:val="-2"/>
        </w:rPr>
        <w:t>“GDCT</w:t>
      </w:r>
      <w:r>
        <w:rPr>
          <w:color w:val="0D0D0D"/>
          <w:spacing w:val="-2"/>
        </w:rPr>
        <w:t>数据中</w:t>
      </w:r>
      <w:r>
        <w:rPr>
          <w:color w:val="0D0D0D"/>
        </w:rPr>
        <w:t> </w:t>
      </w:r>
      <w:r>
        <w:rPr>
          <w:color w:val="0D0D0D"/>
          <w:spacing w:val="-2"/>
        </w:rPr>
        <w:t>心节能技术委员会专家组及特邀用户</w:t>
      </w:r>
      <w:r>
        <w:rPr>
          <w:rFonts w:ascii="Times New Roman" w:hAnsi="Times New Roman" w:cs="Times New Roman" w:eastAsia="Times New Roman" w:hint="default"/>
          <w:color w:val="0D0D0D"/>
          <w:spacing w:val="-2"/>
        </w:rPr>
        <w:t>”</w:t>
      </w:r>
      <w:r>
        <w:rPr>
          <w:color w:val="0D0D0D"/>
          <w:spacing w:val="-2"/>
        </w:rPr>
        <w:t>的实地调研；专家组参观了公司智能绿色生产基地，对</w:t>
      </w:r>
      <w:r>
        <w:rPr>
          <w:color w:val="0D0D0D"/>
          <w:spacing w:val="-106"/>
        </w:rPr>
        <w:t> </w:t>
      </w:r>
      <w:r>
        <w:rPr>
          <w:color w:val="0D0D0D"/>
          <w:spacing w:val="-106"/>
        </w:rPr>
      </w:r>
      <w:r>
        <w:rPr>
          <w:color w:val="0D0D0D"/>
        </w:rPr>
        <w:t>公司智能化生产制造、智能化平台管理、智能化立体仓储有了更直观的了解。公司引入了最</w:t>
      </w:r>
      <w:r>
        <w:rPr>
          <w:color w:val="0D0D0D"/>
          <w:spacing w:val="-93"/>
        </w:rPr>
        <w:t> </w:t>
      </w:r>
      <w:r>
        <w:rPr>
          <w:color w:val="0D0D0D"/>
          <w:spacing w:val="-93"/>
        </w:rPr>
      </w:r>
      <w:r>
        <w:rPr>
          <w:color w:val="0D0D0D"/>
          <w:spacing w:val="-3"/>
        </w:rPr>
        <w:t>新的轻数字化方案，实现生产管理更规范化及生产过程更透明化；于</w:t>
      </w:r>
      <w:r>
        <w:rPr>
          <w:rFonts w:ascii="Times New Roman" w:hAnsi="Times New Roman" w:cs="Times New Roman" w:eastAsia="Times New Roman" w:hint="default"/>
          <w:color w:val="0D0D0D"/>
          <w:spacing w:val="-3"/>
        </w:rPr>
        <w:t>9</w:t>
      </w:r>
      <w:r>
        <w:rPr>
          <w:color w:val="0D0D0D"/>
          <w:spacing w:val="-3"/>
        </w:rPr>
        <w:t>月下旬开始新建自动化</w:t>
      </w:r>
      <w:r>
        <w:rPr>
          <w:color w:val="0D0D0D"/>
          <w:spacing w:val="-83"/>
        </w:rPr>
        <w:t> </w:t>
      </w:r>
      <w:r>
        <w:rPr>
          <w:color w:val="0D0D0D"/>
          <w:spacing w:val="-3"/>
        </w:rPr>
        <w:t>喷涂生产线，将于</w:t>
      </w:r>
      <w:r>
        <w:rPr>
          <w:rFonts w:ascii="Times New Roman" w:hAnsi="Times New Roman" w:cs="Times New Roman" w:eastAsia="Times New Roman" w:hint="default"/>
          <w:color w:val="0D0D0D"/>
          <w:spacing w:val="-3"/>
        </w:rPr>
        <w:t>2020</w:t>
      </w:r>
      <w:r>
        <w:rPr>
          <w:color w:val="0D0D0D"/>
          <w:spacing w:val="-3"/>
        </w:rPr>
        <w:t>年</w:t>
      </w:r>
      <w:r>
        <w:rPr>
          <w:rFonts w:ascii="Times New Roman" w:hAnsi="Times New Roman" w:cs="Times New Roman" w:eastAsia="Times New Roman" w:hint="default"/>
          <w:color w:val="0D0D0D"/>
          <w:spacing w:val="-3"/>
        </w:rPr>
        <w:t>5</w:t>
      </w:r>
      <w:r>
        <w:rPr>
          <w:color w:val="0D0D0D"/>
          <w:spacing w:val="-3"/>
        </w:rPr>
        <w:t>月完工及试生产。公司将不断实现智能化升级和改造，提升资源能</w:t>
      </w:r>
      <w:r>
        <w:rPr>
          <w:color w:val="0D0D0D"/>
          <w:spacing w:val="-78"/>
        </w:rPr>
        <w:t> </w:t>
      </w:r>
      <w:r>
        <w:rPr>
          <w:color w:val="0D0D0D"/>
          <w:spacing w:val="-78"/>
        </w:rPr>
      </w:r>
      <w:r>
        <w:rPr>
          <w:color w:val="0D0D0D"/>
        </w:rPr>
        <w:t>源利用效率和绿色制造生产能力，将公司制造基地打造成行业内先进的智能绿色生产基地。</w:t>
      </w:r>
      <w:r>
        <w:rPr/>
      </w:r>
    </w:p>
    <w:p>
      <w:pPr>
        <w:spacing w:line="336" w:lineRule="auto" w:before="55"/>
        <w:ind w:left="633" w:right="1126" w:firstLine="0"/>
        <w:jc w:val="left"/>
        <w:rPr>
          <w:rFonts w:ascii="宋体" w:hAnsi="宋体" w:cs="宋体" w:eastAsia="宋体" w:hint="default"/>
          <w:sz w:val="24"/>
          <w:szCs w:val="24"/>
        </w:rPr>
      </w:pPr>
      <w:r>
        <w:rPr>
          <w:rFonts w:ascii="Times New Roman" w:hAnsi="Times New Roman" w:cs="Times New Roman" w:eastAsia="Times New Roman" w:hint="default"/>
          <w:b/>
          <w:bCs/>
          <w:color w:val="0D0D0D"/>
          <w:sz w:val="24"/>
          <w:szCs w:val="24"/>
        </w:rPr>
        <w:t>2</w:t>
      </w:r>
      <w:r>
        <w:rPr>
          <w:rFonts w:ascii="宋体" w:hAnsi="宋体" w:cs="宋体" w:eastAsia="宋体" w:hint="default"/>
          <w:b/>
          <w:bCs/>
          <w:color w:val="0D0D0D"/>
          <w:sz w:val="24"/>
          <w:szCs w:val="24"/>
        </w:rPr>
        <w:t>）积极亮相行业技术论坛</w:t>
      </w:r>
      <w:r>
        <w:rPr>
          <w:rFonts w:ascii="宋体" w:hAnsi="宋体" w:cs="宋体" w:eastAsia="宋体" w:hint="default"/>
          <w:b/>
          <w:bCs/>
          <w:color w:val="0D0D0D"/>
          <w:w w:val="99"/>
          <w:sz w:val="24"/>
          <w:szCs w:val="24"/>
        </w:rPr>
        <w:t> </w:t>
      </w:r>
      <w:r>
        <w:rPr>
          <w:rFonts w:ascii="宋体" w:hAnsi="宋体" w:cs="宋体" w:eastAsia="宋体" w:hint="default"/>
          <w:color w:val="0D0D0D"/>
          <w:spacing w:val="-2"/>
          <w:sz w:val="24"/>
          <w:szCs w:val="24"/>
        </w:rPr>
        <w:t>报告期内，公司携覆盖数据中心全生命周期的最新产品及整体解决方案亮相</w:t>
      </w:r>
      <w:r>
        <w:rPr>
          <w:rFonts w:ascii="Times New Roman" w:hAnsi="Times New Roman" w:cs="Times New Roman" w:eastAsia="Times New Roman" w:hint="default"/>
          <w:color w:val="0D0D0D"/>
          <w:spacing w:val="-2"/>
          <w:sz w:val="24"/>
          <w:szCs w:val="24"/>
        </w:rPr>
        <w:t>“2019</w:t>
      </w:r>
      <w:r>
        <w:rPr>
          <w:rFonts w:ascii="宋体" w:hAnsi="宋体" w:cs="宋体" w:eastAsia="宋体" w:hint="default"/>
          <w:color w:val="0D0D0D"/>
          <w:spacing w:val="-2"/>
          <w:sz w:val="24"/>
          <w:szCs w:val="24"/>
        </w:rPr>
        <w:t>中国数</w:t>
      </w:r>
      <w:r>
        <w:rPr>
          <w:rFonts w:ascii="宋体" w:hAnsi="宋体" w:cs="宋体" w:eastAsia="宋体" w:hint="default"/>
          <w:spacing w:val="-2"/>
          <w:sz w:val="24"/>
          <w:szCs w:val="24"/>
        </w:rPr>
      </w:r>
    </w:p>
    <w:p>
      <w:pPr>
        <w:pStyle w:val="BodyText"/>
        <w:spacing w:line="343" w:lineRule="auto" w:before="32"/>
        <w:ind w:right="1007"/>
        <w:jc w:val="left"/>
      </w:pPr>
      <w:r>
        <w:rPr>
          <w:color w:val="0D0D0D"/>
          <w:spacing w:val="2"/>
        </w:rPr>
        <w:t>据中心市场年会</w:t>
      </w:r>
      <w:r>
        <w:rPr>
          <w:rFonts w:ascii="Times New Roman" w:hAnsi="Times New Roman" w:cs="Times New Roman" w:eastAsia="Times New Roman" w:hint="default"/>
          <w:color w:val="0D0D0D"/>
          <w:spacing w:val="2"/>
        </w:rPr>
        <w:t>”</w:t>
      </w:r>
      <w:r>
        <w:rPr>
          <w:color w:val="0D0D0D"/>
          <w:spacing w:val="2"/>
        </w:rPr>
        <w:t>、</w:t>
      </w:r>
      <w:r>
        <w:rPr>
          <w:rFonts w:ascii="Times New Roman" w:hAnsi="Times New Roman" w:cs="Times New Roman" w:eastAsia="Times New Roman" w:hint="default"/>
          <w:color w:val="0D0D0D"/>
          <w:spacing w:val="2"/>
        </w:rPr>
        <w:t>“</w:t>
      </w:r>
      <w:r>
        <w:rPr>
          <w:color w:val="0D0D0D"/>
          <w:spacing w:val="2"/>
        </w:rPr>
        <w:t>第十届杭州金融</w:t>
      </w:r>
      <w:r>
        <w:rPr>
          <w:rFonts w:ascii="Times New Roman" w:hAnsi="Times New Roman" w:cs="Times New Roman" w:eastAsia="Times New Roman" w:hint="default"/>
          <w:color w:val="0D0D0D"/>
          <w:spacing w:val="2"/>
        </w:rPr>
        <w:t>IT</w:t>
      </w:r>
      <w:r>
        <w:rPr>
          <w:color w:val="0D0D0D"/>
          <w:spacing w:val="2"/>
        </w:rPr>
        <w:t>技术交流会</w:t>
      </w:r>
      <w:r>
        <w:rPr>
          <w:rFonts w:ascii="Times New Roman" w:hAnsi="Times New Roman" w:cs="Times New Roman" w:eastAsia="Times New Roman" w:hint="default"/>
          <w:color w:val="0D0D0D"/>
          <w:spacing w:val="2"/>
        </w:rPr>
        <w:t>”</w:t>
      </w:r>
      <w:r>
        <w:rPr>
          <w:color w:val="0D0D0D"/>
          <w:spacing w:val="2"/>
        </w:rPr>
        <w:t>、</w:t>
      </w:r>
      <w:r>
        <w:rPr>
          <w:rFonts w:ascii="Times New Roman" w:hAnsi="Times New Roman" w:cs="Times New Roman" w:eastAsia="Times New Roman" w:hint="default"/>
          <w:color w:val="0D0D0D"/>
          <w:spacing w:val="2"/>
        </w:rPr>
        <w:t>“2019</w:t>
      </w:r>
      <w:r>
        <w:rPr>
          <w:color w:val="0D0D0D"/>
          <w:spacing w:val="2"/>
        </w:rPr>
        <w:t>年绿色数据中心节能技术论坛</w:t>
      </w:r>
      <w:r>
        <w:rPr>
          <w:rFonts w:ascii="Times New Roman" w:hAnsi="Times New Roman" w:cs="Times New Roman" w:eastAsia="Times New Roman" w:hint="default"/>
          <w:color w:val="0D0D0D"/>
          <w:spacing w:val="2"/>
        </w:rPr>
        <w:t>”</w:t>
      </w:r>
      <w:r>
        <w:rPr>
          <w:color w:val="0D0D0D"/>
          <w:spacing w:val="2"/>
        </w:rPr>
        <w:t>、</w:t>
      </w:r>
      <w:r>
        <w:rPr>
          <w:color w:val="0D0D0D"/>
          <w:spacing w:val="-107"/>
        </w:rPr>
        <w:t> </w:t>
      </w:r>
      <w:r>
        <w:rPr>
          <w:rFonts w:ascii="Times New Roman" w:hAnsi="Times New Roman" w:cs="Times New Roman" w:eastAsia="Times New Roman" w:hint="default"/>
          <w:color w:val="0D0D0D"/>
        </w:rPr>
        <w:t>“2019</w:t>
      </w:r>
      <w:r>
        <w:rPr>
          <w:color w:val="0D0D0D"/>
        </w:rPr>
        <w:t>绿色数据中心节能技术应用论坛</w:t>
      </w:r>
      <w:r>
        <w:rPr>
          <w:rFonts w:ascii="Times New Roman" w:hAnsi="Times New Roman" w:cs="Times New Roman" w:eastAsia="Times New Roman" w:hint="default"/>
          <w:color w:val="0D0D0D"/>
        </w:rPr>
        <w:t>--</w:t>
      </w:r>
      <w:r>
        <w:rPr>
          <w:color w:val="0D0D0D"/>
        </w:rPr>
        <w:t>成都站</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数据中心冷却技术及系统设计高峰论坛</w:t>
      </w:r>
      <w:r>
        <w:rPr>
          <w:rFonts w:ascii="Times New Roman" w:hAnsi="Times New Roman" w:cs="Times New Roman" w:eastAsia="Times New Roman" w:hint="default"/>
          <w:color w:val="0D0D0D"/>
        </w:rPr>
        <w:t>”</w:t>
      </w:r>
      <w:r>
        <w:rPr>
          <w:color w:val="0D0D0D"/>
        </w:rPr>
        <w:t>、</w:t>
      </w:r>
      <w:r>
        <w:rPr>
          <w:color w:val="0D0D0D"/>
          <w:spacing w:val="-83"/>
        </w:rPr>
        <w:t> </w:t>
      </w:r>
      <w:r>
        <w:rPr>
          <w:rFonts w:ascii="Times New Roman" w:hAnsi="Times New Roman" w:cs="Times New Roman" w:eastAsia="Times New Roman" w:hint="default"/>
          <w:color w:val="0D0D0D"/>
        </w:rPr>
        <w:t>“</w:t>
      </w:r>
      <w:r>
        <w:rPr>
          <w:color w:val="0D0D0D"/>
        </w:rPr>
        <w:t>广州金融</w:t>
      </w:r>
      <w:r>
        <w:rPr>
          <w:rFonts w:ascii="Times New Roman" w:hAnsi="Times New Roman" w:cs="Times New Roman" w:eastAsia="Times New Roman" w:hint="default"/>
          <w:color w:val="0D0D0D"/>
        </w:rPr>
        <w:t>IT</w:t>
      </w:r>
      <w:r>
        <w:rPr>
          <w:color w:val="0D0D0D"/>
        </w:rPr>
        <w:t>技术交流会</w:t>
      </w:r>
      <w:r>
        <w:rPr>
          <w:rFonts w:ascii="Times New Roman" w:hAnsi="Times New Roman" w:cs="Times New Roman" w:eastAsia="Times New Roman" w:hint="default"/>
          <w:color w:val="0D0D0D"/>
        </w:rPr>
        <w:t>”</w:t>
      </w:r>
      <w:r>
        <w:rPr>
          <w:color w:val="0D0D0D"/>
        </w:rPr>
        <w:t>、</w:t>
      </w:r>
      <w:r>
        <w:rPr>
          <w:rFonts w:ascii="Times New Roman" w:hAnsi="Times New Roman" w:cs="Times New Roman" w:eastAsia="Times New Roman" w:hint="default"/>
          <w:color w:val="0D0D0D"/>
        </w:rPr>
        <w:t>“</w:t>
      </w:r>
      <w:r>
        <w:rPr>
          <w:color w:val="0D0D0D"/>
        </w:rPr>
        <w:t>移动技术与数字经济发展峰会暨</w:t>
      </w:r>
      <w:r>
        <w:rPr>
          <w:rFonts w:ascii="Times New Roman" w:hAnsi="Times New Roman" w:cs="Times New Roman" w:eastAsia="Times New Roman" w:hint="default"/>
          <w:color w:val="0D0D0D"/>
        </w:rPr>
        <w:t>2019</w:t>
      </w:r>
      <w:r>
        <w:rPr>
          <w:color w:val="0D0D0D"/>
        </w:rPr>
        <w:t>智能数据中心建设与运营论 </w:t>
      </w:r>
      <w:r>
        <w:rPr>
          <w:color w:val="0D0D0D"/>
          <w:spacing w:val="-3"/>
        </w:rPr>
        <w:t>坛</w:t>
      </w:r>
      <w:r>
        <w:rPr>
          <w:rFonts w:ascii="Times New Roman" w:hAnsi="Times New Roman" w:cs="Times New Roman" w:eastAsia="Times New Roman" w:hint="default"/>
          <w:color w:val="0D0D0D"/>
          <w:spacing w:val="-3"/>
        </w:rPr>
        <w:t>”</w:t>
      </w:r>
      <w:r>
        <w:rPr>
          <w:color w:val="0D0D0D"/>
          <w:spacing w:val="-3"/>
        </w:rPr>
        <w:t>、</w:t>
      </w:r>
      <w:r>
        <w:rPr>
          <w:rFonts w:ascii="Times New Roman" w:hAnsi="Times New Roman" w:cs="Times New Roman" w:eastAsia="Times New Roman" w:hint="default"/>
          <w:color w:val="0D0D0D"/>
          <w:spacing w:val="-3"/>
        </w:rPr>
        <w:t>“2019</w:t>
      </w:r>
      <w:r>
        <w:rPr>
          <w:color w:val="0D0D0D"/>
          <w:spacing w:val="-3"/>
        </w:rPr>
        <w:t>中国国际节能环保技术装备展示交易会</w:t>
      </w:r>
      <w:r>
        <w:rPr>
          <w:rFonts w:ascii="Times New Roman" w:hAnsi="Times New Roman" w:cs="Times New Roman" w:eastAsia="Times New Roman" w:hint="default"/>
          <w:color w:val="0D0D0D"/>
          <w:spacing w:val="-3"/>
        </w:rPr>
        <w:t>”</w:t>
      </w:r>
      <w:r>
        <w:rPr>
          <w:color w:val="0D0D0D"/>
          <w:spacing w:val="-3"/>
        </w:rPr>
        <w:t>、</w:t>
      </w:r>
      <w:r>
        <w:rPr>
          <w:rFonts w:ascii="Times New Roman" w:hAnsi="Times New Roman" w:cs="Times New Roman" w:eastAsia="Times New Roman" w:hint="default"/>
          <w:color w:val="0D0D0D"/>
          <w:spacing w:val="-3"/>
        </w:rPr>
        <w:t>“</w:t>
      </w:r>
      <w:r>
        <w:rPr>
          <w:color w:val="0D0D0D"/>
          <w:spacing w:val="-3"/>
        </w:rPr>
        <w:t>计算机协会数据中心分会第</w:t>
      </w:r>
      <w:r>
        <w:rPr>
          <w:rFonts w:ascii="Times New Roman" w:hAnsi="Times New Roman" w:cs="Times New Roman" w:eastAsia="Times New Roman" w:hint="default"/>
          <w:color w:val="0D0D0D"/>
          <w:spacing w:val="-3"/>
        </w:rPr>
        <w:t>25</w:t>
      </w:r>
      <w:r>
        <w:rPr>
          <w:color w:val="0D0D0D"/>
          <w:spacing w:val="-3"/>
        </w:rPr>
        <w:t>届年会</w:t>
      </w:r>
      <w:r>
        <w:rPr>
          <w:rFonts w:ascii="Times New Roman" w:hAnsi="Times New Roman" w:cs="Times New Roman" w:eastAsia="Times New Roman" w:hint="default"/>
          <w:color w:val="0D0D0D"/>
          <w:spacing w:val="-3"/>
        </w:rPr>
        <w:t>”</w:t>
      </w:r>
      <w:r>
        <w:rPr>
          <w:color w:val="0D0D0D"/>
          <w:spacing w:val="-3"/>
        </w:rPr>
        <w:t>、</w:t>
      </w:r>
      <w:r>
        <w:rPr>
          <w:color w:val="0D0D0D"/>
        </w:rPr>
        <w:t> </w:t>
      </w:r>
      <w:r>
        <w:rPr>
          <w:rFonts w:ascii="Times New Roman" w:hAnsi="Times New Roman" w:cs="Times New Roman" w:eastAsia="Times New Roman" w:hint="default"/>
          <w:color w:val="0D0D0D"/>
        </w:rPr>
        <w:t>“2019</w:t>
      </w:r>
      <w:r>
        <w:rPr>
          <w:color w:val="0D0D0D"/>
        </w:rPr>
        <w:t>上海国际数据中心及云计算产业展览会</w:t>
      </w:r>
      <w:r>
        <w:rPr>
          <w:rFonts w:ascii="Times New Roman" w:hAnsi="Times New Roman" w:cs="Times New Roman" w:eastAsia="Times New Roman" w:hint="default"/>
          <w:color w:val="0D0D0D"/>
        </w:rPr>
        <w:t>”</w:t>
      </w:r>
      <w:r>
        <w:rPr>
          <w:color w:val="0D0D0D"/>
        </w:rPr>
        <w:t>及</w:t>
      </w:r>
      <w:r>
        <w:rPr>
          <w:rFonts w:ascii="Times New Roman" w:hAnsi="Times New Roman" w:cs="Times New Roman" w:eastAsia="Times New Roman" w:hint="default"/>
          <w:color w:val="0D0D0D"/>
        </w:rPr>
        <w:t>“2019</w:t>
      </w:r>
      <w:r>
        <w:rPr>
          <w:color w:val="0D0D0D"/>
        </w:rPr>
        <w:t>数据中心标准峰会</w:t>
      </w:r>
      <w:r>
        <w:rPr>
          <w:rFonts w:ascii="Times New Roman" w:hAnsi="Times New Roman" w:cs="Times New Roman" w:eastAsia="Times New Roman" w:hint="default"/>
          <w:color w:val="0D0D0D"/>
        </w:rPr>
        <w:t>”</w:t>
      </w:r>
      <w:r>
        <w:rPr>
          <w:color w:val="0D0D0D"/>
        </w:rPr>
        <w:t>，向与会专家团及</w:t>
      </w:r>
      <w:r>
        <w:rPr>
          <w:color w:val="0D0D0D"/>
          <w:spacing w:val="-37"/>
        </w:rPr>
        <w:t> </w:t>
      </w:r>
      <w:r>
        <w:rPr>
          <w:color w:val="0D0D0D"/>
          <w:spacing w:val="-37"/>
        </w:rPr>
      </w:r>
      <w:r>
        <w:rPr>
          <w:color w:val="0D0D0D"/>
        </w:rPr>
        <w:t>专业观众展示了公司最新产品及整体解决方案，共议高效、可靠、绿色节能新技术、新理念</w:t>
      </w:r>
      <w:r>
        <w:rPr>
          <w:color w:val="0D0D0D"/>
          <w:spacing w:val="-93"/>
        </w:rPr>
        <w:t> </w:t>
      </w:r>
      <w:r>
        <w:rPr>
          <w:color w:val="0D0D0D"/>
          <w:spacing w:val="-93"/>
        </w:rPr>
      </w:r>
      <w:r>
        <w:rPr>
          <w:color w:val="0D0D0D"/>
        </w:rPr>
        <w:t>的前沿应用，获得了来自市场的良好反响，品牌宣传、商机促进及技术交流效果显著，有效</w:t>
      </w:r>
      <w:r>
        <w:rPr>
          <w:color w:val="0D0D0D"/>
          <w:spacing w:val="-93"/>
        </w:rPr>
        <w:t> </w:t>
      </w:r>
      <w:r>
        <w:rPr>
          <w:color w:val="0D0D0D"/>
          <w:spacing w:val="-93"/>
        </w:rPr>
      </w:r>
      <w:r>
        <w:rPr>
          <w:color w:val="0D0D0D"/>
        </w:rPr>
        <w:t>提升了公司的品牌知名度和行业影响力。</w:t>
      </w:r>
      <w:r>
        <w:rPr/>
      </w:r>
    </w:p>
    <w:p>
      <w:pPr>
        <w:spacing w:line="336" w:lineRule="auto" w:before="53"/>
        <w:ind w:left="633" w:right="0" w:firstLine="0"/>
        <w:jc w:val="left"/>
        <w:rPr>
          <w:rFonts w:ascii="宋体" w:hAnsi="宋体" w:cs="宋体" w:eastAsia="宋体" w:hint="default"/>
          <w:sz w:val="24"/>
          <w:szCs w:val="24"/>
        </w:rPr>
      </w:pPr>
      <w:r>
        <w:rPr>
          <w:rFonts w:ascii="宋体" w:hAnsi="宋体" w:cs="宋体" w:eastAsia="宋体" w:hint="default"/>
          <w:b/>
          <w:bCs/>
          <w:color w:val="0D0D0D"/>
          <w:sz w:val="24"/>
          <w:szCs w:val="24"/>
        </w:rPr>
        <w:t>（</w:t>
      </w:r>
      <w:r>
        <w:rPr>
          <w:rFonts w:ascii="Times New Roman" w:hAnsi="Times New Roman" w:cs="Times New Roman" w:eastAsia="Times New Roman" w:hint="default"/>
          <w:b/>
          <w:bCs/>
          <w:color w:val="0D0D0D"/>
          <w:sz w:val="24"/>
          <w:szCs w:val="24"/>
        </w:rPr>
        <w:t>6</w:t>
      </w:r>
      <w:r>
        <w:rPr>
          <w:rFonts w:ascii="宋体" w:hAnsi="宋体" w:cs="宋体" w:eastAsia="宋体" w:hint="default"/>
          <w:b/>
          <w:bCs/>
          <w:color w:val="0D0D0D"/>
          <w:sz w:val="24"/>
          <w:szCs w:val="24"/>
        </w:rPr>
        <w:t>）规范内部管理，提高运营效率</w:t>
      </w:r>
      <w:r>
        <w:rPr>
          <w:rFonts w:ascii="宋体" w:hAnsi="宋体" w:cs="宋体" w:eastAsia="宋体" w:hint="default"/>
          <w:b/>
          <w:bCs/>
          <w:color w:val="0D0D0D"/>
          <w:w w:val="99"/>
          <w:sz w:val="24"/>
          <w:szCs w:val="24"/>
        </w:rPr>
        <w:t> </w:t>
      </w:r>
      <w:r>
        <w:rPr>
          <w:rFonts w:ascii="宋体" w:hAnsi="宋体" w:cs="宋体" w:eastAsia="宋体" w:hint="default"/>
          <w:color w:val="0D0D0D"/>
          <w:sz w:val="24"/>
          <w:szCs w:val="24"/>
        </w:rPr>
        <w:t>报告期内，公司提倡</w:t>
      </w:r>
      <w:r>
        <w:rPr>
          <w:rFonts w:ascii="Times New Roman" w:hAnsi="Times New Roman" w:cs="Times New Roman" w:eastAsia="Times New Roman" w:hint="default"/>
          <w:color w:val="0D0D0D"/>
          <w:sz w:val="24"/>
          <w:szCs w:val="24"/>
        </w:rPr>
        <w:t>“</w:t>
      </w:r>
      <w:r>
        <w:rPr>
          <w:rFonts w:ascii="宋体" w:hAnsi="宋体" w:cs="宋体" w:eastAsia="宋体" w:hint="default"/>
          <w:color w:val="0D0D0D"/>
          <w:sz w:val="24"/>
          <w:szCs w:val="24"/>
        </w:rPr>
        <w:t>人均能效、聚焦价值贡献</w:t>
      </w:r>
      <w:r>
        <w:rPr>
          <w:rFonts w:ascii="Times New Roman" w:hAnsi="Times New Roman" w:cs="Times New Roman" w:eastAsia="Times New Roman" w:hint="default"/>
          <w:color w:val="0D0D0D"/>
          <w:sz w:val="24"/>
          <w:szCs w:val="24"/>
        </w:rPr>
        <w:t>”</w:t>
      </w:r>
      <w:r>
        <w:rPr>
          <w:rFonts w:ascii="宋体" w:hAnsi="宋体" w:cs="宋体" w:eastAsia="宋体" w:hint="default"/>
          <w:color w:val="0D0D0D"/>
          <w:sz w:val="24"/>
          <w:szCs w:val="24"/>
        </w:rPr>
        <w:t>，通过优化业务流程、制定管理文件、</w:t>
      </w:r>
      <w:r>
        <w:rPr>
          <w:rFonts w:ascii="宋体" w:hAnsi="宋体" w:cs="宋体" w:eastAsia="宋体" w:hint="default"/>
          <w:sz w:val="24"/>
          <w:szCs w:val="24"/>
        </w:rPr>
      </w:r>
    </w:p>
    <w:p>
      <w:pPr>
        <w:pStyle w:val="BodyText"/>
        <w:spacing w:line="355" w:lineRule="auto" w:before="32"/>
        <w:ind w:right="1136"/>
        <w:jc w:val="both"/>
      </w:pPr>
      <w:r>
        <w:rPr>
          <w:color w:val="0D0D0D"/>
        </w:rPr>
        <w:t>加强内部管理意识、组建契合公司业务及发展的专门团队等多个角度规范内部管理，以提高</w:t>
      </w:r>
      <w:r>
        <w:rPr>
          <w:color w:val="0D0D0D"/>
          <w:spacing w:val="-93"/>
        </w:rPr>
        <w:t> </w:t>
      </w:r>
      <w:r>
        <w:rPr>
          <w:color w:val="0D0D0D"/>
          <w:spacing w:val="-93"/>
        </w:rPr>
      </w:r>
      <w:r>
        <w:rPr>
          <w:color w:val="0D0D0D"/>
        </w:rPr>
        <w:t>运营效率，继而促进公司经营目标达成。</w:t>
      </w:r>
      <w:r>
        <w:rPr/>
      </w:r>
    </w:p>
    <w:p>
      <w:pPr>
        <w:pStyle w:val="Heading2"/>
        <w:spacing w:line="240" w:lineRule="auto" w:before="41"/>
        <w:ind w:left="633" w:right="0"/>
        <w:jc w:val="left"/>
        <w:rPr>
          <w:b w:val="0"/>
          <w:bCs w:val="0"/>
        </w:rPr>
      </w:pPr>
      <w:r>
        <w:rPr>
          <w:rFonts w:ascii="Times New Roman" w:hAnsi="Times New Roman" w:cs="Times New Roman" w:eastAsia="Times New Roman" w:hint="default"/>
          <w:color w:val="0D0D0D"/>
        </w:rPr>
        <w:t>2</w:t>
      </w:r>
      <w:r>
        <w:rPr>
          <w:color w:val="0D0D0D"/>
        </w:rPr>
        <w:t>、医疗健康领域</w:t>
      </w:r>
      <w:r>
        <w:rPr>
          <w:b w:val="0"/>
          <w:bCs w:val="0"/>
        </w:rPr>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b/>
          <w:bCs/>
          <w:sz w:val="29"/>
          <w:szCs w:val="29"/>
        </w:rPr>
      </w:pPr>
    </w:p>
    <w:p>
      <w:pPr>
        <w:pStyle w:val="BodyText"/>
        <w:spacing w:line="350" w:lineRule="auto"/>
        <w:ind w:right="1130" w:firstLine="480"/>
        <w:jc w:val="both"/>
      </w:pPr>
      <w:r>
        <w:rPr>
          <w:rFonts w:ascii="Times New Roman" w:hAnsi="Times New Roman" w:cs="Times New Roman" w:eastAsia="Times New Roman" w:hint="default"/>
        </w:rPr>
        <w:t>2019</w:t>
      </w:r>
      <w:r>
        <w:rPr/>
        <w:t>年，公司在医疗健康领域为实现战略发展目标，推出了</w:t>
      </w:r>
      <w:r>
        <w:rPr>
          <w:rFonts w:ascii="Times New Roman" w:hAnsi="Times New Roman" w:cs="Times New Roman" w:eastAsia="Times New Roman" w:hint="default"/>
        </w:rPr>
        <w:t>“</w:t>
      </w:r>
      <w:r>
        <w:rPr/>
        <w:t>双驱动、双目标、双保障</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经营管理战略，以追求</w:t>
      </w:r>
      <w:r>
        <w:rPr>
          <w:rFonts w:ascii="Times New Roman" w:hAnsi="Times New Roman" w:cs="Times New Roman" w:eastAsia="Times New Roman" w:hint="default"/>
        </w:rPr>
        <w:t>“</w:t>
      </w:r>
      <w:r>
        <w:rPr/>
        <w:t>卓越绩效</w:t>
      </w:r>
      <w:r>
        <w:rPr>
          <w:rFonts w:ascii="Times New Roman" w:hAnsi="Times New Roman" w:cs="Times New Roman" w:eastAsia="Times New Roman" w:hint="default"/>
        </w:rPr>
        <w:t>”</w:t>
      </w:r>
      <w:r>
        <w:rPr/>
        <w:t>为经营目标，贯彻</w:t>
      </w:r>
      <w:r>
        <w:rPr>
          <w:rFonts w:ascii="Times New Roman" w:hAnsi="Times New Roman" w:cs="Times New Roman" w:eastAsia="Times New Roman" w:hint="default"/>
        </w:rPr>
        <w:t>“</w:t>
      </w:r>
      <w:r>
        <w:rPr/>
        <w:t>坚定信念，希望在前</w:t>
      </w:r>
      <w:r>
        <w:rPr>
          <w:rFonts w:ascii="Times New Roman" w:hAnsi="Times New Roman" w:cs="Times New Roman" w:eastAsia="Times New Roman" w:hint="default"/>
        </w:rPr>
        <w:t>”</w:t>
      </w:r>
      <w:r>
        <w:rPr/>
        <w:t>价值理念，以转</w:t>
      </w:r>
      <w:r>
        <w:rPr>
          <w:spacing w:val="-43"/>
        </w:rPr>
        <w:t> </w:t>
      </w:r>
      <w:r>
        <w:rPr>
          <w:spacing w:val="-43"/>
        </w:rPr>
      </w:r>
      <w:r>
        <w:rPr/>
        <w:t>型成为智能化技术领先企业为驱动力，构建满足市场需求能力、创新产品、品牌管理三大方</w:t>
      </w:r>
      <w:r>
        <w:rPr>
          <w:spacing w:val="-93"/>
        </w:rPr>
        <w:t> </w:t>
      </w:r>
      <w:r>
        <w:rPr>
          <w:spacing w:val="-93"/>
        </w:rPr>
      </w:r>
      <w:r>
        <w:rPr/>
        <w:t>面竞争力优势。落实自主研发和技术引进研发战略，为用户提供领先的智能产品和整体解决</w:t>
      </w:r>
      <w:r>
        <w:rPr>
          <w:spacing w:val="-93"/>
        </w:rPr>
        <w:t> </w:t>
      </w:r>
      <w:r>
        <w:rPr>
          <w:spacing w:val="-93"/>
        </w:rPr>
      </w:r>
      <w:r>
        <w:rPr/>
        <w:t>方案，并拓展智能基础设施建设业务，通过业务升级扩大市场和盈利能力，实现技术和市场</w:t>
      </w:r>
      <w:r>
        <w:rPr>
          <w:spacing w:val="-93"/>
        </w:rPr>
        <w:t> </w:t>
      </w:r>
      <w:r>
        <w:rPr>
          <w:spacing w:val="-93"/>
        </w:rPr>
      </w:r>
      <w:r>
        <w:rPr/>
        <w:t>领导地位，实现公司持续发展，实现公司战略和经营发展目标。</w:t>
      </w:r>
    </w:p>
    <w:p>
      <w:pPr>
        <w:pStyle w:val="BodyText"/>
        <w:spacing w:line="343" w:lineRule="auto" w:before="46"/>
        <w:ind w:right="1132" w:firstLine="480"/>
        <w:jc w:val="both"/>
      </w:pPr>
      <w:r>
        <w:rPr>
          <w:spacing w:val="-3"/>
        </w:rPr>
        <w:t>报告期内，桑瑞思通过</w:t>
      </w:r>
      <w:r>
        <w:rPr>
          <w:rFonts w:ascii="Times New Roman" w:hAnsi="Times New Roman" w:cs="Times New Roman" w:eastAsia="Times New Roman" w:hint="default"/>
          <w:spacing w:val="-3"/>
        </w:rPr>
        <w:t>“</w:t>
      </w:r>
      <w:r>
        <w:rPr>
          <w:spacing w:val="-3"/>
        </w:rPr>
        <w:t>大健康医养建设整体解决方案</w:t>
      </w:r>
      <w:r>
        <w:rPr>
          <w:rFonts w:ascii="Times New Roman" w:hAnsi="Times New Roman" w:cs="Times New Roman" w:eastAsia="Times New Roman" w:hint="default"/>
          <w:spacing w:val="-3"/>
        </w:rPr>
        <w:t>+</w:t>
      </w:r>
      <w:r>
        <w:rPr>
          <w:spacing w:val="-3"/>
        </w:rPr>
        <w:t>手术室智能产品</w:t>
      </w:r>
      <w:r>
        <w:rPr>
          <w:rFonts w:ascii="Times New Roman" w:hAnsi="Times New Roman" w:cs="Times New Roman" w:eastAsia="Times New Roman" w:hint="default"/>
          <w:spacing w:val="-3"/>
        </w:rPr>
        <w:t>+</w:t>
      </w:r>
      <w:r>
        <w:rPr>
          <w:spacing w:val="-3"/>
        </w:rPr>
        <w:t>智能基础设施建</w:t>
      </w:r>
      <w:r>
        <w:rPr/>
        <w:t> 设整体解决方案</w:t>
      </w:r>
      <w:r>
        <w:rPr>
          <w:rFonts w:ascii="Times New Roman" w:hAnsi="Times New Roman" w:cs="Times New Roman" w:eastAsia="Times New Roman" w:hint="default"/>
        </w:rPr>
        <w:t>+</w:t>
      </w:r>
      <w:r>
        <w:rPr/>
        <w:t>用户体验</w:t>
      </w:r>
      <w:r>
        <w:rPr>
          <w:rFonts w:ascii="Times New Roman" w:hAnsi="Times New Roman" w:cs="Times New Roman" w:eastAsia="Times New Roman" w:hint="default"/>
        </w:rPr>
        <w:t>”</w:t>
      </w:r>
      <w:r>
        <w:rPr/>
        <w:t>的差异化优势业务模式、通过拓宽营销渠道、增加商机储备等方</w:t>
      </w:r>
      <w:r>
        <w:rPr>
          <w:spacing w:val="-96"/>
        </w:rPr>
        <w:t> </w:t>
      </w:r>
      <w:r>
        <w:rPr>
          <w:spacing w:val="-96"/>
        </w:rPr>
      </w:r>
      <w:r>
        <w:rPr/>
        <w:t>式积极推进净化工程、智能装备业务、智能基础设施建设及维保业务的发展，在市场开拓、</w:t>
      </w:r>
      <w:r>
        <w:rPr>
          <w:spacing w:val="-93"/>
        </w:rPr>
        <w:t> </w:t>
      </w:r>
      <w:r>
        <w:rPr>
          <w:spacing w:val="-93"/>
        </w:rPr>
      </w:r>
      <w:r>
        <w:rPr/>
        <w:t>渠道建设、立项管理、合同签订及项目实施能力等方面取得突破，并取得以下进展：</w:t>
      </w:r>
    </w:p>
    <w:p>
      <w:pPr>
        <w:pStyle w:val="BodyText"/>
        <w:spacing w:line="348" w:lineRule="auto" w:before="53"/>
        <w:ind w:right="1127" w:firstLine="480"/>
        <w:jc w:val="both"/>
      </w:pPr>
      <w:r>
        <w:rPr>
          <w:rFonts w:ascii="宋体" w:hAnsi="宋体" w:cs="宋体" w:eastAsia="宋体" w:hint="default"/>
          <w:b/>
          <w:bCs/>
          <w:spacing w:val="-3"/>
        </w:rPr>
        <w:t>（</w:t>
      </w:r>
      <w:r>
        <w:rPr>
          <w:rFonts w:ascii="Times New Roman" w:hAnsi="Times New Roman" w:cs="Times New Roman" w:eastAsia="Times New Roman" w:hint="default"/>
          <w:b/>
          <w:bCs/>
          <w:spacing w:val="-3"/>
        </w:rPr>
        <w:t>1</w:t>
      </w:r>
      <w:r>
        <w:rPr>
          <w:rFonts w:ascii="宋体" w:hAnsi="宋体" w:cs="宋体" w:eastAsia="宋体" w:hint="default"/>
          <w:b/>
          <w:bCs/>
          <w:spacing w:val="-3"/>
        </w:rPr>
        <w:t>）客户拓展取得成效。</w:t>
      </w:r>
      <w:r>
        <w:rPr>
          <w:spacing w:val="-3"/>
        </w:rPr>
        <w:t>桑瑞思凭借在医疗健康领域所拥有的高端数字化手术室、手术</w:t>
      </w:r>
      <w:r>
        <w:rPr/>
        <w:t> 室智能运营管理系统等多项技术领先的智能产品以及医院建设全生命周期整体解决方案服务</w:t>
      </w:r>
      <w:r>
        <w:rPr>
          <w:spacing w:val="-93"/>
        </w:rPr>
        <w:t> </w:t>
      </w:r>
      <w:r>
        <w:rPr>
          <w:spacing w:val="-93"/>
        </w:rPr>
      </w:r>
      <w:r>
        <w:rPr/>
        <w:t>能力、先进的专家团队和丰富的项目成功经验，业务已遍布国内大部分地区。报告期内，桑</w:t>
      </w:r>
      <w:r>
        <w:rPr>
          <w:spacing w:val="-93"/>
        </w:rPr>
        <w:t> </w:t>
      </w:r>
      <w:r>
        <w:rPr>
          <w:spacing w:val="-93"/>
        </w:rPr>
      </w:r>
      <w:r>
        <w:rPr/>
        <w:t>瑞思积极拓宽营销渠道，成功中标</w:t>
      </w:r>
      <w:r>
        <w:rPr>
          <w:rFonts w:ascii="Times New Roman" w:hAnsi="Times New Roman" w:cs="Times New Roman" w:eastAsia="Times New Roman" w:hint="default"/>
        </w:rPr>
        <w:t>“</w:t>
      </w:r>
      <w:r>
        <w:rPr/>
        <w:t>天津市第一中心医院新址扩建项目净化工程</w:t>
      </w:r>
      <w:r>
        <w:rPr>
          <w:rFonts w:ascii="Times New Roman" w:hAnsi="Times New Roman" w:cs="Times New Roman" w:eastAsia="Times New Roman" w:hint="default"/>
        </w:rPr>
        <w:t>”</w:t>
      </w:r>
      <w:r>
        <w:rPr/>
        <w:t>，中标金额</w:t>
      </w:r>
      <w:r>
        <w:rPr>
          <w:spacing w:val="-62"/>
        </w:rPr>
        <w:t> </w:t>
      </w:r>
      <w:r>
        <w:rPr>
          <w:spacing w:val="-62"/>
        </w:rPr>
      </w:r>
      <w:r>
        <w:rPr/>
        <w:t>约为</w:t>
      </w:r>
      <w:r>
        <w:rPr>
          <w:rFonts w:ascii="Times New Roman" w:hAnsi="Times New Roman" w:cs="Times New Roman" w:eastAsia="Times New Roman" w:hint="default"/>
        </w:rPr>
        <w:t>1.10</w:t>
      </w:r>
      <w:r>
        <w:rPr/>
        <w:t>亿元，公司医疗建设领域业务得到客户充分认可，公司竞争力得到了提升。</w:t>
      </w:r>
    </w:p>
    <w:p>
      <w:pPr>
        <w:pStyle w:val="BodyText"/>
        <w:spacing w:line="348" w:lineRule="auto" w:before="13"/>
        <w:ind w:right="1128" w:firstLine="480"/>
        <w:jc w:val="both"/>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）打造品牌影响力。</w:t>
      </w:r>
      <w:r>
        <w:rPr/>
        <w:t>报告期内，桑瑞思参建的</w:t>
      </w:r>
      <w:r>
        <w:rPr>
          <w:rFonts w:ascii="Times New Roman" w:hAnsi="Times New Roman" w:cs="Times New Roman" w:eastAsia="Times New Roman" w:hint="default"/>
        </w:rPr>
        <w:t>“</w:t>
      </w:r>
      <w:r>
        <w:rPr/>
        <w:t>巴彦淖尔市医院住院楼、门诊医技楼 </w:t>
      </w:r>
      <w:r>
        <w:rPr>
          <w:spacing w:val="-1"/>
        </w:rPr>
        <w:t>工程</w:t>
      </w:r>
      <w:r>
        <w:rPr>
          <w:rFonts w:ascii="Times New Roman" w:hAnsi="Times New Roman" w:cs="Times New Roman" w:eastAsia="Times New Roman" w:hint="default"/>
          <w:spacing w:val="-1"/>
        </w:rPr>
        <w:t>”</w:t>
      </w:r>
      <w:r>
        <w:rPr>
          <w:spacing w:val="-1"/>
        </w:rPr>
        <w:t>荣获中国施工企业管理协会颁发的</w:t>
      </w:r>
      <w:r>
        <w:rPr>
          <w:rFonts w:ascii="Times New Roman" w:hAnsi="Times New Roman" w:cs="Times New Roman" w:eastAsia="Times New Roman" w:hint="default"/>
          <w:spacing w:val="-1"/>
        </w:rPr>
        <w:t>“</w:t>
      </w:r>
      <w:r>
        <w:rPr>
          <w:spacing w:val="-1"/>
        </w:rPr>
        <w:t>国家优质工程奖</w:t>
      </w:r>
      <w:r>
        <w:rPr>
          <w:rFonts w:ascii="Times New Roman" w:hAnsi="Times New Roman" w:cs="Times New Roman" w:eastAsia="Times New Roman" w:hint="default"/>
          <w:spacing w:val="-1"/>
        </w:rPr>
        <w:t>”</w:t>
      </w:r>
      <w:r>
        <w:rPr>
          <w:spacing w:val="-1"/>
        </w:rPr>
        <w:t>，同时，桑瑞思积极亮相全国医院</w:t>
      </w:r>
      <w:r>
        <w:rPr/>
        <w:t> 建设大会暨中国国际医院建设、装备及管理展览会等峰会，为医院建设行业的同仁们呈现了</w:t>
      </w:r>
      <w:r>
        <w:rPr>
          <w:spacing w:val="-93"/>
        </w:rPr>
        <w:t> </w:t>
      </w:r>
      <w:r>
        <w:rPr>
          <w:spacing w:val="-93"/>
        </w:rPr>
      </w:r>
      <w:r>
        <w:rPr/>
        <w:t>一系列集高科技、高标准、高智能的手术室医疗设备设施及先进的医院建设整体解决方案，</w:t>
      </w:r>
      <w:r>
        <w:rPr>
          <w:spacing w:val="-93"/>
        </w:rPr>
        <w:t> </w:t>
      </w:r>
      <w:r>
        <w:rPr>
          <w:spacing w:val="-93"/>
        </w:rPr>
      </w:r>
      <w:r>
        <w:rPr/>
        <w:t>极大的提升了公司品牌知名度和行业影响力。</w:t>
      </w:r>
    </w:p>
    <w:p>
      <w:pPr>
        <w:pStyle w:val="BodyText"/>
        <w:spacing w:line="345" w:lineRule="auto" w:before="49"/>
        <w:ind w:right="0" w:firstLine="48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）研发驱动发展。</w:t>
      </w:r>
      <w:r>
        <w:rPr/>
        <w:t>报告期内，桑瑞思新获得</w:t>
      </w:r>
      <w:r>
        <w:rPr>
          <w:rFonts w:ascii="Times New Roman" w:hAnsi="Times New Roman" w:cs="Times New Roman" w:eastAsia="Times New Roman" w:hint="default"/>
        </w:rPr>
        <w:t>2</w:t>
      </w:r>
      <w:r>
        <w:rPr/>
        <w:t>项与手术室巡检机器人有关的外观设计 专利证书、</w:t>
      </w:r>
      <w:r>
        <w:rPr>
          <w:rFonts w:ascii="Times New Roman" w:hAnsi="Times New Roman" w:cs="Times New Roman" w:eastAsia="Times New Roman" w:hint="default"/>
        </w:rPr>
        <w:t>11</w:t>
      </w:r>
      <w:r>
        <w:rPr/>
        <w:t>项实用新型专利；开展医院基础设施大数据应用平台的研发、区块链技术在医</w:t>
      </w:r>
      <w:r>
        <w:rPr>
          <w:spacing w:val="-93"/>
        </w:rPr>
        <w:t> </w:t>
      </w:r>
      <w:r>
        <w:rPr>
          <w:spacing w:val="-93"/>
        </w:rPr>
      </w:r>
      <w:r>
        <w:rPr/>
        <w:t>疗领域的应用调研工作；完成</w:t>
      </w:r>
      <w:r>
        <w:rPr>
          <w:rFonts w:ascii="Times New Roman" w:hAnsi="Times New Roman" w:cs="Times New Roman" w:eastAsia="Times New Roman" w:hint="default"/>
        </w:rPr>
        <w:t>“</w:t>
      </w:r>
      <w:r>
        <w:rPr/>
        <w:t>血液病房核心指标检测系统</w:t>
      </w:r>
      <w:r>
        <w:rPr>
          <w:rFonts w:ascii="Times New Roman" w:hAnsi="Times New Roman" w:cs="Times New Roman" w:eastAsia="Times New Roman" w:hint="default"/>
        </w:rPr>
        <w:t>”</w:t>
      </w:r>
      <w:r>
        <w:rPr/>
        <w:t>的系统设计及产品测试；完善和</w:t>
      </w:r>
      <w:r>
        <w:rPr>
          <w:spacing w:val="-62"/>
        </w:rPr>
        <w:t> </w:t>
      </w:r>
      <w:r>
        <w:rPr>
          <w:spacing w:val="-62"/>
        </w:rPr>
      </w:r>
      <w:r>
        <w:rPr/>
        <w:t>改进了手术室服务机器人三大类、二十几项的功能，为产品和技术进入医院运用打下了坚实</w:t>
      </w:r>
      <w:r>
        <w:rPr>
          <w:spacing w:val="-93"/>
        </w:rPr>
        <w:t> </w:t>
      </w:r>
      <w:r>
        <w:rPr>
          <w:spacing w:val="-93"/>
        </w:rPr>
      </w:r>
      <w:r>
        <w:rPr/>
        <w:t>的基础；完成智能基础设施建设整体解决方案，并通过目标用户的方案评审；完成手术室基</w:t>
      </w:r>
      <w:r>
        <w:rPr>
          <w:spacing w:val="-93"/>
        </w:rPr>
        <w:t> </w:t>
      </w:r>
      <w:r>
        <w:rPr>
          <w:spacing w:val="-93"/>
        </w:rPr>
      </w:r>
      <w:r>
        <w:rPr/>
        <w:t>础数字化系统体感操作的升级；对设计软硬件进行升级，加强设计人员技能培训，有效提升</w:t>
      </w:r>
      <w:r>
        <w:rPr>
          <w:spacing w:val="-93"/>
        </w:rPr>
        <w:t> </w:t>
      </w:r>
      <w:r>
        <w:rPr>
          <w:spacing w:val="-93"/>
        </w:rPr>
      </w:r>
      <w:r>
        <w:rPr>
          <w:rFonts w:ascii="Times New Roman" w:hAnsi="Times New Roman" w:cs="Times New Roman" w:eastAsia="Times New Roman" w:hint="default"/>
        </w:rPr>
        <w:t>3D</w:t>
      </w:r>
      <w:r>
        <w:rPr/>
        <w:t>设计能力，</w:t>
      </w:r>
      <w:r>
        <w:rPr>
          <w:rFonts w:ascii="Times New Roman" w:hAnsi="Times New Roman" w:cs="Times New Roman" w:eastAsia="Times New Roman" w:hint="default"/>
        </w:rPr>
        <w:t>3D</w:t>
      </w:r>
      <w:r>
        <w:rPr/>
        <w:t>设计水平达到行业领先；桑瑞思数字化智能医院手术室工程设计项目成功获 得四川省科技服务业发展专项资金支持；手术室洁净度的智能检测装置参加四川省</w:t>
      </w:r>
      <w:r>
        <w:rPr>
          <w:rFonts w:ascii="Times New Roman" w:hAnsi="Times New Roman" w:cs="Times New Roman" w:eastAsia="Times New Roman" w:hint="default"/>
        </w:rPr>
        <w:t>“</w:t>
      </w:r>
      <w:r>
        <w:rPr/>
        <w:t>新产品、</w:t>
      </w:r>
      <w:r>
        <w:rPr>
          <w:spacing w:val="-80"/>
        </w:rPr>
        <w:t> </w:t>
      </w:r>
      <w:r>
        <w:rPr/>
        <w:t>新技术鉴定</w:t>
      </w:r>
      <w:r>
        <w:rPr>
          <w:rFonts w:ascii="Times New Roman" w:hAnsi="Times New Roman" w:cs="Times New Roman" w:eastAsia="Times New Roman" w:hint="default"/>
        </w:rPr>
        <w:t>”</w:t>
      </w:r>
      <w:r>
        <w:rPr/>
        <w:t>，并取得由四川省经济和信息化厅颁发的鉴定证书。</w:t>
      </w:r>
    </w:p>
    <w:p>
      <w:pPr>
        <w:spacing w:after="0" w:line="345"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spacing w:line="336" w:lineRule="auto" w:before="26"/>
        <w:ind w:left="153" w:right="1133" w:firstLine="480"/>
        <w:jc w:val="both"/>
        <w:rPr>
          <w:rFonts w:ascii="宋体" w:hAnsi="宋体" w:cs="宋体" w:eastAsia="宋体" w:hint="default"/>
          <w:sz w:val="24"/>
          <w:szCs w:val="24"/>
        </w:rPr>
      </w:pPr>
      <w:r>
        <w:rPr>
          <w:rFonts w:ascii="宋体" w:hAnsi="宋体" w:cs="宋体" w:eastAsia="宋体" w:hint="default"/>
          <w:b/>
          <w:bCs/>
          <w:spacing w:val="-3"/>
          <w:sz w:val="24"/>
          <w:szCs w:val="24"/>
        </w:rPr>
        <w:t>（</w:t>
      </w:r>
      <w:r>
        <w:rPr>
          <w:rFonts w:ascii="Times New Roman" w:hAnsi="Times New Roman" w:cs="Times New Roman" w:eastAsia="Times New Roman" w:hint="default"/>
          <w:b/>
          <w:bCs/>
          <w:spacing w:val="-3"/>
          <w:sz w:val="24"/>
          <w:szCs w:val="24"/>
        </w:rPr>
        <w:t>4</w:t>
      </w:r>
      <w:r>
        <w:rPr>
          <w:rFonts w:ascii="宋体" w:hAnsi="宋体" w:cs="宋体" w:eastAsia="宋体" w:hint="default"/>
          <w:b/>
          <w:bCs/>
          <w:spacing w:val="-3"/>
          <w:sz w:val="24"/>
          <w:szCs w:val="24"/>
        </w:rPr>
        <w:t>）持续推行卓越绩效管理。</w:t>
      </w:r>
      <w:r>
        <w:rPr>
          <w:rFonts w:ascii="宋体" w:hAnsi="宋体" w:cs="宋体" w:eastAsia="宋体" w:hint="default"/>
          <w:spacing w:val="-3"/>
          <w:sz w:val="24"/>
          <w:szCs w:val="24"/>
        </w:rPr>
        <w:t>继续全面开展业务价值链成本卓越绩效管理工作，有效提</w:t>
      </w:r>
      <w:r>
        <w:rPr>
          <w:rFonts w:ascii="宋体" w:hAnsi="宋体" w:cs="宋体" w:eastAsia="宋体" w:hint="default"/>
          <w:sz w:val="24"/>
          <w:szCs w:val="24"/>
        </w:rPr>
        <w:t> 升公司经营效率和经营效益。</w:t>
      </w:r>
    </w:p>
    <w:p>
      <w:pPr>
        <w:pStyle w:val="Heading2"/>
        <w:spacing w:line="240" w:lineRule="auto" w:before="61"/>
        <w:ind w:left="633" w:right="0"/>
        <w:jc w:val="left"/>
        <w:rPr>
          <w:b w:val="0"/>
          <w:bCs w:val="0"/>
        </w:rPr>
      </w:pPr>
      <w:r>
        <w:rPr>
          <w:rFonts w:ascii="Times New Roman" w:hAnsi="Times New Roman" w:cs="Times New Roman" w:eastAsia="Times New Roman" w:hint="default"/>
          <w:color w:val="0D0D0D"/>
        </w:rPr>
        <w:t>3</w:t>
      </w:r>
      <w:r>
        <w:rPr>
          <w:color w:val="0D0D0D"/>
        </w:rPr>
        <w:t>、环保治理领域</w:t>
      </w:r>
      <w:r>
        <w:rPr>
          <w:b w:val="0"/>
          <w:bCs w:val="0"/>
        </w:rPr>
      </w:r>
    </w:p>
    <w:p>
      <w:pPr>
        <w:pStyle w:val="BodyText"/>
        <w:spacing w:line="352" w:lineRule="auto" w:before="133"/>
        <w:ind w:right="1136" w:firstLine="480"/>
        <w:jc w:val="both"/>
      </w:pPr>
      <w:r>
        <w:rPr>
          <w:rFonts w:ascii="Times New Roman" w:hAnsi="Times New Roman" w:cs="Times New Roman" w:eastAsia="Times New Roman" w:hint="default"/>
        </w:rPr>
        <w:t>2019</w:t>
      </w:r>
      <w:r>
        <w:rPr/>
        <w:t>年，公司在环保治理领域强化打造除尘、脱硫、脱硝等技术和产品升级的同时，坚 定推进创新智造战略，持续深化原有技术的优化创新，巩固加强实体智能制造的装备、提高</w:t>
      </w:r>
      <w:r>
        <w:rPr>
          <w:spacing w:val="-93"/>
        </w:rPr>
        <w:t> </w:t>
      </w:r>
      <w:r>
        <w:rPr>
          <w:spacing w:val="-93"/>
        </w:rPr>
      </w:r>
      <w:r>
        <w:rPr/>
        <w:t>工程管理各环节把控能力，通过管理手段的提升，挖掘潜在效益。同时提高售后服务维护运</w:t>
      </w:r>
      <w:r>
        <w:rPr>
          <w:spacing w:val="-93"/>
        </w:rPr>
        <w:t> </w:t>
      </w:r>
      <w:r>
        <w:rPr>
          <w:spacing w:val="-93"/>
        </w:rPr>
      </w:r>
      <w:r>
        <w:rPr/>
        <w:t>行力量，在增强客户黏性的同时，通过售后服务提高设备毛利率，提升持续盈利的能力。</w:t>
      </w:r>
    </w:p>
    <w:p>
      <w:pPr>
        <w:pStyle w:val="BodyText"/>
        <w:spacing w:line="360" w:lineRule="auto" w:before="38"/>
        <w:ind w:right="1141" w:firstLine="480"/>
        <w:jc w:val="both"/>
      </w:pPr>
      <w:r>
        <w:rPr/>
        <w:t>报告期内，公司从全面的工艺技术、完备的施工管理及有力的制造保障等三方面优化环 保治理领域的业务竞争力，推动环保治理业务开展。具体情况如下：</w:t>
      </w:r>
    </w:p>
    <w:p>
      <w:pPr>
        <w:pStyle w:val="BodyText"/>
        <w:spacing w:line="355" w:lineRule="auto" w:before="32"/>
        <w:ind w:right="1132" w:firstLine="480"/>
        <w:jc w:val="both"/>
      </w:pPr>
      <w:r>
        <w:rPr>
          <w:rFonts w:ascii="宋体" w:hAnsi="宋体" w:cs="宋体" w:eastAsia="宋体" w:hint="default"/>
          <w:b/>
          <w:bCs/>
          <w:spacing w:val="-3"/>
        </w:rPr>
        <w:t>（</w:t>
      </w:r>
      <w:r>
        <w:rPr>
          <w:rFonts w:ascii="Times New Roman" w:hAnsi="Times New Roman" w:cs="Times New Roman" w:eastAsia="Times New Roman" w:hint="default"/>
          <w:b/>
          <w:bCs/>
          <w:spacing w:val="-3"/>
        </w:rPr>
        <w:t>1</w:t>
      </w:r>
      <w:r>
        <w:rPr>
          <w:rFonts w:ascii="宋体" w:hAnsi="宋体" w:cs="宋体" w:eastAsia="宋体" w:hint="default"/>
          <w:b/>
          <w:bCs/>
          <w:spacing w:val="-3"/>
        </w:rPr>
        <w:t>）全面的工艺技术。</w:t>
      </w:r>
      <w:r>
        <w:rPr>
          <w:spacing w:val="-3"/>
        </w:rPr>
        <w:t>近年来，环保治理日益趋严，企业已从简单的单一设备需求，转</w:t>
      </w:r>
      <w:r>
        <w:rPr/>
        <w:t> 为系统成套服务需求，从常规标准的治理指标提升到超低排放、超净排放的大气污染治理，</w:t>
      </w:r>
      <w:r>
        <w:rPr>
          <w:spacing w:val="-93"/>
        </w:rPr>
        <w:t> </w:t>
      </w:r>
      <w:r>
        <w:rPr>
          <w:spacing w:val="-93"/>
        </w:rPr>
      </w:r>
      <w:r>
        <w:rPr/>
        <w:t>系统、全面、综合、超低治理已经成为越来越多污染重点企业的迫切需求，公司子公司亿金</w:t>
      </w:r>
      <w:r>
        <w:rPr>
          <w:spacing w:val="-93"/>
        </w:rPr>
        <w:t> </w:t>
      </w:r>
      <w:r>
        <w:rPr>
          <w:spacing w:val="-93"/>
        </w:rPr>
      </w:r>
      <w:r>
        <w:rPr/>
        <w:t>环保结合多年环保行业的工程施工经验积累及行业细分领域的发展趋势，融汇各工艺技术特</w:t>
      </w:r>
      <w:r>
        <w:rPr>
          <w:spacing w:val="-93"/>
        </w:rPr>
        <w:t> </w:t>
      </w:r>
      <w:r>
        <w:rPr>
          <w:spacing w:val="-93"/>
        </w:rPr>
      </w:r>
      <w:r>
        <w:rPr/>
        <w:t>点，针对客户行业的需求，通过与各大设计院的摸索交流、验证，针对各类复杂的工程情况</w:t>
      </w:r>
      <w:r>
        <w:rPr>
          <w:spacing w:val="-93"/>
        </w:rPr>
        <w:t> </w:t>
      </w:r>
      <w:r>
        <w:rPr>
          <w:spacing w:val="-93"/>
        </w:rPr>
      </w:r>
      <w:r>
        <w:rPr/>
        <w:t>量身定制环保解决方案，强化提供环保运营系统集成服务的能力，从成套设备供应向全系统</w:t>
      </w:r>
      <w:r>
        <w:rPr>
          <w:spacing w:val="-93"/>
        </w:rPr>
        <w:t> </w:t>
      </w:r>
      <w:r>
        <w:rPr>
          <w:spacing w:val="-93"/>
        </w:rPr>
      </w:r>
      <w:r>
        <w:rPr/>
        <w:t>服务推进及转型。</w:t>
      </w:r>
    </w:p>
    <w:p>
      <w:pPr>
        <w:pStyle w:val="BodyText"/>
        <w:spacing w:line="348" w:lineRule="auto" w:before="41"/>
        <w:ind w:right="1134" w:firstLine="480"/>
        <w:jc w:val="both"/>
      </w:pPr>
      <w:r>
        <w:rPr>
          <w:rFonts w:ascii="宋体" w:hAnsi="宋体" w:cs="宋体" w:eastAsia="宋体" w:hint="default"/>
          <w:b/>
          <w:bCs/>
          <w:spacing w:val="-3"/>
        </w:rPr>
        <w:t>（</w:t>
      </w:r>
      <w:r>
        <w:rPr>
          <w:rFonts w:ascii="Times New Roman" w:hAnsi="Times New Roman" w:cs="Times New Roman" w:eastAsia="Times New Roman" w:hint="default"/>
          <w:b/>
          <w:bCs/>
          <w:spacing w:val="-3"/>
        </w:rPr>
        <w:t>2</w:t>
      </w:r>
      <w:r>
        <w:rPr>
          <w:rFonts w:ascii="宋体" w:hAnsi="宋体" w:cs="宋体" w:eastAsia="宋体" w:hint="default"/>
          <w:b/>
          <w:bCs/>
          <w:spacing w:val="-3"/>
        </w:rPr>
        <w:t>）完备的施工管理</w:t>
      </w:r>
      <w:r>
        <w:rPr>
          <w:spacing w:val="-3"/>
        </w:rPr>
        <w:t>。面对日趋严格的环保政策，环保工程实施的周期一再被压缩，为</w:t>
      </w:r>
      <w:r>
        <w:rPr/>
        <w:t> 确保亿金环保的市场品质，公司加大项目施工管理力度，从人员、物资、质量、售后上实行</w:t>
      </w:r>
      <w:r>
        <w:rPr>
          <w:spacing w:val="-93"/>
        </w:rPr>
        <w:t> </w:t>
      </w:r>
      <w:r>
        <w:rPr>
          <w:spacing w:val="-93"/>
        </w:rPr>
      </w:r>
      <w:r>
        <w:rPr/>
        <w:t>全生命周期管理，实现速度与质量共进，保证亿金环保品牌的品质。</w:t>
      </w:r>
    </w:p>
    <w:p>
      <w:pPr>
        <w:pStyle w:val="BodyText"/>
        <w:spacing w:line="340" w:lineRule="auto" w:before="43"/>
        <w:ind w:right="1129" w:firstLine="480"/>
        <w:jc w:val="both"/>
      </w:pPr>
      <w:r>
        <w:rPr>
          <w:rFonts w:ascii="宋体" w:hAnsi="宋体" w:cs="宋体" w:eastAsia="宋体" w:hint="default"/>
          <w:b/>
          <w:bCs/>
          <w:spacing w:val="-3"/>
        </w:rPr>
        <w:t>（</w:t>
      </w:r>
      <w:r>
        <w:rPr>
          <w:rFonts w:ascii="Times New Roman" w:hAnsi="Times New Roman" w:cs="Times New Roman" w:eastAsia="Times New Roman" w:hint="default"/>
          <w:b/>
          <w:bCs/>
          <w:spacing w:val="-3"/>
        </w:rPr>
        <w:t>3</w:t>
      </w:r>
      <w:r>
        <w:rPr>
          <w:rFonts w:ascii="宋体" w:hAnsi="宋体" w:cs="宋体" w:eastAsia="宋体" w:hint="default"/>
          <w:b/>
          <w:bCs/>
          <w:spacing w:val="-3"/>
        </w:rPr>
        <w:t>）有力的制造保障</w:t>
      </w:r>
      <w:r>
        <w:rPr>
          <w:spacing w:val="-3"/>
        </w:rPr>
        <w:t>。亿金环保不断强化实体智能制造加工能力，本报告期在供货产能</w:t>
      </w:r>
      <w:r>
        <w:rPr/>
        <w:t> 及设备质量上为项目实施提供了具有竞争力的保障。</w:t>
      </w:r>
    </w:p>
    <w:p>
      <w:pPr>
        <w:pStyle w:val="BodyText"/>
        <w:spacing w:line="338" w:lineRule="auto" w:before="50"/>
        <w:ind w:right="1127" w:firstLine="480"/>
        <w:jc w:val="both"/>
      </w:pPr>
      <w:r>
        <w:rPr>
          <w:rFonts w:ascii="宋体" w:hAnsi="宋体" w:cs="宋体" w:eastAsia="宋体" w:hint="default"/>
          <w:b/>
          <w:bCs/>
          <w:spacing w:val="-3"/>
        </w:rPr>
        <w:t>（</w:t>
      </w:r>
      <w:r>
        <w:rPr>
          <w:rFonts w:ascii="Times New Roman" w:hAnsi="Times New Roman" w:cs="Times New Roman" w:eastAsia="Times New Roman" w:hint="default"/>
          <w:b/>
          <w:bCs/>
          <w:spacing w:val="-3"/>
        </w:rPr>
        <w:t>4</w:t>
      </w:r>
      <w:r>
        <w:rPr>
          <w:rFonts w:ascii="宋体" w:hAnsi="宋体" w:cs="宋体" w:eastAsia="宋体" w:hint="default"/>
          <w:b/>
          <w:bCs/>
          <w:spacing w:val="-3"/>
        </w:rPr>
        <w:t>）持续的技术研发。</w:t>
      </w:r>
      <w:r>
        <w:rPr>
          <w:spacing w:val="-3"/>
        </w:rPr>
        <w:t>报告期内，亿金环保新获得</w:t>
      </w:r>
      <w:r>
        <w:rPr>
          <w:rFonts w:ascii="Times New Roman" w:hAnsi="Times New Roman" w:cs="Times New Roman" w:eastAsia="Times New Roman" w:hint="default"/>
          <w:spacing w:val="-3"/>
        </w:rPr>
        <w:t>2</w:t>
      </w:r>
      <w:r>
        <w:rPr>
          <w:spacing w:val="-3"/>
        </w:rPr>
        <w:t>项发明专利、</w:t>
      </w:r>
      <w:r>
        <w:rPr>
          <w:rFonts w:ascii="Times New Roman" w:hAnsi="Times New Roman" w:cs="Times New Roman" w:eastAsia="Times New Roman" w:hint="default"/>
          <w:spacing w:val="-3"/>
        </w:rPr>
        <w:t>4</w:t>
      </w:r>
      <w:r>
        <w:rPr>
          <w:spacing w:val="-3"/>
        </w:rPr>
        <w:t>项实用新型专利；新</w:t>
      </w:r>
      <w:r>
        <w:rPr/>
        <w:t> </w:t>
      </w:r>
      <w:r>
        <w:rPr>
          <w:spacing w:val="-2"/>
        </w:rPr>
        <w:t>增已受理待获证发明专利</w:t>
      </w:r>
      <w:r>
        <w:rPr>
          <w:rFonts w:ascii="Times New Roman" w:hAnsi="Times New Roman" w:cs="Times New Roman" w:eastAsia="Times New Roman" w:hint="default"/>
          <w:spacing w:val="-2"/>
        </w:rPr>
        <w:t>5</w:t>
      </w:r>
      <w:r>
        <w:rPr>
          <w:spacing w:val="-2"/>
        </w:rPr>
        <w:t>项、实用新型</w:t>
      </w:r>
      <w:r>
        <w:rPr>
          <w:rFonts w:ascii="Times New Roman" w:hAnsi="Times New Roman" w:cs="Times New Roman" w:eastAsia="Times New Roman" w:hint="default"/>
          <w:spacing w:val="-2"/>
        </w:rPr>
        <w:t>5</w:t>
      </w:r>
      <w:r>
        <w:rPr>
          <w:spacing w:val="-2"/>
        </w:rPr>
        <w:t>项；获得江苏省技术企业中心证书；</w:t>
      </w:r>
      <w:r>
        <w:rPr>
          <w:rFonts w:ascii="Times New Roman" w:hAnsi="Times New Roman" w:cs="Times New Roman" w:eastAsia="Times New Roman" w:hint="default"/>
          <w:spacing w:val="-2"/>
        </w:rPr>
        <w:t>“</w:t>
      </w:r>
      <w:r>
        <w:rPr>
          <w:spacing w:val="-2"/>
        </w:rPr>
        <w:t>半干法脱硫除</w:t>
      </w:r>
      <w:r>
        <w:rPr>
          <w:spacing w:val="-113"/>
        </w:rPr>
        <w:t> </w:t>
      </w:r>
      <w:r>
        <w:rPr>
          <w:spacing w:val="-2"/>
        </w:rPr>
        <w:t>尘降雾霾超净排放技术研究</w:t>
      </w:r>
      <w:r>
        <w:rPr>
          <w:rFonts w:ascii="Times New Roman" w:hAnsi="Times New Roman" w:cs="Times New Roman" w:eastAsia="Times New Roman" w:hint="default"/>
          <w:spacing w:val="-2"/>
        </w:rPr>
        <w:t>”</w:t>
      </w:r>
      <w:r>
        <w:rPr>
          <w:spacing w:val="-2"/>
        </w:rPr>
        <w:t>荣获市</w:t>
      </w:r>
      <w:r>
        <w:rPr>
          <w:rFonts w:ascii="Times New Roman" w:hAnsi="Times New Roman" w:cs="Times New Roman" w:eastAsia="Times New Roman" w:hint="default"/>
          <w:spacing w:val="-2"/>
        </w:rPr>
        <w:t>“</w:t>
      </w:r>
      <w:r>
        <w:rPr>
          <w:spacing w:val="-2"/>
        </w:rPr>
        <w:t>十佳科技创新</w:t>
      </w:r>
      <w:r>
        <w:rPr>
          <w:rFonts w:ascii="Times New Roman" w:hAnsi="Times New Roman" w:cs="Times New Roman" w:eastAsia="Times New Roman" w:hint="default"/>
          <w:spacing w:val="-2"/>
        </w:rPr>
        <w:t>”</w:t>
      </w:r>
      <w:r>
        <w:rPr>
          <w:spacing w:val="-2"/>
        </w:rPr>
        <w:t>项目一等奖；新获得辐射安全许可证、建</w:t>
      </w:r>
      <w:r>
        <w:rPr>
          <w:spacing w:val="-80"/>
        </w:rPr>
        <w:t> </w:t>
      </w:r>
      <w:r>
        <w:rPr>
          <w:spacing w:val="-80"/>
        </w:rPr>
      </w:r>
      <w:r>
        <w:rPr>
          <w:spacing w:val="2"/>
        </w:rPr>
        <w:t>筑业企业资质证书</w:t>
      </w:r>
      <w:r>
        <w:rPr>
          <w:rFonts w:ascii="Times New Roman" w:hAnsi="Times New Roman" w:cs="Times New Roman" w:eastAsia="Times New Roman" w:hint="default"/>
          <w:spacing w:val="2"/>
        </w:rPr>
        <w:t>--</w:t>
      </w:r>
      <w:r>
        <w:rPr>
          <w:spacing w:val="2"/>
        </w:rPr>
        <w:t>市政公用工程施工总承包叁级等资质；亿金环保前期储备开发的针对冶</w:t>
      </w:r>
      <w:r>
        <w:rPr>
          <w:spacing w:val="-99"/>
        </w:rPr>
        <w:t> </w:t>
      </w:r>
      <w:r>
        <w:rPr>
          <w:spacing w:val="-99"/>
        </w:rPr>
      </w:r>
      <w:r>
        <w:rPr>
          <w:spacing w:val="2"/>
        </w:rPr>
        <w:t>金行业中低温</w:t>
      </w:r>
      <w:r>
        <w:rPr>
          <w:rFonts w:ascii="Times New Roman" w:hAnsi="Times New Roman" w:cs="Times New Roman" w:eastAsia="Times New Roman" w:hint="default"/>
          <w:spacing w:val="2"/>
        </w:rPr>
        <w:t>SCR</w:t>
      </w:r>
      <w:r>
        <w:rPr>
          <w:spacing w:val="2"/>
        </w:rPr>
        <w:t>脱硝、烟气消白、</w:t>
      </w:r>
      <w:r>
        <w:rPr>
          <w:rFonts w:ascii="Times New Roman" w:hAnsi="Times New Roman" w:cs="Times New Roman" w:eastAsia="Times New Roman" w:hint="default"/>
          <w:spacing w:val="2"/>
        </w:rPr>
        <w:t>SDS</w:t>
      </w:r>
      <w:r>
        <w:rPr>
          <w:spacing w:val="2"/>
        </w:rPr>
        <w:t>干法脱硫等新兴大气污染治理技术，已经获取了订</w:t>
      </w:r>
      <w:r>
        <w:rPr>
          <w:spacing w:val="-112"/>
        </w:rPr>
        <w:t> </w:t>
      </w:r>
      <w:r>
        <w:rPr>
          <w:spacing w:val="-112"/>
        </w:rPr>
      </w:r>
      <w:r>
        <w:rPr/>
        <w:t>单，项目的成功实施将为未来公司赢得更大的市场空间。</w:t>
      </w:r>
    </w:p>
    <w:p>
      <w:pPr>
        <w:spacing w:after="0" w:line="338" w:lineRule="auto"/>
        <w:jc w:val="both"/>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spacing w:line="532" w:lineRule="auto" w:before="0"/>
        <w:ind w:left="153" w:right="5044"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24"/>
          <w:szCs w:val="24"/>
        </w:rPr>
        <w:t>参见</w:t>
      </w:r>
      <w:r>
        <w:rPr>
          <w:rFonts w:ascii="Times New Roman" w:hAnsi="Times New Roman" w:cs="Times New Roman" w:eastAsia="Times New Roman" w:hint="default"/>
          <w:sz w:val="24"/>
          <w:szCs w:val="24"/>
        </w:rPr>
        <w:t>“</w:t>
      </w:r>
      <w:r>
        <w:rPr>
          <w:rFonts w:ascii="宋体" w:hAnsi="宋体" w:cs="宋体" w:eastAsia="宋体" w:hint="default"/>
          <w:sz w:val="24"/>
          <w:szCs w:val="24"/>
        </w:rPr>
        <w:t>经营情况讨论与分析</w:t>
      </w:r>
      <w:r>
        <w:rPr>
          <w:rFonts w:ascii="Times New Roman" w:hAnsi="Times New Roman" w:cs="Times New Roman" w:eastAsia="Times New Roman" w:hint="default"/>
          <w:sz w:val="24"/>
          <w:szCs w:val="24"/>
        </w:rPr>
        <w:t>”</w:t>
      </w:r>
      <w:r>
        <w:rPr>
          <w:rFonts w:ascii="宋体" w:hAnsi="宋体" w:cs="宋体" w:eastAsia="宋体" w:hint="default"/>
          <w:sz w:val="24"/>
          <w:szCs w:val="24"/>
        </w:rPr>
        <w:t>中的</w:t>
      </w:r>
      <w:r>
        <w:rPr>
          <w:rFonts w:ascii="Times New Roman" w:hAnsi="Times New Roman" w:cs="Times New Roman" w:eastAsia="Times New Roman" w:hint="default"/>
          <w:sz w:val="24"/>
          <w:szCs w:val="24"/>
        </w:rPr>
        <w:t>“</w:t>
      </w:r>
      <w:r>
        <w:rPr>
          <w:rFonts w:ascii="宋体" w:hAnsi="宋体" w:cs="宋体" w:eastAsia="宋体" w:hint="default"/>
          <w:sz w:val="24"/>
          <w:szCs w:val="24"/>
        </w:rPr>
        <w:t>一、概述</w:t>
      </w:r>
      <w:r>
        <w:rPr>
          <w:rFonts w:ascii="Times New Roman" w:hAnsi="Times New Roman" w:cs="Times New Roman" w:eastAsia="Times New Roman" w:hint="default"/>
          <w:sz w:val="24"/>
          <w:szCs w:val="24"/>
        </w:rPr>
        <w:t>”</w:t>
      </w:r>
      <w:r>
        <w:rPr>
          <w:rFonts w:ascii="宋体" w:hAnsi="宋体" w:cs="宋体" w:eastAsia="宋体" w:hint="default"/>
          <w:sz w:val="24"/>
          <w:szCs w:val="24"/>
        </w:rPr>
        <w:t>相关内容。 </w:t>
      </w:r>
      <w:bookmarkStart w:name="2、收入与成本" w:id="27"/>
      <w:bookmarkEnd w:id="27"/>
      <w:r>
        <w:rPr>
          <w:rFonts w:ascii="宋体" w:hAnsi="宋体" w:cs="宋体" w:eastAsia="宋体" w:hint="default"/>
          <w:sz w:val="24"/>
          <w:szCs w:val="24"/>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40"/>
        <w:ind w:left="153" w:right="0" w:firstLine="0"/>
        <w:jc w:val="left"/>
        <w:rPr>
          <w:rFonts w:ascii="宋体" w:hAnsi="宋体" w:cs="宋体" w:eastAsia="宋体" w:hint="default"/>
          <w:sz w:val="21"/>
          <w:szCs w:val="21"/>
        </w:rPr>
      </w:pPr>
      <w:bookmarkStart w:name="（1）营业收入构成" w:id="28"/>
      <w:bookmarkEnd w:id="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2"/>
        <w:gridCol w:w="1597"/>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5"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2"/>
                <w:sz w:val="18"/>
              </w:rPr>
              <w:t>1,179,354,900.26</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1,371,177,902.80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-13.99%</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信息数据领域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733,795,481.80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1,028,624,257.15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75.02%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-28.66%</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环保治理领域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230,109,939.22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19.51%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273,603,783.42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pacing w:val="-1"/>
                <w:sz w:val="18"/>
              </w:rPr>
              <w:t>19.95%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-15.90%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医疗健康领域</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215,449,479.24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68,949,862.23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212.47%</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ICT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领域产品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733,795,481.80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1,028,624,257.15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75.02%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-28.66%</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环境治理领域产品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230,109,939.22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19.51%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273,603,783.42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pacing w:val="-1"/>
                <w:sz w:val="18"/>
              </w:rPr>
              <w:t>19.95%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pacing w:val="-1"/>
                <w:sz w:val="18"/>
              </w:rPr>
              <w:t>-15.90%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医疗健康领域产品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215,449,479.24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68,949,862.23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212.47%</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13,601,560.12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48,731,521.22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-72.09%</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280,990,510.90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465,089,082.97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33.92%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-39.58%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328,587,988.31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469,039,185.79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34.21%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-29.94%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40,200,608.11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74,258,249.88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5.42%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-45.86%</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364,140,086.59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30.88%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250,455,066.54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18.27%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45.39%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151,834,146.23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12.87%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63,604,796.40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
              <w:jc w:val="right"/>
              <w:rPr>
                <w:rFonts w:ascii="Times New Roman" w:hAnsi="Times New Roman" w:cs="Times New Roman" w:eastAsia="Times New Roman" w:hint="default"/>
                <w:sz w:val="18"/>
                <w:szCs w:val="18"/>
              </w:rPr>
            </w:pPr>
            <w:r>
              <w:rPr>
                <w:rFonts w:ascii="Times New Roman"/>
                <w:spacing w:val="-1"/>
                <w:sz w:val="18"/>
              </w:rPr>
              <w:t>4.63%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138.71%</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17"/>
        <w:gridCol w:w="1008"/>
        <w:gridCol w:w="1013"/>
        <w:gridCol w:w="1008"/>
        <w:gridCol w:w="1013"/>
        <w:gridCol w:w="1004"/>
        <w:gridCol w:w="1004"/>
        <w:gridCol w:w="1004"/>
        <w:gridCol w:w="1003"/>
      </w:tblGrid>
      <w:tr>
        <w:trPr>
          <w:trHeight w:val="206" w:hRule="exact"/>
        </w:trPr>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401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192" w:hRule="exact"/>
        </w:trPr>
        <w:tc>
          <w:tcPr>
            <w:tcW w:w="1517" w:type="dxa"/>
            <w:vMerge w:val="restart"/>
            <w:tcBorders>
              <w:top w:val="nil" w:sz="6" w:space="0" w:color="auto"/>
              <w:left w:val="single" w:sz="4" w:space="0" w:color="000000"/>
              <w:right w:val="single" w:sz="4" w:space="0" w:color="000000"/>
            </w:tcBorders>
            <w:shd w:val="clear" w:color="auto" w:fill="D2D2D2"/>
          </w:tcPr>
          <w:p>
            <w:pPr/>
          </w:p>
        </w:tc>
        <w:tc>
          <w:tcPr>
            <w:tcW w:w="4043" w:type="dxa"/>
            <w:gridSpan w:val="4"/>
            <w:vMerge/>
            <w:tcBorders>
              <w:left w:val="single" w:sz="4" w:space="0" w:color="000000"/>
              <w:bottom w:val="single" w:sz="4" w:space="0" w:color="000000"/>
              <w:right w:val="single" w:sz="4" w:space="0" w:color="000000"/>
            </w:tcBorders>
            <w:shd w:val="clear" w:color="auto" w:fill="D2D2D2"/>
          </w:tcPr>
          <w:p>
            <w:pPr/>
          </w:p>
        </w:tc>
        <w:tc>
          <w:tcPr>
            <w:tcW w:w="4014"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1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34"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159" w:hRule="exact"/>
        </w:trPr>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8" w:space="0" w:color="D2D2D2"/>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221,860,395.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306,876,711.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008" w:type="dxa"/>
            <w:vMerge w:val="restart"/>
            <w:tcBorders>
              <w:top w:val="single" w:sz="4" w:space="0" w:color="000000"/>
              <w:left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214,927,734.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74</w:t>
            </w:r>
          </w:p>
        </w:tc>
        <w:tc>
          <w:tcPr>
            <w:tcW w:w="1013"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435,690,059.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208,929,960.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332,803,328.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08</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409,397,575.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420,047,037.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r>
      <w:tr>
        <w:trPr>
          <w:trHeight w:val="394" w:hRule="exact"/>
        </w:trPr>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8" w:space="0" w:color="D2D2D2"/>
              <w:right w:val="single" w:sz="4" w:space="0" w:color="000000"/>
            </w:tcBorders>
          </w:tcPr>
          <w:p>
            <w:pPr/>
          </w:p>
        </w:tc>
        <w:tc>
          <w:tcPr>
            <w:tcW w:w="1013" w:type="dxa"/>
            <w:vMerge/>
            <w:tcBorders>
              <w:left w:val="single" w:sz="4" w:space="0" w:color="000000"/>
              <w:right w:val="single" w:sz="4" w:space="0" w:color="000000"/>
            </w:tcBorders>
          </w:tcPr>
          <w:p>
            <w:pPr/>
          </w:p>
        </w:tc>
        <w:tc>
          <w:tcPr>
            <w:tcW w:w="1008" w:type="dxa"/>
            <w:vMerge/>
            <w:tcBorders>
              <w:left w:val="single" w:sz="4" w:space="0" w:color="000000"/>
              <w:right w:val="single" w:sz="4" w:space="0" w:color="000000"/>
            </w:tcBorders>
          </w:tcPr>
          <w:p>
            <w:pPr/>
          </w:p>
        </w:tc>
        <w:tc>
          <w:tcPr>
            <w:tcW w:w="1013"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r>
      <w:tr>
        <w:trPr>
          <w:trHeight w:val="163" w:hRule="exact"/>
        </w:trPr>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8" w:space="0" w:color="D2D2D2"/>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3"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r>
      <w:tr>
        <w:trPr>
          <w:trHeight w:val="398" w:hRule="exact"/>
        </w:trPr>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w:t>
            </w:r>
          </w:p>
        </w:tc>
        <w:tc>
          <w:tcPr>
            <w:tcW w:w="10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1,155,037.86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4,504,689.26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33" w:right="0"/>
              <w:jc w:val="left"/>
              <w:rPr>
                <w:rFonts w:ascii="Times New Roman" w:hAnsi="Times New Roman" w:cs="Times New Roman" w:eastAsia="Times New Roman" w:hint="default"/>
                <w:sz w:val="18"/>
                <w:szCs w:val="18"/>
              </w:rPr>
            </w:pPr>
            <w:r>
              <w:rPr>
                <w:rFonts w:ascii="Times New Roman"/>
                <w:sz w:val="18"/>
              </w:rPr>
              <w:t>18,585,226.9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left"/>
              <w:rPr>
                <w:rFonts w:ascii="Times New Roman" w:hAnsi="Times New Roman" w:cs="Times New Roman" w:eastAsia="Times New Roman" w:hint="default"/>
                <w:sz w:val="18"/>
                <w:szCs w:val="18"/>
              </w:rPr>
            </w:pPr>
            <w:r>
              <w:rPr>
                <w:rFonts w:ascii="Times New Roman"/>
                <w:sz w:val="18"/>
              </w:rPr>
              <w:t>-20,966,717.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12,866,339.6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25,293,622.7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4" w:right="0"/>
              <w:jc w:val="left"/>
              <w:rPr>
                <w:rFonts w:ascii="Times New Roman" w:hAnsi="Times New Roman" w:cs="Times New Roman" w:eastAsia="Times New Roman" w:hint="default"/>
                <w:sz w:val="18"/>
                <w:szCs w:val="18"/>
              </w:rPr>
            </w:pPr>
            <w:r>
              <w:rPr>
                <w:rFonts w:ascii="Times New Roman"/>
                <w:sz w:val="18"/>
              </w:rPr>
              <w:t>21,991,132.1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2" w:right="0"/>
              <w:jc w:val="left"/>
              <w:rPr>
                <w:rFonts w:ascii="Times New Roman" w:hAnsi="Times New Roman" w:cs="Times New Roman" w:eastAsia="Times New Roman" w:hint="default"/>
                <w:sz w:val="18"/>
                <w:szCs w:val="18"/>
              </w:rPr>
            </w:pPr>
            <w:r>
              <w:rPr>
                <w:rFonts w:ascii="Times New Roman"/>
                <w:sz w:val="18"/>
              </w:rPr>
              <w:t>-21,872,499.</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08"/>
        <w:gridCol w:w="1018"/>
        <w:gridCol w:w="1013"/>
        <w:gridCol w:w="1008"/>
        <w:gridCol w:w="1013"/>
        <w:gridCol w:w="1004"/>
        <w:gridCol w:w="1004"/>
        <w:gridCol w:w="1004"/>
        <w:gridCol w:w="1003"/>
      </w:tblGrid>
      <w:tr>
        <w:trPr>
          <w:trHeight w:val="360"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东的净利润</w:t>
            </w:r>
          </w:p>
        </w:tc>
        <w:tc>
          <w:tcPr>
            <w:tcW w:w="1018" w:type="dxa"/>
            <w:tcBorders>
              <w:top w:val="single" w:sz="4" w:space="0" w:color="000000"/>
              <w:left w:val="single" w:sz="12" w:space="0" w:color="D2D2D2"/>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86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7"/>
              <w:jc w:val="right"/>
              <w:rPr>
                <w:rFonts w:ascii="Times New Roman" w:hAnsi="Times New Roman" w:cs="Times New Roman" w:eastAsia="Times New Roman" w:hint="default"/>
                <w:sz w:val="18"/>
                <w:szCs w:val="18"/>
              </w:rPr>
            </w:pPr>
            <w:r>
              <w:rPr>
                <w:rFonts w:ascii="Times New Roman"/>
                <w:sz w:val="18"/>
              </w:rPr>
              <w:t>70</w:t>
            </w:r>
          </w:p>
        </w:tc>
      </w:tr>
    </w:tbl>
    <w:p>
      <w:pPr>
        <w:spacing w:line="362" w:lineRule="auto" w:before="53"/>
        <w:ind w:left="153" w:right="6287" w:firstLine="0"/>
        <w:jc w:val="left"/>
        <w:rPr>
          <w:rFonts w:ascii="宋体" w:hAnsi="宋体" w:cs="宋体" w:eastAsia="宋体" w:hint="default"/>
          <w:sz w:val="18"/>
          <w:szCs w:val="18"/>
        </w:rPr>
      </w:pPr>
      <w:r>
        <w:rPr>
          <w:rFonts w:ascii="宋体" w:hAnsi="宋体" w:cs="宋体" w:eastAsia="宋体" w:hint="default"/>
          <w:spacing w:val="-3"/>
          <w:sz w:val="18"/>
          <w:szCs w:val="18"/>
        </w:rPr>
        <w:t>说明经营季节性（或周期性）发生的原因及波动风险</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不适用</w:t>
      </w:r>
    </w:p>
    <w:p>
      <w:pPr>
        <w:spacing w:line="240" w:lineRule="auto" w:before="4"/>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2）占公司营业收入或营业利润10%以上的行业、产品或地区情况"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153" w:right="-13"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70" w:space="40"/>
            <w:col w:w="1820"/>
          </w:cols>
        </w:sectPr>
      </w:pP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1416"/>
        <w:gridCol w:w="1421"/>
        <w:gridCol w:w="1071"/>
        <w:gridCol w:w="1368"/>
        <w:gridCol w:w="1364"/>
        <w:gridCol w:w="1373"/>
      </w:tblGrid>
      <w:tr>
        <w:trPr>
          <w:trHeight w:val="71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分客户所处行业</w:t>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信息数据领域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733,795,481.80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512,673,273.27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-32.11%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3.54%</w:t>
            </w:r>
          </w:p>
        </w:tc>
      </w:tr>
      <w:tr>
        <w:trPr>
          <w:trHeight w:val="39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环保治理领域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230,109,939.22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182,122,780.89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-1.63%</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医疗健康领域</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215,449,479.24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189,956,344.94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11.83%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212.47%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235.73%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-6.11%</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ICT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领域产品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733,795,481.80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512,673,273.27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-32.11%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3.54%</w:t>
            </w:r>
          </w:p>
        </w:tc>
      </w:tr>
      <w:tr>
        <w:trPr>
          <w:trHeight w:val="39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环境治理领域产品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230,109,939.22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182,122,780.89</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-14.14%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-1.63%</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医疗健康领域产品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215,449,479.24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189,956,344.94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11.83%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212.47%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235.73%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3"/>
                <w:sz w:val="18"/>
              </w:rPr>
              <w:t>-6.11%</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13,601,560.12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9,454,038.51</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-73.18%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2.82%</w:t>
            </w:r>
          </w:p>
        </w:tc>
      </w:tr>
      <w:tr>
        <w:trPr>
          <w:trHeight w:val="399"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280,990,510.90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209,331,812.12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-40.79%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1.52%</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328,587,988.31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251,391,376.85</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-29.94%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-26.17%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-3.92%</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40,200,608.11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30,130,876.43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-45.86%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-44.68%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-1.60%</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364,140,086.59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272,724,786.12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45.39%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40.76%</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w:t>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151,834,146.23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111,719,509.07</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138.71%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141.34%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-0.80%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公司实物销售收入是否大于劳务收入"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611"/>
        <w:gridCol w:w="1570"/>
        <w:gridCol w:w="1607"/>
        <w:gridCol w:w="1594"/>
        <w:gridCol w:w="1594"/>
        <w:gridCol w:w="1594"/>
      </w:tblGrid>
      <w:tr>
        <w:trPr>
          <w:trHeight w:val="403"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42"/>
              <w:jc w:val="right"/>
              <w:rPr>
                <w:rFonts w:ascii="宋体" w:hAnsi="宋体" w:cs="宋体" w:eastAsia="宋体" w:hint="default"/>
                <w:sz w:val="18"/>
                <w:szCs w:val="18"/>
              </w:rPr>
            </w:pPr>
            <w:r>
              <w:rPr>
                <w:rFonts w:ascii="宋体" w:hAnsi="宋体" w:cs="宋体" w:eastAsia="宋体" w:hint="default"/>
                <w:spacing w:val="-2"/>
                <w:sz w:val="18"/>
                <w:szCs w:val="18"/>
              </w:rPr>
              <w:t>行业分类</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信息数据领域</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-8.42%</w:t>
            </w:r>
          </w:p>
        </w:tc>
      </w:tr>
      <w:tr>
        <w:trPr>
          <w:trHeight w:val="404"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-8.73%</w:t>
            </w:r>
          </w:p>
        </w:tc>
      </w:tr>
      <w:tr>
        <w:trPr>
          <w:trHeight w:val="403"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-13.86%</w:t>
            </w:r>
          </w:p>
        </w:tc>
      </w:tr>
      <w:tr>
        <w:trPr>
          <w:trHeight w:val="403" w:hRule="exact"/>
        </w:trPr>
        <w:tc>
          <w:tcPr>
            <w:tcW w:w="161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53"/>
              <w:ind w:right="483"/>
              <w:jc w:val="right"/>
              <w:rPr>
                <w:rFonts w:ascii="宋体" w:hAnsi="宋体" w:cs="宋体" w:eastAsia="宋体" w:hint="default"/>
                <w:sz w:val="18"/>
                <w:szCs w:val="18"/>
              </w:rPr>
            </w:pPr>
            <w:r>
              <w:rPr>
                <w:rFonts w:ascii="宋体" w:hAnsi="宋体" w:cs="宋体" w:eastAsia="宋体" w:hint="default"/>
                <w:spacing w:val="-2"/>
                <w:sz w:val="18"/>
                <w:szCs w:val="18"/>
              </w:rPr>
              <w:t>环保治理领域</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11"/>
        <w:gridCol w:w="1582"/>
        <w:gridCol w:w="1595"/>
        <w:gridCol w:w="1594"/>
        <w:gridCol w:w="1594"/>
        <w:gridCol w:w="1596"/>
      </w:tblGrid>
      <w:tr>
        <w:trPr>
          <w:trHeight w:val="403" w:hRule="exact"/>
        </w:trPr>
        <w:tc>
          <w:tcPr>
            <w:tcW w:w="1611" w:type="dxa"/>
            <w:vMerge w:val="restart"/>
            <w:tcBorders>
              <w:top w:val="single" w:sz="4" w:space="0" w:color="000000"/>
              <w:left w:val="single" w:sz="4" w:space="0" w:color="000000"/>
              <w:right w:val="single" w:sz="10"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6.00%</w:t>
            </w:r>
          </w:p>
        </w:tc>
      </w:tr>
      <w:tr>
        <w:trPr>
          <w:trHeight w:val="403" w:hRule="exact"/>
        </w:trPr>
        <w:tc>
          <w:tcPr>
            <w:tcW w:w="1611" w:type="dxa"/>
            <w:vMerge/>
            <w:tcBorders>
              <w:left w:val="single" w:sz="4" w:space="0" w:color="000000"/>
              <w:bottom w:val="single" w:sz="4" w:space="0" w:color="000000"/>
              <w:right w:val="single" w:sz="10"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相关数据同比发生变动</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以上的原因说明</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公司已签订的重大销售合同截至本报告期的履行情况"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38" w:lineRule="auto" w:before="101"/>
        <w:ind w:left="153" w:right="1828"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单一销售合同金额占公司最近一个会计年度经审计营业收入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以上且金额超过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万元的正在履行的合同情况</w:t>
      </w:r>
    </w:p>
    <w:p>
      <w:pPr>
        <w:spacing w:before="2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1"/>
        <w:gridCol w:w="1066"/>
        <w:gridCol w:w="1066"/>
        <w:gridCol w:w="1056"/>
        <w:gridCol w:w="1071"/>
        <w:gridCol w:w="1061"/>
        <w:gridCol w:w="1066"/>
        <w:gridCol w:w="1061"/>
      </w:tblGrid>
      <w:tr>
        <w:trPr>
          <w:trHeight w:val="102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6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63" w:right="0"/>
              <w:jc w:val="left"/>
              <w:rPr>
                <w:rFonts w:ascii="宋体" w:hAnsi="宋体" w:cs="宋体" w:eastAsia="宋体" w:hint="default"/>
                <w:sz w:val="18"/>
                <w:szCs w:val="18"/>
              </w:rPr>
            </w:pPr>
            <w:r>
              <w:rPr>
                <w:rFonts w:ascii="宋体" w:hAnsi="宋体" w:cs="宋体" w:eastAsia="宋体" w:hint="default"/>
                <w:sz w:val="18"/>
                <w:szCs w:val="18"/>
              </w:rPr>
              <w:t>合同金额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68" w:right="0"/>
              <w:jc w:val="left"/>
              <w:rPr>
                <w:rFonts w:ascii="宋体" w:hAnsi="宋体" w:cs="宋体" w:eastAsia="宋体" w:hint="default"/>
                <w:sz w:val="18"/>
                <w:szCs w:val="18"/>
              </w:rPr>
            </w:pPr>
            <w:r>
              <w:rPr>
                <w:rFonts w:ascii="宋体" w:hAnsi="宋体" w:cs="宋体" w:eastAsia="宋体" w:hint="default"/>
                <w:sz w:val="18"/>
                <w:szCs w:val="18"/>
              </w:rPr>
              <w:t>业务类型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项目执行进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度</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37" w:right="65" w:hanging="361"/>
              <w:jc w:val="left"/>
              <w:rPr>
                <w:rFonts w:ascii="宋体" w:hAnsi="宋体" w:cs="宋体" w:eastAsia="宋体" w:hint="default"/>
                <w:sz w:val="18"/>
                <w:szCs w:val="18"/>
              </w:rPr>
            </w:pPr>
            <w:r>
              <w:rPr>
                <w:rFonts w:ascii="宋体" w:hAnsi="宋体" w:cs="宋体" w:eastAsia="宋体" w:hint="default"/>
                <w:spacing w:val="-2"/>
                <w:sz w:val="18"/>
                <w:szCs w:val="18"/>
              </w:rPr>
              <w:t>本期确认收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1" w:right="75" w:hanging="360"/>
              <w:jc w:val="left"/>
              <w:rPr>
                <w:rFonts w:ascii="宋体" w:hAnsi="宋体" w:cs="宋体" w:eastAsia="宋体" w:hint="default"/>
                <w:sz w:val="18"/>
                <w:szCs w:val="18"/>
              </w:rPr>
            </w:pPr>
            <w:r>
              <w:rPr>
                <w:rFonts w:ascii="宋体" w:hAnsi="宋体" w:cs="宋体" w:eastAsia="宋体" w:hint="default"/>
                <w:spacing w:val="-2"/>
                <w:sz w:val="18"/>
                <w:szCs w:val="18"/>
              </w:rPr>
              <w:t>累计确认收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67" w:right="0"/>
              <w:jc w:val="left"/>
              <w:rPr>
                <w:rFonts w:ascii="宋体" w:hAnsi="宋体" w:cs="宋体" w:eastAsia="宋体" w:hint="default"/>
                <w:sz w:val="18"/>
                <w:szCs w:val="18"/>
              </w:rPr>
            </w:pPr>
            <w:r>
              <w:rPr>
                <w:rFonts w:ascii="宋体" w:hAnsi="宋体" w:cs="宋体" w:eastAsia="宋体" w:hint="default"/>
                <w:sz w:val="18"/>
                <w:szCs w:val="18"/>
              </w:rPr>
              <w:t>回款情况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81" w:right="70"/>
              <w:jc w:val="both"/>
              <w:rPr>
                <w:rFonts w:ascii="宋体" w:hAnsi="宋体" w:cs="宋体" w:eastAsia="宋体" w:hint="default"/>
                <w:sz w:val="18"/>
                <w:szCs w:val="18"/>
              </w:rPr>
            </w:pPr>
            <w:r>
              <w:rPr>
                <w:rFonts w:ascii="宋体" w:hAnsi="宋体" w:cs="宋体" w:eastAsia="宋体" w:hint="default"/>
                <w:spacing w:val="-2"/>
                <w:sz w:val="18"/>
                <w:szCs w:val="18"/>
              </w:rPr>
              <w:t>项目进展是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否达到计划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进度或预期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76" w:right="69"/>
              <w:jc w:val="center"/>
              <w:rPr>
                <w:rFonts w:ascii="宋体" w:hAnsi="宋体" w:cs="宋体" w:eastAsia="宋体" w:hint="default"/>
                <w:sz w:val="18"/>
                <w:szCs w:val="18"/>
              </w:rPr>
            </w:pPr>
            <w:r>
              <w:rPr>
                <w:rFonts w:ascii="宋体" w:hAnsi="宋体" w:cs="宋体" w:eastAsia="宋体" w:hint="default"/>
                <w:spacing w:val="-2"/>
                <w:sz w:val="18"/>
                <w:szCs w:val="18"/>
              </w:rPr>
              <w:t>未达到计划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进度或预期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的原因</w:t>
            </w:r>
          </w:p>
        </w:tc>
      </w:tr>
      <w:tr>
        <w:trPr>
          <w:trHeight w:val="352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东盟信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息港南宁五</w:t>
            </w:r>
            <w:r>
              <w:rPr>
                <w:rFonts w:ascii="宋体" w:hAnsi="宋体" w:cs="宋体" w:eastAsia="宋体" w:hint="default"/>
                <w:w w:val="101"/>
                <w:sz w:val="18"/>
                <w:szCs w:val="18"/>
              </w:rPr>
              <w:t> </w:t>
            </w:r>
            <w:r>
              <w:rPr>
                <w:rFonts w:ascii="宋体" w:hAnsi="宋体" w:cs="宋体" w:eastAsia="宋体" w:hint="default"/>
                <w:sz w:val="18"/>
                <w:szCs w:val="18"/>
              </w:rPr>
              <w:t>象远洋大数</w:t>
            </w:r>
            <w:r>
              <w:rPr>
                <w:rFonts w:ascii="宋体" w:hAnsi="宋体" w:cs="宋体" w:eastAsia="宋体" w:hint="default"/>
                <w:w w:val="101"/>
                <w:sz w:val="18"/>
                <w:szCs w:val="18"/>
              </w:rPr>
              <w:t> </w:t>
            </w:r>
            <w:r>
              <w:rPr>
                <w:rFonts w:ascii="宋体" w:hAnsi="宋体" w:cs="宋体" w:eastAsia="宋体" w:hint="default"/>
                <w:sz w:val="18"/>
                <w:szCs w:val="18"/>
              </w:rPr>
              <w:t>据产业园</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A1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机房设备采</w:t>
            </w:r>
            <w:r>
              <w:rPr>
                <w:rFonts w:ascii="宋体" w:hAnsi="宋体" w:cs="宋体" w:eastAsia="宋体" w:hint="default"/>
                <w:w w:val="101"/>
                <w:sz w:val="18"/>
                <w:szCs w:val="18"/>
              </w:rPr>
              <w:t> </w:t>
            </w:r>
            <w:r>
              <w:rPr>
                <w:rFonts w:ascii="宋体" w:hAnsi="宋体" w:cs="宋体" w:eastAsia="宋体" w:hint="default"/>
                <w:spacing w:val="-3"/>
                <w:sz w:val="18"/>
                <w:szCs w:val="18"/>
              </w:rPr>
              <w:t>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东盟</w:t>
            </w:r>
            <w:r>
              <w:rPr>
                <w:rFonts w:ascii="宋体" w:hAnsi="宋体" w:cs="宋体" w:eastAsia="宋体" w:hint="default"/>
                <w:spacing w:val="-73"/>
                <w:sz w:val="18"/>
                <w:szCs w:val="18"/>
              </w:rPr>
              <w:t> </w:t>
            </w:r>
            <w:r>
              <w:rPr>
                <w:rFonts w:ascii="宋体" w:hAnsi="宋体" w:cs="宋体" w:eastAsia="宋体" w:hint="default"/>
                <w:sz w:val="18"/>
                <w:szCs w:val="18"/>
              </w:rPr>
              <w:t>信息港南宁</w:t>
            </w:r>
            <w:r>
              <w:rPr>
                <w:rFonts w:ascii="宋体" w:hAnsi="宋体" w:cs="宋体" w:eastAsia="宋体" w:hint="default"/>
                <w:w w:val="101"/>
                <w:sz w:val="18"/>
                <w:szCs w:val="18"/>
              </w:rPr>
              <w:t> </w:t>
            </w:r>
            <w:r>
              <w:rPr>
                <w:rFonts w:ascii="宋体" w:hAnsi="宋体" w:cs="宋体" w:eastAsia="宋体" w:hint="default"/>
                <w:sz w:val="18"/>
                <w:szCs w:val="18"/>
              </w:rPr>
              <w:t>五象远洋大</w:t>
            </w:r>
            <w:r>
              <w:rPr>
                <w:rFonts w:ascii="宋体" w:hAnsi="宋体" w:cs="宋体" w:eastAsia="宋体" w:hint="default"/>
                <w:w w:val="101"/>
                <w:sz w:val="18"/>
                <w:szCs w:val="18"/>
              </w:rPr>
              <w:t> </w:t>
            </w:r>
            <w:r>
              <w:rPr>
                <w:rFonts w:ascii="宋体" w:hAnsi="宋体" w:cs="宋体" w:eastAsia="宋体" w:hint="default"/>
                <w:sz w:val="18"/>
                <w:szCs w:val="18"/>
              </w:rPr>
              <w:t>数据产业园</w:t>
            </w:r>
            <w:r>
              <w:rPr>
                <w:rFonts w:ascii="宋体" w:hAnsi="宋体" w:cs="宋体" w:eastAsia="宋体" w:hint="default"/>
                <w:w w:val="101"/>
                <w:sz w:val="18"/>
                <w:szCs w:val="18"/>
              </w:rPr>
              <w:t> </w:t>
            </w:r>
            <w:r>
              <w:rPr>
                <w:rFonts w:ascii="Times New Roman" w:hAnsi="Times New Roman" w:cs="Times New Roman" w:eastAsia="Times New Roman" w:hint="default"/>
                <w:spacing w:val="-4"/>
                <w:sz w:val="18"/>
                <w:szCs w:val="18"/>
              </w:rPr>
              <w:t>A1 </w:t>
            </w:r>
            <w:r>
              <w:rPr>
                <w:rFonts w:ascii="宋体" w:hAnsi="宋体" w:cs="宋体" w:eastAsia="宋体" w:hint="default"/>
                <w:sz w:val="18"/>
                <w:szCs w:val="18"/>
              </w:rPr>
              <w:t>机房施工</w:t>
            </w:r>
            <w:r>
              <w:rPr>
                <w:rFonts w:ascii="宋体" w:hAnsi="宋体" w:cs="宋体" w:eastAsia="宋体" w:hint="default"/>
                <w:spacing w:val="-75"/>
                <w:sz w:val="18"/>
                <w:szCs w:val="18"/>
              </w:rPr>
              <w:t> </w:t>
            </w:r>
            <w:r>
              <w:rPr>
                <w:rFonts w:ascii="宋体" w:hAnsi="宋体" w:cs="宋体" w:eastAsia="宋体" w:hint="default"/>
                <w:sz w:val="18"/>
                <w:szCs w:val="18"/>
              </w:rPr>
              <w:t>总承包</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353,019,620.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pacing w:val="-2"/>
                <w:sz w:val="18"/>
                <w:szCs w:val="18"/>
              </w:rPr>
              <w:t>数据中心总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一期施工中</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105,087,350.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105,087,350.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67,607,960.6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066"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云计算中</w:t>
            </w:r>
            <w:r>
              <w:rPr>
                <w:rFonts w:ascii="宋体" w:hAnsi="宋体" w:cs="宋体" w:eastAsia="宋体" w:hint="default"/>
                <w:w w:val="101"/>
                <w:sz w:val="18"/>
                <w:szCs w:val="18"/>
              </w:rPr>
              <w:t> 心等</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4"/>
                <w:w w:val="101"/>
                <w:sz w:val="18"/>
                <w:szCs w:val="18"/>
              </w:rPr>
              <w:t>项（房</w:t>
            </w:r>
            <w:r>
              <w:rPr>
                <w:rFonts w:ascii="宋体" w:hAnsi="宋体" w:cs="宋体" w:eastAsia="宋体" w:hint="default"/>
                <w:w w:val="101"/>
                <w:sz w:val="18"/>
                <w:szCs w:val="18"/>
              </w:rPr>
              <w:t> </w:t>
            </w:r>
            <w:r>
              <w:rPr>
                <w:rFonts w:ascii="宋体" w:hAnsi="宋体" w:cs="宋体" w:eastAsia="宋体" w:hint="default"/>
                <w:sz w:val="18"/>
                <w:szCs w:val="18"/>
              </w:rPr>
              <w:t>山绿色云计</w:t>
            </w:r>
            <w:r>
              <w:rPr>
                <w:rFonts w:ascii="宋体" w:hAnsi="宋体" w:cs="宋体" w:eastAsia="宋体" w:hint="default"/>
                <w:w w:val="101"/>
                <w:sz w:val="18"/>
                <w:szCs w:val="18"/>
              </w:rPr>
              <w:t> </w:t>
            </w:r>
            <w:r>
              <w:rPr>
                <w:rFonts w:ascii="宋体" w:hAnsi="宋体" w:cs="宋体" w:eastAsia="宋体" w:hint="default"/>
                <w:sz w:val="18"/>
                <w:szCs w:val="18"/>
              </w:rPr>
              <w:t>算数据中心</w:t>
            </w:r>
            <w:r>
              <w:rPr>
                <w:rFonts w:ascii="宋体" w:hAnsi="宋体" w:cs="宋体" w:eastAsia="宋体" w:hint="default"/>
                <w:w w:val="101"/>
                <w:sz w:val="18"/>
                <w:szCs w:val="18"/>
              </w:rPr>
              <w:t> </w:t>
            </w:r>
            <w:r>
              <w:rPr>
                <w:rFonts w:ascii="宋体" w:hAnsi="宋体" w:cs="宋体" w:eastAsia="宋体" w:hint="default"/>
                <w:sz w:val="18"/>
                <w:szCs w:val="18"/>
              </w:rPr>
              <w:t>机电安装总</w:t>
            </w:r>
            <w:r>
              <w:rPr>
                <w:rFonts w:ascii="宋体" w:hAnsi="宋体" w:cs="宋体" w:eastAsia="宋体" w:hint="default"/>
                <w:w w:val="101"/>
                <w:sz w:val="18"/>
                <w:szCs w:val="18"/>
              </w:rPr>
              <w:t> </w:t>
            </w:r>
            <w:r>
              <w:rPr>
                <w:rFonts w:ascii="宋体" w:hAnsi="宋体" w:cs="宋体" w:eastAsia="宋体" w:hint="default"/>
                <w:sz w:val="18"/>
                <w:szCs w:val="18"/>
              </w:rPr>
              <w:t>承包工程</w:t>
            </w:r>
          </w:p>
        </w:tc>
        <w:tc>
          <w:tcPr>
            <w:tcW w:w="106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602,590,754.</w:t>
            </w:r>
          </w:p>
          <w:p>
            <w:pPr>
              <w:pStyle w:val="TableParagraph"/>
              <w:tabs>
                <w:tab w:pos="837" w:val="left" w:leader="none"/>
              </w:tabs>
              <w:spacing w:line="240" w:lineRule="auto" w:before="63"/>
              <w:ind w:left="-1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27"/>
              <w:jc w:val="left"/>
              <w:rPr>
                <w:rFonts w:ascii="宋体" w:hAnsi="宋体" w:cs="宋体" w:eastAsia="宋体" w:hint="default"/>
                <w:sz w:val="18"/>
                <w:szCs w:val="18"/>
              </w:rPr>
            </w:pPr>
            <w:r>
              <w:rPr>
                <w:rFonts w:ascii="宋体" w:hAnsi="宋体" w:cs="宋体" w:eastAsia="宋体" w:hint="default"/>
                <w:spacing w:val="-2"/>
                <w:sz w:val="18"/>
                <w:szCs w:val="18"/>
              </w:rPr>
              <w:t>数据中心总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包</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本年完成</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层</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96,055,735.3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231,395,274.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267,106,764.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pacing w:val="-2"/>
                <w:sz w:val="18"/>
                <w:szCs w:val="18"/>
              </w:rPr>
              <w:t>业主方原因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导致延期</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r>
        <w:rPr/>
        <w:pict>
          <v:group style="position:absolute;margin-left:111.410004pt;margin-top:-62.036324pt;width:50.2pt;height:17.55pt;mso-position-horizontal-relative:page;mso-position-vertical-relative:paragraph;z-index:-1181344" coordorigin="2228,-1241" coordsize="1004,351">
            <v:shape style="position:absolute;left:2228;top:-1241;width:1004;height:351" coordorigin="2228,-1241" coordsize="1004,351" path="m2228,-890l3232,-890,3232,-1241,2228,-1241,2228,-890xe" filled="true" fillcolor="#ffffff" stroked="false">
              <v:path arrowok="t"/>
              <v:fill type="solid"/>
            </v:shape>
            <w10:wrap type="none"/>
          </v:group>
        </w:pict>
      </w:r>
      <w:bookmarkStart w:name="（5）营业成本构成"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ICT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领域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产品成本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227,211,268.95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250,083,009.91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-9.15%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ICT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领域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223,446,398.94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402,129,819.43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-44.43%</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ICT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领域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软件服务成本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52,617,857.85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65,227,766.40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ICT</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领域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9,397,747.53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37,663,970.89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-75.05%</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before="53"/>
        <w:ind w:left="153" w:right="-13"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43" w:lineRule="auto" w:before="115"/>
        <w:ind w:left="153" w:right="-13"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70" w:space="40"/>
            <w:col w:w="1820"/>
          </w:cols>
        </w:sectPr>
      </w:pPr>
    </w:p>
    <w:p>
      <w:pPr>
        <w:spacing w:line="240" w:lineRule="auto" w:before="8"/>
        <w:rPr>
          <w:rFonts w:ascii="宋体" w:hAnsi="宋体" w:cs="宋体" w:eastAsia="宋体" w:hint="default"/>
          <w:sz w:val="7"/>
          <w:szCs w:val="7"/>
        </w:rPr>
      </w:pPr>
    </w:p>
    <w:tbl>
      <w:tblPr>
        <w:tblW w:w="0" w:type="auto"/>
        <w:jc w:val="left"/>
        <w:tblInd w:w="186" w:type="dxa"/>
        <w:tblLayout w:type="fixed"/>
        <w:tblCellMar>
          <w:top w:w="0" w:type="dxa"/>
          <w:left w:w="0" w:type="dxa"/>
          <w:bottom w:w="0" w:type="dxa"/>
          <w:right w:w="0" w:type="dxa"/>
        </w:tblCellMar>
        <w:tblLook w:val="01E0"/>
      </w:tblPr>
      <w:tblGrid>
        <w:gridCol w:w="1983"/>
        <w:gridCol w:w="1700"/>
        <w:gridCol w:w="1560"/>
        <w:gridCol w:w="1421"/>
        <w:gridCol w:w="1556"/>
        <w:gridCol w:w="1345"/>
      </w:tblGrid>
      <w:tr>
        <w:trPr>
          <w:trHeight w:val="403" w:hRule="exact"/>
        </w:trPr>
        <w:tc>
          <w:tcPr>
            <w:tcW w:w="19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2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983"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3"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4"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45"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ICT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领域</w:t>
            </w:r>
            <w:r>
              <w:rPr>
                <w:rFonts w:ascii="Times New Roman" w:hAnsi="Times New Roman" w:cs="Times New Roman" w:eastAsia="Times New Roman" w:hint="default"/>
                <w:sz w:val="18"/>
                <w:szCs w:val="18"/>
              </w:rPr>
              <w:t>-</w:t>
            </w:r>
            <w:r>
              <w:rPr>
                <w:rFonts w:ascii="宋体" w:hAnsi="宋体" w:cs="宋体" w:eastAsia="宋体" w:hint="default"/>
                <w:sz w:val="18"/>
                <w:szCs w:val="18"/>
              </w:rPr>
              <w:t>产品成本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227,211,268.95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44.32%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250,083,009.91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33.12%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-9.15%</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ICT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领域</w:t>
            </w:r>
            <w:r>
              <w:rPr>
                <w:rFonts w:ascii="Times New Roman" w:hAnsi="Times New Roman" w:cs="Times New Roman" w:eastAsia="Times New Roman" w:hint="default"/>
                <w:sz w:val="18"/>
                <w:szCs w:val="18"/>
              </w:rPr>
              <w:t>-</w:t>
            </w:r>
            <w:r>
              <w:rPr>
                <w:rFonts w:ascii="宋体" w:hAnsi="宋体" w:cs="宋体" w:eastAsia="宋体" w:hint="default"/>
                <w:sz w:val="18"/>
                <w:szCs w:val="18"/>
              </w:rPr>
              <w:t>工程施工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223,446,398.94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43.58%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402,129,819.43</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53.25%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-44.43%</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ICT</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领域</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软件服务成本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52,617,857.85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65,227,766.40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8.64%</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-19.33%</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ICT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领域</w:t>
            </w:r>
            <w:r>
              <w:rPr>
                <w:rFonts w:ascii="Times New Roman" w:hAnsi="Times New Roman" w:cs="Times New Roman" w:eastAsia="Times New Roman" w:hint="default"/>
                <w:sz w:val="18"/>
                <w:szCs w:val="18"/>
              </w:rPr>
              <w:t>-</w:t>
            </w:r>
            <w:r>
              <w:rPr>
                <w:rFonts w:ascii="宋体" w:hAnsi="宋体" w:cs="宋体" w:eastAsia="宋体" w:hint="default"/>
                <w:sz w:val="18"/>
                <w:szCs w:val="18"/>
              </w:rPr>
              <w:t>其他成本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9,397,747.53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37,663,970.89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4.99%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-75.05%</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6）报告期内合并范围是否发生变动"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6"/>
          <w:szCs w:val="6"/>
        </w:rPr>
      </w:pPr>
    </w:p>
    <w:tbl>
      <w:tblPr>
        <w:tblW w:w="0" w:type="auto"/>
        <w:jc w:val="left"/>
        <w:tblInd w:w="162" w:type="dxa"/>
        <w:tblLayout w:type="fixed"/>
        <w:tblCellMar>
          <w:top w:w="0" w:type="dxa"/>
          <w:left w:w="0" w:type="dxa"/>
          <w:bottom w:w="0" w:type="dxa"/>
          <w:right w:w="0" w:type="dxa"/>
        </w:tblCellMar>
        <w:tblLook w:val="01E0"/>
      </w:tblPr>
      <w:tblGrid>
        <w:gridCol w:w="1949"/>
        <w:gridCol w:w="432"/>
        <w:gridCol w:w="816"/>
        <w:gridCol w:w="903"/>
        <w:gridCol w:w="1215"/>
        <w:gridCol w:w="1306"/>
        <w:gridCol w:w="1772"/>
        <w:gridCol w:w="1213"/>
      </w:tblGrid>
      <w:tr>
        <w:trPr>
          <w:trHeight w:val="1592" w:hRule="exact"/>
        </w:trPr>
        <w:tc>
          <w:tcPr>
            <w:tcW w:w="194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3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
              <w:ind w:right="0"/>
              <w:jc w:val="left"/>
              <w:rPr>
                <w:rFonts w:ascii="宋体" w:hAnsi="宋体" w:cs="宋体" w:eastAsia="宋体" w:hint="default"/>
                <w:sz w:val="25"/>
                <w:szCs w:val="25"/>
              </w:rPr>
            </w:pPr>
          </w:p>
          <w:p>
            <w:pPr>
              <w:pStyle w:val="TableParagraph"/>
              <w:spacing w:line="316" w:lineRule="auto"/>
              <w:ind w:left="9" w:right="0"/>
              <w:jc w:val="both"/>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39"/>
                <w:sz w:val="18"/>
                <w:szCs w:val="18"/>
              </w:rPr>
              <w:t> </w:t>
            </w:r>
            <w:r>
              <w:rPr>
                <w:rFonts w:ascii="宋体" w:hAnsi="宋体" w:cs="宋体" w:eastAsia="宋体" w:hint="default"/>
                <w:sz w:val="18"/>
                <w:szCs w:val="18"/>
              </w:rPr>
              <w:t>权</w:t>
            </w:r>
            <w:r>
              <w:rPr>
                <w:rFonts w:ascii="宋体" w:hAnsi="宋体" w:cs="宋体" w:eastAsia="宋体" w:hint="default"/>
                <w:w w:val="101"/>
                <w:sz w:val="18"/>
                <w:szCs w:val="18"/>
              </w:rPr>
              <w:t> </w:t>
            </w:r>
            <w:r>
              <w:rPr>
                <w:rFonts w:ascii="宋体" w:hAnsi="宋体" w:cs="宋体" w:eastAsia="宋体" w:hint="default"/>
                <w:sz w:val="18"/>
                <w:szCs w:val="18"/>
              </w:rPr>
              <w:t>处</w:t>
            </w:r>
            <w:r>
              <w:rPr>
                <w:rFonts w:ascii="宋体" w:hAnsi="宋体" w:cs="宋体" w:eastAsia="宋体" w:hint="default"/>
                <w:spacing w:val="-39"/>
                <w:sz w:val="18"/>
                <w:szCs w:val="18"/>
              </w:rPr>
              <w:t> </w:t>
            </w:r>
            <w:r>
              <w:rPr>
                <w:rFonts w:ascii="宋体" w:hAnsi="宋体" w:cs="宋体" w:eastAsia="宋体" w:hint="default"/>
                <w:sz w:val="18"/>
                <w:szCs w:val="18"/>
              </w:rPr>
              <w:t>置</w:t>
            </w:r>
            <w:r>
              <w:rPr>
                <w:rFonts w:ascii="宋体" w:hAnsi="宋体" w:cs="宋体" w:eastAsia="宋体" w:hint="default"/>
                <w:w w:val="101"/>
                <w:sz w:val="18"/>
                <w:szCs w:val="18"/>
              </w:rPr>
              <w:t> </w:t>
            </w:r>
            <w:r>
              <w:rPr>
                <w:rFonts w:ascii="宋体" w:hAnsi="宋体" w:cs="宋体" w:eastAsia="宋体" w:hint="default"/>
                <w:sz w:val="18"/>
                <w:szCs w:val="18"/>
              </w:rPr>
              <w:t>价款</w:t>
            </w:r>
          </w:p>
        </w:tc>
        <w:tc>
          <w:tcPr>
            <w:tcW w:w="8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 w:right="-5"/>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65"/>
                <w:sz w:val="18"/>
                <w:szCs w:val="18"/>
              </w:rPr>
              <w:t> </w:t>
            </w:r>
            <w:r>
              <w:rPr>
                <w:rFonts w:ascii="宋体" w:hAnsi="宋体" w:cs="宋体" w:eastAsia="宋体" w:hint="default"/>
                <w:sz w:val="18"/>
                <w:szCs w:val="18"/>
              </w:rPr>
              <w:t>权</w:t>
            </w:r>
            <w:r>
              <w:rPr>
                <w:rFonts w:ascii="宋体" w:hAnsi="宋体" w:cs="宋体" w:eastAsia="宋体" w:hint="default"/>
                <w:spacing w:val="-65"/>
                <w:sz w:val="18"/>
                <w:szCs w:val="18"/>
              </w:rPr>
              <w:t> </w:t>
            </w:r>
            <w:r>
              <w:rPr>
                <w:rFonts w:ascii="宋体" w:hAnsi="宋体" w:cs="宋体" w:eastAsia="宋体" w:hint="default"/>
                <w:sz w:val="18"/>
                <w:szCs w:val="18"/>
              </w:rPr>
              <w:t>处</w:t>
            </w:r>
            <w:r>
              <w:rPr>
                <w:rFonts w:ascii="宋体" w:hAnsi="宋体" w:cs="宋体" w:eastAsia="宋体" w:hint="default"/>
                <w:spacing w:val="-59"/>
                <w:sz w:val="18"/>
                <w:szCs w:val="18"/>
              </w:rPr>
              <w:t> </w:t>
            </w:r>
            <w:r>
              <w:rPr>
                <w:rFonts w:ascii="宋体" w:hAnsi="宋体" w:cs="宋体" w:eastAsia="宋体" w:hint="default"/>
                <w:sz w:val="18"/>
                <w:szCs w:val="18"/>
              </w:rPr>
              <w:t>置</w:t>
            </w:r>
            <w:r>
              <w:rPr>
                <w:rFonts w:ascii="宋体" w:hAnsi="宋体" w:cs="宋体" w:eastAsia="宋体" w:hint="default"/>
                <w:w w:val="101"/>
                <w:sz w:val="18"/>
                <w:szCs w:val="18"/>
              </w:rPr>
              <w:t> </w:t>
            </w:r>
            <w:r>
              <w:rPr>
                <w:rFonts w:ascii="宋体" w:hAnsi="宋体" w:cs="宋体" w:eastAsia="宋体" w:hint="default"/>
                <w:sz w:val="18"/>
                <w:szCs w:val="18"/>
              </w:rPr>
              <w:t>比例</w:t>
            </w:r>
          </w:p>
        </w:tc>
        <w:tc>
          <w:tcPr>
            <w:tcW w:w="90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9" w:right="1"/>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35"/>
                <w:sz w:val="18"/>
                <w:szCs w:val="18"/>
              </w:rPr>
              <w:t> </w:t>
            </w:r>
            <w:r>
              <w:rPr>
                <w:rFonts w:ascii="宋体" w:hAnsi="宋体" w:cs="宋体" w:eastAsia="宋体" w:hint="default"/>
                <w:sz w:val="18"/>
                <w:szCs w:val="18"/>
              </w:rPr>
              <w:t>权</w:t>
            </w:r>
            <w:r>
              <w:rPr>
                <w:rFonts w:ascii="宋体" w:hAnsi="宋体" w:cs="宋体" w:eastAsia="宋体" w:hint="default"/>
                <w:spacing w:val="-35"/>
                <w:sz w:val="18"/>
                <w:szCs w:val="18"/>
              </w:rPr>
              <w:t> </w:t>
            </w:r>
            <w:r>
              <w:rPr>
                <w:rFonts w:ascii="宋体" w:hAnsi="宋体" w:cs="宋体" w:eastAsia="宋体" w:hint="default"/>
                <w:sz w:val="18"/>
                <w:szCs w:val="18"/>
              </w:rPr>
              <w:t>处</w:t>
            </w:r>
            <w:r>
              <w:rPr>
                <w:rFonts w:ascii="宋体" w:hAnsi="宋体" w:cs="宋体" w:eastAsia="宋体" w:hint="default"/>
                <w:spacing w:val="-41"/>
                <w:sz w:val="18"/>
                <w:szCs w:val="18"/>
              </w:rPr>
              <w:t> </w:t>
            </w:r>
            <w:r>
              <w:rPr>
                <w:rFonts w:ascii="宋体" w:hAnsi="宋体" w:cs="宋体" w:eastAsia="宋体" w:hint="default"/>
                <w:sz w:val="18"/>
                <w:szCs w:val="18"/>
              </w:rPr>
              <w:t>置</w:t>
            </w:r>
            <w:r>
              <w:rPr>
                <w:rFonts w:ascii="宋体" w:hAnsi="宋体" w:cs="宋体" w:eastAsia="宋体" w:hint="default"/>
                <w:w w:val="101"/>
                <w:sz w:val="18"/>
                <w:szCs w:val="18"/>
              </w:rPr>
              <w:t> </w:t>
            </w:r>
            <w:r>
              <w:rPr>
                <w:rFonts w:ascii="宋体" w:hAnsi="宋体" w:cs="宋体" w:eastAsia="宋体" w:hint="default"/>
                <w:sz w:val="18"/>
                <w:szCs w:val="18"/>
              </w:rPr>
              <w:t>方式</w:t>
            </w:r>
          </w:p>
        </w:tc>
        <w:tc>
          <w:tcPr>
            <w:tcW w:w="121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 w:right="1"/>
              <w:jc w:val="left"/>
              <w:rPr>
                <w:rFonts w:ascii="宋体" w:hAnsi="宋体" w:cs="宋体" w:eastAsia="宋体" w:hint="default"/>
                <w:sz w:val="18"/>
                <w:szCs w:val="18"/>
              </w:rPr>
            </w:pPr>
            <w:r>
              <w:rPr>
                <w:rFonts w:ascii="宋体" w:hAnsi="宋体" w:cs="宋体" w:eastAsia="宋体" w:hint="default"/>
                <w:sz w:val="18"/>
                <w:szCs w:val="18"/>
              </w:rPr>
              <w:t>丧</w:t>
            </w:r>
            <w:r>
              <w:rPr>
                <w:rFonts w:ascii="宋体" w:hAnsi="宋体" w:cs="宋体" w:eastAsia="宋体" w:hint="default"/>
                <w:spacing w:val="-60"/>
                <w:sz w:val="18"/>
                <w:szCs w:val="18"/>
              </w:rPr>
              <w:t> </w:t>
            </w:r>
            <w:r>
              <w:rPr>
                <w:rFonts w:ascii="宋体" w:hAnsi="宋体" w:cs="宋体" w:eastAsia="宋体" w:hint="default"/>
                <w:spacing w:val="12"/>
                <w:sz w:val="18"/>
                <w:szCs w:val="18"/>
              </w:rPr>
              <w:t>失控制权</w:t>
            </w:r>
            <w:r>
              <w:rPr>
                <w:rFonts w:ascii="宋体" w:hAnsi="宋体" w:cs="宋体" w:eastAsia="宋体" w:hint="default"/>
                <w:spacing w:val="-60"/>
                <w:sz w:val="18"/>
                <w:szCs w:val="18"/>
              </w:rPr>
              <w:t> </w:t>
            </w:r>
            <w:r>
              <w:rPr>
                <w:rFonts w:ascii="宋体" w:hAnsi="宋体" w:cs="宋体" w:eastAsia="宋体" w:hint="default"/>
                <w:sz w:val="18"/>
                <w:szCs w:val="18"/>
              </w:rPr>
              <w:t>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时点</w:t>
            </w:r>
          </w:p>
        </w:tc>
        <w:tc>
          <w:tcPr>
            <w:tcW w:w="13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4" w:right="1"/>
              <w:jc w:val="left"/>
              <w:rPr>
                <w:rFonts w:ascii="宋体" w:hAnsi="宋体" w:cs="宋体" w:eastAsia="宋体" w:hint="default"/>
                <w:sz w:val="18"/>
                <w:szCs w:val="18"/>
              </w:rPr>
            </w:pPr>
            <w:r>
              <w:rPr>
                <w:rFonts w:ascii="宋体" w:hAnsi="宋体" w:cs="宋体" w:eastAsia="宋体" w:hint="default"/>
                <w:sz w:val="18"/>
                <w:szCs w:val="18"/>
              </w:rPr>
              <w:t>丧失控制权时点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的确定依据</w:t>
            </w:r>
          </w:p>
        </w:tc>
        <w:tc>
          <w:tcPr>
            <w:tcW w:w="17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4" w:right="-14"/>
              <w:jc w:val="both"/>
              <w:rPr>
                <w:rFonts w:ascii="宋体" w:hAnsi="宋体" w:cs="宋体" w:eastAsia="宋体" w:hint="default"/>
                <w:sz w:val="18"/>
                <w:szCs w:val="18"/>
              </w:rPr>
            </w:pPr>
            <w:r>
              <w:rPr>
                <w:rFonts w:ascii="宋体" w:hAnsi="宋体" w:cs="宋体" w:eastAsia="宋体" w:hint="default"/>
                <w:spacing w:val="13"/>
                <w:sz w:val="18"/>
                <w:szCs w:val="18"/>
              </w:rPr>
              <w:t>处置价款与处置投资</w:t>
            </w:r>
            <w:r>
              <w:rPr>
                <w:rFonts w:ascii="宋体" w:hAnsi="宋体" w:cs="宋体" w:eastAsia="宋体" w:hint="default"/>
                <w:spacing w:val="-60"/>
                <w:sz w:val="18"/>
                <w:szCs w:val="18"/>
              </w:rPr>
              <w:t> </w:t>
            </w:r>
            <w:r>
              <w:rPr>
                <w:rFonts w:ascii="宋体" w:hAnsi="宋体" w:cs="宋体" w:eastAsia="宋体" w:hint="default"/>
                <w:spacing w:val="13"/>
                <w:sz w:val="18"/>
                <w:szCs w:val="18"/>
              </w:rPr>
              <w:t>对应的合并财务报表</w:t>
            </w:r>
            <w:r>
              <w:rPr>
                <w:rFonts w:ascii="宋体" w:hAnsi="宋体" w:cs="宋体" w:eastAsia="宋体" w:hint="default"/>
                <w:spacing w:val="-60"/>
                <w:sz w:val="18"/>
                <w:szCs w:val="18"/>
              </w:rPr>
              <w:t> </w:t>
            </w:r>
            <w:r>
              <w:rPr>
                <w:rFonts w:ascii="宋体" w:hAnsi="宋体" w:cs="宋体" w:eastAsia="宋体" w:hint="default"/>
                <w:spacing w:val="13"/>
                <w:sz w:val="18"/>
                <w:szCs w:val="18"/>
              </w:rPr>
              <w:t>层面享有该子公司净</w:t>
            </w:r>
            <w:r>
              <w:rPr>
                <w:rFonts w:ascii="宋体" w:hAnsi="宋体" w:cs="宋体" w:eastAsia="宋体" w:hint="default"/>
                <w:spacing w:val="-60"/>
                <w:sz w:val="18"/>
                <w:szCs w:val="18"/>
              </w:rPr>
              <w:t> </w:t>
            </w:r>
            <w:r>
              <w:rPr>
                <w:rFonts w:ascii="宋体" w:hAnsi="宋体" w:cs="宋体" w:eastAsia="宋体" w:hint="default"/>
                <w:spacing w:val="-3"/>
                <w:sz w:val="18"/>
                <w:szCs w:val="18"/>
              </w:rPr>
              <w:t>资产份额的差额</w:t>
            </w:r>
          </w:p>
        </w:tc>
        <w:tc>
          <w:tcPr>
            <w:tcW w:w="121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23"/>
              <w:ind w:left="9" w:right="-1"/>
              <w:jc w:val="both"/>
              <w:rPr>
                <w:rFonts w:ascii="宋体" w:hAnsi="宋体" w:cs="宋体" w:eastAsia="宋体" w:hint="default"/>
                <w:sz w:val="18"/>
                <w:szCs w:val="18"/>
              </w:rPr>
            </w:pPr>
            <w:r>
              <w:rPr>
                <w:rFonts w:ascii="宋体" w:hAnsi="宋体" w:cs="宋体" w:eastAsia="宋体" w:hint="default"/>
                <w:spacing w:val="11"/>
                <w:sz w:val="18"/>
                <w:szCs w:val="18"/>
              </w:rPr>
              <w:t>与原子</w:t>
            </w:r>
            <w:r>
              <w:rPr>
                <w:rFonts w:ascii="宋体" w:hAnsi="宋体" w:cs="宋体" w:eastAsia="宋体" w:hint="default"/>
                <w:spacing w:val="-55"/>
                <w:sz w:val="18"/>
                <w:szCs w:val="18"/>
              </w:rPr>
              <w:t> </w:t>
            </w:r>
            <w:r>
              <w:rPr>
                <w:rFonts w:ascii="宋体" w:hAnsi="宋体" w:cs="宋体" w:eastAsia="宋体" w:hint="default"/>
                <w:spacing w:val="11"/>
                <w:sz w:val="18"/>
                <w:szCs w:val="18"/>
              </w:rPr>
              <w:t>公司股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权投资</w:t>
            </w:r>
            <w:r>
              <w:rPr>
                <w:rFonts w:ascii="宋体" w:hAnsi="宋体" w:cs="宋体" w:eastAsia="宋体" w:hint="default"/>
                <w:spacing w:val="-55"/>
                <w:sz w:val="18"/>
                <w:szCs w:val="18"/>
              </w:rPr>
              <w:t> </w:t>
            </w:r>
            <w:r>
              <w:rPr>
                <w:rFonts w:ascii="宋体" w:hAnsi="宋体" w:cs="宋体" w:eastAsia="宋体" w:hint="default"/>
                <w:spacing w:val="11"/>
                <w:sz w:val="18"/>
                <w:szCs w:val="18"/>
              </w:rPr>
              <w:t>相关的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其他综</w:t>
            </w:r>
            <w:r>
              <w:rPr>
                <w:rFonts w:ascii="宋体" w:hAnsi="宋体" w:cs="宋体" w:eastAsia="宋体" w:hint="default"/>
                <w:spacing w:val="-55"/>
                <w:sz w:val="18"/>
                <w:szCs w:val="18"/>
              </w:rPr>
              <w:t> </w:t>
            </w:r>
            <w:r>
              <w:rPr>
                <w:rFonts w:ascii="宋体" w:hAnsi="宋体" w:cs="宋体" w:eastAsia="宋体" w:hint="default"/>
                <w:spacing w:val="11"/>
                <w:sz w:val="18"/>
                <w:szCs w:val="18"/>
              </w:rPr>
              <w:t>合收益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转入投</w:t>
            </w:r>
            <w:r>
              <w:rPr>
                <w:rFonts w:ascii="宋体" w:hAnsi="宋体" w:cs="宋体" w:eastAsia="宋体" w:hint="default"/>
                <w:spacing w:val="-55"/>
                <w:sz w:val="18"/>
                <w:szCs w:val="18"/>
              </w:rPr>
              <w:t> </w:t>
            </w:r>
            <w:r>
              <w:rPr>
                <w:rFonts w:ascii="宋体" w:hAnsi="宋体" w:cs="宋体" w:eastAsia="宋体" w:hint="default"/>
                <w:spacing w:val="11"/>
                <w:sz w:val="18"/>
                <w:szCs w:val="18"/>
              </w:rPr>
              <w:t>资损益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的金额</w:t>
            </w:r>
          </w:p>
        </w:tc>
      </w:tr>
      <w:tr>
        <w:trPr>
          <w:trHeight w:val="836"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1"/>
              <w:ind w:left="4" w:right="1"/>
              <w:jc w:val="left"/>
              <w:rPr>
                <w:rFonts w:ascii="宋体" w:hAnsi="宋体" w:cs="宋体" w:eastAsia="宋体" w:hint="default"/>
                <w:sz w:val="18"/>
                <w:szCs w:val="18"/>
              </w:rPr>
            </w:pPr>
            <w:r>
              <w:rPr>
                <w:rFonts w:ascii="宋体" w:hAnsi="宋体" w:cs="宋体" w:eastAsia="宋体" w:hint="default"/>
                <w:spacing w:val="9"/>
                <w:sz w:val="18"/>
                <w:szCs w:val="18"/>
              </w:rPr>
              <w:t>玉溪湖管环境科技有限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432"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90.00%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清算注销</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2019.03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完成清算注销</w:t>
            </w:r>
          </w:p>
        </w:tc>
        <w:tc>
          <w:tcPr>
            <w:tcW w:w="177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7）公司报告期内业务、产品或服务发生重大变化或调整有关情况"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8）主要销售客户和主要供应商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526"/>
        <w:gridCol w:w="5044"/>
      </w:tblGrid>
      <w:tr>
        <w:trPr>
          <w:trHeight w:val="404"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351,537,876.85</w:t>
            </w:r>
          </w:p>
        </w:tc>
      </w:tr>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29.81%</w:t>
            </w:r>
          </w:p>
        </w:tc>
      </w:tr>
      <w:tr>
        <w:trPr>
          <w:trHeight w:val="398"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50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105,087,350.13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8.91%</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96,055,735.38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778"/>
        <w:gridCol w:w="3315"/>
        <w:gridCol w:w="2324"/>
        <w:gridCol w:w="3140"/>
      </w:tblGrid>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66,656,191.37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5.65%</w:t>
            </w:r>
          </w:p>
        </w:tc>
      </w:tr>
      <w:tr>
        <w:trPr>
          <w:trHeight w:val="398"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43,887,344.74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3.72%</w:t>
            </w:r>
          </w:p>
        </w:tc>
      </w:tr>
      <w:tr>
        <w:trPr>
          <w:trHeight w:val="404"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39,851,255.23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3.39%</w:t>
            </w:r>
          </w:p>
        </w:tc>
      </w:tr>
      <w:tr>
        <w:trPr>
          <w:trHeight w:val="403" w:hRule="exact"/>
        </w:trPr>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351,537,876.85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29.81%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9"/>
        <w:ind w:left="15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公司主要供应商情况</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682"/>
        <w:gridCol w:w="4888"/>
      </w:tblGrid>
      <w:tr>
        <w:trPr>
          <w:trHeight w:val="404"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107,090,061.46</w:t>
            </w:r>
          </w:p>
        </w:tc>
      </w:tr>
      <w:tr>
        <w:trPr>
          <w:trHeight w:val="403"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13.15%</w:t>
            </w:r>
          </w:p>
        </w:tc>
      </w:tr>
      <w:tr>
        <w:trPr>
          <w:trHeight w:val="403" w:hRule="exact"/>
        </w:trPr>
        <w:tc>
          <w:tcPr>
            <w:tcW w:w="4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前五名供应商采购额中关联方采购额占年度采购总额比例</w:t>
            </w:r>
          </w:p>
        </w:tc>
        <w:tc>
          <w:tcPr>
            <w:tcW w:w="4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703"/>
        <w:gridCol w:w="2761"/>
      </w:tblGrid>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0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7"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26,832,151.71</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3.29%</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23,816,479.43</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2.92%</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19,616,548.49</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2.41%</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18,776,040.00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2.31%</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18,048,841.83</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2.22%</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107,090,061.46</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13.15%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费用" w:id="36"/>
      <w:bookmarkEnd w:id="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50"/>
        <w:gridCol w:w="1637"/>
        <w:gridCol w:w="1460"/>
        <w:gridCol w:w="2919"/>
      </w:tblGrid>
      <w:tr>
        <w:trPr>
          <w:trHeight w:val="40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93,533,701.19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90,039,659.51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98"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81,755,446.78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77,329,574.73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50,207,247.91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34,809,383.23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44.23%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主要系借款利息增加所致</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63,555,697.98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66" w:right="0"/>
              <w:jc w:val="left"/>
              <w:rPr>
                <w:rFonts w:ascii="Times New Roman" w:hAnsi="Times New Roman" w:cs="Times New Roman" w:eastAsia="Times New Roman" w:hint="default"/>
                <w:sz w:val="18"/>
                <w:szCs w:val="18"/>
              </w:rPr>
            </w:pPr>
            <w:r>
              <w:rPr>
                <w:rFonts w:ascii="Times New Roman"/>
                <w:sz w:val="18"/>
              </w:rPr>
              <w:t>72,027,854.86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研发投入" w:id="37"/>
      <w:bookmarkEnd w:id="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6" w:lineRule="auto" w:before="127"/>
        <w:ind w:right="1128" w:firstLine="480"/>
        <w:jc w:val="both"/>
      </w:pPr>
      <w:r>
        <w:rPr/>
        <w:t>研发人员较去年减少</w:t>
      </w:r>
      <w:r>
        <w:rPr>
          <w:rFonts w:ascii="Times New Roman" w:hAnsi="Times New Roman" w:cs="Times New Roman" w:eastAsia="Times New Roman" w:hint="default"/>
        </w:rPr>
        <w:t>11</w:t>
      </w:r>
      <w:r>
        <w:rPr/>
        <w:t>人，主要为报告期同口径减少原控股子公司北京资采信息技术有 </w:t>
      </w:r>
      <w:r>
        <w:rPr>
          <w:spacing w:val="-4"/>
        </w:rPr>
        <w:t>限公司（以下简称</w:t>
      </w:r>
      <w:r>
        <w:rPr>
          <w:rFonts w:ascii="Times New Roman" w:hAnsi="Times New Roman" w:cs="Times New Roman" w:eastAsia="Times New Roman" w:hint="default"/>
          <w:spacing w:val="-4"/>
        </w:rPr>
        <w:t>“</w:t>
      </w:r>
      <w:r>
        <w:rPr>
          <w:spacing w:val="-4"/>
        </w:rPr>
        <w:t>北京资采</w:t>
      </w:r>
      <w:r>
        <w:rPr>
          <w:rFonts w:ascii="Times New Roman" w:hAnsi="Times New Roman" w:cs="Times New Roman" w:eastAsia="Times New Roman" w:hint="default"/>
          <w:spacing w:val="-4"/>
        </w:rPr>
        <w:t>”</w:t>
      </w:r>
      <w:r>
        <w:rPr>
          <w:spacing w:val="-4"/>
        </w:rPr>
        <w:t>）研发人员</w:t>
      </w:r>
      <w:r>
        <w:rPr>
          <w:rFonts w:ascii="Times New Roman" w:hAnsi="Times New Roman" w:cs="Times New Roman" w:eastAsia="Times New Roman" w:hint="default"/>
          <w:spacing w:val="-4"/>
        </w:rPr>
        <w:t>15</w:t>
      </w:r>
      <w:r>
        <w:rPr>
          <w:spacing w:val="-4"/>
        </w:rPr>
        <w:t>人所致，</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11</w:t>
      </w:r>
      <w:r>
        <w:rPr>
          <w:spacing w:val="-4"/>
        </w:rPr>
        <w:t>月公司完成北京资采股权转让，</w:t>
      </w:r>
      <w:r>
        <w:rPr>
          <w:spacing w:val="-112"/>
        </w:rPr>
        <w:t> </w:t>
      </w:r>
      <w:r>
        <w:rPr/>
        <w:t>公司不再持有北京资采股权，北京资采不再纳入公司合并报表范围。</w:t>
      </w:r>
    </w:p>
    <w:p>
      <w:pPr>
        <w:spacing w:after="0" w:line="336" w:lineRule="auto"/>
        <w:jc w:val="both"/>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近三年公司研发投入金额及占营业收入的比例</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5"/>
        <w:gridCol w:w="2281"/>
        <w:gridCol w:w="2267"/>
        <w:gridCol w:w="2055"/>
      </w:tblGrid>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4"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302</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313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230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24.18%</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24.78%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18.41%</w:t>
            </w:r>
          </w:p>
        </w:tc>
      </w:tr>
      <w:tr>
        <w:trPr>
          <w:trHeight w:val="398"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63,555,697.98</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72,027,854.86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48,791,742.09</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5.39%</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5.25%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3.91%</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研发支出资本化的金额（元）</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资本化研发支出占研发投入的比例</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资本化研发支出占当期净利润的比重</w:t>
            </w:r>
          </w:p>
        </w:tc>
        <w:tc>
          <w:tcPr>
            <w:tcW w:w="2281"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line="338" w:lineRule="auto" w:before="119"/>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研发投入资本化率大幅变动的原因及其合理性说明</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现金流" w:id="38"/>
      <w:bookmarkEnd w:id="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31"/>
        <w:gridCol w:w="2423"/>
        <w:gridCol w:w="2550"/>
        <w:gridCol w:w="2055"/>
      </w:tblGrid>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6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1,165,543,137.27</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1,319,294,533.35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-11.65%</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1,130,847,456.37</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1,295,164,293.03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-12.69%</w:t>
            </w:r>
          </w:p>
        </w:tc>
      </w:tr>
      <w:tr>
        <w:trPr>
          <w:trHeight w:val="399"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34,695,680.90</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24,130,240.32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43.79%</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20,321,346.00</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7,022,521.44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189.37%</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143,651,393.92</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148,642,636.58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-3.36%</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-123,330,047.92</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-141,620,115.14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12.91%</w:t>
            </w: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609,438,947.73</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655,433,039.20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-7.02%</w:t>
            </w: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634,308,285.72</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503,383,297.88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26.01%</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-24,869,337.99</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152,049,741.32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-116.36%</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-113,503,705.01</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34,572,863.72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-428.30%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29" w:type="dxa"/>
        <w:tblLayout w:type="fixed"/>
        <w:tblCellMar>
          <w:top w:w="0" w:type="dxa"/>
          <w:left w:w="0" w:type="dxa"/>
          <w:bottom w:w="0" w:type="dxa"/>
          <w:right w:w="0" w:type="dxa"/>
        </w:tblCellMar>
        <w:tblLook w:val="01E0"/>
      </w:tblPr>
      <w:tblGrid>
        <w:gridCol w:w="2305"/>
        <w:gridCol w:w="1705"/>
        <w:gridCol w:w="1844"/>
        <w:gridCol w:w="1277"/>
        <w:gridCol w:w="2550"/>
      </w:tblGrid>
      <w:tr>
        <w:trPr>
          <w:trHeight w:val="398"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5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5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72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1,165,543,137.27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1,319,294,533.35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-11.65%</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1,130,847,456.37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1,295,164,293.03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-12.69%</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6"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54"/>
              <w:ind w:left="105" w:right="205"/>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净额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34,695,680.90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24,130,240.32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43.79%</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272"/>
              <w:jc w:val="left"/>
              <w:rPr>
                <w:rFonts w:ascii="宋体" w:hAnsi="宋体" w:cs="宋体" w:eastAsia="宋体" w:hint="default"/>
                <w:sz w:val="18"/>
                <w:szCs w:val="18"/>
              </w:rPr>
            </w:pPr>
            <w:r>
              <w:rPr>
                <w:rFonts w:ascii="宋体" w:hAnsi="宋体" w:cs="宋体" w:eastAsia="宋体" w:hint="default"/>
                <w:spacing w:val="-3"/>
                <w:sz w:val="18"/>
                <w:szCs w:val="18"/>
              </w:rPr>
              <w:t>主要系支付其他与经营活动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有关的现金减少所致</w:t>
            </w:r>
          </w:p>
        </w:tc>
      </w:tr>
      <w:tr>
        <w:trPr>
          <w:trHeight w:val="398"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20,321,346.00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7,022,521.44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189.37%</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0" w:right="0"/>
              <w:jc w:val="left"/>
              <w:rPr>
                <w:rFonts w:ascii="宋体" w:hAnsi="宋体" w:cs="宋体" w:eastAsia="宋体" w:hint="default"/>
                <w:sz w:val="18"/>
                <w:szCs w:val="18"/>
              </w:rPr>
            </w:pPr>
            <w:r>
              <w:rPr>
                <w:rFonts w:ascii="宋体" w:hAnsi="宋体" w:cs="宋体" w:eastAsia="宋体" w:hint="default"/>
                <w:spacing w:val="-3"/>
                <w:sz w:val="18"/>
                <w:szCs w:val="18"/>
              </w:rPr>
              <w:t>主要系转让上海虹港数据信</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29" w:type="dxa"/>
        <w:tblLayout w:type="fixed"/>
        <w:tblCellMar>
          <w:top w:w="0" w:type="dxa"/>
          <w:left w:w="0" w:type="dxa"/>
          <w:bottom w:w="0" w:type="dxa"/>
          <w:right w:w="0" w:type="dxa"/>
        </w:tblCellMar>
        <w:tblLook w:val="01E0"/>
      </w:tblPr>
      <w:tblGrid>
        <w:gridCol w:w="2305"/>
        <w:gridCol w:w="1705"/>
        <w:gridCol w:w="1844"/>
        <w:gridCol w:w="1277"/>
        <w:gridCol w:w="2550"/>
      </w:tblGrid>
      <w:tr>
        <w:trPr>
          <w:trHeight w:val="672"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00" w:right="99"/>
              <w:jc w:val="left"/>
              <w:rPr>
                <w:rFonts w:ascii="宋体" w:hAnsi="宋体" w:cs="宋体" w:eastAsia="宋体" w:hint="default"/>
                <w:sz w:val="18"/>
                <w:szCs w:val="18"/>
              </w:rPr>
            </w:pPr>
            <w:r>
              <w:rPr>
                <w:rFonts w:ascii="宋体" w:hAnsi="宋体" w:cs="宋体" w:eastAsia="宋体" w:hint="default"/>
                <w:spacing w:val="-3"/>
                <w:sz w:val="18"/>
                <w:szCs w:val="18"/>
              </w:rPr>
              <w:t>息有限公司股权，收到股权转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让款</w:t>
            </w:r>
          </w:p>
        </w:tc>
      </w:tr>
      <w:tr>
        <w:trPr>
          <w:trHeight w:val="404"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143,651,393.92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148,642,636.58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-3.36%</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5"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1" w:lineRule="auto" w:before="53"/>
              <w:ind w:left="105" w:right="205"/>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净额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-123,330,047.92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-141,620,115.14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12.91%</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609,438,947.73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655,433,039.20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-7.02%</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8"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634,308,285.72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503,383,297.88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26.01%</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6"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1" w:lineRule="auto" w:before="54"/>
              <w:ind w:left="105" w:right="205"/>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净额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-24,869,337.99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152,049,741.32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-116.36%</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0" w:right="272"/>
              <w:jc w:val="left"/>
              <w:rPr>
                <w:rFonts w:ascii="宋体" w:hAnsi="宋体" w:cs="宋体" w:eastAsia="宋体" w:hint="default"/>
                <w:sz w:val="18"/>
                <w:szCs w:val="18"/>
              </w:rPr>
            </w:pPr>
            <w:r>
              <w:rPr>
                <w:rFonts w:ascii="宋体" w:hAnsi="宋体" w:cs="宋体" w:eastAsia="宋体" w:hint="default"/>
                <w:spacing w:val="-3"/>
                <w:sz w:val="18"/>
                <w:szCs w:val="18"/>
              </w:rPr>
              <w:t>主要系公司偿还债务所支付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的现金增加所致</w:t>
            </w:r>
          </w:p>
        </w:tc>
      </w:tr>
      <w:tr>
        <w:trPr>
          <w:trHeight w:val="715"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1" w:lineRule="auto" w:before="53"/>
              <w:ind w:left="105" w:right="205"/>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-113,503,705.01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34,572,863.72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-428.30%</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72"/>
              <w:jc w:val="left"/>
              <w:rPr>
                <w:rFonts w:ascii="宋体" w:hAnsi="宋体" w:cs="宋体" w:eastAsia="宋体" w:hint="default"/>
                <w:sz w:val="18"/>
                <w:szCs w:val="18"/>
              </w:rPr>
            </w:pPr>
            <w:r>
              <w:rPr>
                <w:rFonts w:ascii="宋体" w:hAnsi="宋体" w:cs="宋体" w:eastAsia="宋体" w:hint="default"/>
                <w:spacing w:val="-3"/>
                <w:sz w:val="18"/>
                <w:szCs w:val="18"/>
              </w:rPr>
              <w:t>主要系公司筹资活动产生的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现金流量净额减少所致</w:t>
            </w:r>
          </w:p>
        </w:tc>
      </w:tr>
      <w:tr>
        <w:trPr>
          <w:trHeight w:val="1028"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6,925,536.00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188.79%</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9"/>
              <w:jc w:val="left"/>
              <w:rPr>
                <w:rFonts w:ascii="宋体" w:hAnsi="宋体" w:cs="宋体" w:eastAsia="宋体" w:hint="default"/>
                <w:sz w:val="18"/>
                <w:szCs w:val="18"/>
              </w:rPr>
            </w:pPr>
            <w:r>
              <w:rPr>
                <w:rFonts w:ascii="宋体" w:hAnsi="宋体" w:cs="宋体" w:eastAsia="宋体" w:hint="default"/>
                <w:spacing w:val="-3"/>
                <w:sz w:val="18"/>
                <w:szCs w:val="18"/>
              </w:rPr>
              <w:t>主要系转让上海虹港数据信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息有限公司股权，收到股权转</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让款</w:t>
            </w:r>
          </w:p>
        </w:tc>
      </w:tr>
      <w:tr>
        <w:trPr>
          <w:trHeight w:val="1022"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53"/>
              <w:ind w:left="105" w:right="89"/>
              <w:jc w:val="left"/>
              <w:rPr>
                <w:rFonts w:ascii="宋体" w:hAnsi="宋体" w:cs="宋体" w:eastAsia="宋体" w:hint="default"/>
                <w:sz w:val="18"/>
                <w:szCs w:val="18"/>
              </w:rPr>
            </w:pPr>
            <w:r>
              <w:rPr>
                <w:rFonts w:ascii="宋体" w:hAnsi="宋体" w:cs="宋体" w:eastAsia="宋体" w:hint="default"/>
                <w:spacing w:val="-8"/>
                <w:sz w:val="18"/>
                <w:szCs w:val="18"/>
              </w:rPr>
              <w:t>处置固定资产、无形资产和</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其他长期资产收回的现金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净额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321,346.00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96,985.44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231.33%</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0" w:right="272"/>
              <w:jc w:val="left"/>
              <w:rPr>
                <w:rFonts w:ascii="宋体" w:hAnsi="宋体" w:cs="宋体" w:eastAsia="宋体" w:hint="default"/>
                <w:sz w:val="18"/>
                <w:szCs w:val="18"/>
              </w:rPr>
            </w:pPr>
            <w:r>
              <w:rPr>
                <w:rFonts w:ascii="宋体" w:hAnsi="宋体" w:cs="宋体" w:eastAsia="宋体" w:hint="default"/>
                <w:spacing w:val="-3"/>
                <w:sz w:val="18"/>
                <w:szCs w:val="18"/>
              </w:rPr>
              <w:t>主要系公司处置固定资产收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到的现金增加所致</w:t>
            </w:r>
          </w:p>
        </w:tc>
      </w:tr>
      <w:tr>
        <w:trPr>
          <w:trHeight w:val="1028"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40,700,000.00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17,762,324.48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129.14%</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100" w:right="99"/>
              <w:jc w:val="left"/>
              <w:rPr>
                <w:rFonts w:ascii="宋体" w:hAnsi="宋体" w:cs="宋体" w:eastAsia="宋体" w:hint="default"/>
                <w:sz w:val="18"/>
                <w:szCs w:val="18"/>
              </w:rPr>
            </w:pPr>
            <w:r>
              <w:rPr>
                <w:rFonts w:ascii="宋体" w:hAnsi="宋体" w:cs="宋体" w:eastAsia="宋体" w:hint="default"/>
                <w:spacing w:val="-3"/>
                <w:sz w:val="18"/>
                <w:szCs w:val="18"/>
              </w:rPr>
              <w:t>主要系公司支付重庆云晟数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据科技有限公司</w:t>
            </w:r>
            <w:r>
              <w:rPr>
                <w:rFonts w:ascii="宋体" w:hAnsi="宋体" w:cs="宋体" w:eastAsia="宋体" w:hint="default"/>
                <w:spacing w:val="-52"/>
                <w:sz w:val="18"/>
                <w:szCs w:val="18"/>
              </w:rPr>
              <w:t> </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股权款所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致</w:t>
            </w:r>
          </w:p>
        </w:tc>
      </w:tr>
      <w:tr>
        <w:trPr>
          <w:trHeight w:val="715"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1" w:lineRule="auto" w:before="53"/>
              <w:ind w:left="105" w:right="205"/>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1,123,843.46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-100.00%</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72"/>
              <w:jc w:val="left"/>
              <w:rPr>
                <w:rFonts w:ascii="宋体" w:hAnsi="宋体" w:cs="宋体" w:eastAsia="宋体" w:hint="default"/>
                <w:sz w:val="18"/>
                <w:szCs w:val="18"/>
              </w:rPr>
            </w:pPr>
            <w:r>
              <w:rPr>
                <w:rFonts w:ascii="宋体" w:hAnsi="宋体" w:cs="宋体" w:eastAsia="宋体" w:hint="default"/>
                <w:spacing w:val="-3"/>
                <w:sz w:val="18"/>
                <w:szCs w:val="18"/>
              </w:rPr>
              <w:t>去年为处置控股子公司北京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资采所减少的现金</w:t>
            </w:r>
          </w:p>
        </w:tc>
      </w:tr>
      <w:tr>
        <w:trPr>
          <w:trHeight w:val="1339"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2,137,500.00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4,802,600.00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-55.49%</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去年为收到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票激励计划预留部分股票认</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缴款；今年为收到控股子公司</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平昌依米康增资款</w:t>
            </w:r>
          </w:p>
        </w:tc>
      </w:tr>
      <w:tr>
        <w:trPr>
          <w:trHeight w:val="711"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530,503,887.88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392,000,000.00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35.33%</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272"/>
              <w:jc w:val="left"/>
              <w:rPr>
                <w:rFonts w:ascii="宋体" w:hAnsi="宋体" w:cs="宋体" w:eastAsia="宋体" w:hint="default"/>
                <w:sz w:val="18"/>
                <w:szCs w:val="18"/>
              </w:rPr>
            </w:pPr>
            <w:r>
              <w:rPr>
                <w:rFonts w:ascii="宋体" w:hAnsi="宋体" w:cs="宋体" w:eastAsia="宋体" w:hint="default"/>
                <w:spacing w:val="-3"/>
                <w:sz w:val="18"/>
                <w:szCs w:val="18"/>
              </w:rPr>
              <w:t>主要系公司取得借款增加所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致</w:t>
            </w:r>
          </w:p>
        </w:tc>
      </w:tr>
      <w:tr>
        <w:trPr>
          <w:trHeight w:val="715"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1" w:lineRule="auto" w:before="53"/>
              <w:ind w:left="105" w:right="205"/>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的现金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76,797,559.85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258,630,439.20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-70.31%</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72"/>
              <w:jc w:val="left"/>
              <w:rPr>
                <w:rFonts w:ascii="宋体" w:hAnsi="宋体" w:cs="宋体" w:eastAsia="宋体" w:hint="default"/>
                <w:sz w:val="18"/>
                <w:szCs w:val="18"/>
              </w:rPr>
            </w:pPr>
            <w:r>
              <w:rPr>
                <w:rFonts w:ascii="宋体" w:hAnsi="宋体" w:cs="宋体" w:eastAsia="宋体" w:hint="default"/>
                <w:spacing w:val="-3"/>
                <w:sz w:val="18"/>
                <w:szCs w:val="18"/>
              </w:rPr>
              <w:t>主要系去年收到天府金租借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款所致</w:t>
            </w:r>
          </w:p>
        </w:tc>
      </w:tr>
      <w:tr>
        <w:trPr>
          <w:trHeight w:val="716"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441,707,453.97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254,400,000.00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73.63%</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272"/>
              <w:jc w:val="left"/>
              <w:rPr>
                <w:rFonts w:ascii="宋体" w:hAnsi="宋体" w:cs="宋体" w:eastAsia="宋体" w:hint="default"/>
                <w:sz w:val="18"/>
                <w:szCs w:val="18"/>
              </w:rPr>
            </w:pPr>
            <w:r>
              <w:rPr>
                <w:rFonts w:ascii="宋体" w:hAnsi="宋体" w:cs="宋体" w:eastAsia="宋体" w:hint="default"/>
                <w:spacing w:val="-3"/>
                <w:sz w:val="18"/>
                <w:szCs w:val="18"/>
              </w:rPr>
              <w:t>主要系公司偿还借款增加所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致</w:t>
            </w:r>
          </w:p>
        </w:tc>
      </w:tr>
      <w:tr>
        <w:trPr>
          <w:trHeight w:val="1339" w:hRule="exact"/>
        </w:trPr>
        <w:tc>
          <w:tcPr>
            <w:tcW w:w="230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5" w:right="205"/>
              <w:jc w:val="left"/>
              <w:rPr>
                <w:rFonts w:ascii="宋体" w:hAnsi="宋体" w:cs="宋体" w:eastAsia="宋体" w:hint="default"/>
                <w:sz w:val="18"/>
                <w:szCs w:val="18"/>
              </w:rPr>
            </w:pPr>
            <w:r>
              <w:rPr>
                <w:rFonts w:ascii="宋体" w:hAnsi="宋体" w:cs="宋体" w:eastAsia="宋体" w:hint="default"/>
                <w:spacing w:val="-3"/>
                <w:sz w:val="18"/>
                <w:szCs w:val="18"/>
              </w:rPr>
              <w:t>汇率变动对现金及现金等</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价物的影响</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12,997.22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-100.00%</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33" w:lineRule="auto" w:before="53"/>
              <w:ind w:left="100" w:right="266"/>
              <w:jc w:val="left"/>
              <w:rPr>
                <w:rFonts w:ascii="宋体" w:hAnsi="宋体" w:cs="宋体" w:eastAsia="宋体" w:hint="default"/>
                <w:sz w:val="18"/>
                <w:szCs w:val="18"/>
              </w:rPr>
            </w:pPr>
            <w:r>
              <w:rPr>
                <w:rFonts w:ascii="宋体" w:hAnsi="宋体" w:cs="宋体" w:eastAsia="宋体" w:hint="default"/>
                <w:spacing w:val="-3"/>
                <w:sz w:val="18"/>
                <w:szCs w:val="18"/>
              </w:rPr>
              <w:t>去年为出售澳大利亚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pacing w:val="-2"/>
                <w:sz w:val="18"/>
                <w:szCs w:val="18"/>
              </w:rPr>
              <w:t>RectifierTechnologiesLimited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3"/>
                <w:sz w:val="18"/>
                <w:szCs w:val="18"/>
              </w:rPr>
            </w:r>
            <w:r>
              <w:rPr>
                <w:rFonts w:ascii="宋体" w:hAnsi="宋体" w:cs="宋体" w:eastAsia="宋体" w:hint="default"/>
                <w:spacing w:val="-3"/>
                <w:sz w:val="18"/>
                <w:szCs w:val="18"/>
              </w:rPr>
              <w:t>公司剩余股份时汇率变动所</w:t>
            </w:r>
          </w:p>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w w:val="101"/>
                <w:sz w:val="18"/>
                <w:szCs w:val="18"/>
              </w:rPr>
              <w:t>致</w:t>
            </w:r>
            <w:r>
              <w:rPr>
                <w:rFonts w:ascii="宋体" w:hAnsi="宋体" w:cs="宋体" w:eastAsia="宋体" w:hint="default"/>
                <w:sz w:val="18"/>
                <w:szCs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报告期内公司经营活动产生的现金净流量与本年度净利润存在重大差异的原因说明</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5138"/>
        <w:gridCol w:w="2027"/>
        <w:gridCol w:w="2074"/>
      </w:tblGrid>
      <w:tr>
        <w:trPr>
          <w:trHeight w:val="334"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7"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left="64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74"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8"/>
              <w:ind w:left="667" w:right="0"/>
              <w:jc w:val="left"/>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5138"/>
        <w:gridCol w:w="663"/>
        <w:gridCol w:w="1364"/>
        <w:gridCol w:w="2074"/>
      </w:tblGrid>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2027" w:type="dxa"/>
            <w:gridSpan w:val="2"/>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8" w:right="-4"/>
              <w:jc w:val="left"/>
              <w:rPr>
                <w:rFonts w:ascii="Times New Roman" w:hAnsi="Times New Roman" w:cs="Times New Roman" w:eastAsia="Times New Roman" w:hint="default"/>
                <w:sz w:val="18"/>
                <w:szCs w:val="18"/>
              </w:rPr>
            </w:pPr>
            <w:r>
              <w:rPr>
                <w:rFonts w:ascii="Times New Roman"/>
                <w:spacing w:val="-1"/>
                <w:sz w:val="18"/>
              </w:rPr>
              <w:t>-2,753,048.17</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37,268,699.31</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74" w:right="-4"/>
              <w:jc w:val="left"/>
              <w:rPr>
                <w:rFonts w:ascii="Times New Roman" w:hAnsi="Times New Roman" w:cs="Times New Roman" w:eastAsia="Times New Roman" w:hint="default"/>
                <w:sz w:val="18"/>
                <w:szCs w:val="18"/>
              </w:rPr>
            </w:pPr>
            <w:r>
              <w:rPr>
                <w:rFonts w:ascii="Times New Roman"/>
                <w:sz w:val="18"/>
              </w:rPr>
              <w:t>42,981,299.94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45,028,514.93</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固定资产折旧、油气资产折耗、生产性生物资产折旧</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74" w:right="-4"/>
              <w:jc w:val="left"/>
              <w:rPr>
                <w:rFonts w:ascii="Times New Roman" w:hAnsi="Times New Roman" w:cs="Times New Roman" w:eastAsia="Times New Roman" w:hint="default"/>
                <w:sz w:val="18"/>
                <w:szCs w:val="18"/>
              </w:rPr>
            </w:pPr>
            <w:r>
              <w:rPr>
                <w:rFonts w:ascii="Times New Roman"/>
                <w:sz w:val="18"/>
              </w:rPr>
              <w:t>23,621,531.35</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24,431,781.51</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无形资产摊销</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66" w:right="-4"/>
              <w:jc w:val="left"/>
              <w:rPr>
                <w:rFonts w:ascii="Times New Roman" w:hAnsi="Times New Roman" w:cs="Times New Roman" w:eastAsia="Times New Roman" w:hint="default"/>
                <w:sz w:val="18"/>
                <w:szCs w:val="18"/>
              </w:rPr>
            </w:pPr>
            <w:r>
              <w:rPr>
                <w:rFonts w:ascii="Times New Roman"/>
                <w:sz w:val="18"/>
              </w:rPr>
              <w:t>5,352,541.40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6,380,283.10</w:t>
            </w:r>
          </w:p>
        </w:tc>
      </w:tr>
      <w:tr>
        <w:trPr>
          <w:trHeight w:val="350"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5"/>
              <w:ind w:left="297" w:right="0"/>
              <w:jc w:val="left"/>
              <w:rPr>
                <w:rFonts w:ascii="宋体" w:hAnsi="宋体" w:cs="宋体" w:eastAsia="宋体" w:hint="default"/>
                <w:sz w:val="18"/>
                <w:szCs w:val="18"/>
              </w:rPr>
            </w:pPr>
            <w:r>
              <w:rPr>
                <w:rFonts w:ascii="宋体" w:hAnsi="宋体" w:cs="宋体" w:eastAsia="宋体" w:hint="default"/>
                <w:spacing w:val="-3"/>
                <w:sz w:val="18"/>
                <w:szCs w:val="18"/>
              </w:rPr>
              <w:t>长期待摊费用摊销</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66" w:right="-4"/>
              <w:jc w:val="left"/>
              <w:rPr>
                <w:rFonts w:ascii="Times New Roman" w:hAnsi="Times New Roman" w:cs="Times New Roman" w:eastAsia="Times New Roman" w:hint="default"/>
                <w:sz w:val="18"/>
                <w:szCs w:val="18"/>
              </w:rPr>
            </w:pPr>
            <w:r>
              <w:rPr>
                <w:rFonts w:ascii="Times New Roman"/>
                <w:sz w:val="18"/>
              </w:rPr>
              <w:t>1,495,682.52</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793,272.37</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填列</w:t>
            </w:r>
          </w:p>
        </w:tc>
        <w:tc>
          <w:tcPr>
            <w:tcW w:w="6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364"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62"/>
              <w:ind w:left="578" w:right="-4"/>
              <w:jc w:val="left"/>
              <w:rPr>
                <w:rFonts w:ascii="Times New Roman" w:hAnsi="Times New Roman" w:cs="Times New Roman" w:eastAsia="Times New Roman" w:hint="default"/>
                <w:sz w:val="18"/>
                <w:szCs w:val="18"/>
              </w:rPr>
            </w:pPr>
            <w:r>
              <w:rPr>
                <w:rFonts w:ascii="Times New Roman"/>
                <w:spacing w:val="-1"/>
                <w:sz w:val="18"/>
              </w:rPr>
              <w:t>-92,007.71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112,304.44</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00" w:right="-5"/>
              <w:jc w:val="left"/>
              <w:rPr>
                <w:rFonts w:ascii="Times New Roman" w:hAnsi="Times New Roman" w:cs="Times New Roman" w:eastAsia="Times New Roman" w:hint="default"/>
                <w:sz w:val="18"/>
                <w:szCs w:val="18"/>
              </w:rPr>
            </w:pPr>
            <w:r>
              <w:rPr>
                <w:rFonts w:ascii="Times New Roman"/>
                <w:sz w:val="18"/>
              </w:rPr>
              <w:t>412,283.11</w:t>
            </w: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5"/>
              <w:ind w:left="297"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公允价值变动损益（收益以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291" w:right="-4"/>
              <w:jc w:val="left"/>
              <w:rPr>
                <w:rFonts w:ascii="Times New Roman" w:hAnsi="Times New Roman" w:cs="Times New Roman" w:eastAsia="Times New Roman" w:hint="default"/>
                <w:sz w:val="18"/>
                <w:szCs w:val="18"/>
              </w:rPr>
            </w:pPr>
            <w:r>
              <w:rPr>
                <w:rFonts w:ascii="Times New Roman"/>
                <w:sz w:val="18"/>
              </w:rPr>
              <w:t>21,398.31</w:t>
            </w: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财务费用（收益以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74" w:right="-4"/>
              <w:jc w:val="left"/>
              <w:rPr>
                <w:rFonts w:ascii="Times New Roman" w:hAnsi="Times New Roman" w:cs="Times New Roman" w:eastAsia="Times New Roman" w:hint="default"/>
                <w:sz w:val="18"/>
                <w:szCs w:val="18"/>
              </w:rPr>
            </w:pPr>
            <w:r>
              <w:rPr>
                <w:rFonts w:ascii="Times New Roman"/>
                <w:sz w:val="18"/>
              </w:rPr>
              <w:t>54,432,580.45</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37,922,309.81</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17" w:right="-4"/>
              <w:jc w:val="left"/>
              <w:rPr>
                <w:rFonts w:ascii="Times New Roman" w:hAnsi="Times New Roman" w:cs="Times New Roman" w:eastAsia="Times New Roman" w:hint="default"/>
                <w:sz w:val="18"/>
                <w:szCs w:val="18"/>
              </w:rPr>
            </w:pPr>
            <w:r>
              <w:rPr>
                <w:rFonts w:ascii="Times New Roman"/>
                <w:spacing w:val="-1"/>
                <w:sz w:val="18"/>
              </w:rPr>
              <w:t>-21,079,512.60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-4,865,894.22</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递延所得税资产的减少（增加以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08" w:right="-4"/>
              <w:jc w:val="left"/>
              <w:rPr>
                <w:rFonts w:ascii="Times New Roman" w:hAnsi="Times New Roman" w:cs="Times New Roman" w:eastAsia="Times New Roman" w:hint="default"/>
                <w:sz w:val="18"/>
                <w:szCs w:val="18"/>
              </w:rPr>
            </w:pPr>
            <w:r>
              <w:rPr>
                <w:rFonts w:ascii="Times New Roman"/>
                <w:spacing w:val="-1"/>
                <w:sz w:val="18"/>
              </w:rPr>
              <w:t>-6,314,060.68</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-7,265,002.34</w:t>
            </w:r>
          </w:p>
        </w:tc>
      </w:tr>
      <w:tr>
        <w:trPr>
          <w:trHeight w:val="351"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5"/>
              <w:ind w:left="297"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递延所得税负债的增加（减少以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08" w:right="-4"/>
              <w:jc w:val="left"/>
              <w:rPr>
                <w:rFonts w:ascii="Times New Roman" w:hAnsi="Times New Roman" w:cs="Times New Roman" w:eastAsia="Times New Roman" w:hint="default"/>
                <w:sz w:val="18"/>
                <w:szCs w:val="18"/>
              </w:rPr>
            </w:pPr>
            <w:r>
              <w:rPr>
                <w:rFonts w:ascii="Times New Roman"/>
                <w:spacing w:val="-1"/>
                <w:sz w:val="18"/>
              </w:rPr>
              <w:t>-1,281,142.88</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-2,584,514.97</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17" w:right="-4"/>
              <w:jc w:val="left"/>
              <w:rPr>
                <w:rFonts w:ascii="Times New Roman" w:hAnsi="Times New Roman" w:cs="Times New Roman" w:eastAsia="Times New Roman" w:hint="default"/>
                <w:sz w:val="18"/>
                <w:szCs w:val="18"/>
              </w:rPr>
            </w:pPr>
            <w:r>
              <w:rPr>
                <w:rFonts w:ascii="Times New Roman"/>
                <w:spacing w:val="-1"/>
                <w:sz w:val="18"/>
              </w:rPr>
              <w:t>-69,464,422.24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-121,333,050.84</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8" w:right="-4"/>
              <w:jc w:val="left"/>
              <w:rPr>
                <w:rFonts w:ascii="Times New Roman" w:hAnsi="Times New Roman" w:cs="Times New Roman" w:eastAsia="Times New Roman" w:hint="default"/>
                <w:sz w:val="18"/>
                <w:szCs w:val="18"/>
              </w:rPr>
            </w:pPr>
            <w:r>
              <w:rPr>
                <w:rFonts w:ascii="Times New Roman"/>
                <w:spacing w:val="-1"/>
                <w:sz w:val="18"/>
              </w:rPr>
              <w:t>117,463,363.45</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-195,554,003.16</w:t>
            </w:r>
          </w:p>
        </w:tc>
      </w:tr>
      <w:tr>
        <w:trPr>
          <w:trHeight w:val="350"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5"/>
              <w:ind w:left="297"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填列）</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826" w:right="-4"/>
              <w:jc w:val="left"/>
              <w:rPr>
                <w:rFonts w:ascii="Times New Roman" w:hAnsi="Times New Roman" w:cs="Times New Roman" w:eastAsia="Times New Roman" w:hint="default"/>
                <w:sz w:val="18"/>
                <w:szCs w:val="18"/>
              </w:rPr>
            </w:pPr>
            <w:r>
              <w:rPr>
                <w:rFonts w:ascii="Times New Roman"/>
                <w:spacing w:val="-1"/>
                <w:sz w:val="18"/>
              </w:rPr>
              <w:t>-125,347,968.06</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213,138,368.77</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5"/>
                <w:sz w:val="18"/>
                <w:szCs w:val="18"/>
              </w:rPr>
              <w:t>其他</w:t>
            </w:r>
            <w:r>
              <w:rPr>
                <w:rFonts w:ascii="宋体" w:hAnsi="宋体" w:cs="宋体" w:eastAsia="宋体" w:hint="default"/>
                <w:sz w:val="18"/>
                <w:szCs w:val="18"/>
              </w:rPr>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74" w:right="-4"/>
              <w:jc w:val="left"/>
              <w:rPr>
                <w:rFonts w:ascii="Times New Roman" w:hAnsi="Times New Roman" w:cs="Times New Roman" w:eastAsia="Times New Roman" w:hint="default"/>
                <w:sz w:val="18"/>
                <w:szCs w:val="18"/>
              </w:rPr>
            </w:pPr>
            <w:r>
              <w:rPr>
                <w:rFonts w:ascii="Times New Roman"/>
                <w:sz w:val="18"/>
              </w:rPr>
              <w:t>15,247,162.71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-9,342,828.39</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74" w:right="-4"/>
              <w:jc w:val="left"/>
              <w:rPr>
                <w:rFonts w:ascii="Times New Roman" w:hAnsi="Times New Roman" w:cs="Times New Roman" w:eastAsia="Times New Roman" w:hint="default"/>
                <w:sz w:val="18"/>
                <w:szCs w:val="18"/>
              </w:rPr>
            </w:pPr>
            <w:r>
              <w:rPr>
                <w:rFonts w:ascii="Times New Roman"/>
                <w:sz w:val="18"/>
              </w:rPr>
              <w:t>34,695,680.90</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24,130,240.32</w:t>
            </w:r>
          </w:p>
        </w:tc>
      </w:tr>
      <w:tr>
        <w:trPr>
          <w:trHeight w:val="350"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不涉及现金收支的重大投资和筹资活动：</w:t>
            </w:r>
          </w:p>
        </w:tc>
        <w:tc>
          <w:tcPr>
            <w:tcW w:w="2027" w:type="dxa"/>
            <w:gridSpan w:val="2"/>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债务转为资本</w:t>
            </w:r>
          </w:p>
        </w:tc>
        <w:tc>
          <w:tcPr>
            <w:tcW w:w="2027" w:type="dxa"/>
            <w:gridSpan w:val="2"/>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一年内到期的可转换公司债券</w:t>
            </w:r>
          </w:p>
        </w:tc>
        <w:tc>
          <w:tcPr>
            <w:tcW w:w="2027" w:type="dxa"/>
            <w:gridSpan w:val="2"/>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融资租入固定资产</w:t>
            </w:r>
          </w:p>
        </w:tc>
        <w:tc>
          <w:tcPr>
            <w:tcW w:w="2027" w:type="dxa"/>
            <w:gridSpan w:val="2"/>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51"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5"/>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2027" w:type="dxa"/>
            <w:gridSpan w:val="2"/>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现金的年末余额</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8" w:right="-4"/>
              <w:jc w:val="left"/>
              <w:rPr>
                <w:rFonts w:ascii="Times New Roman" w:hAnsi="Times New Roman" w:cs="Times New Roman" w:eastAsia="Times New Roman" w:hint="default"/>
                <w:sz w:val="18"/>
                <w:szCs w:val="18"/>
              </w:rPr>
            </w:pPr>
            <w:r>
              <w:rPr>
                <w:rFonts w:ascii="Times New Roman"/>
                <w:spacing w:val="-1"/>
                <w:sz w:val="18"/>
              </w:rPr>
              <w:t>126,549,396.23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240,053,101.24</w:t>
            </w: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减：现金的年初余额</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888" w:right="-4"/>
              <w:jc w:val="left"/>
              <w:rPr>
                <w:rFonts w:ascii="Times New Roman" w:hAnsi="Times New Roman" w:cs="Times New Roman" w:eastAsia="Times New Roman" w:hint="default"/>
                <w:sz w:val="18"/>
                <w:szCs w:val="18"/>
              </w:rPr>
            </w:pPr>
            <w:r>
              <w:rPr>
                <w:rFonts w:ascii="Times New Roman"/>
                <w:spacing w:val="-1"/>
                <w:sz w:val="18"/>
              </w:rPr>
              <w:t>240,053,101.24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205,480,237.52</w:t>
            </w:r>
          </w:p>
        </w:tc>
      </w:tr>
      <w:tr>
        <w:trPr>
          <w:trHeight w:val="350"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加：现金等价物的年末余额</w:t>
            </w:r>
          </w:p>
        </w:tc>
        <w:tc>
          <w:tcPr>
            <w:tcW w:w="2027" w:type="dxa"/>
            <w:gridSpan w:val="2"/>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297" w:right="0"/>
              <w:jc w:val="left"/>
              <w:rPr>
                <w:rFonts w:ascii="宋体" w:hAnsi="宋体" w:cs="宋体" w:eastAsia="宋体" w:hint="default"/>
                <w:sz w:val="18"/>
                <w:szCs w:val="18"/>
              </w:rPr>
            </w:pPr>
            <w:r>
              <w:rPr>
                <w:rFonts w:ascii="宋体" w:hAnsi="宋体" w:cs="宋体" w:eastAsia="宋体" w:hint="default"/>
                <w:spacing w:val="-3"/>
                <w:sz w:val="18"/>
                <w:szCs w:val="18"/>
              </w:rPr>
              <w:t>减：现金等价物的年初余额</w:t>
            </w:r>
          </w:p>
        </w:tc>
        <w:tc>
          <w:tcPr>
            <w:tcW w:w="2027" w:type="dxa"/>
            <w:gridSpan w:val="2"/>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513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0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826" w:right="-4"/>
              <w:jc w:val="left"/>
              <w:rPr>
                <w:rFonts w:ascii="Times New Roman" w:hAnsi="Times New Roman" w:cs="Times New Roman" w:eastAsia="Times New Roman" w:hint="default"/>
                <w:sz w:val="18"/>
                <w:szCs w:val="18"/>
              </w:rPr>
            </w:pPr>
            <w:r>
              <w:rPr>
                <w:rFonts w:ascii="Times New Roman"/>
                <w:spacing w:val="-1"/>
                <w:sz w:val="18"/>
              </w:rPr>
              <w:t>-113,503,705.01</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34,572,863.72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0"/>
        <w:rPr>
          <w:rFonts w:ascii="宋体" w:hAnsi="宋体" w:cs="宋体" w:eastAsia="宋体" w:hint="default"/>
          <w:b/>
          <w:bCs/>
          <w:sz w:val="24"/>
          <w:szCs w:val="24"/>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2"/>
        <w:gridCol w:w="1599"/>
        <w:gridCol w:w="1561"/>
        <w:gridCol w:w="3116"/>
        <w:gridCol w:w="1560"/>
      </w:tblGrid>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1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3" w:hRule="exact"/>
        </w:trPr>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9" w:type="dxa"/>
            <w:vMerge w:val="restart"/>
            <w:tcBorders>
              <w:top w:val="single" w:sz="4" w:space="0" w:color="000000"/>
              <w:left w:val="single" w:sz="8"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21,079,512.60</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21" w:right="0"/>
              <w:jc w:val="left"/>
              <w:rPr>
                <w:rFonts w:ascii="Times New Roman" w:hAnsi="Times New Roman" w:cs="Times New Roman" w:eastAsia="Times New Roman" w:hint="default"/>
                <w:sz w:val="18"/>
                <w:szCs w:val="18"/>
              </w:rPr>
            </w:pPr>
            <w:r>
              <w:rPr>
                <w:rFonts w:ascii="Times New Roman"/>
                <w:sz w:val="18"/>
              </w:rPr>
              <w:t>-432.97%</w:t>
            </w:r>
          </w:p>
        </w:tc>
        <w:tc>
          <w:tcPr>
            <w:tcW w:w="3116"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主要系公司转让上海虹港数据信息有限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公司股权取得收益</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89" w:hRule="exact"/>
        </w:trPr>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99" w:type="dxa"/>
            <w:vMerge/>
            <w:tcBorders>
              <w:left w:val="single" w:sz="8" w:space="0" w:color="D2D2D2"/>
              <w:right w:val="single" w:sz="4" w:space="0" w:color="000000"/>
            </w:tcBorders>
          </w:tcPr>
          <w:p>
            <w:pPr/>
          </w:p>
        </w:tc>
        <w:tc>
          <w:tcPr>
            <w:tcW w:w="1561" w:type="dxa"/>
            <w:vMerge/>
            <w:tcBorders>
              <w:left w:val="single" w:sz="4" w:space="0" w:color="000000"/>
              <w:right w:val="single" w:sz="4" w:space="0" w:color="000000"/>
            </w:tcBorders>
          </w:tcPr>
          <w:p>
            <w:pPr/>
          </w:p>
        </w:tc>
        <w:tc>
          <w:tcPr>
            <w:tcW w:w="3116"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163" w:hRule="exact"/>
        </w:trPr>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9" w:type="dxa"/>
            <w:vMerge/>
            <w:tcBorders>
              <w:left w:val="single" w:sz="8" w:space="0" w:color="D2D2D2"/>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3116"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399"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5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-21,398.31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0.44%</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主要系交易性金额资产公允价值变动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5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42,981,299.94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-882.83%</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主要系计提的资产和信用减值损失</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9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7,277,059.21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-149.47%</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主要系债务重组利得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12"/>
        <w:gridCol w:w="1608"/>
        <w:gridCol w:w="1561"/>
        <w:gridCol w:w="3116"/>
        <w:gridCol w:w="1560"/>
      </w:tblGrid>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60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619" w:right="0"/>
              <w:jc w:val="left"/>
              <w:rPr>
                <w:rFonts w:ascii="Times New Roman" w:hAnsi="Times New Roman" w:cs="Times New Roman" w:eastAsia="Times New Roman" w:hint="default"/>
                <w:sz w:val="18"/>
                <w:szCs w:val="18"/>
              </w:rPr>
            </w:pPr>
            <w:r>
              <w:rPr>
                <w:rFonts w:ascii="Times New Roman"/>
                <w:sz w:val="18"/>
              </w:rPr>
              <w:t>3,552,262.02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2" w:right="0"/>
              <w:jc w:val="left"/>
              <w:rPr>
                <w:rFonts w:ascii="Times New Roman" w:hAnsi="Times New Roman" w:cs="Times New Roman" w:eastAsia="Times New Roman" w:hint="default"/>
                <w:sz w:val="18"/>
                <w:szCs w:val="18"/>
              </w:rPr>
            </w:pPr>
            <w:r>
              <w:rPr>
                <w:rFonts w:ascii="Times New Roman"/>
                <w:sz w:val="18"/>
              </w:rPr>
              <w:t>-72.96%</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主要系公司支付违约金所致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构成重大变动情况" w:id="41"/>
      <w:bookmarkEnd w:id="4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spacing w:before="46"/>
        <w:ind w:left="153" w:right="-14"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before="101"/>
        <w:ind w:left="153"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31" w:space="390"/>
            <w:col w:w="200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25"/>
        <w:gridCol w:w="903"/>
        <w:gridCol w:w="1368"/>
        <w:gridCol w:w="888"/>
        <w:gridCol w:w="802"/>
        <w:gridCol w:w="2920"/>
      </w:tblGrid>
      <w:tr>
        <w:trPr>
          <w:trHeight w:val="384"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29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369" w:type="dxa"/>
            <w:vMerge w:val="restart"/>
            <w:tcBorders>
              <w:top w:val="nil" w:sz="6" w:space="0" w:color="auto"/>
              <w:left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nil" w:sz="6" w:space="0" w:color="auto"/>
              <w:right w:val="single" w:sz="4" w:space="0" w:color="000000"/>
            </w:tcBorders>
            <w:shd w:val="clear" w:color="auto" w:fill="D2D2D2"/>
          </w:tcPr>
          <w:p>
            <w:pPr/>
          </w:p>
        </w:tc>
        <w:tc>
          <w:tcPr>
            <w:tcW w:w="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263" w:right="80"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3"/>
              <w:ind w:left="259" w:right="70"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3"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8" w:type="dxa"/>
            <w:vMerge/>
            <w:tcBorders>
              <w:left w:val="single" w:sz="4" w:space="0" w:color="000000"/>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2920"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69" w:type="dxa"/>
            <w:vMerge w:val="restart"/>
            <w:tcBorders>
              <w:top w:val="nil" w:sz="6" w:space="0" w:color="auto"/>
              <w:left w:val="single" w:sz="4" w:space="0" w:color="000000"/>
              <w:right w:val="single" w:sz="4" w:space="0" w:color="000000"/>
            </w:tcBorders>
            <w:shd w:val="clear" w:color="auto" w:fill="D2D2D2"/>
          </w:tcPr>
          <w:p>
            <w:pPr/>
          </w:p>
        </w:tc>
        <w:tc>
          <w:tcPr>
            <w:tcW w:w="1325" w:type="dxa"/>
            <w:vMerge/>
            <w:tcBorders>
              <w:left w:val="single" w:sz="4" w:space="0" w:color="000000"/>
              <w:bottom w:val="nil" w:sz="6" w:space="0" w:color="auto"/>
              <w:right w:val="single" w:sz="4" w:space="0" w:color="000000"/>
            </w:tcBorders>
            <w:shd w:val="clear" w:color="auto" w:fill="D2D2D2"/>
          </w:tcPr>
          <w:p>
            <w:pPr/>
          </w:p>
        </w:tc>
        <w:tc>
          <w:tcPr>
            <w:tcW w:w="903"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02" w:type="dxa"/>
            <w:vMerge w:val="restart"/>
            <w:tcBorders>
              <w:top w:val="nil" w:sz="6" w:space="0" w:color="auto"/>
              <w:left w:val="single" w:sz="4" w:space="0" w:color="000000"/>
              <w:right w:val="single" w:sz="4" w:space="0" w:color="000000"/>
            </w:tcBorders>
            <w:shd w:val="clear" w:color="auto" w:fill="D2D2D2"/>
          </w:tcPr>
          <w:p>
            <w:pPr/>
          </w:p>
        </w:tc>
        <w:tc>
          <w:tcPr>
            <w:tcW w:w="2920"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25" w:type="dxa"/>
            <w:tcBorders>
              <w:top w:val="nil" w:sz="6" w:space="0" w:color="auto"/>
              <w:left w:val="single" w:sz="4" w:space="0" w:color="000000"/>
              <w:bottom w:val="single" w:sz="4" w:space="0" w:color="000000"/>
              <w:right w:val="single" w:sz="4" w:space="0" w:color="000000"/>
            </w:tcBorders>
            <w:shd w:val="clear" w:color="auto" w:fill="D2D2D2"/>
          </w:tcPr>
          <w:p>
            <w:pPr/>
          </w:p>
        </w:tc>
        <w:tc>
          <w:tcPr>
            <w:tcW w:w="903"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206,830,009.25</w:t>
            </w:r>
          </w:p>
        </w:tc>
        <w:tc>
          <w:tcPr>
            <w:tcW w:w="90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7.36%</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347,304,473.18</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pacing w:val="-3"/>
                <w:sz w:val="18"/>
              </w:rPr>
              <w:t>11.79%</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-4.43%</w:t>
            </w:r>
          </w:p>
        </w:tc>
        <w:tc>
          <w:tcPr>
            <w:tcW w:w="2920" w:type="dxa"/>
            <w:vMerge w:val="restart"/>
            <w:tcBorders>
              <w:top w:val="single" w:sz="4" w:space="0" w:color="000000"/>
              <w:left w:val="single" w:sz="4" w:space="0" w:color="000000"/>
              <w:right w:val="single" w:sz="4" w:space="0" w:color="000000"/>
            </w:tcBorders>
          </w:tcPr>
          <w:p>
            <w:pPr>
              <w:pStyle w:val="TableParagraph"/>
              <w:spacing w:line="324"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主要系购建固定资产、无形资产和其</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他长期资产以及投资支付现金所致</w:t>
            </w:r>
          </w:p>
        </w:tc>
      </w:tr>
      <w:tr>
        <w:trPr>
          <w:trHeight w:val="394" w:hRule="exact"/>
        </w:trPr>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5" w:type="dxa"/>
            <w:vMerge/>
            <w:tcBorders>
              <w:left w:val="single" w:sz="10" w:space="0" w:color="D2D2D2"/>
              <w:right w:val="single" w:sz="4" w:space="0" w:color="000000"/>
            </w:tcBorders>
          </w:tcPr>
          <w:p>
            <w:pPr/>
          </w:p>
        </w:tc>
        <w:tc>
          <w:tcPr>
            <w:tcW w:w="903"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58"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10" w:space="0" w:color="D2D2D2"/>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1,066,005,218.04</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1,186,629,674.09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40.27%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-2.35%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422,957,827.96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364,111,257.30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12.36%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2.68%</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257,071,041.34</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229,524,267.14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7.79%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5" w:type="dxa"/>
            <w:tcBorders>
              <w:top w:val="single" w:sz="4" w:space="0" w:color="000000"/>
              <w:left w:val="single" w:sz="13" w:space="0" w:color="D2D2D2"/>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196,679,591.97</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218,944,026.83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7.43%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-0.43%</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58"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5"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61,909,876.72</w:t>
            </w:r>
          </w:p>
        </w:tc>
        <w:tc>
          <w:tcPr>
            <w:tcW w:w="90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2.20%</w:t>
            </w: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39,363,749.51</w:t>
            </w: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1.34%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0.86%</w:t>
            </w:r>
          </w:p>
        </w:tc>
        <w:tc>
          <w:tcPr>
            <w:tcW w:w="2920"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主要系公司喷涂生产线投资及控股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3"/>
                <w:sz w:val="18"/>
                <w:szCs w:val="18"/>
              </w:rPr>
              <w:t>子公司江苏亿金执行投资项目所致</w:t>
            </w:r>
          </w:p>
        </w:tc>
      </w:tr>
      <w:tr>
        <w:trPr>
          <w:trHeight w:val="394" w:hRule="exact"/>
        </w:trPr>
        <w:tc>
          <w:tcPr>
            <w:tcW w:w="1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5" w:type="dxa"/>
            <w:vMerge/>
            <w:tcBorders>
              <w:left w:val="single" w:sz="10" w:space="0" w:color="D2D2D2"/>
              <w:right w:val="single" w:sz="4" w:space="0" w:color="000000"/>
            </w:tcBorders>
          </w:tcPr>
          <w:p>
            <w:pPr/>
          </w:p>
        </w:tc>
        <w:tc>
          <w:tcPr>
            <w:tcW w:w="903"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2920" w:type="dxa"/>
            <w:vMerge/>
            <w:tcBorders>
              <w:left w:val="single" w:sz="4" w:space="0" w:color="000000"/>
              <w:right w:val="single" w:sz="4" w:space="0" w:color="000000"/>
            </w:tcBorders>
          </w:tcPr>
          <w:p>
            <w:pPr/>
          </w:p>
        </w:tc>
      </w:tr>
      <w:tr>
        <w:trPr>
          <w:trHeight w:val="163"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5" w:type="dxa"/>
            <w:vMerge/>
            <w:tcBorders>
              <w:left w:val="single" w:sz="10" w:space="0" w:color="D2D2D2"/>
              <w:bottom w:val="single" w:sz="4" w:space="0" w:color="000000"/>
              <w:right w:val="single" w:sz="4" w:space="0" w:color="000000"/>
            </w:tcBorders>
          </w:tcPr>
          <w:p>
            <w:pPr/>
          </w:p>
        </w:tc>
        <w:tc>
          <w:tcPr>
            <w:tcW w:w="903"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2920" w:type="dxa"/>
            <w:vMerge/>
            <w:tcBorders>
              <w:left w:val="single" w:sz="4" w:space="0" w:color="000000"/>
              <w:bottom w:val="single" w:sz="4" w:space="0" w:color="000000"/>
              <w:right w:val="single" w:sz="4" w:space="0" w:color="000000"/>
            </w:tcBorders>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445,796,433.91</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349,000,000.00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3"/>
                <w:sz w:val="18"/>
              </w:rPr>
              <w:t>11.84%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主要系公司银行短期借款增加所致</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67,450,000.00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74,000,000.00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2.51%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-0.11%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1,269,260.80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24,674,846.50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0.84%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-0.79%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主要系适用新金融工具准则，已贴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现、已质押的应收票据重分类至应收</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款项融资所致</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31,692,324.24</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
              <w:jc w:val="left"/>
              <w:rPr>
                <w:rFonts w:ascii="宋体" w:hAnsi="宋体" w:cs="宋体" w:eastAsia="宋体" w:hint="default"/>
                <w:sz w:val="18"/>
                <w:szCs w:val="18"/>
              </w:rPr>
            </w:pPr>
            <w:r>
              <w:rPr>
                <w:rFonts w:ascii="宋体" w:hAnsi="宋体" w:cs="宋体" w:eastAsia="宋体" w:hint="default"/>
                <w:spacing w:val="-3"/>
                <w:sz w:val="18"/>
                <w:szCs w:val="18"/>
              </w:rPr>
              <w:t>主要系适用新金融工具准则，已贴</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4"/>
                <w:sz w:val="18"/>
                <w:szCs w:val="18"/>
              </w:rPr>
              <w:t>现、已质押的应收票据重分类至应收</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款项融资所致</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一年内到期的非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流动资产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2,582,259.46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3,842,343.79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0.13%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-0.04%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主要系公司一年内到期的长期应收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款减少所致</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19,165,833.86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35,813,283.80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-0.54%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主要系公司待抵扣进项税和增值税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留抵税额减少所致</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70"/>
              <w:jc w:val="left"/>
              <w:rPr>
                <w:rFonts w:ascii="宋体" w:hAnsi="宋体" w:cs="宋体" w:eastAsia="宋体" w:hint="default"/>
                <w:sz w:val="18"/>
                <w:szCs w:val="18"/>
              </w:rPr>
            </w:pPr>
            <w:r>
              <w:rPr>
                <w:rFonts w:ascii="宋体" w:hAnsi="宋体" w:cs="宋体" w:eastAsia="宋体" w:hint="default"/>
                <w:spacing w:val="-3"/>
                <w:sz w:val="18"/>
                <w:szCs w:val="18"/>
              </w:rPr>
              <w:t>可供出售金融资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22,340,984.54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0.76%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-0.76%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pacing w:val="-4"/>
                <w:sz w:val="18"/>
                <w:szCs w:val="18"/>
              </w:rPr>
              <w:t>主要系适用新金融工具准则，原可供</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出售金融资产重分类至其他科目所</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致</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219,884,961.68</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166,644,550.23</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5.66%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主要系公司执行项目取得特许经营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权所致</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25"/>
        <w:gridCol w:w="903"/>
        <w:gridCol w:w="1368"/>
        <w:gridCol w:w="888"/>
        <w:gridCol w:w="802"/>
        <w:gridCol w:w="2920"/>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4,351,852.12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2,314,870.41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主要系公司装修改造项目投入所致</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64,237,782.81</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119,337,138.28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4.05%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-1.77%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主要系公司本报告期末未到期票据</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减少所致</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77,074,338.75</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165,137,910.29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5.60%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-2.86%</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7"/>
              <w:jc w:val="left"/>
              <w:rPr>
                <w:rFonts w:ascii="宋体" w:hAnsi="宋体" w:cs="宋体" w:eastAsia="宋体" w:hint="default"/>
                <w:sz w:val="18"/>
                <w:szCs w:val="18"/>
              </w:rPr>
            </w:pPr>
            <w:r>
              <w:rPr>
                <w:rFonts w:ascii="宋体" w:hAnsi="宋体" w:cs="宋体" w:eastAsia="宋体" w:hint="default"/>
                <w:spacing w:val="-4"/>
                <w:sz w:val="18"/>
                <w:szCs w:val="18"/>
              </w:rPr>
              <w:t>主要系公司归还实际控制人借款、支</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付限制性股票回购款所致</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62,879,814.76</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97,950,781.61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-1.08%</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主要系公司待转销项税减少所致</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18,488,919.89</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8,638,920.06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0.29%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0.37%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主要系本报告期收到部分政府补助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计入递延收益所致</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64,625,943.82</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111,699,891.57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3.79%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-1.49%</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主要系公司收购深圳龙控少数股权、</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限制性股票回购股份变动所致</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3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52,055,456.00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1.77%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-1.77%</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82"/>
              <w:jc w:val="left"/>
              <w:rPr>
                <w:rFonts w:ascii="宋体" w:hAnsi="宋体" w:cs="宋体" w:eastAsia="宋体" w:hint="default"/>
                <w:sz w:val="18"/>
                <w:szCs w:val="18"/>
              </w:rPr>
            </w:pPr>
            <w:r>
              <w:rPr>
                <w:rFonts w:ascii="宋体" w:hAnsi="宋体" w:cs="宋体" w:eastAsia="宋体" w:hint="default"/>
                <w:spacing w:val="-3"/>
                <w:sz w:val="18"/>
                <w:szCs w:val="18"/>
              </w:rPr>
              <w:t>主要系公司限制性股票回购股份变</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动所致</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325" w:type="dxa"/>
            <w:tcBorders>
              <w:top w:val="single" w:sz="4" w:space="0" w:color="000000"/>
              <w:left w:val="single" w:sz="4" w:space="0" w:color="000000"/>
              <w:bottom w:val="single" w:sz="4" w:space="0" w:color="000000"/>
              <w:right w:val="single" w:sz="4" w:space="0" w:color="000000"/>
            </w:tcBorders>
          </w:tcPr>
          <w:p>
            <w:pPr/>
          </w:p>
        </w:tc>
        <w:tc>
          <w:tcPr>
            <w:tcW w:w="90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-22,848.92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3" w:right="17"/>
              <w:jc w:val="left"/>
              <w:rPr>
                <w:rFonts w:ascii="宋体" w:hAnsi="宋体" w:cs="宋体" w:eastAsia="宋体" w:hint="default"/>
                <w:sz w:val="18"/>
                <w:szCs w:val="18"/>
              </w:rPr>
            </w:pPr>
            <w:r>
              <w:rPr>
                <w:rFonts w:ascii="宋体" w:hAnsi="宋体" w:cs="宋体" w:eastAsia="宋体" w:hint="default"/>
                <w:spacing w:val="-4"/>
                <w:sz w:val="18"/>
                <w:szCs w:val="18"/>
              </w:rPr>
              <w:t>主要系适用新金融工具准则，其他综</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合收益调至留存收益所致</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以公允价值计量的资产和负债" w:id="42"/>
      <w:bookmarkEnd w:id="4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63"/>
        <w:gridCol w:w="1296"/>
        <w:gridCol w:w="990"/>
        <w:gridCol w:w="993"/>
        <w:gridCol w:w="926"/>
        <w:gridCol w:w="1202"/>
        <w:gridCol w:w="1057"/>
        <w:gridCol w:w="922"/>
        <w:gridCol w:w="1215"/>
      </w:tblGrid>
      <w:tr>
        <w:trPr>
          <w:trHeight w:val="163" w:hRule="exact"/>
        </w:trPr>
        <w:tc>
          <w:tcPr>
            <w:tcW w:w="963"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2" w:right="36"/>
              <w:jc w:val="center"/>
              <w:rPr>
                <w:rFonts w:ascii="宋体" w:hAnsi="宋体" w:cs="宋体" w:eastAsia="宋体" w:hint="default"/>
                <w:sz w:val="18"/>
                <w:szCs w:val="18"/>
              </w:rPr>
            </w:pPr>
            <w:r>
              <w:rPr>
                <w:rFonts w:ascii="宋体" w:hAnsi="宋体" w:cs="宋体" w:eastAsia="宋体" w:hint="default"/>
                <w:spacing w:val="-2"/>
                <w:sz w:val="18"/>
                <w:szCs w:val="18"/>
              </w:rPr>
              <w:t>计入权益的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累计公允价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值变动</w:t>
            </w: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215" w:type="dxa"/>
            <w:vMerge w:val="restart"/>
            <w:tcBorders>
              <w:top w:val="single" w:sz="4" w:space="0" w:color="000000"/>
              <w:left w:val="single" w:sz="4" w:space="0" w:color="000000"/>
              <w:right w:val="single" w:sz="4" w:space="0" w:color="000000"/>
            </w:tcBorders>
            <w:shd w:val="clear" w:color="auto" w:fill="D2D2D2"/>
          </w:tcPr>
          <w:p>
            <w:pPr/>
          </w:p>
        </w:tc>
      </w:tr>
      <w:tr>
        <w:trPr>
          <w:trHeight w:val="154" w:hRule="exact"/>
        </w:trPr>
        <w:tc>
          <w:tcPr>
            <w:tcW w:w="963"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99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3" w:right="32"/>
              <w:jc w:val="left"/>
              <w:rPr>
                <w:rFonts w:ascii="宋体" w:hAnsi="宋体" w:cs="宋体" w:eastAsia="宋体" w:hint="default"/>
                <w:sz w:val="18"/>
                <w:szCs w:val="18"/>
              </w:rPr>
            </w:pPr>
            <w:r>
              <w:rPr>
                <w:rFonts w:ascii="宋体" w:hAnsi="宋体" w:cs="宋体" w:eastAsia="宋体" w:hint="default"/>
                <w:spacing w:val="-2"/>
                <w:sz w:val="18"/>
                <w:szCs w:val="18"/>
              </w:rPr>
              <w:t>本期公允价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值变动损益</w:t>
            </w:r>
          </w:p>
        </w:tc>
        <w:tc>
          <w:tcPr>
            <w:tcW w:w="993" w:type="dxa"/>
            <w:vMerge/>
            <w:tcBorders>
              <w:left w:val="single" w:sz="4" w:space="0" w:color="000000"/>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92" w:right="88" w:hanging="92"/>
              <w:jc w:val="left"/>
              <w:rPr>
                <w:rFonts w:ascii="宋体" w:hAnsi="宋体" w:cs="宋体" w:eastAsia="宋体" w:hint="default"/>
                <w:sz w:val="18"/>
                <w:szCs w:val="18"/>
              </w:rPr>
            </w:pPr>
            <w:r>
              <w:rPr>
                <w:rFonts w:ascii="宋体" w:hAnsi="宋体" w:cs="宋体" w:eastAsia="宋体" w:hint="default"/>
                <w:sz w:val="18"/>
                <w:szCs w:val="18"/>
              </w:rPr>
              <w:t>本期计提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的减值</w:t>
            </w:r>
          </w:p>
        </w:tc>
        <w:tc>
          <w:tcPr>
            <w:tcW w:w="1202" w:type="dxa"/>
            <w:vMerge/>
            <w:tcBorders>
              <w:left w:val="single" w:sz="4" w:space="0" w:color="000000"/>
              <w:bottom w:val="nil" w:sz="6" w:space="0" w:color="auto"/>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36" w:right="65" w:hanging="360"/>
              <w:jc w:val="left"/>
              <w:rPr>
                <w:rFonts w:ascii="宋体" w:hAnsi="宋体" w:cs="宋体" w:eastAsia="宋体" w:hint="default"/>
                <w:sz w:val="18"/>
                <w:szCs w:val="18"/>
              </w:rPr>
            </w:pPr>
            <w:r>
              <w:rPr>
                <w:rFonts w:ascii="宋体" w:hAnsi="宋体" w:cs="宋体" w:eastAsia="宋体" w:hint="default"/>
                <w:spacing w:val="-2"/>
                <w:sz w:val="18"/>
                <w:szCs w:val="18"/>
              </w:rPr>
              <w:t>本期出售金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922" w:type="dxa"/>
            <w:vMerge/>
            <w:tcBorders>
              <w:left w:val="single" w:sz="4" w:space="0" w:color="000000"/>
              <w:bottom w:val="nil" w:sz="6" w:space="0" w:color="auto"/>
              <w:right w:val="single" w:sz="4" w:space="0" w:color="000000"/>
            </w:tcBorders>
            <w:shd w:val="clear" w:color="auto" w:fill="D2D2D2"/>
          </w:tcPr>
          <w:p>
            <w:pPr/>
          </w:p>
        </w:tc>
        <w:tc>
          <w:tcPr>
            <w:tcW w:w="1215" w:type="dxa"/>
            <w:vMerge/>
            <w:tcBorders>
              <w:left w:val="single" w:sz="4" w:space="0" w:color="000000"/>
              <w:bottom w:val="nil" w:sz="6" w:space="0" w:color="auto"/>
              <w:right w:val="single" w:sz="4" w:space="0" w:color="000000"/>
            </w:tcBorders>
            <w:shd w:val="clear" w:color="auto" w:fill="D2D2D2"/>
          </w:tcPr>
          <w:p>
            <w:pPr/>
          </w:p>
        </w:tc>
      </w:tr>
      <w:tr>
        <w:trPr>
          <w:trHeight w:val="394" w:hRule="exact"/>
        </w:trPr>
        <w:tc>
          <w:tcPr>
            <w:tcW w:w="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90" w:type="dxa"/>
            <w:vMerge/>
            <w:tcBorders>
              <w:left w:val="single" w:sz="4" w:space="0" w:color="000000"/>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2"/>
                <w:sz w:val="18"/>
                <w:szCs w:val="18"/>
              </w:rPr>
              <w:t>本期购买金额</w:t>
            </w:r>
          </w:p>
        </w:tc>
        <w:tc>
          <w:tcPr>
            <w:tcW w:w="1057"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6"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4" w:hRule="exact"/>
        </w:trPr>
        <w:tc>
          <w:tcPr>
            <w:tcW w:w="963"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990" w:type="dxa"/>
            <w:vMerge/>
            <w:tcBorders>
              <w:left w:val="single" w:sz="4" w:space="0" w:color="000000"/>
              <w:bottom w:val="nil" w:sz="6" w:space="0" w:color="auto"/>
              <w:right w:val="single" w:sz="4" w:space="0" w:color="000000"/>
            </w:tcBorders>
            <w:shd w:val="clear" w:color="auto" w:fill="D2D2D2"/>
          </w:tcPr>
          <w:p>
            <w:pPr/>
          </w:p>
        </w:tc>
        <w:tc>
          <w:tcPr>
            <w:tcW w:w="993" w:type="dxa"/>
            <w:vMerge/>
            <w:tcBorders>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963"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956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4"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融资产（不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含衍生金融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22,340,984.54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-21,398.31</w:t>
            </w:r>
          </w:p>
        </w:tc>
        <w:tc>
          <w:tcPr>
            <w:tcW w:w="99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33,600,000.00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9,200,759.08</w:t>
            </w:r>
          </w:p>
        </w:tc>
        <w:tc>
          <w:tcPr>
            <w:tcW w:w="92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46,718,827.15</w:t>
            </w:r>
          </w:p>
        </w:tc>
      </w:tr>
      <w:tr>
        <w:trPr>
          <w:trHeight w:val="404"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22,340,984.54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-21,398.31</w:t>
            </w:r>
          </w:p>
        </w:tc>
        <w:tc>
          <w:tcPr>
            <w:tcW w:w="99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33,600,000.00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1"/>
                <w:sz w:val="18"/>
              </w:rPr>
              <w:t>9,200,759.08</w:t>
            </w:r>
          </w:p>
        </w:tc>
        <w:tc>
          <w:tcPr>
            <w:tcW w:w="92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46,718,827.15</w:t>
            </w:r>
          </w:p>
        </w:tc>
      </w:tr>
      <w:tr>
        <w:trPr>
          <w:trHeight w:val="403" w:hRule="exact"/>
        </w:trPr>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0.00</w:t>
            </w:r>
          </w:p>
        </w:tc>
        <w:tc>
          <w:tcPr>
            <w:tcW w:w="990" w:type="dxa"/>
            <w:tcBorders>
              <w:top w:val="single" w:sz="4" w:space="0" w:color="000000"/>
              <w:left w:val="single" w:sz="4" w:space="0" w:color="000000"/>
              <w:bottom w:val="single" w:sz="4" w:space="0" w:color="000000"/>
              <w:right w:val="single" w:sz="4" w:space="0" w:color="000000"/>
            </w:tcBorders>
          </w:tcPr>
          <w:p>
            <w:pPr/>
          </w:p>
        </w:tc>
        <w:tc>
          <w:tcPr>
            <w:tcW w:w="99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362" w:lineRule="auto" w:before="53"/>
        <w:ind w:left="153" w:right="6287" w:firstLine="0"/>
        <w:jc w:val="left"/>
        <w:rPr>
          <w:rFonts w:ascii="宋体" w:hAnsi="宋体" w:cs="宋体" w:eastAsia="宋体" w:hint="default"/>
          <w:sz w:val="18"/>
          <w:szCs w:val="18"/>
        </w:rPr>
      </w:pPr>
      <w:r>
        <w:rPr>
          <w:rFonts w:ascii="宋体" w:hAnsi="宋体" w:cs="宋体" w:eastAsia="宋体" w:hint="default"/>
          <w:spacing w:val="-3"/>
          <w:sz w:val="18"/>
          <w:szCs w:val="18"/>
        </w:rPr>
        <w:t>其他变动的内容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报告期内公司主要资产计量属性是否发生重大变化</w:t>
      </w:r>
    </w:p>
    <w:p>
      <w:pPr>
        <w:spacing w:before="2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截至报告期末的资产权利受限情况" w:id="43"/>
      <w:bookmarkEnd w:id="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88"/>
        <w:gridCol w:w="2267"/>
        <w:gridCol w:w="5229"/>
      </w:tblGrid>
      <w:tr>
        <w:trPr>
          <w:trHeight w:val="365" w:hRule="exact"/>
        </w:trPr>
        <w:tc>
          <w:tcPr>
            <w:tcW w:w="19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2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528" w:right="0"/>
              <w:jc w:val="left"/>
              <w:rPr>
                <w:rFonts w:ascii="宋体" w:hAnsi="宋体" w:cs="宋体" w:eastAsia="宋体" w:hint="default"/>
                <w:sz w:val="20"/>
                <w:szCs w:val="20"/>
              </w:rPr>
            </w:pPr>
            <w:r>
              <w:rPr>
                <w:rFonts w:ascii="宋体" w:hAnsi="宋体" w:cs="宋体" w:eastAsia="宋体" w:hint="default"/>
                <w:sz w:val="20"/>
                <w:szCs w:val="20"/>
              </w:rPr>
              <w:t>年末账面价值</w:t>
            </w:r>
          </w:p>
        </w:tc>
        <w:tc>
          <w:tcPr>
            <w:tcW w:w="5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受限原因</w:t>
            </w:r>
          </w:p>
        </w:tc>
      </w:tr>
      <w:tr>
        <w:trPr>
          <w:trHeight w:val="361" w:hRule="exact"/>
        </w:trPr>
        <w:tc>
          <w:tcPr>
            <w:tcW w:w="1988" w:type="dxa"/>
            <w:tcBorders>
              <w:top w:val="single" w:sz="8" w:space="0" w:color="000000"/>
              <w:left w:val="single" w:sz="4" w:space="0" w:color="000000"/>
              <w:bottom w:val="single" w:sz="4" w:space="0" w:color="000000"/>
              <w:right w:val="single" w:sz="4"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80,280,613.02</w:t>
            </w:r>
          </w:p>
        </w:tc>
        <w:tc>
          <w:tcPr>
            <w:tcW w:w="5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票据保证金、保函保证金、冻结的银行存款等</w:t>
            </w:r>
          </w:p>
        </w:tc>
      </w:tr>
      <w:tr>
        <w:trPr>
          <w:trHeight w:val="36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right"/>
              <w:rPr>
                <w:rFonts w:ascii="Times New Roman" w:hAnsi="Times New Roman" w:cs="Times New Roman" w:eastAsia="Times New Roman" w:hint="default"/>
                <w:sz w:val="20"/>
                <w:szCs w:val="20"/>
              </w:rPr>
            </w:pPr>
            <w:r>
              <w:rPr>
                <w:rFonts w:ascii="Times New Roman"/>
                <w:spacing w:val="-1"/>
                <w:sz w:val="20"/>
              </w:rPr>
              <w:t>115,166,980.20</w:t>
            </w:r>
          </w:p>
        </w:tc>
        <w:tc>
          <w:tcPr>
            <w:tcW w:w="5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4" w:right="0"/>
              <w:jc w:val="left"/>
              <w:rPr>
                <w:rFonts w:ascii="宋体" w:hAnsi="宋体" w:cs="宋体" w:eastAsia="宋体" w:hint="default"/>
                <w:sz w:val="20"/>
                <w:szCs w:val="20"/>
              </w:rPr>
            </w:pPr>
            <w:r>
              <w:rPr>
                <w:rFonts w:ascii="宋体" w:hAnsi="宋体" w:cs="宋体" w:eastAsia="宋体" w:hint="default"/>
                <w:sz w:val="20"/>
                <w:szCs w:val="20"/>
              </w:rPr>
              <w:t>质押</w:t>
            </w:r>
          </w:p>
        </w:tc>
      </w:tr>
      <w:tr>
        <w:trPr>
          <w:trHeight w:val="34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102,555,414.07</w:t>
            </w:r>
          </w:p>
        </w:tc>
        <w:tc>
          <w:tcPr>
            <w:tcW w:w="5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抵押借款</w:t>
            </w:r>
          </w:p>
        </w:tc>
      </w:tr>
    </w:tbl>
    <w:p>
      <w:pPr>
        <w:spacing w:after="0" w:line="240" w:lineRule="auto"/>
        <w:jc w:val="left"/>
        <w:rPr>
          <w:rFonts w:ascii="宋体" w:hAnsi="宋体" w:cs="宋体" w:eastAsia="宋体" w:hint="default"/>
          <w:sz w:val="20"/>
          <w:szCs w:val="20"/>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r>
        <w:rPr/>
        <w:pict>
          <v:shape style="position:absolute;margin-left:110.906883pt;margin-top:522.380005pt;width:48.05pt;height:109.25pt;mso-position-horizontal-relative:page;mso-position-vertical-relative:page;z-index:-118129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究、</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988"/>
        <w:gridCol w:w="2267"/>
        <w:gridCol w:w="5229"/>
      </w:tblGrid>
      <w:tr>
        <w:trPr>
          <w:trHeight w:val="36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100,614,268.37</w:t>
            </w:r>
          </w:p>
        </w:tc>
        <w:tc>
          <w:tcPr>
            <w:tcW w:w="5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抵押借款</w:t>
            </w:r>
          </w:p>
        </w:tc>
      </w:tr>
      <w:tr>
        <w:trPr>
          <w:trHeight w:val="36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23,091,496.87</w:t>
            </w:r>
          </w:p>
        </w:tc>
        <w:tc>
          <w:tcPr>
            <w:tcW w:w="5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抵押借款</w:t>
            </w:r>
          </w:p>
        </w:tc>
      </w:tr>
      <w:tr>
        <w:trPr>
          <w:trHeight w:val="35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应收款项融资</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1,000,000.00</w:t>
            </w:r>
          </w:p>
        </w:tc>
        <w:tc>
          <w:tcPr>
            <w:tcW w:w="5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银行承兑汇票质押</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总体情况" w:id="45"/>
      <w:bookmarkEnd w:id="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143,651,393.92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148,642,636.58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-3.36%</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报告期内获取的重大的股权投资情况" w:id="46"/>
      <w:bookmarkEnd w:id="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96"/>
        <w:gridCol w:w="692"/>
        <w:gridCol w:w="663"/>
        <w:gridCol w:w="662"/>
        <w:gridCol w:w="663"/>
        <w:gridCol w:w="662"/>
        <w:gridCol w:w="658"/>
        <w:gridCol w:w="653"/>
        <w:gridCol w:w="658"/>
        <w:gridCol w:w="629"/>
        <w:gridCol w:w="740"/>
        <w:gridCol w:w="734"/>
        <w:gridCol w:w="735"/>
        <w:gridCol w:w="725"/>
      </w:tblGrid>
      <w:tr>
        <w:trPr>
          <w:trHeight w:val="1023"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1" w:right="69"/>
              <w:jc w:val="center"/>
              <w:rPr>
                <w:rFonts w:ascii="宋体" w:hAnsi="宋体" w:cs="宋体" w:eastAsia="宋体" w:hint="default"/>
                <w:sz w:val="18"/>
                <w:szCs w:val="18"/>
              </w:rPr>
            </w:pPr>
            <w:r>
              <w:rPr>
                <w:rFonts w:ascii="宋体" w:hAnsi="宋体" w:cs="宋体" w:eastAsia="宋体" w:hint="default"/>
                <w:spacing w:val="-2"/>
                <w:sz w:val="18"/>
                <w:szCs w:val="18"/>
              </w:rPr>
              <w:t>被投资</w:t>
            </w:r>
            <w:r>
              <w:rPr>
                <w:rFonts w:ascii="宋体" w:hAnsi="宋体" w:cs="宋体" w:eastAsia="宋体" w:hint="default"/>
                <w:w w:val="101"/>
                <w:sz w:val="18"/>
                <w:szCs w:val="18"/>
              </w:rPr>
              <w:t> </w:t>
            </w:r>
            <w:r>
              <w:rPr>
                <w:rFonts w:ascii="宋体" w:hAnsi="宋体" w:cs="宋体" w:eastAsia="宋体" w:hint="default"/>
                <w:spacing w:val="-2"/>
                <w:sz w:val="18"/>
                <w:szCs w:val="18"/>
              </w:rPr>
              <w:t>公司名</w:t>
            </w:r>
            <w:r>
              <w:rPr>
                <w:rFonts w:ascii="宋体" w:hAnsi="宋体" w:cs="宋体" w:eastAsia="宋体" w:hint="default"/>
                <w:w w:val="101"/>
                <w:sz w:val="18"/>
                <w:szCs w:val="18"/>
              </w:rPr>
              <w:t> </w:t>
            </w:r>
            <w:r>
              <w:rPr>
                <w:rFonts w:ascii="宋体" w:hAnsi="宋体" w:cs="宋体" w:eastAsia="宋体" w:hint="default"/>
                <w:sz w:val="18"/>
                <w:szCs w:val="18"/>
              </w:rPr>
              <w:t>称</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4" w:right="65" w:hanging="183"/>
              <w:jc w:val="left"/>
              <w:rPr>
                <w:rFonts w:ascii="宋体" w:hAnsi="宋体" w:cs="宋体" w:eastAsia="宋体" w:hint="default"/>
                <w:sz w:val="18"/>
                <w:szCs w:val="18"/>
              </w:rPr>
            </w:pPr>
            <w:r>
              <w:rPr>
                <w:rFonts w:ascii="宋体" w:hAnsi="宋体" w:cs="宋体" w:eastAsia="宋体" w:hint="default"/>
                <w:sz w:val="18"/>
                <w:szCs w:val="18"/>
              </w:rPr>
              <w:t>主要业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投资方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投资金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45" w:hanging="183"/>
              <w:jc w:val="left"/>
              <w:rPr>
                <w:rFonts w:ascii="宋体" w:hAnsi="宋体" w:cs="宋体" w:eastAsia="宋体" w:hint="default"/>
                <w:sz w:val="18"/>
                <w:szCs w:val="18"/>
              </w:rPr>
            </w:pPr>
            <w:r>
              <w:rPr>
                <w:rFonts w:ascii="宋体" w:hAnsi="宋体" w:cs="宋体" w:eastAsia="宋体" w:hint="default"/>
                <w:sz w:val="18"/>
                <w:szCs w:val="18"/>
              </w:rPr>
              <w:t>投资期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5" w:right="51" w:hanging="183"/>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0" w:right="36" w:hanging="183"/>
              <w:jc w:val="left"/>
              <w:rPr>
                <w:rFonts w:ascii="宋体" w:hAnsi="宋体" w:cs="宋体" w:eastAsia="宋体" w:hint="default"/>
                <w:sz w:val="18"/>
                <w:szCs w:val="18"/>
              </w:rPr>
            </w:pPr>
            <w:r>
              <w:rPr>
                <w:rFonts w:ascii="宋体" w:hAnsi="宋体" w:cs="宋体" w:eastAsia="宋体" w:hint="default"/>
                <w:sz w:val="18"/>
                <w:szCs w:val="18"/>
              </w:rPr>
              <w:t>预计收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89"/>
              <w:jc w:val="left"/>
              <w:rPr>
                <w:rFonts w:ascii="宋体" w:hAnsi="宋体" w:cs="宋体" w:eastAsia="宋体" w:hint="default"/>
                <w:sz w:val="18"/>
                <w:szCs w:val="18"/>
              </w:rPr>
            </w:pPr>
            <w:r>
              <w:rPr>
                <w:rFonts w:ascii="宋体" w:hAnsi="宋体" w:cs="宋体" w:eastAsia="宋体" w:hint="default"/>
                <w:sz w:val="18"/>
                <w:szCs w:val="18"/>
              </w:rPr>
              <w:t>本期投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3" w:right="89" w:hanging="183"/>
              <w:jc w:val="left"/>
              <w:rPr>
                <w:rFonts w:ascii="宋体" w:hAnsi="宋体" w:cs="宋体" w:eastAsia="宋体" w:hint="default"/>
                <w:sz w:val="18"/>
                <w:szCs w:val="18"/>
              </w:rPr>
            </w:pPr>
            <w:r>
              <w:rPr>
                <w:rFonts w:ascii="宋体" w:hAnsi="宋体" w:cs="宋体" w:eastAsia="宋体" w:hint="default"/>
                <w:sz w:val="18"/>
                <w:szCs w:val="18"/>
              </w:rPr>
              <w:t>是否涉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9"/>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6" w:right="84"/>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4773"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4" w:right="117"/>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龙控智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机房动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力环境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监控系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统和数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据中心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基础设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系统以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及物流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监控管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理系统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的研</w:t>
            </w:r>
            <w:r>
              <w:rPr>
                <w:rFonts w:ascii="宋体" w:hAnsi="宋体" w:cs="宋体" w:eastAsia="宋体" w:hint="default"/>
                <w:spacing w:val="-86"/>
                <w:sz w:val="18"/>
                <w:szCs w:val="18"/>
              </w:rPr>
              <w:t> </w:t>
            </w:r>
            <w:r>
              <w:rPr>
                <w:rFonts w:ascii="宋体" w:hAnsi="宋体" w:cs="宋体" w:eastAsia="宋体" w:hint="default"/>
                <w:spacing w:val="-22"/>
                <w:w w:val="101"/>
                <w:sz w:val="18"/>
                <w:szCs w:val="18"/>
              </w:rPr>
              <w:t>设计、开</w:t>
            </w:r>
            <w:r>
              <w:rPr>
                <w:rFonts w:ascii="宋体" w:hAnsi="宋体" w:cs="宋体" w:eastAsia="宋体" w:hint="default"/>
                <w:w w:val="101"/>
                <w:sz w:val="18"/>
                <w:szCs w:val="18"/>
              </w:rPr>
              <w:t> </w:t>
            </w:r>
            <w:r>
              <w:rPr>
                <w:rFonts w:ascii="宋体" w:hAnsi="宋体" w:cs="宋体" w:eastAsia="宋体" w:hint="default"/>
                <w:sz w:val="18"/>
                <w:szCs w:val="18"/>
              </w:rPr>
              <w:t>发和应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17"/>
                <w:szCs w:val="17"/>
              </w:rPr>
            </w:pPr>
          </w:p>
          <w:p>
            <w:pPr>
              <w:pStyle w:val="TableParagraph"/>
              <w:spacing w:line="2185" w:lineRule="exact"/>
              <w:ind w:right="-51"/>
              <w:jc w:val="left"/>
              <w:rPr>
                <w:rFonts w:ascii="宋体" w:hAnsi="宋体" w:cs="宋体" w:eastAsia="宋体" w:hint="default"/>
                <w:sz w:val="20"/>
                <w:szCs w:val="20"/>
              </w:rPr>
            </w:pPr>
            <w:r>
              <w:rPr>
                <w:rFonts w:ascii="宋体" w:hAnsi="宋体" w:cs="宋体" w:eastAsia="宋体" w:hint="default"/>
                <w:position w:val="-43"/>
                <w:sz w:val="20"/>
                <w:szCs w:val="20"/>
              </w:rPr>
              <w:pict>
                <v:group style="width:32.7pt;height:109.25pt;mso-position-horizontal-relative:char;mso-position-vertical-relative:line" coordorigin="0,0" coordsize="654,2185">
                  <v:group style="position:absolute;left:0;top:0;width:654;height:2185" coordorigin="0,0" coordsize="654,2185">
                    <v:shape style="position:absolute;left:0;top:0;width:654;height:2185" coordorigin="0,0" coordsize="654,2185" path="m0,2185l653,2185,653,0,0,0,0,2185xe" filled="true" fillcolor="#ffffff" stroked="false">
                      <v:path arrowok="t"/>
                      <v:fill type="solid"/>
                    </v:shape>
                  </v:group>
                </v:group>
              </w:pict>
            </w:r>
            <w:r>
              <w:rPr>
                <w:rFonts w:ascii="宋体" w:hAnsi="宋体" w:cs="宋体" w:eastAsia="宋体" w:hint="default"/>
                <w:position w:val="-43"/>
                <w:sz w:val="20"/>
                <w:szCs w:val="20"/>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信息数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据领域</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exact" w:before="161"/>
              <w:ind w:left="23"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讯网（公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2019-06</w:t>
            </w:r>
          </w:p>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r>
      <w:tr>
        <w:trPr>
          <w:trHeight w:val="2545"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4" w:right="117"/>
              <w:jc w:val="both"/>
              <w:rPr>
                <w:rFonts w:ascii="宋体" w:hAnsi="宋体" w:cs="宋体" w:eastAsia="宋体" w:hint="default"/>
                <w:sz w:val="18"/>
                <w:szCs w:val="18"/>
              </w:rPr>
            </w:pPr>
            <w:r>
              <w:rPr>
                <w:rFonts w:ascii="宋体" w:hAnsi="宋体" w:cs="宋体" w:eastAsia="宋体" w:hint="default"/>
                <w:sz w:val="18"/>
                <w:szCs w:val="18"/>
              </w:rPr>
              <w:t>重庆云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晟数据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13"/>
              <w:jc w:val="both"/>
              <w:rPr>
                <w:rFonts w:ascii="宋体" w:hAnsi="宋体" w:cs="宋体" w:eastAsia="宋体" w:hint="default"/>
                <w:sz w:val="18"/>
                <w:szCs w:val="18"/>
              </w:rPr>
            </w:pPr>
            <w:r>
              <w:rPr>
                <w:rFonts w:ascii="宋体" w:hAnsi="宋体" w:cs="宋体" w:eastAsia="宋体" w:hint="default"/>
                <w:sz w:val="18"/>
                <w:szCs w:val="18"/>
              </w:rPr>
              <w:t>专业从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事数据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中心投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资建设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及运维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管理服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务的项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目型公</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33,600,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肖杨、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谢昆</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短期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6" w:lineRule="auto"/>
              <w:ind w:left="23" w:right="79"/>
              <w:jc w:val="left"/>
              <w:rPr>
                <w:rFonts w:ascii="宋体" w:hAnsi="宋体" w:cs="宋体" w:eastAsia="宋体" w:hint="default"/>
                <w:sz w:val="18"/>
                <w:szCs w:val="18"/>
              </w:rPr>
            </w:pPr>
            <w:r>
              <w:rPr>
                <w:rFonts w:ascii="宋体" w:hAnsi="宋体" w:cs="宋体" w:eastAsia="宋体" w:hint="default"/>
                <w:sz w:val="18"/>
                <w:szCs w:val="18"/>
              </w:rPr>
              <w:t>信息数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据领域</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12" w:lineRule="exact"/>
              <w:ind w:left="23"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讯网（公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2019-09</w:t>
            </w:r>
          </w:p>
          <w:p>
            <w:pPr>
              <w:pStyle w:val="TableParagraph"/>
              <w:spacing w:line="240" w:lineRule="auto" w:before="4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228" w:type="dxa"/>
        <w:tblLayout w:type="fixed"/>
        <w:tblCellMar>
          <w:top w:w="0" w:type="dxa"/>
          <w:left w:w="0" w:type="dxa"/>
          <w:bottom w:w="0" w:type="dxa"/>
          <w:right w:w="0" w:type="dxa"/>
        </w:tblCellMar>
        <w:tblLook w:val="01E0"/>
      </w:tblPr>
      <w:tblGrid>
        <w:gridCol w:w="696"/>
        <w:gridCol w:w="692"/>
        <w:gridCol w:w="663"/>
        <w:gridCol w:w="662"/>
        <w:gridCol w:w="663"/>
        <w:gridCol w:w="662"/>
        <w:gridCol w:w="658"/>
        <w:gridCol w:w="653"/>
        <w:gridCol w:w="658"/>
        <w:gridCol w:w="629"/>
        <w:gridCol w:w="742"/>
        <w:gridCol w:w="732"/>
        <w:gridCol w:w="735"/>
        <w:gridCol w:w="725"/>
      </w:tblGrid>
      <w:tr>
        <w:trPr>
          <w:trHeight w:val="360" w:hRule="exact"/>
        </w:trPr>
        <w:tc>
          <w:tcPr>
            <w:tcW w:w="69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32"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55,600,</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0.00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0.00</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233" w:right="0" w:firstLine="0"/>
        <w:jc w:val="left"/>
        <w:rPr>
          <w:rFonts w:ascii="宋体" w:hAnsi="宋体" w:cs="宋体" w:eastAsia="宋体" w:hint="default"/>
          <w:sz w:val="21"/>
          <w:szCs w:val="21"/>
        </w:rPr>
      </w:pPr>
      <w:bookmarkStart w:name="3、报告期内正在进行的重大的非股权投资情况" w:id="47"/>
      <w:bookmarkEnd w:id="4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2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233" w:right="0" w:firstLine="0"/>
        <w:jc w:val="left"/>
        <w:rPr>
          <w:rFonts w:ascii="宋体" w:hAnsi="宋体" w:cs="宋体" w:eastAsia="宋体" w:hint="default"/>
          <w:sz w:val="21"/>
          <w:szCs w:val="21"/>
        </w:rPr>
      </w:pPr>
      <w:bookmarkStart w:name="4、以公允价值计量的金融资产" w:id="48"/>
      <w:bookmarkEnd w:id="4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2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586"/>
        <w:gridCol w:w="1253"/>
        <w:gridCol w:w="999"/>
        <w:gridCol w:w="1220"/>
        <w:gridCol w:w="1263"/>
        <w:gridCol w:w="1162"/>
        <w:gridCol w:w="1253"/>
        <w:gridCol w:w="1248"/>
        <w:gridCol w:w="586"/>
      </w:tblGrid>
      <w:tr>
        <w:trPr>
          <w:trHeight w:val="946" w:hRule="exact"/>
        </w:trPr>
        <w:tc>
          <w:tcPr>
            <w:tcW w:w="5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5" w:right="103"/>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类别</w:t>
            </w:r>
          </w:p>
        </w:tc>
        <w:tc>
          <w:tcPr>
            <w:tcW w:w="125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533" w:right="166" w:hanging="361"/>
              <w:jc w:val="left"/>
              <w:rPr>
                <w:rFonts w:ascii="宋体" w:hAnsi="宋体" w:cs="宋体" w:eastAsia="宋体" w:hint="default"/>
                <w:sz w:val="18"/>
                <w:szCs w:val="18"/>
              </w:rPr>
            </w:pPr>
            <w:r>
              <w:rPr>
                <w:rFonts w:ascii="宋体" w:hAnsi="宋体" w:cs="宋体" w:eastAsia="宋体" w:hint="default"/>
                <w:spacing w:val="-2"/>
                <w:sz w:val="18"/>
                <w:szCs w:val="18"/>
              </w:rPr>
              <w:t>初始投资成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本</w:t>
            </w:r>
          </w:p>
        </w:tc>
        <w:tc>
          <w:tcPr>
            <w:tcW w:w="99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10"/>
              <w:ind w:left="134" w:right="127"/>
              <w:jc w:val="center"/>
              <w:rPr>
                <w:rFonts w:ascii="宋体" w:hAnsi="宋体" w:cs="宋体" w:eastAsia="宋体" w:hint="default"/>
                <w:sz w:val="18"/>
                <w:szCs w:val="18"/>
              </w:rPr>
            </w:pPr>
            <w:r>
              <w:rPr>
                <w:rFonts w:ascii="宋体" w:hAnsi="宋体" w:cs="宋体" w:eastAsia="宋体" w:hint="default"/>
                <w:spacing w:val="-2"/>
                <w:sz w:val="18"/>
                <w:szCs w:val="18"/>
              </w:rPr>
              <w:t>本期公允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损益</w:t>
            </w:r>
          </w:p>
        </w:tc>
        <w:tc>
          <w:tcPr>
            <w:tcW w:w="122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10"/>
              <w:ind w:left="158" w:right="147"/>
              <w:jc w:val="center"/>
              <w:rPr>
                <w:rFonts w:ascii="宋体" w:hAnsi="宋体" w:cs="宋体" w:eastAsia="宋体" w:hint="default"/>
                <w:sz w:val="18"/>
                <w:szCs w:val="18"/>
              </w:rPr>
            </w:pPr>
            <w:r>
              <w:rPr>
                <w:rFonts w:ascii="宋体" w:hAnsi="宋体" w:cs="宋体" w:eastAsia="宋体" w:hint="default"/>
                <w:spacing w:val="-2"/>
                <w:sz w:val="18"/>
                <w:szCs w:val="18"/>
              </w:rPr>
              <w:t>计入权益的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累计公允价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值变动</w:t>
            </w:r>
          </w:p>
        </w:tc>
        <w:tc>
          <w:tcPr>
            <w:tcW w:w="12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60" w:right="171" w:hanging="183"/>
              <w:jc w:val="left"/>
              <w:rPr>
                <w:rFonts w:ascii="宋体" w:hAnsi="宋体" w:cs="宋体" w:eastAsia="宋体" w:hint="default"/>
                <w:sz w:val="18"/>
                <w:szCs w:val="18"/>
              </w:rPr>
            </w:pPr>
            <w:r>
              <w:rPr>
                <w:rFonts w:ascii="宋体" w:hAnsi="宋体" w:cs="宋体" w:eastAsia="宋体" w:hint="default"/>
                <w:spacing w:val="-2"/>
                <w:sz w:val="18"/>
                <w:szCs w:val="18"/>
              </w:rPr>
              <w:t>报告期内购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入金额</w:t>
            </w:r>
          </w:p>
        </w:tc>
        <w:tc>
          <w:tcPr>
            <w:tcW w:w="116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07" w:right="118" w:hanging="178"/>
              <w:jc w:val="left"/>
              <w:rPr>
                <w:rFonts w:ascii="宋体" w:hAnsi="宋体" w:cs="宋体" w:eastAsia="宋体" w:hint="default"/>
                <w:sz w:val="18"/>
                <w:szCs w:val="18"/>
              </w:rPr>
            </w:pPr>
            <w:r>
              <w:rPr>
                <w:rFonts w:ascii="宋体" w:hAnsi="宋体" w:cs="宋体" w:eastAsia="宋体" w:hint="default"/>
                <w:spacing w:val="-2"/>
                <w:sz w:val="18"/>
                <w:szCs w:val="18"/>
              </w:rPr>
              <w:t>报告期内售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出金额</w:t>
            </w:r>
          </w:p>
        </w:tc>
        <w:tc>
          <w:tcPr>
            <w:tcW w:w="125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532" w:right="166" w:hanging="360"/>
              <w:jc w:val="left"/>
              <w:rPr>
                <w:rFonts w:ascii="宋体" w:hAnsi="宋体" w:cs="宋体" w:eastAsia="宋体" w:hint="default"/>
                <w:sz w:val="18"/>
                <w:szCs w:val="18"/>
              </w:rPr>
            </w:pPr>
            <w:r>
              <w:rPr>
                <w:rFonts w:ascii="宋体" w:hAnsi="宋体" w:cs="宋体" w:eastAsia="宋体" w:hint="default"/>
                <w:spacing w:val="-2"/>
                <w:sz w:val="18"/>
                <w:szCs w:val="18"/>
              </w:rPr>
              <w:t>累计投资收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24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58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5" w:right="103"/>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r>
      <w:tr>
        <w:trPr>
          <w:trHeight w:val="384"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股票</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511,181.85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-21,398.31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-71,327.70</w:t>
            </w:r>
          </w:p>
        </w:tc>
        <w:tc>
          <w:tcPr>
            <w:tcW w:w="126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94"/>
              <w:jc w:val="right"/>
              <w:rPr>
                <w:rFonts w:ascii="Times New Roman" w:hAnsi="Times New Roman" w:cs="Times New Roman" w:eastAsia="Times New Roman" w:hint="default"/>
                <w:sz w:val="18"/>
                <w:szCs w:val="18"/>
              </w:rPr>
            </w:pPr>
            <w:r>
              <w:rPr>
                <w:rFonts w:ascii="Times New Roman"/>
                <w:spacing w:val="-1"/>
                <w:sz w:val="18"/>
              </w:rPr>
              <w:t>439,854.15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475"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pacing w:val="-1"/>
                <w:sz w:val="18"/>
              </w:rPr>
              <w:t>61,778,973.00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pacing w:val="-1"/>
                <w:sz w:val="18"/>
              </w:rPr>
              <w:t>-6,299,240.92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8" w:right="0"/>
              <w:jc w:val="center"/>
              <w:rPr>
                <w:rFonts w:ascii="Times New Roman" w:hAnsi="Times New Roman" w:cs="Times New Roman" w:eastAsia="Times New Roman" w:hint="default"/>
                <w:sz w:val="18"/>
                <w:szCs w:val="18"/>
              </w:rPr>
            </w:pPr>
            <w:r>
              <w:rPr>
                <w:rFonts w:ascii="Times New Roman"/>
                <w:sz w:val="18"/>
              </w:rPr>
              <w:t>33,600,000.00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9,200,759.08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8" w:right="0"/>
              <w:jc w:val="center"/>
              <w:rPr>
                <w:rFonts w:ascii="Times New Roman" w:hAnsi="Times New Roman" w:cs="Times New Roman" w:eastAsia="Times New Roman" w:hint="default"/>
                <w:sz w:val="18"/>
                <w:szCs w:val="18"/>
              </w:rPr>
            </w:pPr>
            <w:r>
              <w:rPr>
                <w:rFonts w:ascii="Times New Roman"/>
                <w:sz w:val="18"/>
              </w:rPr>
              <w:t>21,079,512.60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46,278,973.00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451" w:hRule="exact"/>
        </w:trPr>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6"/>
              <w:jc w:val="right"/>
              <w:rPr>
                <w:rFonts w:ascii="Times New Roman" w:hAnsi="Times New Roman" w:cs="Times New Roman" w:eastAsia="Times New Roman" w:hint="default"/>
                <w:sz w:val="18"/>
                <w:szCs w:val="18"/>
              </w:rPr>
            </w:pPr>
            <w:r>
              <w:rPr>
                <w:rFonts w:ascii="Times New Roman"/>
                <w:spacing w:val="-1"/>
                <w:sz w:val="18"/>
              </w:rPr>
              <w:t>62,290,154.85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spacing w:val="-1"/>
                <w:sz w:val="18"/>
              </w:rPr>
              <w:t>-21,398.31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5"/>
              <w:jc w:val="right"/>
              <w:rPr>
                <w:rFonts w:ascii="Times New Roman" w:hAnsi="Times New Roman" w:cs="Times New Roman" w:eastAsia="Times New Roman" w:hint="default"/>
                <w:sz w:val="18"/>
                <w:szCs w:val="18"/>
              </w:rPr>
            </w:pPr>
            <w:r>
              <w:rPr>
                <w:rFonts w:ascii="Times New Roman"/>
                <w:spacing w:val="-1"/>
                <w:sz w:val="18"/>
              </w:rPr>
              <w:t>-6,370,568.62</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8" w:right="0"/>
              <w:jc w:val="center"/>
              <w:rPr>
                <w:rFonts w:ascii="Times New Roman" w:hAnsi="Times New Roman" w:cs="Times New Roman" w:eastAsia="Times New Roman" w:hint="default"/>
                <w:sz w:val="18"/>
                <w:szCs w:val="18"/>
              </w:rPr>
            </w:pPr>
            <w:r>
              <w:rPr>
                <w:rFonts w:ascii="Times New Roman"/>
                <w:sz w:val="18"/>
              </w:rPr>
              <w:t>33,600,000.00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spacing w:val="-1"/>
                <w:sz w:val="18"/>
              </w:rPr>
              <w:t>9,200,759.08</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8" w:right="0"/>
              <w:jc w:val="center"/>
              <w:rPr>
                <w:rFonts w:ascii="Times New Roman" w:hAnsi="Times New Roman" w:cs="Times New Roman" w:eastAsia="Times New Roman" w:hint="default"/>
                <w:sz w:val="18"/>
                <w:szCs w:val="18"/>
              </w:rPr>
            </w:pPr>
            <w:r>
              <w:rPr>
                <w:rFonts w:ascii="Times New Roman"/>
                <w:sz w:val="18"/>
              </w:rPr>
              <w:t>21,079,512.60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spacing w:val="-1"/>
                <w:sz w:val="18"/>
              </w:rPr>
              <w:t>46,718,827.15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233" w:right="0" w:firstLine="0"/>
        <w:jc w:val="left"/>
        <w:rPr>
          <w:rFonts w:ascii="宋体" w:hAnsi="宋体" w:cs="宋体" w:eastAsia="宋体" w:hint="default"/>
          <w:sz w:val="21"/>
          <w:szCs w:val="21"/>
        </w:rPr>
      </w:pPr>
      <w:bookmarkStart w:name="5、募集资金使用情况" w:id="49"/>
      <w:bookmarkEnd w:id="4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3" w:lineRule="auto" w:before="0"/>
        <w:ind w:left="23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公司报告期无募集资金使用情况。</w:t>
      </w:r>
    </w:p>
    <w:p>
      <w:pPr>
        <w:spacing w:line="240" w:lineRule="auto" w:before="1"/>
        <w:rPr>
          <w:rFonts w:ascii="宋体" w:hAnsi="宋体" w:cs="宋体" w:eastAsia="宋体" w:hint="default"/>
          <w:sz w:val="18"/>
          <w:szCs w:val="18"/>
        </w:rPr>
      </w:pPr>
    </w:p>
    <w:p>
      <w:pPr>
        <w:pStyle w:val="Heading2"/>
        <w:spacing w:line="240" w:lineRule="auto"/>
        <w:ind w:left="233"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3"/>
        <w:rPr>
          <w:rFonts w:ascii="宋体" w:hAnsi="宋体" w:cs="宋体" w:eastAsia="宋体" w:hint="default"/>
          <w:b/>
          <w:bCs/>
          <w:sz w:val="25"/>
          <w:szCs w:val="25"/>
        </w:rPr>
      </w:pPr>
    </w:p>
    <w:p>
      <w:pPr>
        <w:spacing w:before="0"/>
        <w:ind w:left="233" w:right="0" w:firstLine="0"/>
        <w:jc w:val="left"/>
        <w:rPr>
          <w:rFonts w:ascii="宋体" w:hAnsi="宋体" w:cs="宋体" w:eastAsia="宋体" w:hint="default"/>
          <w:sz w:val="21"/>
          <w:szCs w:val="21"/>
        </w:rPr>
      </w:pPr>
      <w:bookmarkStart w:name="1、出售重大资产情况" w:id="51"/>
      <w:bookmarkEnd w:id="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233" w:right="721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公司报告期未出售重大资产。</w:t>
      </w:r>
    </w:p>
    <w:p>
      <w:pPr>
        <w:spacing w:line="240" w:lineRule="auto" w:before="0"/>
        <w:rPr>
          <w:rFonts w:ascii="宋体" w:hAnsi="宋体" w:cs="宋体" w:eastAsia="宋体" w:hint="default"/>
          <w:sz w:val="21"/>
          <w:szCs w:val="21"/>
        </w:rPr>
      </w:pPr>
    </w:p>
    <w:p>
      <w:pPr>
        <w:spacing w:before="0"/>
        <w:ind w:left="233" w:right="0" w:firstLine="0"/>
        <w:jc w:val="left"/>
        <w:rPr>
          <w:rFonts w:ascii="宋体" w:hAnsi="宋体" w:cs="宋体" w:eastAsia="宋体" w:hint="default"/>
          <w:sz w:val="21"/>
          <w:szCs w:val="21"/>
        </w:rPr>
      </w:pPr>
      <w:bookmarkStart w:name="2、出售重大股权情况" w:id="52"/>
      <w:bookmarkEnd w:id="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2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228" w:type="dxa"/>
        <w:tblLayout w:type="fixed"/>
        <w:tblCellMar>
          <w:top w:w="0" w:type="dxa"/>
          <w:left w:w="0" w:type="dxa"/>
          <w:bottom w:w="0" w:type="dxa"/>
          <w:right w:w="0" w:type="dxa"/>
        </w:tblCellMar>
        <w:tblLook w:val="01E0"/>
      </w:tblPr>
      <w:tblGrid>
        <w:gridCol w:w="682"/>
        <w:gridCol w:w="682"/>
        <w:gridCol w:w="687"/>
        <w:gridCol w:w="682"/>
        <w:gridCol w:w="682"/>
        <w:gridCol w:w="686"/>
        <w:gridCol w:w="682"/>
        <w:gridCol w:w="686"/>
        <w:gridCol w:w="682"/>
        <w:gridCol w:w="686"/>
        <w:gridCol w:w="682"/>
        <w:gridCol w:w="686"/>
        <w:gridCol w:w="682"/>
        <w:gridCol w:w="682"/>
      </w:tblGrid>
      <w:tr>
        <w:trPr>
          <w:trHeight w:val="2900"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44" w:right="60" w:hanging="178"/>
              <w:jc w:val="left"/>
              <w:rPr>
                <w:rFonts w:ascii="宋体" w:hAnsi="宋体" w:cs="宋体" w:eastAsia="宋体" w:hint="default"/>
                <w:sz w:val="18"/>
                <w:szCs w:val="18"/>
              </w:rPr>
            </w:pPr>
            <w:r>
              <w:rPr>
                <w:rFonts w:ascii="宋体" w:hAnsi="宋体" w:cs="宋体" w:eastAsia="宋体" w:hint="default"/>
                <w:sz w:val="18"/>
                <w:szCs w:val="18"/>
              </w:rPr>
              <w:t>交易对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154" w:right="60" w:hanging="87"/>
              <w:jc w:val="left"/>
              <w:rPr>
                <w:rFonts w:ascii="宋体" w:hAnsi="宋体" w:cs="宋体" w:eastAsia="宋体" w:hint="default"/>
                <w:sz w:val="18"/>
                <w:szCs w:val="18"/>
              </w:rPr>
            </w:pPr>
            <w:r>
              <w:rPr>
                <w:rFonts w:ascii="宋体" w:hAnsi="宋体" w:cs="宋体" w:eastAsia="宋体" w:hint="default"/>
                <w:sz w:val="18"/>
                <w:szCs w:val="18"/>
              </w:rPr>
              <w:t>被出售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7" w:right="60"/>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0"/>
              <w:jc w:val="both"/>
              <w:rPr>
                <w:rFonts w:ascii="宋体" w:hAnsi="宋体" w:cs="宋体" w:eastAsia="宋体" w:hint="default"/>
                <w:sz w:val="18"/>
                <w:szCs w:val="18"/>
              </w:rPr>
            </w:pPr>
            <w:r>
              <w:rPr>
                <w:rFonts w:ascii="宋体" w:hAnsi="宋体" w:cs="宋体" w:eastAsia="宋体" w:hint="default"/>
                <w:sz w:val="18"/>
                <w:szCs w:val="18"/>
              </w:rPr>
              <w:t>本期初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起至出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售日该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司贡献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出售对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0"/>
              <w:jc w:val="both"/>
              <w:rPr>
                <w:rFonts w:ascii="宋体" w:hAnsi="宋体" w:cs="宋体" w:eastAsia="宋体" w:hint="default"/>
                <w:sz w:val="18"/>
                <w:szCs w:val="18"/>
              </w:rPr>
            </w:pPr>
            <w:r>
              <w:rPr>
                <w:rFonts w:ascii="宋体" w:hAnsi="宋体" w:cs="宋体" w:eastAsia="宋体" w:hint="default"/>
                <w:sz w:val="18"/>
                <w:szCs w:val="18"/>
              </w:rPr>
              <w:t>股权出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售为上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贡献的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净利润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股权出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售定价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原则</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7" w:right="60"/>
              <w:jc w:val="center"/>
              <w:rPr>
                <w:rFonts w:ascii="宋体" w:hAnsi="宋体" w:cs="宋体" w:eastAsia="宋体" w:hint="default"/>
                <w:sz w:val="18"/>
                <w:szCs w:val="18"/>
              </w:rPr>
            </w:pPr>
            <w:r>
              <w:rPr>
                <w:rFonts w:ascii="宋体" w:hAnsi="宋体" w:cs="宋体" w:eastAsia="宋体" w:hint="default"/>
                <w:spacing w:val="-2"/>
                <w:sz w:val="18"/>
                <w:szCs w:val="18"/>
              </w:rPr>
              <w:t>是否为</w:t>
            </w:r>
            <w:r>
              <w:rPr>
                <w:rFonts w:ascii="宋体" w:hAnsi="宋体" w:cs="宋体" w:eastAsia="宋体" w:hint="default"/>
                <w:w w:val="101"/>
                <w:sz w:val="18"/>
                <w:szCs w:val="18"/>
              </w:rPr>
              <w:t> </w:t>
            </w:r>
            <w:r>
              <w:rPr>
                <w:rFonts w:ascii="宋体" w:hAnsi="宋体" w:cs="宋体" w:eastAsia="宋体" w:hint="default"/>
                <w:spacing w:val="-2"/>
                <w:sz w:val="18"/>
                <w:szCs w:val="18"/>
              </w:rPr>
              <w:t>关联交</w:t>
            </w:r>
            <w:r>
              <w:rPr>
                <w:rFonts w:ascii="宋体" w:hAnsi="宋体" w:cs="宋体" w:eastAsia="宋体" w:hint="default"/>
                <w:w w:val="101"/>
                <w:sz w:val="18"/>
                <w:szCs w:val="18"/>
              </w:rPr>
              <w:t> </w:t>
            </w:r>
            <w:r>
              <w:rPr>
                <w:rFonts w:ascii="宋体" w:hAnsi="宋体" w:cs="宋体" w:eastAsia="宋体" w:hint="default"/>
                <w:sz w:val="18"/>
                <w:szCs w:val="18"/>
              </w:rPr>
              <w:t>易</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72" w:right="60"/>
              <w:jc w:val="center"/>
              <w:rPr>
                <w:rFonts w:ascii="宋体" w:hAnsi="宋体" w:cs="宋体" w:eastAsia="宋体" w:hint="default"/>
                <w:sz w:val="18"/>
                <w:szCs w:val="18"/>
              </w:rPr>
            </w:pPr>
            <w:r>
              <w:rPr>
                <w:rFonts w:ascii="宋体" w:hAnsi="宋体" w:cs="宋体" w:eastAsia="宋体" w:hint="default"/>
                <w:spacing w:val="-2"/>
                <w:sz w:val="18"/>
                <w:szCs w:val="18"/>
              </w:rPr>
              <w:t>与交易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对方的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0"/>
              <w:jc w:val="center"/>
              <w:rPr>
                <w:rFonts w:ascii="宋体" w:hAnsi="宋体" w:cs="宋体" w:eastAsia="宋体" w:hint="default"/>
                <w:sz w:val="18"/>
                <w:szCs w:val="18"/>
              </w:rPr>
            </w:pPr>
            <w:r>
              <w:rPr>
                <w:rFonts w:ascii="宋体" w:hAnsi="宋体" w:cs="宋体" w:eastAsia="宋体" w:hint="default"/>
                <w:spacing w:val="-2"/>
                <w:sz w:val="18"/>
                <w:szCs w:val="18"/>
              </w:rPr>
              <w:t>所涉及</w:t>
            </w:r>
            <w:r>
              <w:rPr>
                <w:rFonts w:ascii="宋体" w:hAnsi="宋体" w:cs="宋体" w:eastAsia="宋体" w:hint="default"/>
                <w:w w:val="101"/>
                <w:sz w:val="18"/>
                <w:szCs w:val="18"/>
              </w:rPr>
              <w:t> </w:t>
            </w:r>
            <w:r>
              <w:rPr>
                <w:rFonts w:ascii="宋体" w:hAnsi="宋体" w:cs="宋体" w:eastAsia="宋体" w:hint="default"/>
                <w:spacing w:val="-2"/>
                <w:sz w:val="18"/>
                <w:szCs w:val="18"/>
              </w:rPr>
              <w:t>的股权</w:t>
            </w:r>
            <w:r>
              <w:rPr>
                <w:rFonts w:ascii="宋体" w:hAnsi="宋体" w:cs="宋体" w:eastAsia="宋体" w:hint="default"/>
                <w:w w:val="101"/>
                <w:sz w:val="18"/>
                <w:szCs w:val="18"/>
              </w:rPr>
              <w:t> </w:t>
            </w:r>
            <w:r>
              <w:rPr>
                <w:rFonts w:ascii="宋体" w:hAnsi="宋体" w:cs="宋体" w:eastAsia="宋体" w:hint="default"/>
                <w:spacing w:val="-2"/>
                <w:sz w:val="18"/>
                <w:szCs w:val="18"/>
              </w:rPr>
              <w:t>是否已</w:t>
            </w:r>
            <w:r>
              <w:rPr>
                <w:rFonts w:ascii="宋体" w:hAnsi="宋体" w:cs="宋体" w:eastAsia="宋体" w:hint="default"/>
                <w:w w:val="101"/>
                <w:sz w:val="18"/>
                <w:szCs w:val="18"/>
              </w:rPr>
              <w:t> </w:t>
            </w:r>
            <w:r>
              <w:rPr>
                <w:rFonts w:ascii="宋体" w:hAnsi="宋体" w:cs="宋体" w:eastAsia="宋体" w:hint="default"/>
                <w:spacing w:val="-2"/>
                <w:sz w:val="18"/>
                <w:szCs w:val="18"/>
              </w:rPr>
              <w:t>全部过</w:t>
            </w:r>
            <w:r>
              <w:rPr>
                <w:rFonts w:ascii="宋体" w:hAnsi="宋体" w:cs="宋体" w:eastAsia="宋体" w:hint="default"/>
                <w:w w:val="101"/>
                <w:sz w:val="18"/>
                <w:szCs w:val="18"/>
              </w:rPr>
              <w:t> </w:t>
            </w:r>
            <w:r>
              <w:rPr>
                <w:rFonts w:ascii="宋体" w:hAnsi="宋体" w:cs="宋体" w:eastAsia="宋体" w:hint="default"/>
                <w:sz w:val="18"/>
                <w:szCs w:val="18"/>
              </w:rPr>
              <w:t>户</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1" w:right="60"/>
              <w:jc w:val="center"/>
              <w:rPr>
                <w:rFonts w:ascii="宋体" w:hAnsi="宋体" w:cs="宋体" w:eastAsia="宋体" w:hint="default"/>
                <w:sz w:val="18"/>
                <w:szCs w:val="18"/>
              </w:rPr>
            </w:pPr>
            <w:r>
              <w:rPr>
                <w:rFonts w:ascii="宋体" w:hAnsi="宋体" w:cs="宋体" w:eastAsia="宋体" w:hint="default"/>
                <w:spacing w:val="-2"/>
                <w:sz w:val="18"/>
                <w:szCs w:val="18"/>
              </w:rPr>
              <w:t>是否按</w:t>
            </w:r>
            <w:r>
              <w:rPr>
                <w:rFonts w:ascii="宋体" w:hAnsi="宋体" w:cs="宋体" w:eastAsia="宋体" w:hint="default"/>
                <w:w w:val="101"/>
                <w:sz w:val="18"/>
                <w:szCs w:val="18"/>
              </w:rPr>
              <w:t> </w:t>
            </w:r>
            <w:r>
              <w:rPr>
                <w:rFonts w:ascii="宋体" w:hAnsi="宋体" w:cs="宋体" w:eastAsia="宋体" w:hint="default"/>
                <w:spacing w:val="-2"/>
                <w:sz w:val="18"/>
                <w:szCs w:val="18"/>
              </w:rPr>
              <w:t>计划如</w:t>
            </w:r>
            <w:r>
              <w:rPr>
                <w:rFonts w:ascii="宋体" w:hAnsi="宋体" w:cs="宋体" w:eastAsia="宋体" w:hint="default"/>
                <w:w w:val="101"/>
                <w:sz w:val="18"/>
                <w:szCs w:val="18"/>
              </w:rPr>
              <w:t> </w:t>
            </w:r>
            <w:r>
              <w:rPr>
                <w:rFonts w:ascii="宋体" w:hAnsi="宋体" w:cs="宋体" w:eastAsia="宋体" w:hint="default"/>
                <w:sz w:val="18"/>
                <w:szCs w:val="18"/>
              </w:rPr>
              <w:t>期实</w:t>
            </w:r>
            <w:r>
              <w:rPr>
                <w:rFonts w:ascii="宋体" w:hAnsi="宋体" w:cs="宋体" w:eastAsia="宋体" w:hint="default"/>
                <w:w w:val="101"/>
                <w:sz w:val="18"/>
                <w:szCs w:val="18"/>
              </w:rPr>
              <w:t> </w:t>
            </w:r>
            <w:r>
              <w:rPr>
                <w:rFonts w:ascii="宋体" w:hAnsi="宋体" w:cs="宋体" w:eastAsia="宋体" w:hint="default"/>
                <w:spacing w:val="-2"/>
                <w:sz w:val="18"/>
                <w:szCs w:val="18"/>
              </w:rPr>
              <w:t>施，如</w:t>
            </w:r>
            <w:r>
              <w:rPr>
                <w:rFonts w:ascii="宋体" w:hAnsi="宋体" w:cs="宋体" w:eastAsia="宋体" w:hint="default"/>
                <w:w w:val="101"/>
                <w:sz w:val="18"/>
                <w:szCs w:val="18"/>
              </w:rPr>
              <w:t> </w:t>
            </w:r>
            <w:r>
              <w:rPr>
                <w:rFonts w:ascii="宋体" w:hAnsi="宋体" w:cs="宋体" w:eastAsia="宋体" w:hint="default"/>
                <w:spacing w:val="-2"/>
                <w:sz w:val="18"/>
                <w:szCs w:val="18"/>
              </w:rPr>
              <w:t>未按计</w:t>
            </w:r>
            <w:r>
              <w:rPr>
                <w:rFonts w:ascii="宋体" w:hAnsi="宋体" w:cs="宋体" w:eastAsia="宋体" w:hint="default"/>
                <w:w w:val="101"/>
                <w:sz w:val="18"/>
                <w:szCs w:val="18"/>
              </w:rPr>
              <w:t> </w:t>
            </w:r>
            <w:r>
              <w:rPr>
                <w:rFonts w:ascii="宋体" w:hAnsi="宋体" w:cs="宋体" w:eastAsia="宋体" w:hint="default"/>
                <w:sz w:val="18"/>
                <w:szCs w:val="18"/>
              </w:rPr>
              <w:t>划实</w:t>
            </w:r>
            <w:r>
              <w:rPr>
                <w:rFonts w:ascii="宋体" w:hAnsi="宋体" w:cs="宋体" w:eastAsia="宋体" w:hint="default"/>
                <w:w w:val="101"/>
                <w:sz w:val="18"/>
                <w:szCs w:val="18"/>
              </w:rPr>
              <w:t> </w:t>
            </w:r>
            <w:r>
              <w:rPr>
                <w:rFonts w:ascii="宋体" w:hAnsi="宋体" w:cs="宋体" w:eastAsia="宋体" w:hint="default"/>
                <w:spacing w:val="-2"/>
                <w:sz w:val="18"/>
                <w:szCs w:val="18"/>
              </w:rPr>
              <w:t>施，应</w:t>
            </w:r>
            <w:r>
              <w:rPr>
                <w:rFonts w:ascii="宋体" w:hAnsi="宋体" w:cs="宋体" w:eastAsia="宋体" w:hint="default"/>
                <w:w w:val="101"/>
                <w:sz w:val="18"/>
                <w:szCs w:val="18"/>
              </w:rPr>
              <w:t> </w:t>
            </w:r>
            <w:r>
              <w:rPr>
                <w:rFonts w:ascii="宋体" w:hAnsi="宋体" w:cs="宋体" w:eastAsia="宋体" w:hint="default"/>
                <w:spacing w:val="-2"/>
                <w:sz w:val="18"/>
                <w:szCs w:val="18"/>
              </w:rPr>
              <w:t>当说明</w:t>
            </w:r>
            <w:r>
              <w:rPr>
                <w:rFonts w:ascii="宋体" w:hAnsi="宋体" w:cs="宋体" w:eastAsia="宋体" w:hint="default"/>
                <w:w w:val="101"/>
                <w:sz w:val="18"/>
                <w:szCs w:val="18"/>
              </w:rPr>
              <w:t> </w:t>
            </w:r>
            <w:r>
              <w:rPr>
                <w:rFonts w:ascii="宋体" w:hAnsi="宋体" w:cs="宋体" w:eastAsia="宋体" w:hint="default"/>
                <w:spacing w:val="-2"/>
                <w:sz w:val="18"/>
                <w:szCs w:val="18"/>
              </w:rPr>
              <w:t>原因及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49" w:right="60" w:hanging="183"/>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49" w:right="60" w:hanging="183"/>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bl>
    <w:p>
      <w:pPr>
        <w:spacing w:after="0" w:line="321" w:lineRule="auto"/>
        <w:jc w:val="left"/>
        <w:rPr>
          <w:rFonts w:ascii="宋体" w:hAnsi="宋体" w:cs="宋体" w:eastAsia="宋体" w:hint="default"/>
          <w:sz w:val="18"/>
          <w:szCs w:val="18"/>
        </w:rPr>
        <w:sectPr>
          <w:pgSz w:w="11910" w:h="16840"/>
          <w:pgMar w:header="741" w:footer="979" w:top="1060" w:bottom="1160" w:left="90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7"/>
        <w:gridCol w:w="682"/>
        <w:gridCol w:w="682"/>
        <w:gridCol w:w="686"/>
        <w:gridCol w:w="682"/>
        <w:gridCol w:w="686"/>
        <w:gridCol w:w="682"/>
        <w:gridCol w:w="686"/>
        <w:gridCol w:w="682"/>
        <w:gridCol w:w="686"/>
        <w:gridCol w:w="682"/>
        <w:gridCol w:w="682"/>
      </w:tblGrid>
      <w:tr>
        <w:trPr>
          <w:trHeight w:val="984"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71" w:right="60"/>
              <w:jc w:val="both"/>
              <w:rPr>
                <w:rFonts w:ascii="宋体" w:hAnsi="宋体" w:cs="宋体" w:eastAsia="宋体" w:hint="default"/>
                <w:sz w:val="18"/>
                <w:szCs w:val="18"/>
              </w:rPr>
            </w:pPr>
            <w:r>
              <w:rPr>
                <w:rFonts w:ascii="宋体" w:hAnsi="宋体" w:cs="宋体" w:eastAsia="宋体" w:hint="default"/>
                <w:sz w:val="18"/>
                <w:szCs w:val="18"/>
              </w:rPr>
              <w:t>公司已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采取的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措施</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270"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闻之航</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9" w:lineRule="auto"/>
              <w:ind w:left="23" w:right="104"/>
              <w:jc w:val="both"/>
              <w:rPr>
                <w:rFonts w:ascii="宋体" w:hAnsi="宋体" w:cs="宋体" w:eastAsia="宋体" w:hint="default"/>
                <w:sz w:val="18"/>
                <w:szCs w:val="18"/>
              </w:rPr>
            </w:pPr>
            <w:r>
              <w:rPr>
                <w:rFonts w:ascii="宋体" w:hAnsi="宋体" w:cs="宋体" w:eastAsia="宋体" w:hint="default"/>
                <w:sz w:val="18"/>
                <w:szCs w:val="18"/>
              </w:rPr>
              <w:t>上海虹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港数据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信息有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2,440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2,107.9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28" w:right="103"/>
              <w:jc w:val="left"/>
              <w:rPr>
                <w:rFonts w:ascii="宋体" w:hAnsi="宋体" w:cs="宋体" w:eastAsia="宋体" w:hint="default"/>
                <w:sz w:val="18"/>
                <w:szCs w:val="18"/>
              </w:rPr>
            </w:pPr>
            <w:r>
              <w:rPr>
                <w:rFonts w:ascii="宋体" w:hAnsi="宋体" w:cs="宋体" w:eastAsia="宋体" w:hint="default"/>
                <w:sz w:val="18"/>
                <w:szCs w:val="18"/>
              </w:rPr>
              <w:t>上海虹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港为公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司参股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纳入合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并报</w:t>
            </w:r>
            <w:r>
              <w:rPr>
                <w:rFonts w:ascii="宋体" w:hAnsi="宋体" w:cs="宋体" w:eastAsia="宋体" w:hint="default"/>
                <w:spacing w:val="-86"/>
                <w:sz w:val="18"/>
                <w:szCs w:val="18"/>
              </w:rPr>
              <w:t> </w:t>
            </w:r>
            <w:r>
              <w:rPr>
                <w:rFonts w:ascii="宋体" w:hAnsi="宋体" w:cs="宋体" w:eastAsia="宋体" w:hint="default"/>
                <w:sz w:val="18"/>
                <w:szCs w:val="18"/>
              </w:rPr>
              <w:t>表，本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次出售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不会对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经营产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生不利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财务成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果无重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大影</w:t>
            </w:r>
            <w:r>
              <w:rPr>
                <w:rFonts w:ascii="宋体" w:hAnsi="宋体" w:cs="宋体" w:eastAsia="宋体" w:hint="default"/>
                <w:spacing w:val="-86"/>
                <w:sz w:val="18"/>
                <w:szCs w:val="18"/>
              </w:rPr>
              <w:t> </w:t>
            </w:r>
            <w:r>
              <w:rPr>
                <w:rFonts w:ascii="宋体" w:hAnsi="宋体" w:cs="宋体" w:eastAsia="宋体" w:hint="default"/>
                <w:sz w:val="18"/>
                <w:szCs w:val="18"/>
              </w:rPr>
              <w:t>响，符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长远发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展规划</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643.01</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 w:right="108"/>
              <w:jc w:val="both"/>
              <w:rPr>
                <w:rFonts w:ascii="宋体" w:hAnsi="宋体" w:cs="宋体" w:eastAsia="宋体" w:hint="default"/>
                <w:sz w:val="18"/>
                <w:szCs w:val="18"/>
              </w:rPr>
            </w:pPr>
            <w:r>
              <w:rPr>
                <w:rFonts w:ascii="宋体" w:hAnsi="宋体" w:cs="宋体" w:eastAsia="宋体" w:hint="default"/>
                <w:sz w:val="18"/>
                <w:szCs w:val="18"/>
              </w:rPr>
              <w:t>考虑到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上海虹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港历年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均未实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现盈利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经协议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各方友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好协商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同意按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本次股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433" w:lineRule="exact"/>
              <w:ind w:right="-56"/>
              <w:jc w:val="left"/>
              <w:rPr>
                <w:rFonts w:ascii="宋体" w:hAnsi="宋体" w:cs="宋体" w:eastAsia="宋体" w:hint="default"/>
                <w:sz w:val="20"/>
                <w:szCs w:val="20"/>
              </w:rPr>
            </w:pPr>
            <w:r>
              <w:rPr>
                <w:rFonts w:ascii="宋体" w:hAnsi="宋体" w:cs="宋体" w:eastAsia="宋体" w:hint="default"/>
                <w:position w:val="-68"/>
                <w:sz w:val="20"/>
                <w:szCs w:val="20"/>
              </w:rPr>
              <w:pict>
                <v:group style="width:33.9pt;height:171.65pt;mso-position-horizontal-relative:char;mso-position-vertical-relative:line" coordorigin="0,0" coordsize="678,3433">
                  <v:group style="position:absolute;left:0;top:0;width:678;height:3433" coordorigin="0,0" coordsize="678,3433">
                    <v:shape style="position:absolute;left:0;top:0;width:678;height:3433" coordorigin="0,0" coordsize="678,3433" path="m0,3433l677,3433,677,0,0,0,0,3433xe" filled="true" fillcolor="#ffffff" stroked="false">
                      <v:path arrowok="t"/>
                      <v:fill type="solid"/>
                    </v:shape>
                  </v:group>
                </v:group>
              </w:pict>
            </w:r>
            <w:r>
              <w:rPr>
                <w:rFonts w:ascii="宋体" w:hAnsi="宋体" w:cs="宋体" w:eastAsia="宋体" w:hint="default"/>
                <w:position w:val="-68"/>
                <w:sz w:val="20"/>
                <w:szCs w:val="20"/>
              </w:rPr>
            </w:r>
          </w:p>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8" w:right="103"/>
              <w:jc w:val="left"/>
              <w:rPr>
                <w:rFonts w:ascii="宋体" w:hAnsi="宋体" w:cs="宋体" w:eastAsia="宋体" w:hint="default"/>
                <w:sz w:val="18"/>
                <w:szCs w:val="18"/>
              </w:rPr>
            </w:pPr>
            <w:r>
              <w:rPr>
                <w:rFonts w:ascii="宋体" w:hAnsi="宋体" w:cs="宋体" w:eastAsia="宋体" w:hint="default"/>
                <w:sz w:val="18"/>
                <w:szCs w:val="18"/>
              </w:rPr>
              <w:t>实施完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03</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18"/>
              <w:ind w:left="28" w:right="98"/>
              <w:jc w:val="both"/>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338" w:lineRule="auto" w:before="23"/>
              <w:ind w:left="28" w:right="36"/>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2019-06</w:t>
            </w:r>
          </w:p>
          <w:p>
            <w:pPr>
              <w:pStyle w:val="TableParagraph"/>
              <w:spacing w:line="235" w:lineRule="exact"/>
              <w:ind w:left="2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980" w:right="0"/>
        </w:sectPr>
      </w:pPr>
    </w:p>
    <w:p>
      <w:pPr>
        <w:spacing w:before="46"/>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2"/>
        <w:ind w:left="15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4" w:space="4068"/>
            <w:col w:w="2008"/>
          </w:cols>
        </w:sectPr>
      </w:pPr>
    </w:p>
    <w:p>
      <w:pPr>
        <w:spacing w:line="240" w:lineRule="auto" w:before="13"/>
        <w:rPr>
          <w:rFonts w:ascii="宋体" w:hAnsi="宋体" w:cs="宋体" w:eastAsia="宋体" w:hint="default"/>
          <w:sz w:val="7"/>
          <w:szCs w:val="7"/>
        </w:rPr>
      </w:pPr>
      <w:r>
        <w:rPr/>
        <w:pict>
          <v:shape style="position:absolute;margin-left:324.362885pt;margin-top:121.699982pt;width:39.9pt;height:171.65pt;mso-position-horizontal-relative:page;mso-position-vertical-relative:page;z-index:-118124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1057"/>
        <w:gridCol w:w="787"/>
        <w:gridCol w:w="1451"/>
        <w:gridCol w:w="1046"/>
        <w:gridCol w:w="1047"/>
        <w:gridCol w:w="1047"/>
        <w:gridCol w:w="1047"/>
        <w:gridCol w:w="1042"/>
        <w:gridCol w:w="1046"/>
      </w:tblGrid>
      <w:tr>
        <w:trPr>
          <w:trHeight w:val="398"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4"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四川桑瑞思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环境技术工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程有限公司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3"/>
              <w:jc w:val="left"/>
              <w:rPr>
                <w:rFonts w:ascii="宋体" w:hAnsi="宋体" w:cs="宋体" w:eastAsia="宋体" w:hint="default"/>
                <w:sz w:val="18"/>
                <w:szCs w:val="18"/>
              </w:rPr>
            </w:pPr>
            <w:r>
              <w:rPr>
                <w:rFonts w:ascii="宋体" w:hAnsi="宋体" w:cs="宋体" w:eastAsia="宋体" w:hint="default"/>
                <w:spacing w:val="-3"/>
                <w:sz w:val="18"/>
                <w:szCs w:val="18"/>
              </w:rPr>
              <w:t>精密环境工程承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包及相关技术咨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询服务等，精密环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境工程主要包括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机房环境工程和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医院洁净工程</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486,996,386.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56,954,366.1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215,449,479.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-13,455,457.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-11,343,620.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94</w:t>
            </w:r>
          </w:p>
        </w:tc>
      </w:tr>
      <w:tr>
        <w:trPr>
          <w:trHeight w:val="1220"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50"/>
              <w:ind w:left="24" w:right="118"/>
              <w:jc w:val="both"/>
              <w:rPr>
                <w:rFonts w:ascii="宋体" w:hAnsi="宋体" w:cs="宋体" w:eastAsia="宋体" w:hint="default"/>
                <w:sz w:val="18"/>
                <w:szCs w:val="18"/>
              </w:rPr>
            </w:pPr>
            <w:r>
              <w:rPr>
                <w:rFonts w:ascii="宋体" w:hAnsi="宋体" w:cs="宋体" w:eastAsia="宋体" w:hint="default"/>
                <w:spacing w:val="-2"/>
                <w:sz w:val="18"/>
                <w:szCs w:val="18"/>
              </w:rPr>
              <w:t>四川依米康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龙控软件有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50"/>
              <w:ind w:left="23" w:right="152"/>
              <w:jc w:val="both"/>
              <w:rPr>
                <w:rFonts w:ascii="宋体" w:hAnsi="宋体" w:cs="宋体" w:eastAsia="宋体" w:hint="default"/>
                <w:sz w:val="18"/>
                <w:szCs w:val="18"/>
              </w:rPr>
            </w:pPr>
            <w:r>
              <w:rPr>
                <w:rFonts w:ascii="宋体" w:hAnsi="宋体" w:cs="宋体" w:eastAsia="宋体" w:hint="default"/>
                <w:spacing w:val="-3"/>
                <w:sz w:val="18"/>
                <w:szCs w:val="18"/>
              </w:rPr>
              <w:t>精密空调控制器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相关的研发、设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计、生产与销售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94,889,457.7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67,772,669.5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32,994,691.5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2"/>
                <w:sz w:val="18"/>
              </w:rPr>
              <w:t>23,247,277.1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20,955,207.3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7"/>
        <w:gridCol w:w="787"/>
        <w:gridCol w:w="1451"/>
        <w:gridCol w:w="1046"/>
        <w:gridCol w:w="1047"/>
        <w:gridCol w:w="1047"/>
        <w:gridCol w:w="1047"/>
        <w:gridCol w:w="1042"/>
        <w:gridCol w:w="1046"/>
      </w:tblGrid>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both"/>
              <w:rPr>
                <w:rFonts w:ascii="宋体" w:hAnsi="宋体" w:cs="宋体" w:eastAsia="宋体" w:hint="default"/>
                <w:sz w:val="18"/>
                <w:szCs w:val="18"/>
              </w:rPr>
            </w:pPr>
            <w:r>
              <w:rPr>
                <w:rFonts w:ascii="宋体" w:hAnsi="宋体" w:cs="宋体" w:eastAsia="宋体" w:hint="default"/>
                <w:spacing w:val="-16"/>
                <w:w w:val="101"/>
                <w:sz w:val="18"/>
                <w:szCs w:val="18"/>
              </w:rPr>
              <w:t>腾龙资产（北</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16"/>
                <w:w w:val="101"/>
                <w:sz w:val="18"/>
                <w:szCs w:val="18"/>
              </w:rPr>
              <w:t>京）投资管理</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有限公司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52"/>
              <w:jc w:val="left"/>
              <w:rPr>
                <w:rFonts w:ascii="宋体" w:hAnsi="宋体" w:cs="宋体" w:eastAsia="宋体" w:hint="default"/>
                <w:sz w:val="18"/>
                <w:szCs w:val="18"/>
              </w:rPr>
            </w:pPr>
            <w:r>
              <w:rPr>
                <w:rFonts w:ascii="宋体" w:hAnsi="宋体" w:cs="宋体" w:eastAsia="宋体" w:hint="default"/>
                <w:spacing w:val="-3"/>
                <w:sz w:val="18"/>
                <w:szCs w:val="18"/>
              </w:rPr>
              <w:t>专业投资持股平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台</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350,446,681.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38,312,154.7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19,088,782.2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-22,570,542.</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-21,105,333.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r>
      <w:tr>
        <w:trPr>
          <w:trHeight w:val="1959"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依米康智能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工程有限公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3"/>
              <w:jc w:val="left"/>
              <w:rPr>
                <w:rFonts w:ascii="宋体" w:hAnsi="宋体" w:cs="宋体" w:eastAsia="宋体" w:hint="default"/>
                <w:sz w:val="18"/>
                <w:szCs w:val="18"/>
              </w:rPr>
            </w:pPr>
            <w:r>
              <w:rPr>
                <w:rFonts w:ascii="宋体" w:hAnsi="宋体" w:cs="宋体" w:eastAsia="宋体" w:hint="default"/>
                <w:spacing w:val="-3"/>
                <w:sz w:val="18"/>
                <w:szCs w:val="18"/>
              </w:rPr>
              <w:t>数据中心基础设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施建设提供整体</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解决方案，包括咨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8"/>
                <w:sz w:val="18"/>
                <w:szCs w:val="18"/>
              </w:rPr>
              <w:t>询、设计、工程总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8"/>
                <w:sz w:val="18"/>
                <w:szCs w:val="18"/>
              </w:rPr>
              <w:t>包、方案实施和运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维优化等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63,125,000.0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397,066,316.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76,646,226.0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275,889,283.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5,880,278.43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pacing w:val="-2"/>
                <w:sz w:val="18"/>
              </w:rPr>
              <w:t>4,047,611.50</w:t>
            </w:r>
          </w:p>
        </w:tc>
      </w:tr>
      <w:tr>
        <w:trPr>
          <w:trHeight w:val="2276"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深圳市龙控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智能技术有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13"/>
              <w:jc w:val="left"/>
              <w:rPr>
                <w:rFonts w:ascii="宋体" w:hAnsi="宋体" w:cs="宋体" w:eastAsia="宋体" w:hint="default"/>
                <w:sz w:val="18"/>
                <w:szCs w:val="18"/>
              </w:rPr>
            </w:pPr>
            <w:r>
              <w:rPr>
                <w:rFonts w:ascii="宋体" w:hAnsi="宋体" w:cs="宋体" w:eastAsia="宋体" w:hint="default"/>
                <w:spacing w:val="-3"/>
                <w:sz w:val="18"/>
                <w:szCs w:val="18"/>
              </w:rPr>
              <w:t>机房动力环境监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控系统和数据中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心基础设施管理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系统以及物流监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控管理系统的研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究、设计及开发和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应用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152,052,121.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49,544,051.6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103,190,181.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9,347,180.98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14,044,249.2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964"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pacing w:val="-2"/>
                <w:sz w:val="18"/>
                <w:szCs w:val="18"/>
              </w:rPr>
              <w:t>江苏亿金环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保科技有限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3"/>
              <w:jc w:val="left"/>
              <w:rPr>
                <w:rFonts w:ascii="宋体" w:hAnsi="宋体" w:cs="宋体" w:eastAsia="宋体" w:hint="default"/>
                <w:sz w:val="18"/>
                <w:szCs w:val="18"/>
              </w:rPr>
            </w:pPr>
            <w:r>
              <w:rPr>
                <w:rFonts w:ascii="宋体" w:hAnsi="宋体" w:cs="宋体" w:eastAsia="宋体" w:hint="default"/>
                <w:spacing w:val="-8"/>
                <w:sz w:val="18"/>
                <w:szCs w:val="18"/>
              </w:rPr>
              <w:t>除尘、脱硫、脱硝</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设备的研发、设计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与销售，并提供工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8"/>
                <w:sz w:val="18"/>
                <w:szCs w:val="18"/>
              </w:rPr>
              <w:t>业烟气治理、垃圾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处理等环保治理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整体解决方案</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110,000,000.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824,511,518.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372,841,876.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240,536,529.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67</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3,276,982.56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1,855,903.23</w:t>
            </w:r>
          </w:p>
        </w:tc>
      </w:tr>
      <w:tr>
        <w:trPr>
          <w:trHeight w:val="15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依米康冷元</w:t>
            </w:r>
            <w:r>
              <w:rPr>
                <w:rFonts w:ascii="宋体" w:hAnsi="宋体" w:cs="宋体" w:eastAsia="宋体" w:hint="default"/>
                <w:w w:val="101"/>
                <w:sz w:val="18"/>
                <w:szCs w:val="18"/>
              </w:rPr>
              <w:t> </w:t>
            </w:r>
            <w:r>
              <w:rPr>
                <w:rFonts w:ascii="宋体" w:hAnsi="宋体" w:cs="宋体" w:eastAsia="宋体" w:hint="default"/>
                <w:spacing w:val="-16"/>
                <w:w w:val="101"/>
                <w:sz w:val="18"/>
                <w:szCs w:val="18"/>
              </w:rPr>
              <w:t>节能科技（上</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pacing w:val="-16"/>
                <w:w w:val="101"/>
                <w:sz w:val="18"/>
                <w:szCs w:val="18"/>
              </w:rPr>
              <w:t>海）有限公司</w:t>
            </w:r>
            <w:r>
              <w:rPr>
                <w:rFonts w:ascii="宋体" w:hAnsi="宋体" w:cs="宋体" w:eastAsia="宋体" w:hint="default"/>
                <w:spacing w:val="-16"/>
                <w:sz w:val="18"/>
                <w:szCs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49"/>
              <w:ind w:left="23" w:right="13"/>
              <w:jc w:val="left"/>
              <w:rPr>
                <w:rFonts w:ascii="宋体" w:hAnsi="宋体" w:cs="宋体" w:eastAsia="宋体" w:hint="default"/>
                <w:sz w:val="18"/>
                <w:szCs w:val="18"/>
              </w:rPr>
            </w:pPr>
            <w:r>
              <w:rPr>
                <w:rFonts w:ascii="宋体" w:hAnsi="宋体" w:cs="宋体" w:eastAsia="宋体" w:hint="default"/>
                <w:spacing w:val="-3"/>
                <w:sz w:val="18"/>
                <w:szCs w:val="18"/>
              </w:rPr>
              <w:t>磁悬浮冷站系统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智能技术和产品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8"/>
                <w:sz w:val="18"/>
                <w:szCs w:val="18"/>
              </w:rPr>
              <w:t>的研发、制造和销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28,310,223.4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12,612,947.6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4,390,393.16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-9,887,364.7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-9,344,513.2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2910"/>
        <w:gridCol w:w="3476"/>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报告期内取得和处置子公司方式</w:t>
            </w:r>
          </w:p>
        </w:tc>
        <w:tc>
          <w:tcPr>
            <w:tcW w:w="3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1" w:right="0"/>
              <w:jc w:val="left"/>
              <w:rPr>
                <w:rFonts w:ascii="宋体" w:hAnsi="宋体" w:cs="宋体" w:eastAsia="宋体" w:hint="default"/>
                <w:sz w:val="18"/>
                <w:szCs w:val="18"/>
              </w:rPr>
            </w:pPr>
            <w:r>
              <w:rPr>
                <w:rFonts w:ascii="宋体" w:hAnsi="宋体" w:cs="宋体" w:eastAsia="宋体" w:hint="default"/>
                <w:spacing w:val="-3"/>
                <w:sz w:val="18"/>
                <w:szCs w:val="18"/>
              </w:rPr>
              <w:t>对整体生产经营和业绩的影响</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玉溪湖管环境科技有限公司</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深圳依米康道格产业投资合伙企业（有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限合伙）</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上海虹港数据信息有限公司</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转让持有的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股权</w:t>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年度净利润的贡献为</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2,107.95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深圳市龙控智能技术有限该公司</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取得剩余</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49%</w:t>
            </w:r>
            <w:r>
              <w:rPr>
                <w:rFonts w:ascii="宋体" w:hAnsi="宋体" w:cs="宋体" w:eastAsia="宋体" w:hint="default"/>
                <w:spacing w:val="-3"/>
                <w:sz w:val="18"/>
                <w:szCs w:val="18"/>
              </w:rPr>
              <w:t>股权</w:t>
            </w:r>
            <w:r>
              <w:rPr>
                <w:rFonts w:ascii="宋体" w:hAnsi="宋体" w:cs="宋体" w:eastAsia="宋体" w:hint="default"/>
                <w:sz w:val="18"/>
                <w:szCs w:val="18"/>
              </w:rPr>
            </w:r>
          </w:p>
        </w:tc>
        <w:tc>
          <w:tcPr>
            <w:tcW w:w="34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7"/>
              <w:jc w:val="left"/>
              <w:rPr>
                <w:rFonts w:ascii="宋体" w:hAnsi="宋体" w:cs="宋体" w:eastAsia="宋体" w:hint="default"/>
                <w:sz w:val="18"/>
                <w:szCs w:val="18"/>
              </w:rPr>
            </w:pPr>
            <w:r>
              <w:rPr>
                <w:rFonts w:ascii="宋体" w:hAnsi="宋体" w:cs="宋体" w:eastAsia="宋体" w:hint="default"/>
                <w:spacing w:val="-3"/>
                <w:sz w:val="18"/>
                <w:szCs w:val="18"/>
              </w:rPr>
              <w:t>由控股子公司变为全资子公司，有利于公司</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信息数据领域业务更好的协同</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主要控股参股公司情况说明</w:t>
      </w:r>
    </w:p>
    <w:p>
      <w:pPr>
        <w:pStyle w:val="Heading2"/>
        <w:spacing w:line="240" w:lineRule="auto" w:before="59"/>
        <w:ind w:left="633" w:right="0"/>
        <w:jc w:val="left"/>
        <w:rPr>
          <w:b w:val="0"/>
          <w:bCs w:val="0"/>
        </w:rPr>
      </w:pPr>
      <w:r>
        <w:rPr/>
        <w:t>（一）四川桑瑞思环境技术工程有限公司</w:t>
      </w:r>
      <w:r>
        <w:rPr>
          <w:b w:val="0"/>
          <w:bCs w:val="0"/>
        </w:rPr>
      </w:r>
    </w:p>
    <w:p>
      <w:pPr>
        <w:spacing w:line="240" w:lineRule="auto" w:before="12"/>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1561"/>
        <w:gridCol w:w="8226"/>
      </w:tblGrid>
      <w:tr>
        <w:trPr>
          <w:trHeight w:val="428"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31" w:right="0"/>
              <w:jc w:val="center"/>
              <w:rPr>
                <w:rFonts w:ascii="Times New Roman" w:hAnsi="Times New Roman" w:cs="Times New Roman" w:eastAsia="Times New Roman" w:hint="default"/>
                <w:sz w:val="18"/>
                <w:szCs w:val="18"/>
              </w:rPr>
            </w:pPr>
            <w:r>
              <w:rPr>
                <w:rFonts w:ascii="Times New Roman"/>
                <w:sz w:val="18"/>
              </w:rPr>
              <w:t>915100007653582826</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8"/>
          <w:szCs w:val="28"/>
        </w:rPr>
      </w:pPr>
    </w:p>
    <w:p>
      <w:pPr>
        <w:spacing w:before="46"/>
        <w:ind w:left="0" w:right="902" w:firstLine="0"/>
        <w:jc w:val="right"/>
        <w:rPr>
          <w:rFonts w:ascii="宋体" w:hAnsi="宋体" w:cs="宋体" w:eastAsia="宋体" w:hint="default"/>
          <w:sz w:val="18"/>
          <w:szCs w:val="18"/>
        </w:rPr>
      </w:pPr>
      <w:r>
        <w:rPr/>
        <w:pict>
          <v:shape style="position:absolute;margin-left:56.183998pt;margin-top:-209.478302pt;width:490.4pt;height:296.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226"/>
                  </w:tblGrid>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宋体" w:hAnsi="宋体" w:cs="宋体" w:eastAsia="宋体" w:hint="default"/>
                            <w:spacing w:val="-3"/>
                            <w:sz w:val="18"/>
                            <w:szCs w:val="18"/>
                          </w:rPr>
                          <w:t>成都市高新区科园南二路二号</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宋体" w:hAnsi="宋体" w:cs="宋体" w:eastAsia="宋体" w:hint="default"/>
                            <w:sz w:val="18"/>
                            <w:szCs w:val="18"/>
                          </w:rPr>
                          <w:t>李志</w:t>
                        </w:r>
                      </w:p>
                    </w:tc>
                  </w:tr>
                  <w:tr>
                    <w:trPr>
                      <w:trHeight w:val="428"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万元人民币</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宋体" w:hAnsi="宋体" w:cs="宋体" w:eastAsia="宋体" w:hint="default"/>
                            <w:spacing w:val="-3"/>
                            <w:sz w:val="18"/>
                            <w:szCs w:val="18"/>
                          </w:rPr>
                          <w:t>有限责任公司（自然人投资或控股的法人独资）</w:t>
                        </w:r>
                      </w:p>
                    </w:tc>
                  </w:tr>
                  <w:tr>
                    <w:trPr>
                      <w:trHeight w:val="1594"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3" w:firstLine="360"/>
                          <w:jc w:val="both"/>
                          <w:rPr>
                            <w:rFonts w:ascii="宋体" w:hAnsi="宋体" w:cs="宋体" w:eastAsia="宋体" w:hint="default"/>
                            <w:sz w:val="18"/>
                            <w:szCs w:val="18"/>
                          </w:rPr>
                        </w:pPr>
                        <w:r>
                          <w:rPr>
                            <w:rFonts w:ascii="宋体" w:hAnsi="宋体" w:cs="宋体" w:eastAsia="宋体" w:hint="default"/>
                            <w:spacing w:val="-5"/>
                            <w:sz w:val="18"/>
                            <w:szCs w:val="18"/>
                          </w:rPr>
                          <w:t>许可经营项目：销售医疗器械二、三类。（以上项目及期限以许可证为准）。（以下范围不含前置许</w:t>
                        </w:r>
                        <w:r>
                          <w:rPr>
                            <w:rFonts w:ascii="宋体" w:hAnsi="宋体" w:cs="宋体" w:eastAsia="宋体" w:hint="default"/>
                            <w:w w:val="101"/>
                            <w:sz w:val="18"/>
                            <w:szCs w:val="18"/>
                          </w:rPr>
                          <w:t> </w:t>
                        </w:r>
                        <w:r>
                          <w:rPr>
                            <w:rFonts w:ascii="宋体" w:hAnsi="宋体" w:cs="宋体" w:eastAsia="宋体" w:hint="default"/>
                            <w:spacing w:val="-5"/>
                            <w:sz w:val="18"/>
                            <w:szCs w:val="18"/>
                          </w:rPr>
                          <w:t>可项目，后置许可项目凭许可证或审批文件经营）机电设备安装工程；建筑装修装饰工程、电子工程、建</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5"/>
                            <w:sz w:val="18"/>
                            <w:szCs w:val="18"/>
                          </w:rPr>
                          <w:t>筑智能化工程、环保工程、消防设施工程；工程设计；商品批发与零售；商务服务业；科技中介服务；节</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5"/>
                            <w:sz w:val="18"/>
                            <w:szCs w:val="18"/>
                          </w:rPr>
                          <w:t>能服务；空气净化工程；软件开发；信息系统集成服务；货物或技术进出口（国际禁止或涉及行政审批的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货物和技术进出口除外）。（依法须经批准的项目，经相关部门批准后方可开展经营活动）。</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29" w:right="0"/>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29" w:right="0"/>
                          <w:jc w:val="center"/>
                          <w:rPr>
                            <w:rFonts w:ascii="Times New Roman" w:hAnsi="Times New Roman" w:cs="Times New Roman" w:eastAsia="Times New Roman" w:hint="default"/>
                            <w:sz w:val="18"/>
                            <w:szCs w:val="18"/>
                          </w:rPr>
                        </w:pPr>
                        <w:r>
                          <w:rPr>
                            <w:rFonts w:ascii="Times New Roman"/>
                            <w:sz w:val="18"/>
                          </w:rPr>
                          <w:t>100%</w:t>
                        </w:r>
                      </w:p>
                    </w:tc>
                  </w:tr>
                  <w:tr>
                    <w:trPr>
                      <w:trHeight w:val="175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63"/>
                          <w:ind w:left="4" w:right="90" w:firstLine="4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2016</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11</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27</w:t>
                        </w:r>
                        <w:r>
                          <w:rPr>
                            <w:rFonts w:ascii="宋体" w:hAnsi="宋体" w:cs="宋体" w:eastAsia="宋体" w:hint="default"/>
                            <w:spacing w:val="-6"/>
                            <w:sz w:val="18"/>
                            <w:szCs w:val="18"/>
                          </w:rPr>
                          <w:t>日，公司董事会审议通过了《关于增资四川桑瑞思环境技术工程有限公司的议案》</w:t>
                        </w:r>
                        <w:r>
                          <w:rPr>
                            <w:rFonts w:ascii="宋体" w:hAnsi="宋体" w:cs="宋体" w:eastAsia="宋体" w:hint="default"/>
                            <w:spacing w:val="-39"/>
                            <w:w w:val="101"/>
                            <w:sz w:val="18"/>
                            <w:szCs w:val="18"/>
                          </w:rPr>
                          <w:t> </w:t>
                        </w:r>
                        <w:r>
                          <w:rPr>
                            <w:rFonts w:ascii="宋体" w:hAnsi="宋体" w:cs="宋体" w:eastAsia="宋体" w:hint="default"/>
                            <w:spacing w:val="-3"/>
                            <w:sz w:val="18"/>
                            <w:szCs w:val="18"/>
                          </w:rPr>
                          <w:t>公司实施了本次增资，并取得了四川省工商行政管理局于</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日颁发的《营业执照》。</w:t>
                        </w:r>
                      </w:p>
                      <w:p>
                        <w:pPr>
                          <w:pStyle w:val="TableParagraph"/>
                          <w:spacing w:line="304" w:lineRule="auto" w:before="42"/>
                          <w:ind w:left="4" w:right="-4" w:firstLine="4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16</w:t>
                        </w:r>
                        <w:r>
                          <w:rPr>
                            <w:rFonts w:ascii="宋体" w:hAnsi="宋体" w:cs="宋体" w:eastAsia="宋体" w:hint="default"/>
                            <w:spacing w:val="-4"/>
                            <w:sz w:val="18"/>
                            <w:szCs w:val="18"/>
                          </w:rPr>
                          <w:t>日，桑瑞思因经营发展需要办理了经营范围的变更，并同时完成了因股东依米康更</w:t>
                        </w:r>
                        <w:r>
                          <w:rPr>
                            <w:rFonts w:ascii="宋体" w:hAnsi="宋体" w:cs="宋体" w:eastAsia="宋体" w:hint="default"/>
                            <w:w w:val="101"/>
                            <w:sz w:val="18"/>
                            <w:szCs w:val="18"/>
                          </w:rPr>
                          <w:t> </w:t>
                        </w:r>
                        <w:r>
                          <w:rPr>
                            <w:rFonts w:ascii="宋体" w:hAnsi="宋体" w:cs="宋体" w:eastAsia="宋体" w:hint="default"/>
                            <w:spacing w:val="-3"/>
                            <w:sz w:val="18"/>
                            <w:szCs w:val="18"/>
                          </w:rPr>
                          <w:t>名需办理的股东更名有关工商备案手续，并取得了《营业执照》。</w:t>
                        </w:r>
                      </w:p>
                      <w:p>
                        <w:pPr>
                          <w:pStyle w:val="TableParagraph"/>
                          <w:spacing w:line="240" w:lineRule="auto" w:before="66"/>
                          <w:ind w:left="427"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月，桑瑞思完成法定代表人以及董事、经理人的工商变更登记，并换发了《营业执照》</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before="46"/>
        <w:ind w:left="0" w:right="898"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13"/>
        <w:rPr>
          <w:rFonts w:ascii="宋体" w:hAnsi="宋体" w:cs="宋体" w:eastAsia="宋体" w:hint="default"/>
          <w:sz w:val="12"/>
          <w:szCs w:val="12"/>
        </w:rPr>
      </w:pPr>
    </w:p>
    <w:p>
      <w:pPr>
        <w:pStyle w:val="BodyText"/>
        <w:spacing w:line="336" w:lineRule="auto" w:before="0"/>
        <w:ind w:right="1122" w:firstLine="480"/>
        <w:jc w:val="left"/>
      </w:pP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日，桑瑞思总资产</w:t>
      </w:r>
      <w:r>
        <w:rPr>
          <w:rFonts w:ascii="Times New Roman" w:hAnsi="Times New Roman" w:cs="Times New Roman" w:eastAsia="Times New Roman" w:hint="default"/>
          <w:spacing w:val="-2"/>
        </w:rPr>
        <w:t>48,699.64</w:t>
      </w:r>
      <w:r>
        <w:rPr>
          <w:spacing w:val="-2"/>
        </w:rPr>
        <w:t>万元，净资产</w:t>
      </w:r>
      <w:r>
        <w:rPr>
          <w:rFonts w:ascii="Times New Roman" w:hAnsi="Times New Roman" w:cs="Times New Roman" w:eastAsia="Times New Roman" w:hint="default"/>
          <w:spacing w:val="-2"/>
        </w:rPr>
        <w:t>5,695.44</w:t>
      </w:r>
      <w:r>
        <w:rPr>
          <w:spacing w:val="-2"/>
        </w:rPr>
        <w:t>万元。报告期内，桑</w:t>
      </w:r>
      <w:r>
        <w:rPr/>
        <w:t> 瑞思实现营业收入</w:t>
      </w:r>
      <w:r>
        <w:rPr>
          <w:rFonts w:ascii="Times New Roman" w:hAnsi="Times New Roman" w:cs="Times New Roman" w:eastAsia="Times New Roman" w:hint="default"/>
        </w:rPr>
        <w:t>21,544.95</w:t>
      </w:r>
      <w:r>
        <w:rPr/>
        <w:t>万元，净利润</w:t>
      </w:r>
      <w:r>
        <w:rPr>
          <w:rFonts w:ascii="Times New Roman" w:hAnsi="Times New Roman" w:cs="Times New Roman" w:eastAsia="Times New Roman" w:hint="default"/>
        </w:rPr>
        <w:t>-1,134.36</w:t>
      </w:r>
      <w:r>
        <w:rPr/>
        <w:t>万元。</w:t>
      </w:r>
    </w:p>
    <w:p>
      <w:pPr>
        <w:pStyle w:val="Heading2"/>
        <w:spacing w:line="272" w:lineRule="exact"/>
        <w:ind w:left="633" w:right="0"/>
        <w:jc w:val="left"/>
        <w:rPr>
          <w:b w:val="0"/>
          <w:bCs w:val="0"/>
        </w:rPr>
      </w:pPr>
      <w:r>
        <w:rPr>
          <w:spacing w:val="-3"/>
        </w:rPr>
        <w:t>（二）四川依米康龙控软件有限公司（曾用名</w:t>
      </w:r>
      <w:r>
        <w:rPr>
          <w:rFonts w:ascii="Times New Roman" w:hAnsi="Times New Roman" w:cs="Times New Roman" w:eastAsia="Times New Roman" w:hint="default"/>
          <w:spacing w:val="-3"/>
        </w:rPr>
        <w:t>“</w:t>
      </w:r>
      <w:r>
        <w:rPr>
          <w:spacing w:val="-3"/>
        </w:rPr>
        <w:t>四川多富冷暖设备有限公司</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四川依米</w:t>
      </w:r>
      <w:r>
        <w:rPr>
          <w:b w:val="0"/>
          <w:bCs w:val="0"/>
          <w:spacing w:val="-3"/>
        </w:rPr>
      </w:r>
    </w:p>
    <w:p>
      <w:pPr>
        <w:pStyle w:val="Heading2"/>
        <w:spacing w:line="322" w:lineRule="exact"/>
        <w:ind w:right="0"/>
        <w:jc w:val="left"/>
        <w:rPr>
          <w:b w:val="0"/>
          <w:bCs w:val="0"/>
        </w:rPr>
      </w:pPr>
      <w:r>
        <w:rPr/>
        <w:t>康软件有限责任公司</w:t>
      </w:r>
      <w:r>
        <w:rPr>
          <w:rFonts w:ascii="Times New Roman" w:hAnsi="Times New Roman" w:cs="Times New Roman" w:eastAsia="Times New Roman" w:hint="default"/>
        </w:rPr>
        <w:t>”</w:t>
      </w:r>
      <w:r>
        <w:rPr/>
        <w:t>）</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before="46"/>
        <w:ind w:left="0" w:right="898" w:firstLine="0"/>
        <w:jc w:val="right"/>
        <w:rPr>
          <w:rFonts w:ascii="宋体" w:hAnsi="宋体" w:cs="宋体" w:eastAsia="宋体" w:hint="default"/>
          <w:sz w:val="18"/>
          <w:szCs w:val="18"/>
        </w:rPr>
      </w:pPr>
      <w:r>
        <w:rPr/>
        <w:pict>
          <v:shape style="position:absolute;margin-left:56.183998pt;margin-top:-127.638283pt;width:490.4pt;height:323.4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226"/>
                  </w:tblGrid>
                  <w:tr>
                    <w:trPr>
                      <w:trHeight w:val="428"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4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045"/>
                          <w:jc w:val="right"/>
                          <w:rPr>
                            <w:rFonts w:ascii="Times New Roman" w:hAnsi="Times New Roman" w:cs="Times New Roman" w:eastAsia="Times New Roman" w:hint="default"/>
                            <w:sz w:val="18"/>
                            <w:szCs w:val="18"/>
                          </w:rPr>
                        </w:pPr>
                        <w:r>
                          <w:rPr>
                            <w:rFonts w:ascii="Times New Roman"/>
                            <w:spacing w:val="-1"/>
                            <w:sz w:val="18"/>
                          </w:rPr>
                          <w:t>91510100679681585H</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063"/>
                          <w:jc w:val="right"/>
                          <w:rPr>
                            <w:rFonts w:ascii="宋体" w:hAnsi="宋体" w:cs="宋体" w:eastAsia="宋体" w:hint="default"/>
                            <w:sz w:val="18"/>
                            <w:szCs w:val="18"/>
                          </w:rPr>
                        </w:pPr>
                        <w:r>
                          <w:rPr>
                            <w:rFonts w:ascii="宋体" w:hAnsi="宋体" w:cs="宋体" w:eastAsia="宋体" w:hint="default"/>
                            <w:spacing w:val="-3"/>
                            <w:sz w:val="18"/>
                            <w:szCs w:val="18"/>
                          </w:rPr>
                          <w:t>成都高新区科园南二路</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号</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50" w:right="0"/>
                          <w:jc w:val="center"/>
                          <w:rPr>
                            <w:rFonts w:ascii="宋体" w:hAnsi="宋体" w:cs="宋体" w:eastAsia="宋体" w:hint="default"/>
                            <w:sz w:val="18"/>
                            <w:szCs w:val="18"/>
                          </w:rPr>
                        </w:pPr>
                        <w:r>
                          <w:rPr>
                            <w:rFonts w:ascii="宋体" w:hAnsi="宋体" w:cs="宋体" w:eastAsia="宋体" w:hint="default"/>
                            <w:sz w:val="18"/>
                            <w:szCs w:val="18"/>
                          </w:rPr>
                          <w:t>赵浚</w:t>
                        </w:r>
                      </w:p>
                    </w:tc>
                  </w:tr>
                  <w:tr>
                    <w:trPr>
                      <w:trHeight w:val="428"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4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宋体" w:hAnsi="宋体" w:cs="宋体" w:eastAsia="宋体" w:hint="default"/>
                            <w:sz w:val="18"/>
                            <w:szCs w:val="18"/>
                          </w:rPr>
                          <w:t>万元人民币</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45" w:right="0"/>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1594"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0" w:firstLine="360"/>
                          <w:jc w:val="left"/>
                          <w:rPr>
                            <w:rFonts w:ascii="宋体" w:hAnsi="宋体" w:cs="宋体" w:eastAsia="宋体" w:hint="default"/>
                            <w:sz w:val="18"/>
                            <w:szCs w:val="18"/>
                          </w:rPr>
                        </w:pPr>
                        <w:r>
                          <w:rPr>
                            <w:rFonts w:ascii="宋体" w:hAnsi="宋体" w:cs="宋体" w:eastAsia="宋体" w:hint="default"/>
                            <w:spacing w:val="-7"/>
                            <w:sz w:val="18"/>
                            <w:szCs w:val="18"/>
                          </w:rPr>
                          <w:t>计算机软硬件、电子产品的技术开发及销售；计算机系统集成并提供技术咨询、技术服务、技术转让</w:t>
                        </w:r>
                        <w:r>
                          <w:rPr>
                            <w:rFonts w:ascii="宋体" w:hAnsi="宋体" w:cs="宋体" w:eastAsia="宋体" w:hint="default"/>
                            <w:w w:val="101"/>
                            <w:sz w:val="18"/>
                            <w:szCs w:val="18"/>
                          </w:rPr>
                          <w:t> </w:t>
                        </w:r>
                        <w:r>
                          <w:rPr>
                            <w:rFonts w:ascii="宋体" w:hAnsi="宋体" w:cs="宋体" w:eastAsia="宋体" w:hint="default"/>
                            <w:spacing w:val="-5"/>
                            <w:sz w:val="18"/>
                            <w:szCs w:val="18"/>
                          </w:rPr>
                          <w:t>空调、制冷设备、试验箱和气候环境试验设备的生产、销售、安装与维修；生产、销售机电产品（不含九</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5"/>
                            <w:sz w:val="18"/>
                            <w:szCs w:val="18"/>
                          </w:rPr>
                          <w:t>座以下乘用车辆）；货物进出口、技术进出口；节能技术的研发、应用、推广；节能工程设计、施工（凭</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5"/>
                            <w:sz w:val="18"/>
                            <w:szCs w:val="18"/>
                          </w:rPr>
                          <w:t>资质证书经营）并提供技术咨询、技术服务；合同能源管理（依法须经批准的项目，经相关部门批准后方</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可开展经营活动）</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48" w:right="0"/>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48" w:right="0"/>
                          <w:jc w:val="center"/>
                          <w:rPr>
                            <w:rFonts w:ascii="Times New Roman" w:hAnsi="Times New Roman" w:cs="Times New Roman" w:eastAsia="Times New Roman" w:hint="default"/>
                            <w:sz w:val="18"/>
                            <w:szCs w:val="18"/>
                          </w:rPr>
                        </w:pPr>
                        <w:r>
                          <w:rPr>
                            <w:rFonts w:ascii="Times New Roman"/>
                            <w:sz w:val="18"/>
                          </w:rPr>
                          <w:t>100%</w:t>
                        </w:r>
                      </w:p>
                    </w:tc>
                  </w:tr>
                  <w:tr>
                    <w:trPr>
                      <w:trHeight w:val="1441"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）依米康于</w:t>
                        </w:r>
                        <w:r>
                          <w:rPr>
                            <w:rFonts w:ascii="Times New Roman" w:hAnsi="Times New Roman" w:cs="Times New Roman" w:eastAsia="Times New Roman" w:hint="default"/>
                            <w:spacing w:val="-3"/>
                            <w:sz w:val="18"/>
                            <w:szCs w:val="18"/>
                          </w:rPr>
                          <w:t>2011</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日出资</w:t>
                        </w:r>
                        <w:r>
                          <w:rPr>
                            <w:rFonts w:ascii="Times New Roman" w:hAnsi="Times New Roman" w:cs="Times New Roman" w:eastAsia="Times New Roman" w:hint="default"/>
                            <w:spacing w:val="-3"/>
                            <w:sz w:val="18"/>
                            <w:szCs w:val="18"/>
                          </w:rPr>
                          <w:t>151</w:t>
                        </w:r>
                        <w:r>
                          <w:rPr>
                            <w:rFonts w:ascii="宋体" w:hAnsi="宋体" w:cs="宋体" w:eastAsia="宋体" w:hint="default"/>
                            <w:spacing w:val="-3"/>
                            <w:sz w:val="18"/>
                            <w:szCs w:val="18"/>
                          </w:rPr>
                          <w:t>万元收购四川多富</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w:t>
                        </w:r>
                      </w:p>
                      <w:p>
                        <w:pPr>
                          <w:pStyle w:val="TableParagraph"/>
                          <w:spacing w:line="240" w:lineRule="auto" w:before="106"/>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月四川多富完成名称、经营范围等工商变更事项。</w:t>
                        </w:r>
                      </w:p>
                      <w:p>
                        <w:pPr>
                          <w:pStyle w:val="TableParagraph"/>
                          <w:spacing w:line="240" w:lineRule="auto" w:before="101"/>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月取得成都市工商行政管理局核发的三证合一《营业执照》。</w:t>
                        </w:r>
                      </w:p>
                      <w:p>
                        <w:pPr>
                          <w:pStyle w:val="TableParagraph"/>
                          <w:spacing w:line="240" w:lineRule="auto" w:before="96"/>
                          <w:ind w:left="36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19</w:t>
                        </w:r>
                        <w:r>
                          <w:rPr>
                            <w:rFonts w:ascii="宋体" w:hAnsi="宋体" w:cs="宋体" w:eastAsia="宋体" w:hint="default"/>
                            <w:spacing w:val="-4"/>
                            <w:sz w:val="18"/>
                            <w:szCs w:val="18"/>
                          </w:rPr>
                          <w:t>日，公司董事会审议通过了《关于四川依米康软件有限公司工商变更的议案》，依米</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561"/>
        <w:gridCol w:w="8226"/>
      </w:tblGrid>
      <w:tr>
        <w:trPr>
          <w:trHeight w:val="333" w:hRule="exact"/>
        </w:trPr>
        <w:tc>
          <w:tcPr>
            <w:tcW w:w="1561" w:type="dxa"/>
            <w:vMerge w:val="restart"/>
            <w:tcBorders>
              <w:top w:val="single" w:sz="6" w:space="0" w:color="000000"/>
              <w:left w:val="single" w:sz="6" w:space="0" w:color="000000"/>
              <w:right w:val="single" w:sz="6" w:space="0" w:color="000000"/>
            </w:tcBorders>
            <w:shd w:val="clear" w:color="auto" w:fill="D9D9D9"/>
          </w:tcPr>
          <w:p>
            <w:pPr/>
          </w:p>
        </w:tc>
        <w:tc>
          <w:tcPr>
            <w:tcW w:w="82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4"/>
                <w:sz w:val="18"/>
                <w:szCs w:val="18"/>
              </w:rPr>
              <w:t>康软件已将公司名称变更为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四川依米康龙控软件有限公司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、公司法定代表人及总经理由</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黄建军</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变更为</w:t>
            </w:r>
          </w:p>
        </w:tc>
      </w:tr>
      <w:tr>
        <w:trPr>
          <w:trHeight w:val="314"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赵浚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、公司注册资本由</w:t>
            </w:r>
            <w:r>
              <w:rPr>
                <w:rFonts w:ascii="Times New Roman" w:hAnsi="Times New Roman" w:cs="Times New Roman" w:eastAsia="Times New Roman" w:hint="default"/>
                <w:spacing w:val="-4"/>
                <w:sz w:val="18"/>
                <w:szCs w:val="18"/>
              </w:rPr>
              <w:t>210.53</w:t>
            </w:r>
            <w:r>
              <w:rPr>
                <w:rFonts w:ascii="宋体" w:hAnsi="宋体" w:cs="宋体" w:eastAsia="宋体" w:hint="default"/>
                <w:spacing w:val="-4"/>
                <w:sz w:val="18"/>
                <w:szCs w:val="18"/>
              </w:rPr>
              <w:t>万元增资到</w:t>
            </w:r>
            <w:r>
              <w:rPr>
                <w:rFonts w:ascii="Times New Roman" w:hAnsi="Times New Roman" w:cs="Times New Roman" w:eastAsia="Times New Roman" w:hint="default"/>
                <w:spacing w:val="-4"/>
                <w:sz w:val="18"/>
                <w:szCs w:val="18"/>
              </w:rPr>
              <w:t>3,000</w:t>
            </w:r>
            <w:r>
              <w:rPr>
                <w:rFonts w:ascii="宋体" w:hAnsi="宋体" w:cs="宋体" w:eastAsia="宋体" w:hint="default"/>
                <w:spacing w:val="-4"/>
                <w:sz w:val="18"/>
                <w:szCs w:val="18"/>
              </w:rPr>
              <w:t>万元，并取得了四川省工商行政管理局于</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日颁</w:t>
            </w:r>
            <w:r>
              <w:rPr>
                <w:rFonts w:ascii="宋体" w:hAnsi="宋体" w:cs="宋体" w:eastAsia="宋体" w:hint="default"/>
                <w:sz w:val="18"/>
                <w:szCs w:val="18"/>
              </w:rPr>
            </w:r>
          </w:p>
        </w:tc>
      </w:tr>
      <w:tr>
        <w:trPr>
          <w:trHeight w:val="329"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3"/>
                <w:sz w:val="18"/>
                <w:szCs w:val="18"/>
              </w:rPr>
              <w:t>发的《营业执照》。</w:t>
            </w:r>
          </w:p>
        </w:tc>
      </w:tr>
      <w:tr>
        <w:trPr>
          <w:trHeight w:val="336"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31"/>
              <w:ind w:right="9"/>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日，公司召开第三届董事会第四十二次会议审议通过了《关于子公司曲水智控对龙控</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软件进行增资的议案》，增资完成后，龙控软件注册资本由 </w:t>
            </w:r>
            <w:r>
              <w:rPr>
                <w:rFonts w:ascii="Times New Roman" w:hAnsi="Times New Roman" w:cs="Times New Roman" w:eastAsia="Times New Roman" w:hint="default"/>
                <w:sz w:val="18"/>
                <w:szCs w:val="18"/>
              </w:rPr>
              <w:t>3,000  </w:t>
            </w:r>
            <w:r>
              <w:rPr>
                <w:rFonts w:ascii="宋体" w:hAnsi="宋体" w:cs="宋体" w:eastAsia="宋体" w:hint="default"/>
                <w:sz w:val="18"/>
                <w:szCs w:val="18"/>
              </w:rPr>
              <w:t>万元变更为 </w:t>
            </w:r>
            <w:r>
              <w:rPr>
                <w:rFonts w:ascii="Times New Roman" w:hAnsi="Times New Roman" w:cs="Times New Roman" w:eastAsia="Times New Roman" w:hint="default"/>
                <w:sz w:val="18"/>
                <w:szCs w:val="18"/>
              </w:rPr>
              <w:t>4,000 </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万元，其中，公司</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z w:val="18"/>
                <w:szCs w:val="18"/>
              </w:rPr>
              <w:t>出资额 </w:t>
            </w:r>
            <w:r>
              <w:rPr>
                <w:rFonts w:ascii="Times New Roman" w:hAnsi="Times New Roman" w:cs="Times New Roman" w:eastAsia="Times New Roman" w:hint="default"/>
                <w:sz w:val="18"/>
                <w:szCs w:val="18"/>
              </w:rPr>
              <w:t>3,000  </w:t>
            </w:r>
            <w:r>
              <w:rPr>
                <w:rFonts w:ascii="宋体" w:hAnsi="宋体" w:cs="宋体" w:eastAsia="宋体" w:hint="default"/>
                <w:spacing w:val="-3"/>
                <w:sz w:val="18"/>
                <w:szCs w:val="18"/>
              </w:rPr>
              <w:t>万元，持股比例 </w:t>
            </w:r>
            <w:r>
              <w:rPr>
                <w:rFonts w:ascii="Times New Roman" w:hAnsi="Times New Roman" w:cs="Times New Roman" w:eastAsia="Times New Roman" w:hint="default"/>
                <w:spacing w:val="-3"/>
                <w:sz w:val="18"/>
                <w:szCs w:val="18"/>
              </w:rPr>
              <w:t>75%</w:t>
            </w:r>
            <w:r>
              <w:rPr>
                <w:rFonts w:ascii="宋体" w:hAnsi="宋体" w:cs="宋体" w:eastAsia="宋体" w:hint="default"/>
                <w:spacing w:val="-3"/>
                <w:sz w:val="18"/>
                <w:szCs w:val="18"/>
              </w:rPr>
              <w:t>；曲水智控出资额 </w:t>
            </w:r>
            <w:r>
              <w:rPr>
                <w:rFonts w:ascii="Times New Roman" w:hAnsi="Times New Roman" w:cs="Times New Roman" w:eastAsia="Times New Roman" w:hint="default"/>
                <w:sz w:val="18"/>
                <w:szCs w:val="18"/>
              </w:rPr>
              <w:t>1,000  </w:t>
            </w:r>
            <w:r>
              <w:rPr>
                <w:rFonts w:ascii="宋体" w:hAnsi="宋体" w:cs="宋体" w:eastAsia="宋体" w:hint="default"/>
                <w:spacing w:val="-3"/>
                <w:sz w:val="18"/>
                <w:szCs w:val="18"/>
              </w:rPr>
              <w:t>万元，持股比例</w:t>
            </w:r>
            <w:r>
              <w:rPr>
                <w:rFonts w:ascii="宋体" w:hAnsi="宋体" w:cs="宋体" w:eastAsia="宋体" w:hint="default"/>
                <w:spacing w:val="6"/>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，因公司持有曲水智控</w:t>
            </w:r>
          </w:p>
        </w:tc>
      </w:tr>
      <w:tr>
        <w:trPr>
          <w:trHeight w:val="314"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100%</w:t>
            </w:r>
            <w:r>
              <w:rPr>
                <w:rFonts w:ascii="宋体" w:hAnsi="宋体" w:cs="宋体" w:eastAsia="宋体" w:hint="default"/>
                <w:spacing w:val="-4"/>
                <w:sz w:val="18"/>
                <w:szCs w:val="18"/>
              </w:rPr>
              <w:t>股权，故增资完成后，龙控软件仍为公司全资子公司。并于</w:t>
            </w:r>
            <w:r>
              <w:rPr>
                <w:rFonts w:ascii="Times New Roman" w:hAnsi="Times New Roman" w:cs="Times New Roman" w:eastAsia="Times New Roman" w:hint="default"/>
                <w:color w:val="0D0D0D"/>
                <w:spacing w:val="-4"/>
                <w:sz w:val="18"/>
                <w:szCs w:val="18"/>
              </w:rPr>
              <w:t>2018</w:t>
            </w:r>
            <w:r>
              <w:rPr>
                <w:rFonts w:ascii="宋体" w:hAnsi="宋体" w:cs="宋体" w:eastAsia="宋体" w:hint="default"/>
                <w:color w:val="0D0D0D"/>
                <w:spacing w:val="-4"/>
                <w:sz w:val="18"/>
                <w:szCs w:val="18"/>
              </w:rPr>
              <w:t>年</w:t>
            </w:r>
            <w:r>
              <w:rPr>
                <w:rFonts w:ascii="Times New Roman" w:hAnsi="Times New Roman" w:cs="Times New Roman" w:eastAsia="Times New Roman" w:hint="default"/>
                <w:color w:val="0D0D0D"/>
                <w:spacing w:val="-4"/>
                <w:sz w:val="18"/>
                <w:szCs w:val="18"/>
              </w:rPr>
              <w:t>7</w:t>
            </w:r>
            <w:r>
              <w:rPr>
                <w:rFonts w:ascii="宋体" w:hAnsi="宋体" w:cs="宋体" w:eastAsia="宋体" w:hint="default"/>
                <w:color w:val="0D0D0D"/>
                <w:spacing w:val="-4"/>
                <w:sz w:val="18"/>
                <w:szCs w:val="18"/>
              </w:rPr>
              <w:t>月</w:t>
            </w:r>
            <w:r>
              <w:rPr>
                <w:rFonts w:ascii="Times New Roman" w:hAnsi="Times New Roman" w:cs="Times New Roman" w:eastAsia="Times New Roman" w:hint="default"/>
                <w:color w:val="0D0D0D"/>
                <w:spacing w:val="-4"/>
                <w:sz w:val="18"/>
                <w:szCs w:val="18"/>
              </w:rPr>
              <w:t>19</w:t>
            </w:r>
            <w:r>
              <w:rPr>
                <w:rFonts w:ascii="宋体" w:hAnsi="宋体" w:cs="宋体" w:eastAsia="宋体" w:hint="default"/>
                <w:color w:val="0D0D0D"/>
                <w:spacing w:val="-4"/>
                <w:sz w:val="18"/>
                <w:szCs w:val="18"/>
              </w:rPr>
              <w:t>日</w:t>
            </w:r>
            <w:r>
              <w:rPr>
                <w:rFonts w:ascii="宋体" w:hAnsi="宋体" w:cs="宋体" w:eastAsia="宋体" w:hint="default"/>
                <w:spacing w:val="-4"/>
                <w:sz w:val="18"/>
                <w:szCs w:val="18"/>
              </w:rPr>
              <w:t>完成了上述增资及股东名</w:t>
            </w:r>
          </w:p>
        </w:tc>
      </w:tr>
      <w:tr>
        <w:trPr>
          <w:trHeight w:val="326"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3"/>
                <w:sz w:val="18"/>
                <w:szCs w:val="18"/>
              </w:rPr>
              <w:t>称变更、企业类型变更、公司章程修订等工商变更登记备案的手续，并换发了《营业执照》。</w:t>
            </w:r>
          </w:p>
        </w:tc>
      </w:tr>
      <w:tr>
        <w:trPr>
          <w:trHeight w:val="334"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1"/>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18</w:t>
            </w:r>
            <w:r>
              <w:rPr>
                <w:rFonts w:ascii="宋体" w:hAnsi="宋体" w:cs="宋体" w:eastAsia="宋体" w:hint="default"/>
                <w:spacing w:val="-4"/>
                <w:sz w:val="18"/>
                <w:szCs w:val="18"/>
              </w:rPr>
              <w:t>日，公司召开第四届董事会第三次会议审议通过了《关于公司受让子公司曲水智控对</w:t>
            </w:r>
          </w:p>
        </w:tc>
      </w:tr>
      <w:tr>
        <w:trPr>
          <w:trHeight w:val="314"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龙控软件</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增资认缴权的议案》。并于</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日完成了上述出资情况等有关变更，变更后依米康</w:t>
            </w:r>
          </w:p>
        </w:tc>
      </w:tr>
      <w:tr>
        <w:trPr>
          <w:trHeight w:val="361" w:hRule="exact"/>
        </w:trPr>
        <w:tc>
          <w:tcPr>
            <w:tcW w:w="1561" w:type="dxa"/>
            <w:vMerge/>
            <w:tcBorders>
              <w:left w:val="single" w:sz="6" w:space="0" w:color="000000"/>
              <w:bottom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3"/>
                <w:sz w:val="18"/>
                <w:szCs w:val="18"/>
              </w:rPr>
              <w:t>持有龙控软件</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股权，龙控软件仍为公司全资子公司。</w:t>
            </w:r>
          </w:p>
        </w:tc>
      </w:tr>
    </w:tbl>
    <w:p>
      <w:pPr>
        <w:pStyle w:val="BodyText"/>
        <w:spacing w:line="340" w:lineRule="auto" w:before="41"/>
        <w:ind w:right="0" w:firstLine="48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日，龙控软件总资产</w:t>
      </w:r>
      <w:r>
        <w:rPr>
          <w:rFonts w:ascii="Times New Roman" w:hAnsi="Times New Roman" w:cs="Times New Roman" w:eastAsia="Times New Roman" w:hint="default"/>
        </w:rPr>
        <w:t>9,488.95</w:t>
      </w:r>
      <w:r>
        <w:rPr/>
        <w:t>万元，净资产</w:t>
      </w:r>
      <w:r>
        <w:rPr>
          <w:rFonts w:ascii="Times New Roman" w:hAnsi="Times New Roman" w:cs="Times New Roman" w:eastAsia="Times New Roman" w:hint="default"/>
        </w:rPr>
        <w:t>6,777.27</w:t>
      </w:r>
      <w:r>
        <w:rPr/>
        <w:t>万元。报告期内， 龙控软件实现营业收入</w:t>
      </w:r>
      <w:r>
        <w:rPr>
          <w:rFonts w:ascii="Times New Roman" w:hAnsi="Times New Roman" w:cs="Times New Roman" w:eastAsia="Times New Roman" w:hint="default"/>
        </w:rPr>
        <w:t>3,299.47</w:t>
      </w:r>
      <w:r>
        <w:rPr/>
        <w:t>万元，净利润</w:t>
      </w:r>
      <w:r>
        <w:rPr>
          <w:rFonts w:ascii="Times New Roman" w:hAnsi="Times New Roman" w:cs="Times New Roman" w:eastAsia="Times New Roman" w:hint="default"/>
        </w:rPr>
        <w:t>2,095.52</w:t>
      </w:r>
      <w:r>
        <w:rPr/>
        <w:t>万元。</w:t>
      </w:r>
    </w:p>
    <w:p>
      <w:pPr>
        <w:pStyle w:val="Heading2"/>
        <w:spacing w:line="255" w:lineRule="exact"/>
        <w:ind w:left="633" w:right="0"/>
        <w:jc w:val="left"/>
        <w:rPr>
          <w:b w:val="0"/>
          <w:bCs w:val="0"/>
        </w:rPr>
      </w:pPr>
      <w:r>
        <w:rPr/>
        <w:t>（三）腾龙资产（北京）投资管理有限公司</w:t>
      </w:r>
      <w:r>
        <w:rPr>
          <w:b w:val="0"/>
          <w:bCs w:val="0"/>
        </w:rPr>
      </w:r>
    </w:p>
    <w:p>
      <w:pPr>
        <w:spacing w:line="240" w:lineRule="auto" w:before="12"/>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1700"/>
        <w:gridCol w:w="8087"/>
      </w:tblGrid>
      <w:tr>
        <w:trPr>
          <w:trHeight w:val="350"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4" w:right="0"/>
              <w:jc w:val="center"/>
              <w:rPr>
                <w:rFonts w:ascii="Times New Roman" w:hAnsi="Times New Roman" w:cs="Times New Roman" w:eastAsia="Times New Roman" w:hint="default"/>
                <w:sz w:val="18"/>
                <w:szCs w:val="18"/>
              </w:rPr>
            </w:pPr>
            <w:r>
              <w:rPr>
                <w:rFonts w:ascii="Times New Roman"/>
                <w:sz w:val="18"/>
              </w:rPr>
              <w:t>91110105MA001Y0N3F</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北京市北京经济技术开发区博兴七路</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号楼</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层</w:t>
            </w:r>
            <w:r>
              <w:rPr>
                <w:rFonts w:ascii="Times New Roman" w:hAnsi="Times New Roman" w:cs="Times New Roman" w:eastAsia="Times New Roman" w:hint="default"/>
                <w:spacing w:val="-3"/>
                <w:sz w:val="18"/>
                <w:szCs w:val="18"/>
              </w:rPr>
              <w:t>304</w:t>
            </w:r>
          </w:p>
        </w:tc>
      </w:tr>
      <w:tr>
        <w:trPr>
          <w:trHeight w:val="351"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李志</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万元人民币</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有限责任公司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法人独资</w:t>
            </w:r>
            <w:r>
              <w:rPr>
                <w:rFonts w:ascii="Times New Roman" w:hAnsi="Times New Roman" w:cs="Times New Roman" w:eastAsia="Times New Roman" w:hint="default"/>
                <w:spacing w:val="-3"/>
                <w:sz w:val="18"/>
                <w:szCs w:val="18"/>
              </w:rPr>
              <w:t>)</w:t>
            </w:r>
          </w:p>
        </w:tc>
      </w:tr>
      <w:tr>
        <w:trPr>
          <w:trHeight w:val="190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9" w:right="-42" w:firstLine="360"/>
              <w:jc w:val="left"/>
              <w:rPr>
                <w:rFonts w:ascii="宋体" w:hAnsi="宋体" w:cs="宋体" w:eastAsia="宋体" w:hint="default"/>
                <w:sz w:val="18"/>
                <w:szCs w:val="18"/>
              </w:rPr>
            </w:pPr>
            <w:r>
              <w:rPr>
                <w:rFonts w:ascii="宋体" w:hAnsi="宋体" w:cs="宋体" w:eastAsia="宋体" w:hint="default"/>
                <w:spacing w:val="-4"/>
                <w:sz w:val="18"/>
                <w:szCs w:val="18"/>
              </w:rPr>
              <w:t>投资管理；投资咨询；资产管理；经济贸易咨询；企业管理咨询；出租商业用房；企业策划；应用</w:t>
            </w:r>
            <w:r>
              <w:rPr>
                <w:rFonts w:ascii="宋体" w:hAnsi="宋体" w:cs="宋体" w:eastAsia="宋体" w:hint="default"/>
                <w:w w:val="101"/>
                <w:sz w:val="18"/>
                <w:szCs w:val="18"/>
              </w:rPr>
              <w:t> </w:t>
            </w:r>
            <w:r>
              <w:rPr>
                <w:rFonts w:ascii="宋体" w:hAnsi="宋体" w:cs="宋体" w:eastAsia="宋体" w:hint="default"/>
                <w:spacing w:val="-3"/>
                <w:sz w:val="18"/>
                <w:szCs w:val="18"/>
              </w:rPr>
              <w:t>软件服务（不含医用软件）；计算机系统服务；数据处理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数据处理中的银行卡中心、</w:t>
            </w:r>
            <w:r>
              <w:rPr>
                <w:rFonts w:ascii="Times New Roman" w:hAnsi="Times New Roman" w:cs="Times New Roman" w:eastAsia="Times New Roman" w:hint="default"/>
                <w:spacing w:val="-3"/>
                <w:sz w:val="18"/>
                <w:szCs w:val="18"/>
              </w:rPr>
              <w:t>PUE</w:t>
            </w:r>
            <w:r>
              <w:rPr>
                <w:rFonts w:ascii="宋体" w:hAnsi="宋体" w:cs="宋体" w:eastAsia="宋体" w:hint="default"/>
                <w:spacing w:val="-3"/>
                <w:sz w:val="18"/>
                <w:szCs w:val="18"/>
              </w:rPr>
              <w:t>值在</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以上</w:t>
            </w:r>
            <w:r>
              <w:rPr>
                <w:rFonts w:ascii="宋体" w:hAnsi="宋体" w:cs="宋体" w:eastAsia="宋体" w:hint="default"/>
                <w:spacing w:val="44"/>
                <w:sz w:val="18"/>
                <w:szCs w:val="18"/>
              </w:rPr>
              <w:t> </w:t>
            </w:r>
            <w:r>
              <w:rPr>
                <w:rFonts w:ascii="宋体" w:hAnsi="宋体" w:cs="宋体" w:eastAsia="宋体" w:hint="default"/>
                <w:spacing w:val="-3"/>
                <w:sz w:val="18"/>
                <w:szCs w:val="18"/>
              </w:rPr>
              <w:t>的云计算数据中心除外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；设计、制作、代理、发布广告；会议服务；承办展览展示活动；销售汽车、</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计算机、软件及辅助设备、通讯设备、化工产品（不含危险化学品）。（企业依法自主选择经营项目，</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4"/>
                <w:sz w:val="18"/>
                <w:szCs w:val="18"/>
              </w:rPr>
              <w:t>开展经营活动；依法须经批准的项目，经相关部门批准后依批准的内容开展经营活动；不得从事本市产</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业政策禁止和限制类项目的经营活动）</w:t>
            </w:r>
          </w:p>
        </w:tc>
      </w:tr>
      <w:tr>
        <w:trPr>
          <w:trHeight w:val="350"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2" w:right="0"/>
              <w:jc w:val="center"/>
              <w:rPr>
                <w:rFonts w:ascii="Times New Roman" w:hAnsi="Times New Roman" w:cs="Times New Roman" w:eastAsia="Times New Roman" w:hint="default"/>
                <w:sz w:val="18"/>
                <w:szCs w:val="18"/>
              </w:rPr>
            </w:pPr>
            <w:r>
              <w:rPr>
                <w:rFonts w:ascii="Times New Roman"/>
                <w:sz w:val="18"/>
              </w:rPr>
              <w:t>100%</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100%</w:t>
            </w:r>
          </w:p>
        </w:tc>
      </w:tr>
      <w:tr>
        <w:trPr>
          <w:trHeight w:val="3154"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9" w:right="-4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）公司于</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日召开第三届董事会第十次会议审议通过《关于收购腾龙资产（北京）投资</w:t>
            </w:r>
            <w:r>
              <w:rPr>
                <w:rFonts w:ascii="宋体" w:hAnsi="宋体" w:cs="宋体" w:eastAsia="宋体" w:hint="default"/>
                <w:w w:val="101"/>
                <w:sz w:val="18"/>
                <w:szCs w:val="18"/>
              </w:rPr>
              <w:t> </w:t>
            </w:r>
            <w:r>
              <w:rPr>
                <w:rFonts w:ascii="宋体" w:hAnsi="宋体" w:cs="宋体" w:eastAsia="宋体" w:hint="default"/>
                <w:spacing w:val="-3"/>
                <w:sz w:val="18"/>
                <w:szCs w:val="18"/>
              </w:rPr>
              <w:t>管理有限公司的议案》；公司完成股权转让、公司章程换版、董事、监事、经理换选等工商变更手续，</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并于</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日取得北京市工商行政管理局朝阳分局核发的《营业执照》。</w:t>
            </w:r>
          </w:p>
          <w:p>
            <w:pPr>
              <w:pStyle w:val="TableParagraph"/>
              <w:spacing w:line="309" w:lineRule="auto" w:before="5"/>
              <w:ind w:left="9" w:right="-3"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月，根据北京市工商行政管理局的要求为实施对华延芯光（北京）科技有限公司股权</w:t>
            </w:r>
            <w:r>
              <w:rPr>
                <w:rFonts w:ascii="宋体" w:hAnsi="宋体" w:cs="宋体" w:eastAsia="宋体" w:hint="default"/>
                <w:w w:val="101"/>
                <w:sz w:val="18"/>
                <w:szCs w:val="18"/>
              </w:rPr>
              <w:t> </w:t>
            </w:r>
            <w:r>
              <w:rPr>
                <w:rFonts w:ascii="宋体" w:hAnsi="宋体" w:cs="宋体" w:eastAsia="宋体" w:hint="default"/>
                <w:spacing w:val="-4"/>
                <w:sz w:val="18"/>
                <w:szCs w:val="18"/>
              </w:rPr>
              <w:t>收购，需对腾龙资产原注册地址进行变更。腾龙资产已完成了相关工商变更登记手续，并换发了《营业</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执照》。</w:t>
            </w:r>
          </w:p>
          <w:p>
            <w:pPr>
              <w:pStyle w:val="TableParagraph"/>
              <w:spacing w:line="300" w:lineRule="auto" w:before="24"/>
              <w:ind w:left="9" w:right="-3"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月，腾龙资产完成了公司法定代表人、注册地址、经营期限以及董事、经理人的工商变</w:t>
            </w:r>
            <w:r>
              <w:rPr>
                <w:rFonts w:ascii="宋体" w:hAnsi="宋体" w:cs="宋体" w:eastAsia="宋体" w:hint="default"/>
                <w:w w:val="101"/>
                <w:sz w:val="18"/>
                <w:szCs w:val="18"/>
              </w:rPr>
              <w:t> </w:t>
            </w:r>
            <w:r>
              <w:rPr>
                <w:rFonts w:ascii="宋体" w:hAnsi="宋体" w:cs="宋体" w:eastAsia="宋体" w:hint="default"/>
                <w:spacing w:val="-3"/>
                <w:sz w:val="18"/>
                <w:szCs w:val="18"/>
              </w:rPr>
              <w:t>更登记，并换发了《营业执照》。</w:t>
            </w:r>
          </w:p>
          <w:p>
            <w:pPr>
              <w:pStyle w:val="TableParagraph"/>
              <w:spacing w:line="300" w:lineRule="auto" w:before="31"/>
              <w:ind w:left="9" w:right="-3"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月，腾龙资产完成了公司股东名称、法定代表人变更的工商变更登记备案手续，并换发</w:t>
            </w:r>
            <w:r>
              <w:rPr>
                <w:rFonts w:ascii="宋体" w:hAnsi="宋体" w:cs="宋体" w:eastAsia="宋体" w:hint="default"/>
                <w:w w:val="101"/>
                <w:sz w:val="18"/>
                <w:szCs w:val="18"/>
              </w:rPr>
              <w:t> </w:t>
            </w:r>
            <w:r>
              <w:rPr>
                <w:rFonts w:ascii="宋体" w:hAnsi="宋体" w:cs="宋体" w:eastAsia="宋体" w:hint="default"/>
                <w:sz w:val="18"/>
                <w:szCs w:val="18"/>
              </w:rPr>
              <w:t>了《营业执照》。</w:t>
            </w:r>
          </w:p>
        </w:tc>
      </w:tr>
    </w:tbl>
    <w:p>
      <w:pPr>
        <w:pStyle w:val="BodyText"/>
        <w:spacing w:line="340" w:lineRule="auto" w:before="42"/>
        <w:ind w:right="1012" w:firstLine="48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日，腾龙资产总资产</w:t>
      </w:r>
      <w:r>
        <w:rPr>
          <w:rFonts w:ascii="Times New Roman" w:hAnsi="Times New Roman" w:cs="Times New Roman" w:eastAsia="Times New Roman" w:hint="default"/>
        </w:rPr>
        <w:t>35,044.67</w:t>
      </w:r>
      <w:r>
        <w:rPr/>
        <w:t>万元，净资产</w:t>
      </w:r>
      <w:r>
        <w:rPr>
          <w:rFonts w:ascii="Times New Roman" w:hAnsi="Times New Roman" w:cs="Times New Roman" w:eastAsia="Times New Roman" w:hint="default"/>
        </w:rPr>
        <w:t>3,831.22</w:t>
      </w:r>
      <w:r>
        <w:rPr/>
        <w:t>万元。报告期内， 腾龙资产实现营业收入</w:t>
      </w:r>
      <w:r>
        <w:rPr>
          <w:rFonts w:ascii="Times New Roman" w:hAnsi="Times New Roman" w:cs="Times New Roman" w:eastAsia="Times New Roman" w:hint="default"/>
        </w:rPr>
        <w:t>1,908.88</w:t>
      </w:r>
      <w:r>
        <w:rPr/>
        <w:t>万元，净利润</w:t>
      </w:r>
      <w:r>
        <w:rPr>
          <w:rFonts w:ascii="Times New Roman" w:hAnsi="Times New Roman" w:cs="Times New Roman" w:eastAsia="Times New Roman" w:hint="default"/>
        </w:rPr>
        <w:t>-2,110.53</w:t>
      </w:r>
      <w:r>
        <w:rPr/>
        <w:t>万元。</w:t>
      </w:r>
    </w:p>
    <w:p>
      <w:pPr>
        <w:pStyle w:val="Heading2"/>
        <w:spacing w:line="254" w:lineRule="exact"/>
        <w:ind w:left="633" w:right="0"/>
        <w:jc w:val="left"/>
        <w:rPr>
          <w:b w:val="0"/>
          <w:bCs w:val="0"/>
        </w:rPr>
      </w:pPr>
      <w:r>
        <w:rPr/>
        <w:t>（四）华延芯光（北京）科技有限公司</w:t>
      </w:r>
      <w:r>
        <w:rPr>
          <w:b w:val="0"/>
          <w:bCs w:val="0"/>
        </w:rPr>
      </w:r>
    </w:p>
    <w:p>
      <w:pPr>
        <w:spacing w:after="0" w:line="254" w:lineRule="exact"/>
        <w:jc w:val="left"/>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3" w:type="dxa"/>
        <w:tblLayout w:type="fixed"/>
        <w:tblCellMar>
          <w:top w:w="0" w:type="dxa"/>
          <w:left w:w="0" w:type="dxa"/>
          <w:bottom w:w="0" w:type="dxa"/>
          <w:right w:w="0" w:type="dxa"/>
        </w:tblCellMar>
        <w:tblLook w:val="01E0"/>
      </w:tblPr>
      <w:tblGrid>
        <w:gridCol w:w="1705"/>
        <w:gridCol w:w="8096"/>
      </w:tblGrid>
      <w:tr>
        <w:trPr>
          <w:trHeight w:val="346" w:hRule="exact"/>
        </w:trPr>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50" w:hRule="exact"/>
        </w:trPr>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sz w:val="18"/>
              </w:rPr>
              <w:t>9111030256042192X0</w:t>
            </w:r>
          </w:p>
        </w:tc>
      </w:tr>
      <w:tr>
        <w:trPr>
          <w:trHeight w:val="346" w:hRule="exact"/>
        </w:trPr>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北京市北京经济技术开发区博兴七路</w:t>
            </w:r>
            <w:r>
              <w:rPr>
                <w:rFonts w:ascii="Times New Roman" w:hAnsi="Times New Roman" w:cs="Times New Roman" w:eastAsia="Times New Roman" w:hint="default"/>
                <w:sz w:val="18"/>
                <w:szCs w:val="18"/>
              </w:rPr>
              <w:t>20</w:t>
            </w:r>
            <w:r>
              <w:rPr>
                <w:rFonts w:ascii="宋体" w:hAnsi="宋体" w:cs="宋体" w:eastAsia="宋体" w:hint="default"/>
                <w:sz w:val="18"/>
                <w:szCs w:val="18"/>
              </w:rPr>
              <w:t>号</w:t>
            </w:r>
            <w:r>
              <w:rPr>
                <w:rFonts w:ascii="Times New Roman" w:hAnsi="Times New Roman" w:cs="Times New Roman" w:eastAsia="Times New Roman" w:hint="default"/>
                <w:sz w:val="18"/>
                <w:szCs w:val="18"/>
              </w:rPr>
              <w:t>3</w:t>
            </w:r>
            <w:r>
              <w:rPr>
                <w:rFonts w:ascii="宋体" w:hAnsi="宋体" w:cs="宋体" w:eastAsia="宋体" w:hint="default"/>
                <w:sz w:val="18"/>
                <w:szCs w:val="18"/>
              </w:rPr>
              <w:t>号楼</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r>
              <w:rPr>
                <w:rFonts w:ascii="Times New Roman" w:hAnsi="Times New Roman" w:cs="Times New Roman" w:eastAsia="Times New Roman" w:hint="default"/>
                <w:sz w:val="18"/>
                <w:szCs w:val="18"/>
              </w:rPr>
              <w:t>302</w:t>
            </w:r>
            <w:r>
              <w:rPr>
                <w:rFonts w:ascii="宋体" w:hAnsi="宋体" w:cs="宋体" w:eastAsia="宋体" w:hint="default"/>
                <w:sz w:val="18"/>
                <w:szCs w:val="18"/>
              </w:rPr>
              <w:t>室</w:t>
            </w:r>
          </w:p>
        </w:tc>
      </w:tr>
      <w:tr>
        <w:trPr>
          <w:trHeight w:val="346" w:hRule="exact"/>
        </w:trPr>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李志</w:t>
            </w:r>
          </w:p>
        </w:tc>
      </w:tr>
      <w:tr>
        <w:trPr>
          <w:trHeight w:val="346" w:hRule="exact"/>
        </w:trPr>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宋体" w:hAnsi="宋体" w:cs="宋体" w:eastAsia="宋体" w:hint="default"/>
                <w:sz w:val="18"/>
                <w:szCs w:val="18"/>
              </w:rPr>
              <w:t>万人民币</w:t>
            </w:r>
          </w:p>
        </w:tc>
      </w:tr>
      <w:tr>
        <w:trPr>
          <w:trHeight w:val="350" w:hRule="exact"/>
        </w:trPr>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7"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有限责任公司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法人独资</w:t>
            </w:r>
            <w:r>
              <w:rPr>
                <w:rFonts w:ascii="Times New Roman" w:hAnsi="Times New Roman" w:cs="Times New Roman" w:eastAsia="Times New Roman" w:hint="default"/>
                <w:spacing w:val="-3"/>
                <w:sz w:val="18"/>
                <w:szCs w:val="18"/>
              </w:rPr>
              <w:t>)</w:t>
            </w:r>
          </w:p>
        </w:tc>
      </w:tr>
      <w:tr>
        <w:trPr>
          <w:trHeight w:val="970" w:hRule="exact"/>
        </w:trPr>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9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 w:firstLine="292"/>
              <w:jc w:val="both"/>
              <w:rPr>
                <w:rFonts w:ascii="宋体" w:hAnsi="宋体" w:cs="宋体" w:eastAsia="宋体" w:hint="default"/>
                <w:sz w:val="18"/>
                <w:szCs w:val="18"/>
              </w:rPr>
            </w:pPr>
            <w:r>
              <w:rPr>
                <w:rFonts w:ascii="宋体" w:hAnsi="宋体" w:cs="宋体" w:eastAsia="宋体" w:hint="default"/>
                <w:spacing w:val="-3"/>
                <w:sz w:val="18"/>
                <w:szCs w:val="18"/>
              </w:rPr>
              <w:t>技术开发；货物进出口、技术进出口、代理进出口；销售电子产品、仪器仪表、机械设备；厂房租</w:t>
            </w:r>
            <w:r>
              <w:rPr>
                <w:rFonts w:ascii="宋体" w:hAnsi="宋体" w:cs="宋体" w:eastAsia="宋体" w:hint="default"/>
                <w:w w:val="101"/>
                <w:sz w:val="18"/>
                <w:szCs w:val="18"/>
              </w:rPr>
              <w:t> </w:t>
            </w:r>
            <w:r>
              <w:rPr>
                <w:rFonts w:ascii="宋体" w:hAnsi="宋体" w:cs="宋体" w:eastAsia="宋体" w:hint="default"/>
                <w:spacing w:val="-4"/>
                <w:sz w:val="18"/>
                <w:szCs w:val="18"/>
              </w:rPr>
              <w:t>赁；物业管理。（企业依法自主选择经营项目，开展经营活动；依法须经批准的项目，经相关部门批准</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3"/>
                <w:sz w:val="18"/>
                <w:szCs w:val="18"/>
              </w:rPr>
              <w:t>后依批准的内容开展经营活动；不得从事本市产业政策禁止和限制类项目的经营活动。）</w:t>
            </w:r>
          </w:p>
        </w:tc>
      </w:tr>
      <w:tr>
        <w:trPr>
          <w:trHeight w:val="346" w:hRule="exact"/>
        </w:trPr>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pacing w:val="-3"/>
                <w:sz w:val="18"/>
                <w:szCs w:val="18"/>
              </w:rPr>
              <w:t>腾龙资产（北京）投资管理有限公司</w:t>
            </w:r>
          </w:p>
        </w:tc>
      </w:tr>
      <w:tr>
        <w:trPr>
          <w:trHeight w:val="350" w:hRule="exact"/>
        </w:trPr>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346" w:hRule="exact"/>
        </w:trPr>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100%</w:t>
            </w:r>
          </w:p>
        </w:tc>
      </w:tr>
      <w:tr>
        <w:trPr>
          <w:trHeight w:val="3155" w:hRule="exact"/>
        </w:trPr>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09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3" w:firstLine="360"/>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日召开第三届董事会第十次会议审议通过《关于收购腾龙资产（北京）投资</w:t>
            </w:r>
            <w:r>
              <w:rPr>
                <w:rFonts w:ascii="宋体" w:hAnsi="宋体" w:cs="宋体" w:eastAsia="宋体" w:hint="default"/>
                <w:w w:val="101"/>
                <w:sz w:val="18"/>
                <w:szCs w:val="18"/>
              </w:rPr>
              <w:t> </w:t>
            </w:r>
            <w:r>
              <w:rPr>
                <w:rFonts w:ascii="宋体" w:hAnsi="宋体" w:cs="宋体" w:eastAsia="宋体" w:hint="default"/>
                <w:spacing w:val="-1"/>
                <w:sz w:val="18"/>
                <w:szCs w:val="18"/>
              </w:rPr>
              <w:t>管理有限公司的议案》、《关于收购华延芯光（北京）科技有限公司的议案》；于</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26</w:t>
            </w:r>
            <w:r>
              <w:rPr>
                <w:rFonts w:ascii="宋体" w:hAnsi="宋体" w:cs="宋体" w:eastAsia="宋体" w:hint="default"/>
                <w:spacing w:val="-1"/>
                <w:sz w:val="18"/>
                <w:szCs w:val="18"/>
              </w:rPr>
              <w:t>日召开</w:t>
            </w:r>
            <w:r>
              <w:rPr>
                <w:rFonts w:ascii="宋体" w:hAnsi="宋体" w:cs="宋体" w:eastAsia="宋体" w:hint="default"/>
                <w:sz w:val="18"/>
                <w:szCs w:val="18"/>
              </w:rPr>
              <w:t> </w:t>
            </w:r>
            <w:r>
              <w:rPr>
                <w:rFonts w:ascii="宋体" w:hAnsi="宋体" w:cs="宋体" w:eastAsia="宋体" w:hint="default"/>
                <w:sz w:val="18"/>
                <w:szCs w:val="18"/>
              </w:rPr>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年第二次临时股东大会审议通过《关于收购华延芯光（北京）科技有限公司的议案》，同意公司在</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完成腾龙资产</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股权收购后，腾龙资产作为依米康的全资子公司实施对华延芯光</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股权的收购。</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日，华延芯光完成了股东、董事、监事、法定代表人、总经理以及《公司章程》</w:t>
            </w:r>
          </w:p>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pacing w:val="-3"/>
                <w:sz w:val="18"/>
                <w:szCs w:val="18"/>
              </w:rPr>
              <w:t>换版等一系列工商变更登记备案手续，并换发了《营业执照》。</w:t>
            </w:r>
          </w:p>
          <w:p>
            <w:pPr>
              <w:pStyle w:val="TableParagraph"/>
              <w:spacing w:line="300" w:lineRule="auto" w:before="77"/>
              <w:ind w:left="4" w:right="-3"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日，华延芯光完成了法定代表人、董事、经理人以及注册地址、经营范围的工商变</w:t>
            </w:r>
            <w:r>
              <w:rPr>
                <w:rFonts w:ascii="宋体" w:hAnsi="宋体" w:cs="宋体" w:eastAsia="宋体" w:hint="default"/>
                <w:w w:val="101"/>
                <w:sz w:val="18"/>
                <w:szCs w:val="18"/>
              </w:rPr>
              <w:t> </w:t>
            </w:r>
            <w:r>
              <w:rPr>
                <w:rFonts w:ascii="宋体" w:hAnsi="宋体" w:cs="宋体" w:eastAsia="宋体" w:hint="default"/>
                <w:spacing w:val="-3"/>
                <w:sz w:val="18"/>
                <w:szCs w:val="18"/>
              </w:rPr>
              <w:t>更登记，并换发了《营业执照》。</w:t>
            </w:r>
          </w:p>
          <w:p>
            <w:pPr>
              <w:pStyle w:val="TableParagraph"/>
              <w:spacing w:line="300" w:lineRule="auto" w:before="31"/>
              <w:ind w:left="4" w:right="1"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月，华延芯光完成了公司法定代表人变更的工商变更登记备案手续，并换发了《营业执</w:t>
            </w:r>
            <w:r>
              <w:rPr>
                <w:rFonts w:ascii="宋体" w:hAnsi="宋体" w:cs="宋体" w:eastAsia="宋体" w:hint="default"/>
                <w:w w:val="101"/>
                <w:sz w:val="18"/>
                <w:szCs w:val="18"/>
              </w:rPr>
              <w:t> </w:t>
            </w:r>
            <w:r>
              <w:rPr>
                <w:rFonts w:ascii="宋体" w:hAnsi="宋体" w:cs="宋体" w:eastAsia="宋体" w:hint="default"/>
                <w:sz w:val="18"/>
                <w:szCs w:val="18"/>
              </w:rPr>
              <w:t>照》。</w:t>
            </w:r>
          </w:p>
        </w:tc>
      </w:tr>
    </w:tbl>
    <w:p>
      <w:pPr>
        <w:spacing w:line="240" w:lineRule="auto" w:before="10"/>
        <w:rPr>
          <w:rFonts w:ascii="宋体" w:hAnsi="宋体" w:cs="宋体" w:eastAsia="宋体" w:hint="default"/>
          <w:b/>
          <w:bCs/>
          <w:sz w:val="18"/>
          <w:szCs w:val="18"/>
        </w:rPr>
      </w:pPr>
    </w:p>
    <w:p>
      <w:pPr>
        <w:pStyle w:val="Heading2"/>
        <w:spacing w:line="240" w:lineRule="auto" w:before="26"/>
        <w:ind w:left="633" w:right="0"/>
        <w:jc w:val="left"/>
        <w:rPr>
          <w:b w:val="0"/>
          <w:bCs w:val="0"/>
        </w:rPr>
      </w:pPr>
      <w:r>
        <w:rPr/>
        <w:t>（五）依米康智能工程有限公司（曾用名</w:t>
      </w:r>
      <w:r>
        <w:rPr>
          <w:rFonts w:ascii="Times New Roman" w:hAnsi="Times New Roman" w:cs="Times New Roman" w:eastAsia="Times New Roman" w:hint="default"/>
        </w:rPr>
        <w:t>“</w:t>
      </w:r>
      <w:r>
        <w:rPr/>
        <w:t>西安华西信息智能工程有限公司</w:t>
      </w:r>
      <w:r>
        <w:rPr>
          <w:rFonts w:ascii="Times New Roman" w:hAnsi="Times New Roman" w:cs="Times New Roman" w:eastAsia="Times New Roman" w:hint="default"/>
        </w:rPr>
        <w:t>”</w:t>
      </w:r>
      <w:r>
        <w:rPr/>
        <w:t>）</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spacing w:before="46"/>
        <w:ind w:left="0" w:right="898" w:firstLine="0"/>
        <w:jc w:val="right"/>
        <w:rPr>
          <w:rFonts w:ascii="宋体" w:hAnsi="宋体" w:cs="宋体" w:eastAsia="宋体" w:hint="default"/>
          <w:sz w:val="18"/>
          <w:szCs w:val="18"/>
        </w:rPr>
      </w:pPr>
      <w:r>
        <w:rPr/>
        <w:pict>
          <v:shape style="position:absolute;margin-left:56.183998pt;margin-top:-143.218292pt;width:490.4pt;height:300.1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226"/>
                  </w:tblGrid>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4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46" w:right="0"/>
                          <w:jc w:val="center"/>
                          <w:rPr>
                            <w:rFonts w:ascii="Times New Roman" w:hAnsi="Times New Roman" w:cs="Times New Roman" w:eastAsia="Times New Roman" w:hint="default"/>
                            <w:sz w:val="18"/>
                            <w:szCs w:val="18"/>
                          </w:rPr>
                        </w:pPr>
                        <w:r>
                          <w:rPr>
                            <w:rFonts w:ascii="Times New Roman"/>
                            <w:sz w:val="18"/>
                          </w:rPr>
                          <w:t>91610131X239210995</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434" w:right="0"/>
                          <w:jc w:val="left"/>
                          <w:rPr>
                            <w:rFonts w:ascii="宋体" w:hAnsi="宋体" w:cs="宋体" w:eastAsia="宋体" w:hint="default"/>
                            <w:sz w:val="18"/>
                            <w:szCs w:val="18"/>
                          </w:rPr>
                        </w:pPr>
                        <w:r>
                          <w:rPr>
                            <w:rFonts w:ascii="宋体" w:hAnsi="宋体" w:cs="宋体" w:eastAsia="宋体" w:hint="default"/>
                            <w:sz w:val="18"/>
                            <w:szCs w:val="18"/>
                          </w:rPr>
                          <w:t>西安市高新区枫叶新都市杰座</w:t>
                        </w:r>
                        <w:r>
                          <w:rPr>
                            <w:rFonts w:ascii="Times New Roman" w:hAnsi="Times New Roman" w:cs="Times New Roman" w:eastAsia="Times New Roman" w:hint="default"/>
                            <w:sz w:val="18"/>
                            <w:szCs w:val="18"/>
                          </w:rPr>
                          <w:t>A10-11002</w:t>
                        </w:r>
                        <w:r>
                          <w:rPr>
                            <w:rFonts w:ascii="宋体" w:hAnsi="宋体" w:cs="宋体" w:eastAsia="宋体" w:hint="default"/>
                            <w:sz w:val="18"/>
                            <w:szCs w:val="18"/>
                          </w:rPr>
                          <w:t>号</w:t>
                        </w:r>
                      </w:p>
                    </w:tc>
                  </w:tr>
                  <w:tr>
                    <w:trPr>
                      <w:trHeight w:val="428"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45" w:right="0"/>
                          <w:jc w:val="center"/>
                          <w:rPr>
                            <w:rFonts w:ascii="宋体" w:hAnsi="宋体" w:cs="宋体" w:eastAsia="宋体" w:hint="default"/>
                            <w:sz w:val="18"/>
                            <w:szCs w:val="18"/>
                          </w:rPr>
                        </w:pPr>
                        <w:r>
                          <w:rPr>
                            <w:rFonts w:ascii="宋体" w:hAnsi="宋体" w:cs="宋体" w:eastAsia="宋体" w:hint="default"/>
                            <w:sz w:val="18"/>
                            <w:szCs w:val="18"/>
                          </w:rPr>
                          <w:t>黄建军</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4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6,312.5</w:t>
                        </w:r>
                        <w:r>
                          <w:rPr>
                            <w:rFonts w:ascii="宋体" w:hAnsi="宋体" w:cs="宋体" w:eastAsia="宋体" w:hint="default"/>
                            <w:sz w:val="18"/>
                            <w:szCs w:val="18"/>
                          </w:rPr>
                          <w:t>万元人民币</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439" w:right="0"/>
                          <w:jc w:val="left"/>
                          <w:rPr>
                            <w:rFonts w:ascii="宋体" w:hAnsi="宋体" w:cs="宋体" w:eastAsia="宋体" w:hint="default"/>
                            <w:sz w:val="18"/>
                            <w:szCs w:val="18"/>
                          </w:rPr>
                        </w:pPr>
                        <w:r>
                          <w:rPr>
                            <w:rFonts w:ascii="宋体" w:hAnsi="宋体" w:cs="宋体" w:eastAsia="宋体" w:hint="default"/>
                            <w:spacing w:val="-3"/>
                            <w:sz w:val="18"/>
                            <w:szCs w:val="18"/>
                          </w:rPr>
                          <w:t>有限责任公司（自然人投资或控股的法人独资）</w:t>
                        </w:r>
                      </w:p>
                    </w:tc>
                  </w:tr>
                  <w:tr>
                    <w:trPr>
                      <w:trHeight w:val="1594"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0" w:firstLine="360"/>
                          <w:jc w:val="left"/>
                          <w:rPr>
                            <w:rFonts w:ascii="宋体" w:hAnsi="宋体" w:cs="宋体" w:eastAsia="宋体" w:hint="default"/>
                            <w:sz w:val="18"/>
                            <w:szCs w:val="18"/>
                          </w:rPr>
                        </w:pPr>
                        <w:r>
                          <w:rPr>
                            <w:rFonts w:ascii="宋体" w:hAnsi="宋体" w:cs="宋体" w:eastAsia="宋体" w:hint="default"/>
                            <w:spacing w:val="-5"/>
                            <w:sz w:val="18"/>
                            <w:szCs w:val="18"/>
                          </w:rPr>
                          <w:t>电子智能化工程设计与施工；专业净化工程、安防工程、机电安装工程、消防工程、环保工程、城市</w:t>
                        </w:r>
                        <w:r>
                          <w:rPr>
                            <w:rFonts w:ascii="宋体" w:hAnsi="宋体" w:cs="宋体" w:eastAsia="宋体" w:hint="default"/>
                            <w:w w:val="101"/>
                            <w:sz w:val="18"/>
                            <w:szCs w:val="18"/>
                          </w:rPr>
                          <w:t> </w:t>
                        </w:r>
                        <w:r>
                          <w:rPr>
                            <w:rFonts w:ascii="宋体" w:hAnsi="宋体" w:cs="宋体" w:eastAsia="宋体" w:hint="default"/>
                            <w:spacing w:val="-7"/>
                            <w:sz w:val="18"/>
                            <w:szCs w:val="18"/>
                          </w:rPr>
                          <w:t>及道路照明工程的施工；民用建筑及装饰装修设计与施工；电力设施的施工；第二、三类医疗器械的销售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信息系统集成（须经审批项目除外）；信息系统安全集成；软件开发；货物和技术的进出口经营（国家限</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5"/>
                            <w:sz w:val="18"/>
                            <w:szCs w:val="18"/>
                          </w:rPr>
                          <w:t>制、禁止和须经审批进出口的货物和技术除外）；机房配套设备及建材（除木材）的销售；园林绿化；房</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屋出租（依法须经批准的项目，经相关部门批准后方可开展经营活动）</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48" w:right="0"/>
                          <w:jc w:val="center"/>
                          <w:rPr>
                            <w:rFonts w:ascii="Times New Roman" w:hAnsi="Times New Roman" w:cs="Times New Roman" w:eastAsia="Times New Roman" w:hint="default"/>
                            <w:sz w:val="18"/>
                            <w:szCs w:val="18"/>
                          </w:rPr>
                        </w:pPr>
                        <w:r>
                          <w:rPr>
                            <w:rFonts w:ascii="Times New Roman"/>
                            <w:sz w:val="18"/>
                          </w:rPr>
                          <w:t>100%</w:t>
                        </w:r>
                      </w:p>
                    </w:tc>
                  </w:tr>
                  <w:tr>
                    <w:trPr>
                      <w:trHeight w:val="428"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48" w:right="0"/>
                          <w:jc w:val="center"/>
                          <w:rPr>
                            <w:rFonts w:ascii="Times New Roman" w:hAnsi="Times New Roman" w:cs="Times New Roman" w:eastAsia="Times New Roman" w:hint="default"/>
                            <w:sz w:val="18"/>
                            <w:szCs w:val="18"/>
                          </w:rPr>
                        </w:pPr>
                        <w:r>
                          <w:rPr>
                            <w:rFonts w:ascii="Times New Roman"/>
                            <w:sz w:val="18"/>
                          </w:rPr>
                          <w:t>100%</w:t>
                        </w:r>
                      </w:p>
                    </w:tc>
                  </w:tr>
                  <w:tr>
                    <w:trPr>
                      <w:trHeight w:val="974"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1"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月依米康使用超募资金</w:t>
                        </w:r>
                        <w:r>
                          <w:rPr>
                            <w:rFonts w:ascii="宋体" w:hAnsi="宋体" w:cs="宋体" w:eastAsia="宋体" w:hint="default"/>
                            <w:spacing w:val="78"/>
                            <w:sz w:val="18"/>
                            <w:szCs w:val="18"/>
                          </w:rPr>
                          <w:t> </w:t>
                        </w:r>
                        <w:r>
                          <w:rPr>
                            <w:rFonts w:ascii="Times New Roman" w:hAnsi="Times New Roman" w:cs="Times New Roman" w:eastAsia="Times New Roman" w:hint="default"/>
                            <w:spacing w:val="-3"/>
                            <w:sz w:val="18"/>
                            <w:szCs w:val="18"/>
                          </w:rPr>
                          <w:t>4,233</w:t>
                        </w:r>
                        <w:r>
                          <w:rPr>
                            <w:rFonts w:ascii="宋体" w:hAnsi="宋体" w:cs="宋体" w:eastAsia="宋体" w:hint="default"/>
                            <w:spacing w:val="-3"/>
                            <w:sz w:val="18"/>
                            <w:szCs w:val="18"/>
                          </w:rPr>
                          <w:t>万元收购深圳市西秦商贸有限公司所持有的西安华西信息智</w:t>
                        </w:r>
                        <w:r>
                          <w:rPr>
                            <w:rFonts w:ascii="宋体" w:hAnsi="宋体" w:cs="宋体" w:eastAsia="宋体" w:hint="default"/>
                            <w:w w:val="101"/>
                            <w:sz w:val="18"/>
                            <w:szCs w:val="18"/>
                          </w:rPr>
                          <w:t> </w:t>
                        </w:r>
                        <w:r>
                          <w:rPr>
                            <w:rFonts w:ascii="宋体" w:hAnsi="宋体" w:cs="宋体" w:eastAsia="宋体" w:hint="default"/>
                            <w:sz w:val="18"/>
                            <w:szCs w:val="18"/>
                          </w:rPr>
                          <w:t>能工程有限公司</w:t>
                        </w:r>
                        <w:r>
                          <w:rPr>
                            <w:rFonts w:ascii="Times New Roman" w:hAnsi="Times New Roman" w:cs="Times New Roman" w:eastAsia="Times New Roman" w:hint="default"/>
                            <w:sz w:val="18"/>
                            <w:szCs w:val="18"/>
                          </w:rPr>
                          <w:t>51.07%</w:t>
                        </w:r>
                        <w:r>
                          <w:rPr>
                            <w:rFonts w:ascii="宋体" w:hAnsi="宋体" w:cs="宋体" w:eastAsia="宋体" w:hint="default"/>
                            <w:sz w:val="18"/>
                            <w:szCs w:val="18"/>
                          </w:rPr>
                          <w:t>的股权。</w:t>
                        </w:r>
                      </w:p>
                      <w:p>
                        <w:pPr>
                          <w:pStyle w:val="TableParagraph"/>
                          <w:spacing w:line="240" w:lineRule="auto" w:before="13"/>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月西安华西各股东按各自持股比例实施第一期增资（注册资本由</w:t>
                        </w:r>
                        <w:r>
                          <w:rPr>
                            <w:rFonts w:ascii="Times New Roman" w:hAnsi="Times New Roman" w:cs="Times New Roman" w:eastAsia="Times New Roman" w:hint="default"/>
                            <w:spacing w:val="-3"/>
                            <w:sz w:val="18"/>
                            <w:szCs w:val="18"/>
                          </w:rPr>
                          <w:t>2,150</w:t>
                        </w:r>
                        <w:r>
                          <w:rPr>
                            <w:rFonts w:ascii="宋体" w:hAnsi="宋体" w:cs="宋体" w:eastAsia="宋体" w:hint="default"/>
                            <w:spacing w:val="-3"/>
                            <w:sz w:val="18"/>
                            <w:szCs w:val="18"/>
                          </w:rPr>
                          <w:t>万元增资到</w:t>
                        </w:r>
                        <w:r>
                          <w:rPr>
                            <w:rFonts w:ascii="Times New Roman" w:hAnsi="Times New Roman" w:cs="Times New Roman" w:eastAsia="Times New Roman" w:hint="default"/>
                            <w:spacing w:val="-3"/>
                            <w:sz w:val="18"/>
                            <w:szCs w:val="18"/>
                          </w:rPr>
                          <w:t>3,010</w:t>
                        </w:r>
                        <w:r>
                          <w:rPr>
                            <w:rFonts w:ascii="宋体" w:hAnsi="宋体" w:cs="宋体" w:eastAsia="宋体" w:hint="default"/>
                            <w:spacing w:val="-3"/>
                            <w:sz w:val="18"/>
                            <w:szCs w:val="18"/>
                          </w:rPr>
                          <w:t>万</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0"/>
        <w:ind w:left="0" w:right="902" w:firstLine="0"/>
        <w:jc w:val="right"/>
        <w:rPr>
          <w:rFonts w:ascii="宋体" w:hAnsi="宋体" w:cs="宋体" w:eastAsia="宋体" w:hint="default"/>
          <w:sz w:val="18"/>
          <w:szCs w:val="18"/>
        </w:rPr>
      </w:pPr>
      <w:r>
        <w:rPr/>
        <w:pict>
          <v:shape style="position:absolute;margin-left:56.183998pt;margin-top:-173.378265pt;width:490.4pt;height:398.5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226"/>
                  </w:tblGrid>
                  <w:tr>
                    <w:trPr>
                      <w:trHeight w:val="333" w:hRule="exact"/>
                    </w:trPr>
                    <w:tc>
                      <w:tcPr>
                        <w:tcW w:w="1561" w:type="dxa"/>
                        <w:vMerge w:val="restart"/>
                        <w:tcBorders>
                          <w:top w:val="single" w:sz="6" w:space="0" w:color="000000"/>
                          <w:left w:val="single" w:sz="6" w:space="0" w:color="000000"/>
                          <w:right w:val="single" w:sz="6" w:space="0" w:color="000000"/>
                        </w:tcBorders>
                        <w:shd w:val="clear" w:color="auto" w:fill="D9D9D9"/>
                      </w:tcPr>
                      <w:p>
                        <w:pPr/>
                      </w:p>
                    </w:tc>
                    <w:tc>
                      <w:tcPr>
                        <w:tcW w:w="822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元，依米康出资</w:t>
                        </w:r>
                        <w:r>
                          <w:rPr>
                            <w:rFonts w:ascii="Times New Roman" w:hAnsi="Times New Roman" w:cs="Times New Roman" w:eastAsia="Times New Roman" w:hint="default"/>
                            <w:sz w:val="18"/>
                            <w:szCs w:val="18"/>
                          </w:rPr>
                          <w:t>439.21</w:t>
                        </w:r>
                        <w:r>
                          <w:rPr>
                            <w:rFonts w:ascii="宋体" w:hAnsi="宋体" w:cs="宋体" w:eastAsia="宋体" w:hint="default"/>
                            <w:sz w:val="18"/>
                            <w:szCs w:val="18"/>
                          </w:rPr>
                          <w:t>万元）。</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日办理完成西安华西股东高峰和郭倩股权出质注销登记手续。</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日西安华西股东会同意股东高峰将其持有</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的股权对应出资</w:t>
                        </w:r>
                        <w:r>
                          <w:rPr>
                            <w:rFonts w:ascii="Times New Roman" w:hAnsi="Times New Roman" w:cs="Times New Roman" w:eastAsia="Times New Roman" w:hint="default"/>
                            <w:spacing w:val="-3"/>
                            <w:sz w:val="18"/>
                            <w:szCs w:val="18"/>
                          </w:rPr>
                          <w:t>150.50</w:t>
                        </w:r>
                        <w:r>
                          <w:rPr>
                            <w:rFonts w:ascii="宋体" w:hAnsi="宋体" w:cs="宋体" w:eastAsia="宋体" w:hint="default"/>
                            <w:spacing w:val="-3"/>
                            <w:sz w:val="18"/>
                            <w:szCs w:val="18"/>
                          </w:rPr>
                          <w:t>万元转让给深圳市</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5"/>
                          <w:jc w:val="left"/>
                          <w:rPr>
                            <w:rFonts w:ascii="宋体" w:hAnsi="宋体" w:cs="宋体" w:eastAsia="宋体" w:hint="default"/>
                            <w:sz w:val="18"/>
                            <w:szCs w:val="18"/>
                          </w:rPr>
                        </w:pPr>
                        <w:r>
                          <w:rPr>
                            <w:rFonts w:ascii="宋体" w:hAnsi="宋体" w:cs="宋体" w:eastAsia="宋体" w:hint="default"/>
                            <w:spacing w:val="-3"/>
                            <w:sz w:val="18"/>
                            <w:szCs w:val="18"/>
                          </w:rPr>
                          <w:t>前海汇金天源数字技术股份有限公司（以下简称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汇金天源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），转让价格为</w:t>
                        </w:r>
                        <w:r>
                          <w:rPr>
                            <w:rFonts w:ascii="Times New Roman" w:hAnsi="Times New Roman" w:cs="Times New Roman" w:eastAsia="Times New Roman" w:hint="default"/>
                            <w:spacing w:val="-3"/>
                            <w:sz w:val="18"/>
                            <w:szCs w:val="18"/>
                          </w:rPr>
                          <w:t>752.50</w:t>
                        </w:r>
                        <w:r>
                          <w:rPr>
                            <w:rFonts w:ascii="宋体" w:hAnsi="宋体" w:cs="宋体" w:eastAsia="宋体" w:hint="default"/>
                            <w:spacing w:val="-3"/>
                            <w:sz w:val="18"/>
                            <w:szCs w:val="18"/>
                          </w:rPr>
                          <w:t>万元，已办理完成相关</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股权转让的工商变更手续，取得了</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日签发的《营业执照》。</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righ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2015</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月，西安华西股东会同意原股东和新股东上海乐长长投资有限公司（西安华西核心员工持</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股的公司，以下简称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长乐乐</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）出资对其进行增资注册资本由</w:t>
                        </w:r>
                        <w:r>
                          <w:rPr>
                            <w:rFonts w:ascii="Times New Roman" w:hAnsi="Times New Roman" w:cs="Times New Roman" w:eastAsia="Times New Roman" w:hint="default"/>
                            <w:spacing w:val="-3"/>
                            <w:sz w:val="18"/>
                            <w:szCs w:val="18"/>
                          </w:rPr>
                          <w:t>3,010</w:t>
                        </w:r>
                        <w:r>
                          <w:rPr>
                            <w:rFonts w:ascii="宋体" w:hAnsi="宋体" w:cs="宋体" w:eastAsia="宋体" w:hint="default"/>
                            <w:spacing w:val="-3"/>
                            <w:sz w:val="18"/>
                            <w:szCs w:val="18"/>
                          </w:rPr>
                          <w:t>万元增至</w:t>
                        </w:r>
                        <w:r>
                          <w:rPr>
                            <w:rFonts w:ascii="Times New Roman" w:hAnsi="Times New Roman" w:cs="Times New Roman" w:eastAsia="Times New Roman" w:hint="default"/>
                            <w:spacing w:val="-3"/>
                            <w:sz w:val="18"/>
                            <w:szCs w:val="18"/>
                          </w:rPr>
                          <w:t>5,050</w:t>
                        </w:r>
                        <w:r>
                          <w:rPr>
                            <w:rFonts w:ascii="宋体" w:hAnsi="宋体" w:cs="宋体" w:eastAsia="宋体" w:hint="default"/>
                            <w:spacing w:val="-3"/>
                            <w:sz w:val="18"/>
                            <w:szCs w:val="18"/>
                          </w:rPr>
                          <w:t>万元；出资情况如下：</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依</w:t>
                        </w:r>
                        <w:r>
                          <w:rPr>
                            <w:rFonts w:ascii="宋体" w:hAnsi="宋体" w:cs="宋体" w:eastAsia="宋体" w:hint="default"/>
                            <w:spacing w:val="-5"/>
                            <w:w w:val="101"/>
                            <w:sz w:val="18"/>
                            <w:szCs w:val="18"/>
                          </w:rPr>
                          <w:t>米</w:t>
                        </w:r>
                        <w:r>
                          <w:rPr>
                            <w:rFonts w:ascii="宋体" w:hAnsi="宋体" w:cs="宋体" w:eastAsia="宋体" w:hint="default"/>
                            <w:w w:val="101"/>
                            <w:sz w:val="18"/>
                            <w:szCs w:val="18"/>
                          </w:rPr>
                          <w:t>康</w:t>
                        </w:r>
                        <w:r>
                          <w:rPr>
                            <w:rFonts w:ascii="宋体" w:hAnsi="宋体" w:cs="宋体" w:eastAsia="宋体" w:hint="default"/>
                            <w:spacing w:val="-5"/>
                            <w:w w:val="101"/>
                            <w:sz w:val="18"/>
                            <w:szCs w:val="18"/>
                          </w:rPr>
                          <w:t>出</w:t>
                        </w:r>
                        <w:r>
                          <w:rPr>
                            <w:rFonts w:ascii="宋体" w:hAnsi="宋体" w:cs="宋体" w:eastAsia="宋体" w:hint="default"/>
                            <w:w w:val="101"/>
                            <w:sz w:val="18"/>
                            <w:szCs w:val="18"/>
                          </w:rPr>
                          <w:t>资</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04</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5"/>
                            <w:w w:val="101"/>
                            <w:sz w:val="18"/>
                            <w:szCs w:val="18"/>
                          </w:rPr>
                          <w:t>2</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高峰</w:t>
                        </w:r>
                        <w:r>
                          <w:rPr>
                            <w:rFonts w:ascii="宋体" w:hAnsi="宋体" w:cs="宋体" w:eastAsia="宋体" w:hint="default"/>
                            <w:w w:val="101"/>
                            <w:sz w:val="18"/>
                            <w:szCs w:val="18"/>
                          </w:rPr>
                          <w:t>出资</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w w:val="101"/>
                            <w:sz w:val="18"/>
                            <w:szCs w:val="18"/>
                          </w:rPr>
                          <w:t>82</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50</w:t>
                        </w:r>
                        <w:r>
                          <w:rPr>
                            <w:rFonts w:ascii="宋体" w:hAnsi="宋体" w:cs="宋体" w:eastAsia="宋体" w:hint="default"/>
                            <w:spacing w:val="-5"/>
                            <w:w w:val="101"/>
                            <w:sz w:val="18"/>
                            <w:szCs w:val="18"/>
                          </w:rPr>
                          <w:t>万元</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郭</w:t>
                        </w:r>
                        <w:r>
                          <w:rPr>
                            <w:rFonts w:ascii="宋体" w:hAnsi="宋体" w:cs="宋体" w:eastAsia="宋体" w:hint="default"/>
                            <w:w w:val="101"/>
                            <w:sz w:val="18"/>
                            <w:szCs w:val="18"/>
                          </w:rPr>
                          <w:t>倩</w:t>
                        </w:r>
                        <w:r>
                          <w:rPr>
                            <w:rFonts w:ascii="宋体" w:hAnsi="宋体" w:cs="宋体" w:eastAsia="宋体" w:hint="default"/>
                            <w:spacing w:val="-5"/>
                            <w:w w:val="101"/>
                            <w:sz w:val="18"/>
                            <w:szCs w:val="18"/>
                          </w:rPr>
                          <w:t>出</w:t>
                        </w:r>
                        <w:r>
                          <w:rPr>
                            <w:rFonts w:ascii="宋体" w:hAnsi="宋体" w:cs="宋体" w:eastAsia="宋体" w:hint="default"/>
                            <w:w w:val="101"/>
                            <w:sz w:val="18"/>
                            <w:szCs w:val="18"/>
                          </w:rPr>
                          <w:t>资</w:t>
                        </w:r>
                        <w:r>
                          <w:rPr>
                            <w:rFonts w:ascii="Times New Roman" w:hAnsi="Times New Roman" w:cs="Times New Roman" w:eastAsia="Times New Roman" w:hint="default"/>
                            <w:w w:val="101"/>
                            <w:sz w:val="18"/>
                            <w:szCs w:val="18"/>
                          </w:rPr>
                          <w:t>7</w:t>
                        </w:r>
                        <w:r>
                          <w:rPr>
                            <w:rFonts w:ascii="Times New Roman" w:hAnsi="Times New Roman" w:cs="Times New Roman" w:eastAsia="Times New Roman" w:hint="default"/>
                            <w:spacing w:val="-5"/>
                            <w:w w:val="101"/>
                            <w:sz w:val="18"/>
                            <w:szCs w:val="18"/>
                          </w:rPr>
                          <w:t>3</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87"/>
                            <w:w w:val="101"/>
                            <w:sz w:val="18"/>
                            <w:szCs w:val="18"/>
                          </w:rPr>
                          <w:t>、</w:t>
                        </w:r>
                        <w:r>
                          <w:rPr>
                            <w:rFonts w:ascii="宋体" w:hAnsi="宋体" w:cs="宋体" w:eastAsia="宋体" w:hint="default"/>
                            <w:spacing w:val="-5"/>
                            <w:w w:val="101"/>
                            <w:sz w:val="18"/>
                            <w:szCs w:val="18"/>
                          </w:rPr>
                          <w:t>汇</w:t>
                        </w:r>
                        <w:r>
                          <w:rPr>
                            <w:rFonts w:ascii="宋体" w:hAnsi="宋体" w:cs="宋体" w:eastAsia="宋体" w:hint="default"/>
                            <w:w w:val="101"/>
                            <w:sz w:val="18"/>
                            <w:szCs w:val="18"/>
                          </w:rPr>
                          <w:t>金</w:t>
                        </w:r>
                        <w:r>
                          <w:rPr>
                            <w:rFonts w:ascii="宋体" w:hAnsi="宋体" w:cs="宋体" w:eastAsia="宋体" w:hint="default"/>
                            <w:spacing w:val="-5"/>
                            <w:w w:val="101"/>
                            <w:sz w:val="18"/>
                            <w:szCs w:val="18"/>
                          </w:rPr>
                          <w:t>天</w:t>
                        </w:r>
                        <w:r>
                          <w:rPr>
                            <w:rFonts w:ascii="宋体" w:hAnsi="宋体" w:cs="宋体" w:eastAsia="宋体" w:hint="default"/>
                            <w:w w:val="101"/>
                            <w:sz w:val="18"/>
                            <w:szCs w:val="18"/>
                          </w:rPr>
                          <w:t>源</w:t>
                        </w:r>
                        <w:r>
                          <w:rPr>
                            <w:rFonts w:ascii="宋体" w:hAnsi="宋体" w:cs="宋体" w:eastAsia="宋体" w:hint="default"/>
                            <w:spacing w:val="-5"/>
                            <w:w w:val="101"/>
                            <w:sz w:val="18"/>
                            <w:szCs w:val="18"/>
                          </w:rPr>
                          <w:t>出</w:t>
                        </w:r>
                        <w:r>
                          <w:rPr>
                            <w:rFonts w:ascii="宋体" w:hAnsi="宋体" w:cs="宋体" w:eastAsia="宋体" w:hint="default"/>
                            <w:w w:val="101"/>
                            <w:sz w:val="18"/>
                            <w:szCs w:val="18"/>
                          </w:rPr>
                          <w:t>资</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5"/>
                            <w:w w:val="101"/>
                            <w:sz w:val="18"/>
                            <w:szCs w:val="18"/>
                          </w:rPr>
                          <w:t>2</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w w:val="101"/>
                            <w:sz w:val="18"/>
                            <w:szCs w:val="18"/>
                          </w:rPr>
                          <w:t>长</w:t>
                        </w:r>
                        <w:r>
                          <w:rPr>
                            <w:rFonts w:ascii="宋体" w:hAnsi="宋体" w:cs="宋体" w:eastAsia="宋体" w:hint="default"/>
                            <w:spacing w:val="-5"/>
                            <w:w w:val="101"/>
                            <w:sz w:val="18"/>
                            <w:szCs w:val="18"/>
                          </w:rPr>
                          <w:t>乐</w:t>
                        </w:r>
                        <w:r>
                          <w:rPr>
                            <w:rFonts w:ascii="宋体" w:hAnsi="宋体" w:cs="宋体" w:eastAsia="宋体" w:hint="default"/>
                            <w:w w:val="101"/>
                            <w:sz w:val="18"/>
                            <w:szCs w:val="18"/>
                          </w:rPr>
                          <w:t>乐</w:t>
                        </w:r>
                        <w:r>
                          <w:rPr>
                            <w:rFonts w:ascii="宋体" w:hAnsi="宋体" w:cs="宋体" w:eastAsia="宋体" w:hint="default"/>
                            <w:spacing w:val="-5"/>
                            <w:w w:val="101"/>
                            <w:sz w:val="18"/>
                            <w:szCs w:val="18"/>
                          </w:rPr>
                          <w:t>出</w:t>
                        </w:r>
                        <w:r>
                          <w:rPr>
                            <w:rFonts w:ascii="宋体" w:hAnsi="宋体" w:cs="宋体" w:eastAsia="宋体" w:hint="default"/>
                            <w:w w:val="101"/>
                            <w:sz w:val="18"/>
                            <w:szCs w:val="18"/>
                          </w:rPr>
                          <w:t>资</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z w:val="18"/>
                            <w:szCs w:val="18"/>
                          </w:rPr>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万元；以上增资事项于</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月完成工商变更登记手续，并取得换发的《企业法人营业执照》。</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月取得西安市工商行政管理局核发的三证合一《营业执照》。</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月西安华西完成了经营范围的变更。</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36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19</w:t>
                        </w:r>
                        <w:r>
                          <w:rPr>
                            <w:rFonts w:ascii="宋体" w:hAnsi="宋体" w:cs="宋体" w:eastAsia="宋体" w:hint="default"/>
                            <w:spacing w:val="-6"/>
                            <w:sz w:val="18"/>
                            <w:szCs w:val="18"/>
                          </w:rPr>
                          <w:t>日，公司召开董事会审议通过了《关于收购西安华西信息智能工程有限公司的议案》</w:t>
                        </w:r>
                        <w:r>
                          <w:rPr>
                            <w:rFonts w:ascii="宋体" w:hAnsi="宋体" w:cs="宋体" w:eastAsia="宋体" w:hint="default"/>
                            <w:sz w:val="18"/>
                            <w:szCs w:val="18"/>
                          </w:rPr>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公司以自有资金</w:t>
                        </w:r>
                        <w:r>
                          <w:rPr>
                            <w:rFonts w:ascii="Times New Roman" w:hAnsi="Times New Roman" w:cs="Times New Roman" w:eastAsia="Times New Roman" w:hint="default"/>
                            <w:spacing w:val="-3"/>
                            <w:sz w:val="18"/>
                            <w:szCs w:val="18"/>
                          </w:rPr>
                          <w:t>6,177.425</w:t>
                        </w:r>
                        <w:r>
                          <w:rPr>
                            <w:rFonts w:ascii="宋体" w:hAnsi="宋体" w:cs="宋体" w:eastAsia="宋体" w:hint="default"/>
                            <w:spacing w:val="-3"/>
                            <w:sz w:val="18"/>
                            <w:szCs w:val="18"/>
                          </w:rPr>
                          <w:t>万元收购西安华西除依米康以外其他</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名股东包括高峰、郭倩、上海乐长长投资</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有限公司及深圳市前海汇金天源数字技术股份有限公司持有的合计</w:t>
                        </w:r>
                        <w:r>
                          <w:rPr>
                            <w:rFonts w:ascii="Times New Roman" w:hAnsi="Times New Roman" w:cs="Times New Roman" w:eastAsia="Times New Roman" w:hint="default"/>
                            <w:spacing w:val="-3"/>
                            <w:sz w:val="18"/>
                            <w:szCs w:val="18"/>
                          </w:rPr>
                          <w:t>2,470.97</w:t>
                        </w:r>
                        <w:r>
                          <w:rPr>
                            <w:rFonts w:ascii="宋体" w:hAnsi="宋体" w:cs="宋体" w:eastAsia="宋体" w:hint="default"/>
                            <w:spacing w:val="-3"/>
                            <w:sz w:val="18"/>
                            <w:szCs w:val="18"/>
                          </w:rPr>
                          <w:t>万股西安华西股权（占西安华</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西总股本的</w:t>
                        </w:r>
                        <w:r>
                          <w:rPr>
                            <w:rFonts w:ascii="Times New Roman" w:hAnsi="Times New Roman" w:cs="Times New Roman" w:eastAsia="Times New Roman" w:hint="default"/>
                            <w:spacing w:val="-3"/>
                            <w:sz w:val="18"/>
                            <w:szCs w:val="18"/>
                          </w:rPr>
                          <w:t>48.93%</w:t>
                        </w:r>
                        <w:r>
                          <w:rPr>
                            <w:rFonts w:ascii="宋体" w:hAnsi="宋体" w:cs="宋体" w:eastAsia="宋体" w:hint="default"/>
                            <w:spacing w:val="-3"/>
                            <w:sz w:val="18"/>
                            <w:szCs w:val="18"/>
                          </w:rPr>
                          <w:t>）；西安华西已于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29</w:t>
                        </w:r>
                        <w:r>
                          <w:rPr>
                            <w:rFonts w:ascii="宋体" w:hAnsi="宋体" w:cs="宋体" w:eastAsia="宋体" w:hint="default"/>
                            <w:spacing w:val="-3"/>
                            <w:sz w:val="18"/>
                            <w:szCs w:val="18"/>
                          </w:rPr>
                          <w:t>日完成了股东变更、董事会成员变更以及公司章程换版</w:t>
                        </w:r>
                      </w:p>
                    </w:tc>
                  </w:tr>
                  <w:tr>
                    <w:trPr>
                      <w:trHeight w:val="307"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等工商变更登记备案手续，并换发了《营业执照》。</w:t>
                        </w:r>
                      </w:p>
                    </w:tc>
                  </w:tr>
                  <w:tr>
                    <w:trPr>
                      <w:trHeight w:val="317"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11"/>
                          <w:ind w:right="9"/>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日，公司召开第三届董事会第三十九次会议审议通过了《关于子公司依米康智成对西</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安华西进行增资的议案》，增资完成后，西安华西注册资本由</w:t>
                        </w:r>
                        <w:r>
                          <w:rPr>
                            <w:rFonts w:ascii="Times New Roman" w:hAnsi="Times New Roman" w:cs="Times New Roman" w:eastAsia="Times New Roman" w:hint="default"/>
                            <w:spacing w:val="-3"/>
                            <w:sz w:val="18"/>
                            <w:szCs w:val="18"/>
                          </w:rPr>
                          <w:t>5,050</w:t>
                        </w:r>
                        <w:r>
                          <w:rPr>
                            <w:rFonts w:ascii="宋体" w:hAnsi="宋体" w:cs="宋体" w:eastAsia="宋体" w:hint="default"/>
                            <w:spacing w:val="-3"/>
                            <w:sz w:val="18"/>
                            <w:szCs w:val="18"/>
                          </w:rPr>
                          <w:t>万元变更为</w:t>
                        </w:r>
                        <w:r>
                          <w:rPr>
                            <w:rFonts w:ascii="Times New Roman" w:hAnsi="Times New Roman" w:cs="Times New Roman" w:eastAsia="Times New Roman" w:hint="default"/>
                            <w:spacing w:val="-3"/>
                            <w:sz w:val="18"/>
                            <w:szCs w:val="18"/>
                          </w:rPr>
                          <w:t>6,312.5</w:t>
                        </w:r>
                        <w:r>
                          <w:rPr>
                            <w:rFonts w:ascii="宋体" w:hAnsi="宋体" w:cs="宋体" w:eastAsia="宋体" w:hint="default"/>
                            <w:spacing w:val="-3"/>
                            <w:sz w:val="18"/>
                            <w:szCs w:val="18"/>
                          </w:rPr>
                          <w:t>万元，其中，公司</w:t>
                        </w:r>
                      </w:p>
                    </w:tc>
                  </w:tr>
                  <w:tr>
                    <w:trPr>
                      <w:trHeight w:val="312"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4"/>
                            <w:sz w:val="18"/>
                            <w:szCs w:val="18"/>
                          </w:rPr>
                          <w:t>出资额</w:t>
                        </w:r>
                        <w:r>
                          <w:rPr>
                            <w:rFonts w:ascii="Times New Roman" w:hAnsi="Times New Roman" w:cs="Times New Roman" w:eastAsia="Times New Roman" w:hint="default"/>
                            <w:spacing w:val="-4"/>
                            <w:sz w:val="18"/>
                            <w:szCs w:val="18"/>
                          </w:rPr>
                          <w:t>5,050</w:t>
                        </w:r>
                        <w:r>
                          <w:rPr>
                            <w:rFonts w:ascii="宋体" w:hAnsi="宋体" w:cs="宋体" w:eastAsia="宋体" w:hint="default"/>
                            <w:spacing w:val="-4"/>
                            <w:sz w:val="18"/>
                            <w:szCs w:val="18"/>
                          </w:rPr>
                          <w:t>万元，持股比例</w:t>
                        </w:r>
                        <w:r>
                          <w:rPr>
                            <w:rFonts w:ascii="Times New Roman" w:hAnsi="Times New Roman" w:cs="Times New Roman" w:eastAsia="Times New Roman" w:hint="default"/>
                            <w:spacing w:val="-4"/>
                            <w:sz w:val="18"/>
                            <w:szCs w:val="18"/>
                          </w:rPr>
                          <w:t>80%</w:t>
                        </w:r>
                        <w:r>
                          <w:rPr>
                            <w:rFonts w:ascii="宋体" w:hAnsi="宋体" w:cs="宋体" w:eastAsia="宋体" w:hint="default"/>
                            <w:spacing w:val="-4"/>
                            <w:sz w:val="18"/>
                            <w:szCs w:val="18"/>
                          </w:rPr>
                          <w:t>；依米康智成出资额</w:t>
                        </w:r>
                        <w:r>
                          <w:rPr>
                            <w:rFonts w:ascii="Times New Roman" w:hAnsi="Times New Roman" w:cs="Times New Roman" w:eastAsia="Times New Roman" w:hint="default"/>
                            <w:spacing w:val="-4"/>
                            <w:sz w:val="18"/>
                            <w:szCs w:val="18"/>
                          </w:rPr>
                          <w:t>1,262.5</w:t>
                        </w:r>
                        <w:r>
                          <w:rPr>
                            <w:rFonts w:ascii="宋体" w:hAnsi="宋体" w:cs="宋体" w:eastAsia="宋体" w:hint="default"/>
                            <w:spacing w:val="-4"/>
                            <w:sz w:val="18"/>
                            <w:szCs w:val="18"/>
                          </w:rPr>
                          <w:t>万元，持股比例</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，因公司持有依米康智成</w:t>
                        </w:r>
                      </w:p>
                    </w:tc>
                  </w:tr>
                  <w:tr>
                    <w:trPr>
                      <w:trHeight w:val="334"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股权，故增资完成后，西安华西仍为公司全资子公司。</w:t>
                        </w:r>
                      </w:p>
                    </w:tc>
                  </w:tr>
                  <w:tr>
                    <w:trPr>
                      <w:trHeight w:val="336"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0"/>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日，西安华西完成了上述增资及股东名称变更以及公司名称变更、企业类型变更、法定</w:t>
                        </w:r>
                      </w:p>
                    </w:tc>
                  </w:tr>
                  <w:tr>
                    <w:trPr>
                      <w:trHeight w:val="326"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pacing w:val="-3"/>
                            <w:sz w:val="18"/>
                            <w:szCs w:val="18"/>
                          </w:rPr>
                          <w:t>代表人及总经理变更、经营范围变更等工商变更登记备案的手续，并换发了《营业执照》。</w:t>
                        </w:r>
                      </w:p>
                    </w:tc>
                  </w:tr>
                  <w:tr>
                    <w:trPr>
                      <w:trHeight w:val="334"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28"/>
                          <w:ind w:right="1"/>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日，公司召开第四届董事会第三次会议审议通过了《关于公司受让子公司曲水智成</w:t>
                        </w:r>
                      </w:p>
                    </w:tc>
                  </w:tr>
                  <w:tr>
                    <w:trPr>
                      <w:trHeight w:val="315" w:hRule="exact"/>
                    </w:trPr>
                    <w:tc>
                      <w:tcPr>
                        <w:tcW w:w="1561" w:type="dxa"/>
                        <w:vMerge/>
                        <w:tcBorders>
                          <w:left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4" w:right="0"/>
                          <w:jc w:val="left"/>
                          <w:rPr>
                            <w:rFonts w:ascii="宋体" w:hAnsi="宋体" w:cs="宋体" w:eastAsia="宋体" w:hint="default"/>
                            <w:sz w:val="18"/>
                            <w:szCs w:val="18"/>
                          </w:rPr>
                        </w:pPr>
                        <w:r>
                          <w:rPr>
                            <w:rFonts w:ascii="宋体" w:hAnsi="宋体" w:cs="宋体" w:eastAsia="宋体" w:hint="default"/>
                            <w:spacing w:val="-3"/>
                            <w:sz w:val="18"/>
                            <w:szCs w:val="18"/>
                          </w:rPr>
                          <w:t>对智能工程</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增资认缴权的议案 </w:t>
                        </w:r>
                        <w:r>
                          <w:rPr>
                            <w:rFonts w:ascii="宋体" w:hAnsi="宋体" w:cs="宋体" w:eastAsia="宋体" w:hint="default"/>
                            <w:spacing w:val="43"/>
                            <w:sz w:val="18"/>
                            <w:szCs w:val="18"/>
                          </w:rPr>
                          <w:t> </w:t>
                        </w:r>
                        <w:r>
                          <w:rPr>
                            <w:rFonts w:ascii="宋体" w:hAnsi="宋体" w:cs="宋体" w:eastAsia="宋体" w:hint="default"/>
                            <w:spacing w:val="-4"/>
                            <w:sz w:val="18"/>
                            <w:szCs w:val="18"/>
                          </w:rPr>
                          <w:t>》。并于</w:t>
                        </w:r>
                        <w:r>
                          <w:rPr>
                            <w:rFonts w:ascii="Times New Roman" w:hAnsi="Times New Roman" w:cs="Times New Roman" w:eastAsia="Times New Roman" w:hint="default"/>
                            <w:spacing w:val="-4"/>
                            <w:sz w:val="18"/>
                            <w:szCs w:val="18"/>
                          </w:rPr>
                          <w:t>2020</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日完成了上述出资情况等有关变更，变更后依米</w:t>
                        </w:r>
                      </w:p>
                    </w:tc>
                  </w:tr>
                  <w:tr>
                    <w:trPr>
                      <w:trHeight w:val="361" w:hRule="exact"/>
                    </w:trPr>
                    <w:tc>
                      <w:tcPr>
                        <w:tcW w:w="1561" w:type="dxa"/>
                        <w:vMerge/>
                        <w:tcBorders>
                          <w:left w:val="single" w:sz="6" w:space="0" w:color="000000"/>
                          <w:bottom w:val="single" w:sz="6" w:space="0" w:color="000000"/>
                          <w:right w:val="single" w:sz="6" w:space="0" w:color="000000"/>
                        </w:tcBorders>
                        <w:shd w:val="clear" w:color="auto" w:fill="D9D9D9"/>
                      </w:tcPr>
                      <w:p>
                        <w:pPr/>
                      </w:p>
                    </w:tc>
                    <w:tc>
                      <w:tcPr>
                        <w:tcW w:w="822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9"/>
                          <w:ind w:left="4" w:right="0"/>
                          <w:jc w:val="left"/>
                          <w:rPr>
                            <w:rFonts w:ascii="宋体" w:hAnsi="宋体" w:cs="宋体" w:eastAsia="宋体" w:hint="default"/>
                            <w:sz w:val="18"/>
                            <w:szCs w:val="18"/>
                          </w:rPr>
                        </w:pPr>
                        <w:r>
                          <w:rPr>
                            <w:rFonts w:ascii="宋体" w:hAnsi="宋体" w:cs="宋体" w:eastAsia="宋体" w:hint="default"/>
                            <w:spacing w:val="-3"/>
                            <w:sz w:val="18"/>
                            <w:szCs w:val="18"/>
                          </w:rPr>
                          <w:t>康持有智能工程</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股权，智能工程仍为公司全资子公司。</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BodyText"/>
        <w:spacing w:line="340" w:lineRule="auto"/>
        <w:ind w:right="0" w:firstLine="48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日，智能工程总资产</w:t>
      </w:r>
      <w:r>
        <w:rPr>
          <w:rFonts w:ascii="Times New Roman" w:hAnsi="Times New Roman" w:cs="Times New Roman" w:eastAsia="Times New Roman" w:hint="default"/>
        </w:rPr>
        <w:t>39,706.63</w:t>
      </w:r>
      <w:r>
        <w:rPr/>
        <w:t>万元，净资产</w:t>
      </w:r>
      <w:r>
        <w:rPr>
          <w:rFonts w:ascii="Times New Roman" w:hAnsi="Times New Roman" w:cs="Times New Roman" w:eastAsia="Times New Roman" w:hint="default"/>
        </w:rPr>
        <w:t>7,664.62</w:t>
      </w:r>
      <w:r>
        <w:rPr/>
        <w:t>万元。报告期内， 智能工程实现营业收入</w:t>
      </w:r>
      <w:r>
        <w:rPr>
          <w:rFonts w:ascii="Times New Roman" w:hAnsi="Times New Roman" w:cs="Times New Roman" w:eastAsia="Times New Roman" w:hint="default"/>
        </w:rPr>
        <w:t>27,588.93</w:t>
      </w:r>
      <w:r>
        <w:rPr/>
        <w:t>万元，净利润</w:t>
      </w:r>
      <w:r>
        <w:rPr>
          <w:rFonts w:ascii="Times New Roman" w:hAnsi="Times New Roman" w:cs="Times New Roman" w:eastAsia="Times New Roman" w:hint="default"/>
        </w:rPr>
        <w:t>404.76</w:t>
      </w:r>
      <w:r>
        <w:rPr/>
        <w:t>万元。</w:t>
      </w:r>
    </w:p>
    <w:p>
      <w:pPr>
        <w:pStyle w:val="Heading2"/>
        <w:spacing w:line="254" w:lineRule="exact"/>
        <w:ind w:left="633" w:right="0"/>
        <w:jc w:val="left"/>
        <w:rPr>
          <w:b w:val="0"/>
          <w:bCs w:val="0"/>
        </w:rPr>
      </w:pPr>
      <w:r>
        <w:rPr/>
        <w:t>（六）深圳市龙控智能技术有限公司</w:t>
      </w:r>
      <w:r>
        <w:rPr>
          <w:b w:val="0"/>
          <w:bCs w:val="0"/>
        </w:rPr>
      </w:r>
    </w:p>
    <w:p>
      <w:pPr>
        <w:spacing w:line="240" w:lineRule="auto" w:before="12"/>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1700"/>
        <w:gridCol w:w="8087"/>
      </w:tblGrid>
      <w:tr>
        <w:trPr>
          <w:trHeight w:val="428"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30" w:right="0"/>
              <w:jc w:val="center"/>
              <w:rPr>
                <w:rFonts w:ascii="Times New Roman" w:hAnsi="Times New Roman" w:cs="Times New Roman" w:eastAsia="Times New Roman" w:hint="default"/>
                <w:sz w:val="18"/>
                <w:szCs w:val="18"/>
              </w:rPr>
            </w:pPr>
            <w:r>
              <w:rPr>
                <w:rFonts w:ascii="Times New Roman"/>
                <w:sz w:val="18"/>
              </w:rPr>
              <w:t>91440300672959003M</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502" w:right="0"/>
              <w:jc w:val="left"/>
              <w:rPr>
                <w:rFonts w:ascii="宋体" w:hAnsi="宋体" w:cs="宋体" w:eastAsia="宋体" w:hint="default"/>
                <w:sz w:val="18"/>
                <w:szCs w:val="18"/>
              </w:rPr>
            </w:pPr>
            <w:r>
              <w:rPr>
                <w:rFonts w:ascii="宋体" w:hAnsi="宋体" w:cs="宋体" w:eastAsia="宋体" w:hint="default"/>
                <w:spacing w:val="-3"/>
                <w:sz w:val="18"/>
                <w:szCs w:val="18"/>
              </w:rPr>
              <w:t>深圳市福田区沙头街道金地社区金地一路金地工业区</w:t>
            </w:r>
            <w:r>
              <w:rPr>
                <w:rFonts w:ascii="Times New Roman" w:hAnsi="Times New Roman" w:cs="Times New Roman" w:eastAsia="Times New Roman" w:hint="default"/>
                <w:spacing w:val="-3"/>
                <w:sz w:val="18"/>
                <w:szCs w:val="18"/>
              </w:rPr>
              <w:t>144</w:t>
            </w:r>
            <w:r>
              <w:rPr>
                <w:rFonts w:ascii="宋体" w:hAnsi="宋体" w:cs="宋体" w:eastAsia="宋体" w:hint="default"/>
                <w:spacing w:val="-3"/>
                <w:sz w:val="18"/>
                <w:szCs w:val="18"/>
              </w:rPr>
              <w:t>栋四层</w:t>
            </w:r>
            <w:r>
              <w:rPr>
                <w:rFonts w:ascii="Times New Roman" w:hAnsi="Times New Roman" w:cs="Times New Roman" w:eastAsia="Times New Roman" w:hint="default"/>
                <w:spacing w:val="-3"/>
                <w:sz w:val="18"/>
                <w:szCs w:val="18"/>
              </w:rPr>
              <w:t>8401</w:t>
            </w:r>
            <w:r>
              <w:rPr>
                <w:rFonts w:ascii="宋体" w:hAnsi="宋体" w:cs="宋体" w:eastAsia="宋体" w:hint="default"/>
                <w:spacing w:val="-3"/>
                <w:sz w:val="18"/>
                <w:szCs w:val="18"/>
              </w:rPr>
              <w:t>室</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11" w:right="0"/>
              <w:jc w:val="center"/>
              <w:rPr>
                <w:rFonts w:ascii="宋体" w:hAnsi="宋体" w:cs="宋体" w:eastAsia="宋体" w:hint="default"/>
                <w:sz w:val="18"/>
                <w:szCs w:val="18"/>
              </w:rPr>
            </w:pPr>
            <w:r>
              <w:rPr>
                <w:rFonts w:ascii="宋体" w:hAnsi="宋体" w:cs="宋体" w:eastAsia="宋体" w:hint="default"/>
                <w:sz w:val="18"/>
                <w:szCs w:val="18"/>
              </w:rPr>
              <w:t>赵浚</w:t>
            </w:r>
          </w:p>
        </w:tc>
      </w:tr>
      <w:tr>
        <w:trPr>
          <w:trHeight w:val="428"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宋体" w:hAnsi="宋体" w:cs="宋体" w:eastAsia="宋体" w:hint="default"/>
                <w:spacing w:val="-3"/>
                <w:sz w:val="18"/>
                <w:szCs w:val="18"/>
              </w:rPr>
              <w:t>有限责任公司（法人独资）</w:t>
            </w:r>
          </w:p>
        </w:tc>
      </w:tr>
      <w:tr>
        <w:trPr>
          <w:trHeight w:val="1911"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9" w:right="-42" w:firstLine="360"/>
              <w:jc w:val="both"/>
              <w:rPr>
                <w:rFonts w:ascii="宋体" w:hAnsi="宋体" w:cs="宋体" w:eastAsia="宋体" w:hint="default"/>
                <w:sz w:val="18"/>
                <w:szCs w:val="18"/>
              </w:rPr>
            </w:pPr>
            <w:r>
              <w:rPr>
                <w:rFonts w:ascii="宋体" w:hAnsi="宋体" w:cs="宋体" w:eastAsia="宋体" w:hint="default"/>
                <w:spacing w:val="-4"/>
                <w:sz w:val="18"/>
                <w:szCs w:val="18"/>
              </w:rPr>
              <w:t>一般经营项目是：智能技术开发；信息系统、监控系统、空调系统、节能产品、安防产品领域的技</w:t>
            </w:r>
            <w:r>
              <w:rPr>
                <w:rFonts w:ascii="宋体" w:hAnsi="宋体" w:cs="宋体" w:eastAsia="宋体" w:hint="default"/>
                <w:w w:val="101"/>
                <w:sz w:val="18"/>
                <w:szCs w:val="18"/>
              </w:rPr>
              <w:t> </w:t>
            </w:r>
            <w:r>
              <w:rPr>
                <w:rFonts w:ascii="宋体" w:hAnsi="宋体" w:cs="宋体" w:eastAsia="宋体" w:hint="default"/>
                <w:spacing w:val="-4"/>
                <w:sz w:val="18"/>
                <w:szCs w:val="18"/>
              </w:rPr>
              <w:t>术开发、技术转让、技术咨询及销售；计算机信息系统集成及服务；计算机软、硬件及配套产品、监控</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系统产品、电气电子产品、通信产品、空调设备、节能产品、不间断电源（</w:t>
            </w:r>
            <w:r>
              <w:rPr>
                <w:rFonts w:ascii="Times New Roman" w:hAnsi="Times New Roman" w:cs="Times New Roman" w:eastAsia="Times New Roman" w:hint="default"/>
                <w:spacing w:val="-3"/>
                <w:sz w:val="18"/>
                <w:szCs w:val="18"/>
              </w:rPr>
              <w:t>UPS</w:t>
            </w:r>
            <w:r>
              <w:rPr>
                <w:rFonts w:ascii="宋体" w:hAnsi="宋体" w:cs="宋体" w:eastAsia="宋体" w:hint="default"/>
                <w:spacing w:val="-3"/>
                <w:sz w:val="18"/>
                <w:szCs w:val="18"/>
              </w:rPr>
              <w:t>）、蓄电池的设计、研</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发、销售、安装、维修及相关技术服务与技术咨询；通信网络运维信息系统、物联网技术开发及系统建</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设、研发、销售：通信产品、无线通讯电子产品（手持终端、车载终端、行业手机、无线传输设备）、</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4"/>
                <w:sz w:val="18"/>
                <w:szCs w:val="18"/>
              </w:rPr>
              <w:t>通信设备（不含卫星电视广播地面接收设备、发射设施）、监控设备、运维机器人、安防机器人、资产</w:t>
            </w:r>
          </w:p>
        </w:tc>
      </w:tr>
    </w:tbl>
    <w:p>
      <w:pPr>
        <w:spacing w:after="0" w:line="314" w:lineRule="auto"/>
        <w:jc w:val="both"/>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before="46"/>
        <w:ind w:left="0" w:right="897" w:firstLine="0"/>
        <w:jc w:val="right"/>
        <w:rPr>
          <w:rFonts w:ascii="宋体" w:hAnsi="宋体" w:cs="宋体" w:eastAsia="宋体" w:hint="default"/>
          <w:sz w:val="18"/>
          <w:szCs w:val="18"/>
        </w:rPr>
      </w:pPr>
      <w:r>
        <w:rPr/>
        <w:pict>
          <v:shape style="position:absolute;margin-left:56.183998pt;margin-top:-387.148285pt;width:490.4pt;height:515.2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0"/>
                    <w:gridCol w:w="8087"/>
                  </w:tblGrid>
                  <w:tr>
                    <w:trPr>
                      <w:trHeight w:val="1594"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 w:right="-4"/>
                          <w:jc w:val="both"/>
                          <w:rPr>
                            <w:rFonts w:ascii="宋体" w:hAnsi="宋体" w:cs="宋体" w:eastAsia="宋体" w:hint="default"/>
                            <w:sz w:val="18"/>
                            <w:szCs w:val="18"/>
                          </w:rPr>
                        </w:pPr>
                        <w:r>
                          <w:rPr>
                            <w:rFonts w:ascii="宋体" w:hAnsi="宋体" w:cs="宋体" w:eastAsia="宋体" w:hint="default"/>
                            <w:spacing w:val="-4"/>
                            <w:sz w:val="18"/>
                            <w:szCs w:val="18"/>
                          </w:rPr>
                          <w:t>检测设备、节能设备、低压配电设备、通信电源、仪器仪表、电子产品及传感器的销售；通信工程、网</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络工程、安防工程的设计、安装、维护；通信技术服务、节能技术服务；合同能源管理；国内贸易（不</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含专营、专控、专卖商品）；经营进出口业务；电子与智能化工程专业承包；电子与智能化安全技术防</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4"/>
                            <w:sz w:val="18"/>
                            <w:szCs w:val="18"/>
                          </w:rPr>
                          <w:t>范系统设计、施工、维修。（法律、行政法规、国务院决定禁止的项目除外，限制的项目须取得许可后</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方可经营）。许可经营项目是：通信网络运维信息系统、物联网设备的生产。</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817"/>
                          <w:jc w:val="right"/>
                          <w:rPr>
                            <w:rFonts w:ascii="Times New Roman" w:hAnsi="Times New Roman" w:cs="Times New Roman" w:eastAsia="Times New Roman" w:hint="default"/>
                            <w:sz w:val="18"/>
                            <w:szCs w:val="18"/>
                          </w:rPr>
                        </w:pPr>
                        <w:r>
                          <w:rPr>
                            <w:rFonts w:ascii="Times New Roman"/>
                            <w:spacing w:val="-2"/>
                            <w:sz w:val="18"/>
                          </w:rPr>
                          <w:t>100%</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817"/>
                          <w:jc w:val="right"/>
                          <w:rPr>
                            <w:rFonts w:ascii="Times New Roman" w:hAnsi="Times New Roman" w:cs="Times New Roman" w:eastAsia="Times New Roman" w:hint="default"/>
                            <w:sz w:val="18"/>
                            <w:szCs w:val="18"/>
                          </w:rPr>
                        </w:pPr>
                        <w:r>
                          <w:rPr>
                            <w:rFonts w:ascii="Times New Roman"/>
                            <w:spacing w:val="-2"/>
                            <w:sz w:val="18"/>
                          </w:rPr>
                          <w:t>100%</w:t>
                        </w:r>
                      </w:p>
                    </w:tc>
                  </w:tr>
                  <w:tr>
                    <w:trPr>
                      <w:trHeight w:val="7841"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月依米康收购深圳龙控</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p>
                        <w:pPr>
                          <w:pStyle w:val="TableParagraph"/>
                          <w:spacing w:line="240" w:lineRule="auto" w:before="63"/>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月完成深圳龙控注册地址的变更。</w:t>
                        </w:r>
                      </w:p>
                      <w:p>
                        <w:pPr>
                          <w:pStyle w:val="TableParagraph"/>
                          <w:spacing w:line="300" w:lineRule="auto" w:before="63"/>
                          <w:ind w:left="9" w:right="-4" w:firstLine="268"/>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月完成深圳龙控股东严城将其持有的</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股权对应出资</w:t>
                        </w:r>
                        <w:r>
                          <w:rPr>
                            <w:rFonts w:ascii="Times New Roman" w:hAnsi="Times New Roman" w:cs="Times New Roman" w:eastAsia="Times New Roman" w:hint="default"/>
                            <w:spacing w:val="-5"/>
                            <w:sz w:val="18"/>
                            <w:szCs w:val="18"/>
                          </w:rPr>
                          <w:t>50</w:t>
                        </w:r>
                        <w:r>
                          <w:rPr>
                            <w:rFonts w:ascii="宋体" w:hAnsi="宋体" w:cs="宋体" w:eastAsia="宋体" w:hint="default"/>
                            <w:spacing w:val="-5"/>
                            <w:sz w:val="18"/>
                            <w:szCs w:val="18"/>
                          </w:rPr>
                          <w:t>万元转让给肖卉、公司名称由</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深</w:t>
                        </w:r>
                        <w:r>
                          <w:rPr>
                            <w:rFonts w:ascii="宋体" w:hAnsi="宋体" w:cs="宋体" w:eastAsia="宋体" w:hint="default"/>
                            <w:w w:val="101"/>
                            <w:sz w:val="18"/>
                            <w:szCs w:val="18"/>
                          </w:rPr>
                          <w:t> </w:t>
                        </w:r>
                        <w:r>
                          <w:rPr>
                            <w:rFonts w:ascii="宋体" w:hAnsi="宋体" w:cs="宋体" w:eastAsia="宋体" w:hint="default"/>
                            <w:spacing w:val="-1"/>
                            <w:sz w:val="18"/>
                            <w:szCs w:val="18"/>
                          </w:rPr>
                          <w:t>圳市龙控计算机技术有限公司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深圳市龙控智能技术有限公司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、董事王楚霞变更为王楚龙等事</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项的工商变更备案手续。</w:t>
                        </w:r>
                      </w:p>
                      <w:p>
                        <w:pPr>
                          <w:pStyle w:val="TableParagraph"/>
                          <w:spacing w:line="300" w:lineRule="auto" w:before="31"/>
                          <w:ind w:left="9" w:right="-3" w:firstLine="268"/>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月全体股东签署增资协议同意以现有持股比例共同以现金方式对深圳龙控实施增资，增</w:t>
                        </w:r>
                        <w:r>
                          <w:rPr>
                            <w:rFonts w:ascii="宋体" w:hAnsi="宋体" w:cs="宋体" w:eastAsia="宋体" w:hint="default"/>
                            <w:w w:val="101"/>
                            <w:sz w:val="18"/>
                            <w:szCs w:val="18"/>
                          </w:rPr>
                          <w:t> </w:t>
                        </w:r>
                        <w:r>
                          <w:rPr>
                            <w:rFonts w:ascii="宋体" w:hAnsi="宋体" w:cs="宋体" w:eastAsia="宋体" w:hint="default"/>
                            <w:spacing w:val="-3"/>
                            <w:sz w:val="18"/>
                            <w:szCs w:val="18"/>
                          </w:rPr>
                          <w:t>资后深圳龙控注册资产将增至</w:t>
                        </w:r>
                        <w:r>
                          <w:rPr>
                            <w:rFonts w:ascii="Times New Roman" w:hAnsi="Times New Roman" w:cs="Times New Roman" w:eastAsia="Times New Roman" w:hint="default"/>
                            <w:spacing w:val="-3"/>
                            <w:sz w:val="18"/>
                            <w:szCs w:val="18"/>
                          </w:rPr>
                          <w:t>3000</w:t>
                        </w:r>
                        <w:r>
                          <w:rPr>
                            <w:rFonts w:ascii="宋体" w:hAnsi="宋体" w:cs="宋体" w:eastAsia="宋体" w:hint="default"/>
                            <w:spacing w:val="-3"/>
                            <w:sz w:val="18"/>
                            <w:szCs w:val="18"/>
                          </w:rPr>
                          <w:t>万元，但截至本报告公告日，本次增资事项尚未实施。</w:t>
                        </w:r>
                      </w:p>
                      <w:p>
                        <w:pPr>
                          <w:pStyle w:val="TableParagraph"/>
                          <w:spacing w:line="300" w:lineRule="auto" w:before="13"/>
                          <w:ind w:left="9" w:right="0" w:firstLine="268"/>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10</w:t>
                        </w:r>
                        <w:r>
                          <w:rPr>
                            <w:rFonts w:ascii="宋体" w:hAnsi="宋体" w:cs="宋体" w:eastAsia="宋体" w:hint="default"/>
                            <w:spacing w:val="-4"/>
                            <w:sz w:val="18"/>
                            <w:szCs w:val="18"/>
                          </w:rPr>
                          <w:t>月深圳龙控完成法定代表人、总经理变更备案及营业执照、组织机构代码证、税务登记</w:t>
                        </w:r>
                        <w:r>
                          <w:rPr>
                            <w:rFonts w:ascii="宋体" w:hAnsi="宋体" w:cs="宋体" w:eastAsia="宋体" w:hint="default"/>
                            <w:w w:val="101"/>
                            <w:sz w:val="18"/>
                            <w:szCs w:val="18"/>
                          </w:rPr>
                          <w:t> </w:t>
                        </w:r>
                        <w:r>
                          <w:rPr>
                            <w:rFonts w:ascii="宋体" w:hAnsi="宋体" w:cs="宋体" w:eastAsia="宋体" w:hint="default"/>
                            <w:spacing w:val="-3"/>
                            <w:sz w:val="18"/>
                            <w:szCs w:val="18"/>
                          </w:rPr>
                          <w:t>证</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三证合一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的登记手续，法定代表人、总经理由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王楚标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张菀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p>
                        <w:pPr>
                          <w:pStyle w:val="TableParagraph"/>
                          <w:spacing w:line="300" w:lineRule="auto" w:before="13"/>
                          <w:ind w:left="9" w:right="-5" w:firstLine="268"/>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月深圳龙控完成注册地址变更、股东变更、董事变更等工商登记备案等手续，注册地址</w:t>
                        </w:r>
                        <w:r>
                          <w:rPr>
                            <w:rFonts w:ascii="宋体" w:hAnsi="宋体" w:cs="宋体" w:eastAsia="宋体" w:hint="default"/>
                            <w:w w:val="101"/>
                            <w:sz w:val="18"/>
                            <w:szCs w:val="18"/>
                          </w:rPr>
                          <w:t> </w:t>
                        </w:r>
                        <w:r>
                          <w:rPr>
                            <w:rFonts w:ascii="宋体" w:hAnsi="宋体" w:cs="宋体" w:eastAsia="宋体" w:hint="default"/>
                            <w:spacing w:val="-1"/>
                            <w:sz w:val="18"/>
                            <w:szCs w:val="18"/>
                          </w:rPr>
                          <w:t>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深圳市福田区莲花街道下梅林第壹世界广场塔楼</w:t>
                        </w:r>
                        <w:r>
                          <w:rPr>
                            <w:rFonts w:ascii="Times New Roman" w:hAnsi="Times New Roman" w:cs="Times New Roman" w:eastAsia="Times New Roman" w:hint="default"/>
                            <w:spacing w:val="-1"/>
                            <w:sz w:val="18"/>
                            <w:szCs w:val="18"/>
                          </w:rPr>
                          <w:t>26A,26B”</w:t>
                        </w:r>
                        <w:r>
                          <w:rPr>
                            <w:rFonts w:ascii="宋体" w:hAnsi="宋体" w:cs="宋体" w:eastAsia="宋体" w:hint="default"/>
                            <w:spacing w:val="-1"/>
                            <w:sz w:val="18"/>
                            <w:szCs w:val="18"/>
                          </w:rPr>
                          <w:t>，股东由</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王楚标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王楚龙</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宋体" w:hAnsi="宋体" w:cs="宋体" w:eastAsia="宋体" w:hint="default"/>
                            <w:spacing w:val="48"/>
                            <w:sz w:val="18"/>
                            <w:szCs w:val="18"/>
                          </w:rPr>
                          <w:t> </w:t>
                        </w:r>
                        <w:r>
                          <w:rPr>
                            <w:rFonts w:ascii="宋体" w:hAnsi="宋体" w:cs="宋体" w:eastAsia="宋体" w:hint="default"/>
                            <w:spacing w:val="-3"/>
                            <w:sz w:val="18"/>
                            <w:szCs w:val="18"/>
                          </w:rPr>
                          <w:t>董事变更为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孙屹峥、张菀</w:t>
                        </w:r>
                        <w:r>
                          <w:rPr>
                            <w:rFonts w:ascii="宋体" w:hAnsi="宋体" w:cs="宋体" w:eastAsia="宋体" w:hint="default"/>
                            <w:spacing w:val="21"/>
                            <w:sz w:val="18"/>
                            <w:szCs w:val="18"/>
                          </w:rPr>
                          <w:t> </w:t>
                        </w:r>
                        <w:r>
                          <w:rPr>
                            <w:rFonts w:ascii="宋体" w:hAnsi="宋体" w:cs="宋体" w:eastAsia="宋体" w:hint="default"/>
                            <w:sz w:val="18"/>
                            <w:szCs w:val="18"/>
                          </w:rPr>
                          <w:t>王楚龙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300" w:lineRule="auto" w:before="13"/>
                          <w:ind w:left="9" w:right="-5" w:firstLine="26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27</w:t>
                        </w:r>
                        <w:r>
                          <w:rPr>
                            <w:rFonts w:ascii="宋体" w:hAnsi="宋体" w:cs="宋体" w:eastAsia="宋体" w:hint="default"/>
                            <w:spacing w:val="-3"/>
                            <w:sz w:val="18"/>
                            <w:szCs w:val="18"/>
                          </w:rPr>
                          <w:t>日深圳龙控完成注册地址变更（注册地址变更为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深圳市福田区梅林街道梅林路卓越</w:t>
                        </w:r>
                        <w:r>
                          <w:rPr>
                            <w:rFonts w:ascii="宋体" w:hAnsi="宋体" w:cs="宋体" w:eastAsia="宋体" w:hint="default"/>
                            <w:w w:val="101"/>
                            <w:sz w:val="18"/>
                            <w:szCs w:val="18"/>
                          </w:rPr>
                          <w:t> </w:t>
                        </w:r>
                        <w:r>
                          <w:rPr>
                            <w:rFonts w:ascii="宋体" w:hAnsi="宋体" w:cs="宋体" w:eastAsia="宋体" w:hint="default"/>
                            <w:spacing w:val="-3"/>
                            <w:sz w:val="18"/>
                            <w:szCs w:val="18"/>
                          </w:rPr>
                          <w:t>梅林中心广场（南区）</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座</w:t>
                        </w:r>
                        <w:r>
                          <w:rPr>
                            <w:rFonts w:ascii="Times New Roman" w:hAnsi="Times New Roman" w:cs="Times New Roman" w:eastAsia="Times New Roman" w:hint="default"/>
                            <w:spacing w:val="-3"/>
                            <w:sz w:val="18"/>
                            <w:szCs w:val="18"/>
                          </w:rPr>
                          <w:t>2306”</w:t>
                        </w:r>
                        <w:r>
                          <w:rPr>
                            <w:rFonts w:ascii="宋体" w:hAnsi="宋体" w:cs="宋体" w:eastAsia="宋体" w:hint="default"/>
                            <w:spacing w:val="-3"/>
                            <w:sz w:val="18"/>
                            <w:szCs w:val="18"/>
                          </w:rPr>
                          <w:t>）及公司章程修订的工商变更备案登记，并换发了《营业执照》。</w:t>
                        </w:r>
                      </w:p>
                      <w:p>
                        <w:pPr>
                          <w:pStyle w:val="TableParagraph"/>
                          <w:spacing w:line="300" w:lineRule="auto" w:before="13"/>
                          <w:ind w:left="9" w:right="-5" w:firstLine="268"/>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日深圳龙控完成注册地址变更（注册地址变更为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深圳市福田区福田街道岗厦社区金</w:t>
                        </w:r>
                        <w:r>
                          <w:rPr>
                            <w:rFonts w:ascii="宋体" w:hAnsi="宋体" w:cs="宋体" w:eastAsia="宋体" w:hint="default"/>
                            <w:w w:val="101"/>
                            <w:sz w:val="18"/>
                            <w:szCs w:val="18"/>
                          </w:rPr>
                          <w:t> </w:t>
                        </w:r>
                        <w:r>
                          <w:rPr>
                            <w:rFonts w:ascii="宋体" w:hAnsi="宋体" w:cs="宋体" w:eastAsia="宋体" w:hint="default"/>
                            <w:spacing w:val="-3"/>
                            <w:sz w:val="18"/>
                            <w:szCs w:val="18"/>
                          </w:rPr>
                          <w:t>田路</w:t>
                        </w:r>
                        <w:r>
                          <w:rPr>
                            <w:rFonts w:ascii="Times New Roman" w:hAnsi="Times New Roman" w:cs="Times New Roman" w:eastAsia="Times New Roman" w:hint="default"/>
                            <w:spacing w:val="-3"/>
                            <w:sz w:val="18"/>
                            <w:szCs w:val="18"/>
                          </w:rPr>
                          <w:t>3088</w:t>
                        </w:r>
                        <w:r>
                          <w:rPr>
                            <w:rFonts w:ascii="宋体" w:hAnsi="宋体" w:cs="宋体" w:eastAsia="宋体" w:hint="default"/>
                            <w:spacing w:val="-3"/>
                            <w:sz w:val="18"/>
                            <w:szCs w:val="18"/>
                          </w:rPr>
                          <w:t>号中洲大厦</w:t>
                        </w:r>
                        <w:r>
                          <w:rPr>
                            <w:rFonts w:ascii="Times New Roman" w:hAnsi="Times New Roman" w:cs="Times New Roman" w:eastAsia="Times New Roman" w:hint="default"/>
                            <w:spacing w:val="-3"/>
                            <w:sz w:val="18"/>
                            <w:szCs w:val="18"/>
                          </w:rPr>
                          <w:t>2506”</w:t>
                        </w:r>
                        <w:r>
                          <w:rPr>
                            <w:rFonts w:ascii="宋体" w:hAnsi="宋体" w:cs="宋体" w:eastAsia="宋体" w:hint="default"/>
                            <w:spacing w:val="-3"/>
                            <w:sz w:val="18"/>
                            <w:szCs w:val="18"/>
                          </w:rPr>
                          <w:t>）及公司章程修订的工商变更备案登记，并换发了《营业执照》。</w:t>
                        </w:r>
                      </w:p>
                      <w:p>
                        <w:pPr>
                          <w:pStyle w:val="TableParagraph"/>
                          <w:spacing w:line="300" w:lineRule="auto" w:before="13"/>
                          <w:ind w:left="9" w:right="0" w:firstLine="268"/>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30</w:t>
                        </w:r>
                        <w:r>
                          <w:rPr>
                            <w:rFonts w:ascii="宋体" w:hAnsi="宋体" w:cs="宋体" w:eastAsia="宋体" w:hint="default"/>
                            <w:spacing w:val="-1"/>
                            <w:sz w:val="18"/>
                            <w:szCs w:val="18"/>
                          </w:rPr>
                          <w:t>日深圳龙控完成了注册地址变更（注册地址变更为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深圳市福田区沙头街道金地社</w:t>
                        </w:r>
                        <w:r>
                          <w:rPr>
                            <w:rFonts w:ascii="宋体" w:hAnsi="宋体" w:cs="宋体" w:eastAsia="宋体" w:hint="default"/>
                            <w:w w:val="101"/>
                            <w:sz w:val="18"/>
                            <w:szCs w:val="18"/>
                          </w:rPr>
                          <w:t> </w:t>
                        </w:r>
                        <w:r>
                          <w:rPr>
                            <w:rFonts w:ascii="宋体" w:hAnsi="宋体" w:cs="宋体" w:eastAsia="宋体" w:hint="default"/>
                            <w:spacing w:val="-9"/>
                            <w:w w:val="101"/>
                            <w:sz w:val="18"/>
                            <w:szCs w:val="18"/>
                          </w:rPr>
                          <w:t>区金地一路金地工业区</w:t>
                        </w:r>
                        <w:r>
                          <w:rPr>
                            <w:rFonts w:ascii="Times New Roman" w:hAnsi="Times New Roman" w:cs="Times New Roman" w:eastAsia="Times New Roman" w:hint="default"/>
                            <w:spacing w:val="-9"/>
                            <w:w w:val="101"/>
                            <w:sz w:val="18"/>
                            <w:szCs w:val="18"/>
                          </w:rPr>
                          <w:t>144</w:t>
                        </w:r>
                        <w:r>
                          <w:rPr>
                            <w:rFonts w:ascii="宋体" w:hAnsi="宋体" w:cs="宋体" w:eastAsia="宋体" w:hint="default"/>
                            <w:spacing w:val="-9"/>
                            <w:w w:val="101"/>
                            <w:sz w:val="18"/>
                            <w:szCs w:val="18"/>
                          </w:rPr>
                          <w:t>栋四层</w:t>
                        </w:r>
                        <w:r>
                          <w:rPr>
                            <w:rFonts w:ascii="Times New Roman" w:hAnsi="Times New Roman" w:cs="Times New Roman" w:eastAsia="Times New Roman" w:hint="default"/>
                            <w:spacing w:val="-9"/>
                            <w:w w:val="101"/>
                            <w:sz w:val="18"/>
                            <w:szCs w:val="18"/>
                          </w:rPr>
                          <w:t>8401</w:t>
                        </w:r>
                        <w:r>
                          <w:rPr>
                            <w:rFonts w:ascii="宋体" w:hAnsi="宋体" w:cs="宋体" w:eastAsia="宋体" w:hint="default"/>
                            <w:spacing w:val="-9"/>
                            <w:w w:val="101"/>
                            <w:sz w:val="18"/>
                            <w:szCs w:val="18"/>
                          </w:rPr>
                          <w:t>室</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）及公司章程修订的工商变更备案登记，并换发了《营业执照》</w:t>
                        </w:r>
                        <w:r>
                          <w:rPr>
                            <w:rFonts w:ascii="宋体" w:hAnsi="宋体" w:cs="宋体" w:eastAsia="宋体" w:hint="default"/>
                            <w:sz w:val="18"/>
                            <w:szCs w:val="18"/>
                          </w:rPr>
                        </w:r>
                      </w:p>
                      <w:p>
                        <w:pPr>
                          <w:pStyle w:val="TableParagraph"/>
                          <w:spacing w:line="300" w:lineRule="auto" w:before="13"/>
                          <w:ind w:left="9" w:right="-4" w:firstLine="268"/>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月深圳龙控股东肖卉女士将其持有的深圳龙控</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的股权以原价转让给深圳龙控原股东</w:t>
                        </w:r>
                        <w:r>
                          <w:rPr>
                            <w:rFonts w:ascii="宋体" w:hAnsi="宋体" w:cs="宋体" w:eastAsia="宋体" w:hint="default"/>
                            <w:w w:val="101"/>
                            <w:sz w:val="18"/>
                            <w:szCs w:val="18"/>
                          </w:rPr>
                          <w:t> </w:t>
                        </w:r>
                        <w:r>
                          <w:rPr>
                            <w:rFonts w:ascii="宋体" w:hAnsi="宋体" w:cs="宋体" w:eastAsia="宋体" w:hint="default"/>
                            <w:spacing w:val="-3"/>
                            <w:sz w:val="18"/>
                            <w:szCs w:val="18"/>
                          </w:rPr>
                          <w:t>王楚龙先生，并于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日完成了有关工商变更备案登记。</w:t>
                        </w:r>
                      </w:p>
                      <w:p>
                        <w:pPr>
                          <w:pStyle w:val="TableParagraph"/>
                          <w:spacing w:line="300" w:lineRule="auto" w:before="13"/>
                          <w:ind w:left="9" w:right="-5" w:firstLine="268"/>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日公司召开第四届董事会第九次会议审议通过了《关于收购深圳市龙控智能技术有</w:t>
                        </w:r>
                        <w:r>
                          <w:rPr>
                            <w:rFonts w:ascii="宋体" w:hAnsi="宋体" w:cs="宋体" w:eastAsia="宋体" w:hint="default"/>
                            <w:w w:val="101"/>
                            <w:sz w:val="18"/>
                            <w:szCs w:val="18"/>
                          </w:rPr>
                          <w:t> </w:t>
                        </w:r>
                        <w:r>
                          <w:rPr>
                            <w:rFonts w:ascii="宋体" w:hAnsi="宋体" w:cs="宋体" w:eastAsia="宋体" w:hint="default"/>
                            <w:spacing w:val="-2"/>
                            <w:sz w:val="18"/>
                            <w:szCs w:val="18"/>
                          </w:rPr>
                          <w:t>限公司剩余股权并出让标的公司部分资产的议案》，并于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日完成了上述股权转让有关的股</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
                            <w:sz w:val="18"/>
                            <w:szCs w:val="18"/>
                          </w:rPr>
                          <w:t>东变更、新一届董监高备案等工商手续，并换发了《营业执照》。公司持有深圳龙控</w:t>
                        </w:r>
                        <w:r>
                          <w:rPr>
                            <w:rFonts w:ascii="Times New Roman" w:hAnsi="Times New Roman" w:cs="Times New Roman" w:eastAsia="Times New Roman" w:hint="default"/>
                            <w:spacing w:val="-1"/>
                            <w:sz w:val="18"/>
                            <w:szCs w:val="18"/>
                          </w:rPr>
                          <w:t>100%</w:t>
                        </w:r>
                        <w:r>
                          <w:rPr>
                            <w:rFonts w:ascii="宋体" w:hAnsi="宋体" w:cs="宋体" w:eastAsia="宋体" w:hint="default"/>
                            <w:spacing w:val="-1"/>
                            <w:sz w:val="18"/>
                            <w:szCs w:val="18"/>
                          </w:rPr>
                          <w:t>股权，深圳</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龙控为公司全资子公司。</w:t>
                        </w:r>
                      </w:p>
                      <w:p>
                        <w:pPr>
                          <w:pStyle w:val="TableParagraph"/>
                          <w:spacing w:line="240" w:lineRule="auto" w:before="31"/>
                          <w:ind w:left="27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日，深圳龙控完成法定代表人、经营范围的变更，并换发《营业执照》。</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336" w:lineRule="auto"/>
        <w:ind w:right="0" w:firstLine="48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日，深圳龙控总资产</w:t>
      </w:r>
      <w:r>
        <w:rPr>
          <w:rFonts w:ascii="Times New Roman" w:hAnsi="Times New Roman" w:cs="Times New Roman" w:eastAsia="Times New Roman" w:hint="default"/>
        </w:rPr>
        <w:t>15,205.21</w:t>
      </w:r>
      <w:r>
        <w:rPr/>
        <w:t>万元，净资产</w:t>
      </w:r>
      <w:r>
        <w:rPr>
          <w:rFonts w:ascii="Times New Roman" w:hAnsi="Times New Roman" w:cs="Times New Roman" w:eastAsia="Times New Roman" w:hint="default"/>
        </w:rPr>
        <w:t>4,954.41</w:t>
      </w:r>
      <w:r>
        <w:rPr/>
        <w:t>万元。报告期内， 深圳龙控实现营业收入</w:t>
      </w:r>
      <w:r>
        <w:rPr>
          <w:rFonts w:ascii="Times New Roman" w:hAnsi="Times New Roman" w:cs="Times New Roman" w:eastAsia="Times New Roman" w:hint="default"/>
        </w:rPr>
        <w:t>10,319.02</w:t>
      </w:r>
      <w:r>
        <w:rPr/>
        <w:t>万元，净利润</w:t>
      </w:r>
      <w:r>
        <w:rPr>
          <w:rFonts w:ascii="Times New Roman" w:hAnsi="Times New Roman" w:cs="Times New Roman" w:eastAsia="Times New Roman" w:hint="default"/>
        </w:rPr>
        <w:t>1,404.42</w:t>
      </w:r>
      <w:r>
        <w:rPr/>
        <w:t>万元。</w:t>
      </w:r>
    </w:p>
    <w:p>
      <w:pPr>
        <w:pStyle w:val="Heading2"/>
        <w:spacing w:line="265" w:lineRule="exact"/>
        <w:ind w:left="633" w:right="0"/>
        <w:jc w:val="left"/>
        <w:rPr>
          <w:b w:val="0"/>
          <w:bCs w:val="0"/>
        </w:rPr>
      </w:pPr>
      <w:r>
        <w:rPr/>
        <w:t>（七）四川依米康企业管理有限公司</w:t>
      </w:r>
      <w:r>
        <w:rPr>
          <w:b w:val="0"/>
          <w:bCs w:val="0"/>
        </w:rPr>
      </w:r>
    </w:p>
    <w:p>
      <w:pPr>
        <w:spacing w:line="240" w:lineRule="auto" w:before="12"/>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1700"/>
        <w:gridCol w:w="8087"/>
      </w:tblGrid>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32" w:right="0"/>
              <w:jc w:val="center"/>
              <w:rPr>
                <w:rFonts w:ascii="Times New Roman" w:hAnsi="Times New Roman" w:cs="Times New Roman" w:eastAsia="Times New Roman" w:hint="default"/>
                <w:sz w:val="18"/>
                <w:szCs w:val="18"/>
              </w:rPr>
            </w:pPr>
            <w:r>
              <w:rPr>
                <w:rFonts w:ascii="Times New Roman"/>
                <w:sz w:val="18"/>
              </w:rPr>
              <w:t>91510100MA6C9MD19R</w:t>
            </w:r>
          </w:p>
        </w:tc>
      </w:tr>
      <w:tr>
        <w:trPr>
          <w:trHeight w:val="422"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2" w:right="0"/>
              <w:jc w:val="center"/>
              <w:rPr>
                <w:rFonts w:ascii="宋体" w:hAnsi="宋体" w:cs="宋体" w:eastAsia="宋体" w:hint="default"/>
                <w:sz w:val="18"/>
                <w:szCs w:val="18"/>
              </w:rPr>
            </w:pPr>
            <w:r>
              <w:rPr>
                <w:rFonts w:ascii="宋体" w:hAnsi="宋体" w:cs="宋体" w:eastAsia="宋体" w:hint="default"/>
                <w:sz w:val="18"/>
                <w:szCs w:val="18"/>
              </w:rPr>
              <w:t>成都高新区科园南二路</w:t>
            </w:r>
            <w:r>
              <w:rPr>
                <w:rFonts w:ascii="Times New Roman" w:hAnsi="Times New Roman" w:cs="Times New Roman" w:eastAsia="Times New Roman" w:hint="default"/>
                <w:sz w:val="18"/>
                <w:szCs w:val="18"/>
              </w:rPr>
              <w:t>2</w:t>
            </w:r>
            <w:r>
              <w:rPr>
                <w:rFonts w:ascii="宋体" w:hAnsi="宋体" w:cs="宋体" w:eastAsia="宋体" w:hint="default"/>
                <w:sz w:val="18"/>
                <w:szCs w:val="18"/>
              </w:rPr>
              <w:t>号</w:t>
            </w:r>
            <w:r>
              <w:rPr>
                <w:rFonts w:ascii="Times New Roman" w:hAnsi="Times New Roman" w:cs="Times New Roman" w:eastAsia="Times New Roman" w:hint="default"/>
                <w:sz w:val="18"/>
                <w:szCs w:val="18"/>
              </w:rPr>
              <w:t>2</w:t>
            </w:r>
            <w:r>
              <w:rPr>
                <w:rFonts w:ascii="宋体" w:hAnsi="宋体" w:cs="宋体" w:eastAsia="宋体" w:hint="default"/>
                <w:sz w:val="18"/>
                <w:szCs w:val="18"/>
              </w:rPr>
              <w:t>栋</w:t>
            </w:r>
            <w:r>
              <w:rPr>
                <w:rFonts w:ascii="Times New Roman" w:hAnsi="Times New Roman" w:cs="Times New Roman" w:eastAsia="Times New Roman" w:hint="default"/>
                <w:sz w:val="18"/>
                <w:szCs w:val="18"/>
              </w:rPr>
              <w:t>1</w:t>
            </w:r>
            <w:r>
              <w:rPr>
                <w:rFonts w:ascii="宋体" w:hAnsi="宋体" w:cs="宋体" w:eastAsia="宋体" w:hint="default"/>
                <w:sz w:val="18"/>
                <w:szCs w:val="18"/>
              </w:rPr>
              <w:t>层</w:t>
            </w:r>
            <w:r>
              <w:rPr>
                <w:rFonts w:ascii="Times New Roman" w:hAnsi="Times New Roman" w:cs="Times New Roman" w:eastAsia="Times New Roman" w:hint="default"/>
                <w:sz w:val="18"/>
                <w:szCs w:val="18"/>
              </w:rPr>
              <w:t>1</w:t>
            </w:r>
            <w:r>
              <w:rPr>
                <w:rFonts w:ascii="宋体" w:hAnsi="宋体" w:cs="宋体" w:eastAsia="宋体" w:hint="default"/>
                <w:sz w:val="18"/>
                <w:szCs w:val="18"/>
              </w:rPr>
              <w:t>室</w:t>
            </w:r>
          </w:p>
        </w:tc>
      </w:tr>
      <w:tr>
        <w:trPr>
          <w:trHeight w:val="428"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36" w:right="0"/>
              <w:jc w:val="center"/>
              <w:rPr>
                <w:rFonts w:ascii="宋体" w:hAnsi="宋体" w:cs="宋体" w:eastAsia="宋体" w:hint="default"/>
                <w:sz w:val="18"/>
                <w:szCs w:val="18"/>
              </w:rPr>
            </w:pPr>
            <w:r>
              <w:rPr>
                <w:rFonts w:ascii="宋体" w:hAnsi="宋体" w:cs="宋体" w:eastAsia="宋体" w:hint="default"/>
                <w:sz w:val="18"/>
                <w:szCs w:val="18"/>
              </w:rPr>
              <w:t>张菀</w:t>
            </w:r>
          </w:p>
        </w:tc>
      </w:tr>
      <w:tr>
        <w:trPr>
          <w:trHeight w:val="432"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万元人民币</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3" w:type="dxa"/>
        <w:tblLayout w:type="fixed"/>
        <w:tblCellMar>
          <w:top w:w="0" w:type="dxa"/>
          <w:left w:w="0" w:type="dxa"/>
          <w:bottom w:w="0" w:type="dxa"/>
          <w:right w:w="0" w:type="dxa"/>
        </w:tblCellMar>
        <w:tblLook w:val="01E0"/>
      </w:tblPr>
      <w:tblGrid>
        <w:gridCol w:w="1700"/>
        <w:gridCol w:w="8087"/>
      </w:tblGrid>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271" w:right="0"/>
              <w:jc w:val="left"/>
              <w:rPr>
                <w:rFonts w:ascii="宋体" w:hAnsi="宋体" w:cs="宋体" w:eastAsia="宋体" w:hint="default"/>
                <w:sz w:val="18"/>
                <w:szCs w:val="18"/>
              </w:rPr>
            </w:pPr>
            <w:r>
              <w:rPr>
                <w:rFonts w:ascii="宋体" w:hAnsi="宋体" w:cs="宋体" w:eastAsia="宋体" w:hint="default"/>
                <w:spacing w:val="-3"/>
                <w:sz w:val="18"/>
                <w:szCs w:val="18"/>
              </w:rPr>
              <w:t>有限责任公司（非自然人投资或控股的法人独资）</w:t>
            </w:r>
          </w:p>
        </w:tc>
      </w:tr>
      <w:tr>
        <w:trPr>
          <w:trHeight w:val="658"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3" w:firstLine="360"/>
              <w:jc w:val="left"/>
              <w:rPr>
                <w:rFonts w:ascii="宋体" w:hAnsi="宋体" w:cs="宋体" w:eastAsia="宋体" w:hint="default"/>
                <w:sz w:val="18"/>
                <w:szCs w:val="18"/>
              </w:rPr>
            </w:pPr>
            <w:r>
              <w:rPr>
                <w:rFonts w:ascii="宋体" w:hAnsi="宋体" w:cs="宋体" w:eastAsia="宋体" w:hint="default"/>
                <w:spacing w:val="-4"/>
                <w:sz w:val="18"/>
                <w:szCs w:val="18"/>
              </w:rPr>
              <w:t>企业管理咨询；商务信息咨询（不含投资咨询）；物业管理；企业形象策划；网上贸易代理。（依</w:t>
            </w:r>
            <w:r>
              <w:rPr>
                <w:rFonts w:ascii="宋体" w:hAnsi="宋体" w:cs="宋体" w:eastAsia="宋体" w:hint="default"/>
                <w:w w:val="101"/>
                <w:sz w:val="18"/>
                <w:szCs w:val="18"/>
              </w:rPr>
              <w:t> </w:t>
            </w:r>
            <w:r>
              <w:rPr>
                <w:rFonts w:ascii="宋体" w:hAnsi="宋体" w:cs="宋体" w:eastAsia="宋体" w:hint="default"/>
                <w:spacing w:val="-3"/>
                <w:sz w:val="18"/>
                <w:szCs w:val="18"/>
              </w:rPr>
              <w:t>法须经批准的项目，经相关部门批准后方可开展经营活动）。</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100%</w:t>
            </w:r>
          </w:p>
        </w:tc>
      </w:tr>
      <w:tr>
        <w:trPr>
          <w:trHeight w:val="2223"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9" w:right="-3" w:firstLine="268"/>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）公司于</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27</w:t>
            </w:r>
            <w:r>
              <w:rPr>
                <w:rFonts w:ascii="宋体" w:hAnsi="宋体" w:cs="宋体" w:eastAsia="宋体" w:hint="default"/>
                <w:spacing w:val="-4"/>
                <w:sz w:val="18"/>
                <w:szCs w:val="18"/>
              </w:rPr>
              <w:t>日召开第三届董事会第三十七次会议审议通过《关于对外投资设立全资子公</w:t>
            </w:r>
            <w:r>
              <w:rPr>
                <w:rFonts w:ascii="宋体" w:hAnsi="宋体" w:cs="宋体" w:eastAsia="宋体" w:hint="default"/>
                <w:w w:val="101"/>
                <w:sz w:val="18"/>
                <w:szCs w:val="18"/>
              </w:rPr>
              <w:t> </w:t>
            </w:r>
            <w:r>
              <w:rPr>
                <w:rFonts w:ascii="宋体" w:hAnsi="宋体" w:cs="宋体" w:eastAsia="宋体" w:hint="default"/>
                <w:spacing w:val="-2"/>
                <w:sz w:val="18"/>
                <w:szCs w:val="18"/>
              </w:rPr>
              <w:t>司的议案》，同意公司拟出资</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万元设立全资子公司依米康（四川）企业管理有限公司（暂定名，最</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终名称以工商登记为准，以下简称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依米康管理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r>
          </w:p>
          <w:p>
            <w:pPr>
              <w:pStyle w:val="TableParagraph"/>
              <w:spacing w:line="300" w:lineRule="auto" w:before="13"/>
              <w:ind w:left="9" w:right="-3" w:firstLine="268"/>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日，依米康管理完成了股东、董事、监事、法定代表人、总经理以及《公司章程》</w:t>
            </w:r>
            <w:r>
              <w:rPr>
                <w:rFonts w:ascii="宋体" w:hAnsi="宋体" w:cs="宋体" w:eastAsia="宋体" w:hint="default"/>
                <w:w w:val="101"/>
                <w:sz w:val="18"/>
                <w:szCs w:val="18"/>
              </w:rPr>
              <w:t> </w:t>
            </w:r>
            <w:r>
              <w:rPr>
                <w:rFonts w:ascii="宋体" w:hAnsi="宋体" w:cs="宋体" w:eastAsia="宋体" w:hint="default"/>
                <w:spacing w:val="-3"/>
                <w:sz w:val="18"/>
                <w:szCs w:val="18"/>
              </w:rPr>
              <w:t>等一系列工商登记备案手续，并取得了《营业执照》。</w:t>
            </w:r>
          </w:p>
          <w:p>
            <w:pPr>
              <w:pStyle w:val="TableParagraph"/>
              <w:spacing w:line="300" w:lineRule="auto" w:before="31"/>
              <w:ind w:left="9" w:right="-5" w:firstLine="268"/>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月，依米康管理完成了因股东依米康更名为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依米康科技集团股份有限公司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，同步需对</w:t>
            </w:r>
            <w:r>
              <w:rPr>
                <w:rFonts w:ascii="宋体" w:hAnsi="宋体" w:cs="宋体" w:eastAsia="宋体" w:hint="default"/>
                <w:w w:val="101"/>
                <w:sz w:val="18"/>
                <w:szCs w:val="18"/>
              </w:rPr>
              <w:t> </w:t>
            </w:r>
            <w:r>
              <w:rPr>
                <w:rFonts w:ascii="宋体" w:hAnsi="宋体" w:cs="宋体" w:eastAsia="宋体" w:hint="default"/>
                <w:spacing w:val="-3"/>
                <w:sz w:val="18"/>
                <w:szCs w:val="18"/>
              </w:rPr>
              <w:t>其股东名称进行变更的有关工商变更备案手续。</w:t>
            </w:r>
          </w:p>
        </w:tc>
      </w:tr>
    </w:tbl>
    <w:p>
      <w:pPr>
        <w:spacing w:line="240" w:lineRule="auto" w:before="11"/>
        <w:rPr>
          <w:rFonts w:ascii="宋体" w:hAnsi="宋体" w:cs="宋体" w:eastAsia="宋体" w:hint="default"/>
          <w:b/>
          <w:bCs/>
          <w:sz w:val="18"/>
          <w:szCs w:val="18"/>
        </w:rPr>
      </w:pPr>
    </w:p>
    <w:p>
      <w:pPr>
        <w:pStyle w:val="Heading2"/>
        <w:spacing w:line="240" w:lineRule="auto" w:before="26"/>
        <w:ind w:left="633" w:right="0"/>
        <w:jc w:val="left"/>
        <w:rPr>
          <w:b w:val="0"/>
          <w:bCs w:val="0"/>
        </w:rPr>
      </w:pPr>
      <w:r>
        <w:rPr/>
        <w:t>（八）曲水依米康智成企业管理中心（有限合伙）</w:t>
      </w:r>
      <w:r>
        <w:rPr>
          <w:b w:val="0"/>
          <w:bCs w:val="0"/>
        </w:rPr>
      </w:r>
    </w:p>
    <w:p>
      <w:pPr>
        <w:spacing w:line="240" w:lineRule="auto" w:before="12"/>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1700"/>
        <w:gridCol w:w="8087"/>
      </w:tblGrid>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22"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38" w:right="0"/>
              <w:jc w:val="center"/>
              <w:rPr>
                <w:rFonts w:ascii="Times New Roman" w:hAnsi="Times New Roman" w:cs="Times New Roman" w:eastAsia="Times New Roman" w:hint="default"/>
                <w:sz w:val="18"/>
                <w:szCs w:val="18"/>
              </w:rPr>
            </w:pPr>
            <w:r>
              <w:rPr>
                <w:rFonts w:ascii="Times New Roman"/>
                <w:sz w:val="18"/>
              </w:rPr>
              <w:t>91540124MA6T52728N</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906" w:right="0"/>
              <w:jc w:val="left"/>
              <w:rPr>
                <w:rFonts w:ascii="宋体" w:hAnsi="宋体" w:cs="宋体" w:eastAsia="宋体" w:hint="default"/>
                <w:sz w:val="18"/>
                <w:szCs w:val="18"/>
              </w:rPr>
            </w:pPr>
            <w:r>
              <w:rPr>
                <w:rFonts w:ascii="宋体" w:hAnsi="宋体" w:cs="宋体" w:eastAsia="宋体" w:hint="default"/>
                <w:spacing w:val="-3"/>
                <w:sz w:val="18"/>
                <w:szCs w:val="18"/>
              </w:rPr>
              <w:t>西藏拉萨市曲水县雅江工业园区中小企业孵化楼</w:t>
            </w:r>
            <w:r>
              <w:rPr>
                <w:rFonts w:ascii="Times New Roman" w:hAnsi="Times New Roman" w:cs="Times New Roman" w:eastAsia="Times New Roman" w:hint="default"/>
                <w:spacing w:val="-3"/>
                <w:sz w:val="18"/>
                <w:szCs w:val="18"/>
              </w:rPr>
              <w:t>307-A137</w:t>
            </w:r>
            <w:r>
              <w:rPr>
                <w:rFonts w:ascii="宋体" w:hAnsi="宋体" w:cs="宋体" w:eastAsia="宋体" w:hint="default"/>
                <w:spacing w:val="-3"/>
                <w:sz w:val="18"/>
                <w:szCs w:val="18"/>
              </w:rPr>
              <w:t>室</w:t>
            </w:r>
          </w:p>
        </w:tc>
      </w:tr>
      <w:tr>
        <w:trPr>
          <w:trHeight w:val="428"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pacing w:val="-3"/>
                <w:sz w:val="18"/>
                <w:szCs w:val="18"/>
              </w:rPr>
              <w:t>执行事务合伙人</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31" w:right="0"/>
              <w:jc w:val="center"/>
              <w:rPr>
                <w:rFonts w:ascii="宋体" w:hAnsi="宋体" w:cs="宋体" w:eastAsia="宋体" w:hint="default"/>
                <w:sz w:val="18"/>
                <w:szCs w:val="18"/>
              </w:rPr>
            </w:pPr>
            <w:r>
              <w:rPr>
                <w:rFonts w:ascii="宋体" w:hAnsi="宋体" w:cs="宋体" w:eastAsia="宋体" w:hint="default"/>
                <w:sz w:val="18"/>
                <w:szCs w:val="18"/>
              </w:rPr>
              <w:t>孙晶晶</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3,200</w:t>
            </w:r>
            <w:r>
              <w:rPr>
                <w:rFonts w:ascii="宋体" w:hAnsi="宋体" w:cs="宋体" w:eastAsia="宋体" w:hint="default"/>
                <w:sz w:val="18"/>
                <w:szCs w:val="18"/>
              </w:rPr>
              <w:t>万元人民币</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36" w:right="0"/>
              <w:jc w:val="center"/>
              <w:rPr>
                <w:rFonts w:ascii="宋体" w:hAnsi="宋体" w:cs="宋体" w:eastAsia="宋体" w:hint="default"/>
                <w:sz w:val="18"/>
                <w:szCs w:val="18"/>
              </w:rPr>
            </w:pPr>
            <w:r>
              <w:rPr>
                <w:rFonts w:ascii="宋体" w:hAnsi="宋体" w:cs="宋体" w:eastAsia="宋体" w:hint="default"/>
                <w:sz w:val="18"/>
                <w:szCs w:val="18"/>
              </w:rPr>
              <w:t>有限合伙企业</w:t>
            </w:r>
          </w:p>
        </w:tc>
      </w:tr>
      <w:tr>
        <w:trPr>
          <w:trHeight w:val="663"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9" w:right="-3" w:firstLine="360"/>
              <w:jc w:val="left"/>
              <w:rPr>
                <w:rFonts w:ascii="宋体" w:hAnsi="宋体" w:cs="宋体" w:eastAsia="宋体" w:hint="default"/>
                <w:sz w:val="18"/>
                <w:szCs w:val="18"/>
              </w:rPr>
            </w:pPr>
            <w:r>
              <w:rPr>
                <w:rFonts w:ascii="宋体" w:hAnsi="宋体" w:cs="宋体" w:eastAsia="宋体" w:hint="default"/>
                <w:spacing w:val="-4"/>
                <w:sz w:val="18"/>
                <w:szCs w:val="18"/>
              </w:rPr>
              <w:t>企业管理咨询；商务信息咨询（不含投资咨询）；物业管理；企业形象策划；网上贸易代理。（依</w:t>
            </w:r>
            <w:r>
              <w:rPr>
                <w:rFonts w:ascii="宋体" w:hAnsi="宋体" w:cs="宋体" w:eastAsia="宋体" w:hint="default"/>
                <w:w w:val="101"/>
                <w:sz w:val="18"/>
                <w:szCs w:val="18"/>
              </w:rPr>
              <w:t> </w:t>
            </w:r>
            <w:r>
              <w:rPr>
                <w:rFonts w:ascii="宋体" w:hAnsi="宋体" w:cs="宋体" w:eastAsia="宋体" w:hint="default"/>
                <w:spacing w:val="-3"/>
                <w:sz w:val="18"/>
                <w:szCs w:val="18"/>
              </w:rPr>
              <w:t>法须经批准的项目，经相关部门批准后方可开展经营活动）。</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44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依米康为</w:t>
            </w:r>
            <w:r>
              <w:rPr>
                <w:rFonts w:ascii="Times New Roman" w:hAnsi="Times New Roman" w:cs="Times New Roman" w:eastAsia="Times New Roman" w:hint="default"/>
                <w:spacing w:val="-3"/>
                <w:sz w:val="18"/>
                <w:szCs w:val="18"/>
              </w:rPr>
              <w:t>99.9%</w:t>
            </w:r>
            <w:r>
              <w:rPr>
                <w:rFonts w:ascii="宋体" w:hAnsi="宋体" w:cs="宋体" w:eastAsia="宋体" w:hint="default"/>
                <w:spacing w:val="-3"/>
                <w:sz w:val="18"/>
                <w:szCs w:val="18"/>
              </w:rPr>
              <w:t>，依米康企业管理为</w:t>
            </w:r>
            <w:r>
              <w:rPr>
                <w:rFonts w:ascii="Times New Roman" w:hAnsi="Times New Roman" w:cs="Times New Roman" w:eastAsia="Times New Roman" w:hint="default"/>
                <w:spacing w:val="-3"/>
                <w:sz w:val="18"/>
                <w:szCs w:val="18"/>
              </w:rPr>
              <w:t>0.1%</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44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依米康为</w:t>
            </w:r>
            <w:r>
              <w:rPr>
                <w:rFonts w:ascii="Times New Roman" w:hAnsi="Times New Roman" w:cs="Times New Roman" w:eastAsia="Times New Roman" w:hint="default"/>
                <w:spacing w:val="-3"/>
                <w:sz w:val="18"/>
                <w:szCs w:val="18"/>
              </w:rPr>
              <w:t>99.9%</w:t>
            </w:r>
            <w:r>
              <w:rPr>
                <w:rFonts w:ascii="宋体" w:hAnsi="宋体" w:cs="宋体" w:eastAsia="宋体" w:hint="default"/>
                <w:spacing w:val="-3"/>
                <w:sz w:val="18"/>
                <w:szCs w:val="18"/>
              </w:rPr>
              <w:t>，依米康企业管理为</w:t>
            </w:r>
            <w:r>
              <w:rPr>
                <w:rFonts w:ascii="Times New Roman" w:hAnsi="Times New Roman" w:cs="Times New Roman" w:eastAsia="Times New Roman" w:hint="default"/>
                <w:spacing w:val="-3"/>
                <w:sz w:val="18"/>
                <w:szCs w:val="18"/>
              </w:rPr>
              <w:t>0.1%</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月发起设立，主要作为员工持股平台实施员工股权激励事项。</w:t>
            </w:r>
          </w:p>
        </w:tc>
      </w:tr>
    </w:tbl>
    <w:p>
      <w:pPr>
        <w:spacing w:line="240" w:lineRule="auto" w:before="11"/>
        <w:rPr>
          <w:rFonts w:ascii="宋体" w:hAnsi="宋体" w:cs="宋体" w:eastAsia="宋体" w:hint="default"/>
          <w:b/>
          <w:bCs/>
          <w:sz w:val="18"/>
          <w:szCs w:val="18"/>
        </w:rPr>
      </w:pPr>
    </w:p>
    <w:p>
      <w:pPr>
        <w:pStyle w:val="Heading2"/>
        <w:spacing w:line="240" w:lineRule="auto" w:before="26"/>
        <w:ind w:left="633" w:right="0"/>
        <w:jc w:val="left"/>
        <w:rPr>
          <w:b w:val="0"/>
          <w:bCs w:val="0"/>
        </w:rPr>
      </w:pPr>
      <w:r>
        <w:rPr/>
        <w:t>（九）曲水依米康智控企业管理中心（有限合伙）</w:t>
      </w:r>
      <w:r>
        <w:rPr>
          <w:b w:val="0"/>
          <w:bCs w:val="0"/>
        </w:rPr>
      </w:r>
    </w:p>
    <w:p>
      <w:pPr>
        <w:spacing w:line="240" w:lineRule="auto" w:before="12"/>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1700"/>
        <w:gridCol w:w="8087"/>
      </w:tblGrid>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38" w:right="0"/>
              <w:jc w:val="center"/>
              <w:rPr>
                <w:rFonts w:ascii="Times New Roman" w:hAnsi="Times New Roman" w:cs="Times New Roman" w:eastAsia="Times New Roman" w:hint="default"/>
                <w:sz w:val="18"/>
                <w:szCs w:val="18"/>
              </w:rPr>
            </w:pPr>
            <w:r>
              <w:rPr>
                <w:rFonts w:ascii="Times New Roman"/>
                <w:sz w:val="18"/>
              </w:rPr>
              <w:t>91540124MA6T52664Q</w:t>
            </w:r>
          </w:p>
        </w:tc>
      </w:tr>
      <w:tr>
        <w:trPr>
          <w:trHeight w:val="423"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06" w:right="0"/>
              <w:jc w:val="left"/>
              <w:rPr>
                <w:rFonts w:ascii="宋体" w:hAnsi="宋体" w:cs="宋体" w:eastAsia="宋体" w:hint="default"/>
                <w:sz w:val="18"/>
                <w:szCs w:val="18"/>
              </w:rPr>
            </w:pPr>
            <w:r>
              <w:rPr>
                <w:rFonts w:ascii="宋体" w:hAnsi="宋体" w:cs="宋体" w:eastAsia="宋体" w:hint="default"/>
                <w:spacing w:val="-3"/>
                <w:sz w:val="18"/>
                <w:szCs w:val="18"/>
              </w:rPr>
              <w:t>西藏拉萨市曲水县雅江工业园区中小企业孵化楼</w:t>
            </w:r>
            <w:r>
              <w:rPr>
                <w:rFonts w:ascii="Times New Roman" w:hAnsi="Times New Roman" w:cs="Times New Roman" w:eastAsia="Times New Roman" w:hint="default"/>
                <w:spacing w:val="-3"/>
                <w:sz w:val="18"/>
                <w:szCs w:val="18"/>
              </w:rPr>
              <w:t>307-A138</w:t>
            </w:r>
            <w:r>
              <w:rPr>
                <w:rFonts w:ascii="宋体" w:hAnsi="宋体" w:cs="宋体" w:eastAsia="宋体" w:hint="default"/>
                <w:spacing w:val="-3"/>
                <w:sz w:val="18"/>
                <w:szCs w:val="18"/>
              </w:rPr>
              <w:t>室</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pacing w:val="-3"/>
                <w:sz w:val="18"/>
                <w:szCs w:val="18"/>
              </w:rPr>
              <w:t>执行事务合伙人</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31" w:right="0"/>
              <w:jc w:val="center"/>
              <w:rPr>
                <w:rFonts w:ascii="宋体" w:hAnsi="宋体" w:cs="宋体" w:eastAsia="宋体" w:hint="default"/>
                <w:sz w:val="18"/>
                <w:szCs w:val="18"/>
              </w:rPr>
            </w:pPr>
            <w:r>
              <w:rPr>
                <w:rFonts w:ascii="宋体" w:hAnsi="宋体" w:cs="宋体" w:eastAsia="宋体" w:hint="default"/>
                <w:sz w:val="18"/>
                <w:szCs w:val="18"/>
              </w:rPr>
              <w:t>孙晶晶</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万元人民币</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36" w:right="0"/>
              <w:jc w:val="center"/>
              <w:rPr>
                <w:rFonts w:ascii="宋体" w:hAnsi="宋体" w:cs="宋体" w:eastAsia="宋体" w:hint="default"/>
                <w:sz w:val="18"/>
                <w:szCs w:val="18"/>
              </w:rPr>
            </w:pPr>
            <w:r>
              <w:rPr>
                <w:rFonts w:ascii="宋体" w:hAnsi="宋体" w:cs="宋体" w:eastAsia="宋体" w:hint="default"/>
                <w:sz w:val="18"/>
                <w:szCs w:val="18"/>
              </w:rPr>
              <w:t>有限合伙企业</w:t>
            </w:r>
          </w:p>
        </w:tc>
      </w:tr>
      <w:tr>
        <w:trPr>
          <w:trHeight w:val="663"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9" w:right="-3" w:firstLine="360"/>
              <w:jc w:val="left"/>
              <w:rPr>
                <w:rFonts w:ascii="宋体" w:hAnsi="宋体" w:cs="宋体" w:eastAsia="宋体" w:hint="default"/>
                <w:sz w:val="18"/>
                <w:szCs w:val="18"/>
              </w:rPr>
            </w:pPr>
            <w:r>
              <w:rPr>
                <w:rFonts w:ascii="宋体" w:hAnsi="宋体" w:cs="宋体" w:eastAsia="宋体" w:hint="default"/>
                <w:spacing w:val="-4"/>
                <w:sz w:val="18"/>
                <w:szCs w:val="18"/>
              </w:rPr>
              <w:t>企业管理咨询；商务信息咨询（不含投资咨询）；物业管理；企业形象策划；网上贸易代理。（依</w:t>
            </w:r>
            <w:r>
              <w:rPr>
                <w:rFonts w:ascii="宋体" w:hAnsi="宋体" w:cs="宋体" w:eastAsia="宋体" w:hint="default"/>
                <w:w w:val="101"/>
                <w:sz w:val="18"/>
                <w:szCs w:val="18"/>
              </w:rPr>
              <w:t> </w:t>
            </w:r>
            <w:r>
              <w:rPr>
                <w:rFonts w:ascii="宋体" w:hAnsi="宋体" w:cs="宋体" w:eastAsia="宋体" w:hint="default"/>
                <w:spacing w:val="-3"/>
                <w:sz w:val="18"/>
                <w:szCs w:val="18"/>
              </w:rPr>
              <w:t>法须经批准的项目，经相关部门批准后方可开展经营活动）。</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44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依米康为</w:t>
            </w:r>
            <w:r>
              <w:rPr>
                <w:rFonts w:ascii="Times New Roman" w:hAnsi="Times New Roman" w:cs="Times New Roman" w:eastAsia="Times New Roman" w:hint="default"/>
                <w:spacing w:val="-3"/>
                <w:sz w:val="18"/>
                <w:szCs w:val="18"/>
              </w:rPr>
              <w:t>99.9%</w:t>
            </w:r>
            <w:r>
              <w:rPr>
                <w:rFonts w:ascii="宋体" w:hAnsi="宋体" w:cs="宋体" w:eastAsia="宋体" w:hint="default"/>
                <w:spacing w:val="-3"/>
                <w:sz w:val="18"/>
                <w:szCs w:val="18"/>
              </w:rPr>
              <w:t>，依米康企业管理为</w:t>
            </w:r>
            <w:r>
              <w:rPr>
                <w:rFonts w:ascii="Times New Roman" w:hAnsi="Times New Roman" w:cs="Times New Roman" w:eastAsia="Times New Roman" w:hint="default"/>
                <w:spacing w:val="-3"/>
                <w:sz w:val="18"/>
                <w:szCs w:val="18"/>
              </w:rPr>
              <w:t>0.1%</w:t>
            </w:r>
          </w:p>
        </w:tc>
      </w:tr>
    </w:tbl>
    <w:p>
      <w:pPr>
        <w:spacing w:after="0" w:line="240" w:lineRule="auto"/>
        <w:jc w:val="lef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3" w:type="dxa"/>
        <w:tblLayout w:type="fixed"/>
        <w:tblCellMar>
          <w:top w:w="0" w:type="dxa"/>
          <w:left w:w="0" w:type="dxa"/>
          <w:bottom w:w="0" w:type="dxa"/>
          <w:right w:w="0" w:type="dxa"/>
        </w:tblCellMar>
        <w:tblLook w:val="01E0"/>
      </w:tblPr>
      <w:tblGrid>
        <w:gridCol w:w="1700"/>
        <w:gridCol w:w="8087"/>
      </w:tblGrid>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448"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依米康为</w:t>
            </w:r>
            <w:r>
              <w:rPr>
                <w:rFonts w:ascii="Times New Roman" w:hAnsi="Times New Roman" w:cs="Times New Roman" w:eastAsia="Times New Roman" w:hint="default"/>
                <w:spacing w:val="-3"/>
                <w:sz w:val="18"/>
                <w:szCs w:val="18"/>
              </w:rPr>
              <w:t>99.9%</w:t>
            </w:r>
            <w:r>
              <w:rPr>
                <w:rFonts w:ascii="宋体" w:hAnsi="宋体" w:cs="宋体" w:eastAsia="宋体" w:hint="default"/>
                <w:spacing w:val="-3"/>
                <w:sz w:val="18"/>
                <w:szCs w:val="18"/>
              </w:rPr>
              <w:t>，依米康企业管理为</w:t>
            </w:r>
            <w:r>
              <w:rPr>
                <w:rFonts w:ascii="Times New Roman" w:hAnsi="Times New Roman" w:cs="Times New Roman" w:eastAsia="Times New Roman" w:hint="default"/>
                <w:spacing w:val="-3"/>
                <w:sz w:val="18"/>
                <w:szCs w:val="18"/>
              </w:rPr>
              <w:t>0.1%</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月发起设立，主要作为员工持股平台实施员工股权激励事项。</w:t>
            </w:r>
          </w:p>
        </w:tc>
      </w:tr>
    </w:tbl>
    <w:p>
      <w:pPr>
        <w:spacing w:line="240" w:lineRule="auto" w:before="11"/>
        <w:rPr>
          <w:rFonts w:ascii="宋体" w:hAnsi="宋体" w:cs="宋体" w:eastAsia="宋体" w:hint="default"/>
          <w:b/>
          <w:bCs/>
          <w:sz w:val="18"/>
          <w:szCs w:val="18"/>
        </w:rPr>
      </w:pPr>
    </w:p>
    <w:p>
      <w:pPr>
        <w:pStyle w:val="Heading2"/>
        <w:spacing w:line="240" w:lineRule="auto" w:before="26"/>
        <w:ind w:left="633" w:right="0"/>
        <w:jc w:val="left"/>
        <w:rPr>
          <w:b w:val="0"/>
          <w:bCs w:val="0"/>
        </w:rPr>
      </w:pPr>
      <w:r>
        <w:rPr/>
        <w:t>（十）依米康信息服务有限公司</w:t>
      </w:r>
      <w:r>
        <w:rPr>
          <w:b w:val="0"/>
          <w:bCs w:val="0"/>
        </w:rPr>
      </w:r>
    </w:p>
    <w:p>
      <w:pPr>
        <w:spacing w:line="240" w:lineRule="auto" w:before="12"/>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1700"/>
        <w:gridCol w:w="8087"/>
      </w:tblGrid>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28" w:right="0"/>
              <w:jc w:val="center"/>
              <w:rPr>
                <w:rFonts w:ascii="Times New Roman" w:hAnsi="Times New Roman" w:cs="Times New Roman" w:eastAsia="Times New Roman" w:hint="default"/>
                <w:sz w:val="18"/>
                <w:szCs w:val="18"/>
              </w:rPr>
            </w:pPr>
            <w:r>
              <w:rPr>
                <w:rFonts w:ascii="Times New Roman"/>
                <w:sz w:val="18"/>
              </w:rPr>
              <w:t>91510100MA677FMA5C</w:t>
            </w:r>
          </w:p>
        </w:tc>
      </w:tr>
      <w:tr>
        <w:trPr>
          <w:trHeight w:val="428"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13" w:right="0"/>
              <w:jc w:val="left"/>
              <w:rPr>
                <w:rFonts w:ascii="宋体" w:hAnsi="宋体" w:cs="宋体" w:eastAsia="宋体" w:hint="default"/>
                <w:sz w:val="18"/>
                <w:szCs w:val="18"/>
              </w:rPr>
            </w:pPr>
            <w:r>
              <w:rPr>
                <w:rFonts w:ascii="宋体" w:hAnsi="宋体" w:cs="宋体" w:eastAsia="宋体" w:hint="default"/>
                <w:spacing w:val="-3"/>
                <w:sz w:val="18"/>
                <w:szCs w:val="18"/>
              </w:rPr>
              <w:t>中国（四川）自由贸易试验区成都高新区天府大道北段</w:t>
            </w:r>
            <w:r>
              <w:rPr>
                <w:rFonts w:ascii="Times New Roman" w:hAnsi="Times New Roman" w:cs="Times New Roman" w:eastAsia="Times New Roman" w:hint="default"/>
                <w:spacing w:val="-3"/>
                <w:sz w:val="18"/>
                <w:szCs w:val="18"/>
              </w:rPr>
              <w:t>1700</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栋</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单元</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层</w:t>
            </w:r>
            <w:r>
              <w:rPr>
                <w:rFonts w:ascii="Times New Roman" w:hAnsi="Times New Roman" w:cs="Times New Roman" w:eastAsia="Times New Roman" w:hint="default"/>
                <w:spacing w:val="-3"/>
                <w:sz w:val="18"/>
                <w:szCs w:val="18"/>
              </w:rPr>
              <w:t>1403</w:t>
            </w:r>
            <w:r>
              <w:rPr>
                <w:rFonts w:ascii="宋体" w:hAnsi="宋体" w:cs="宋体" w:eastAsia="宋体" w:hint="default"/>
                <w:spacing w:val="-3"/>
                <w:sz w:val="18"/>
                <w:szCs w:val="18"/>
              </w:rPr>
              <w:t>号</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宋体" w:hAnsi="宋体" w:cs="宋体" w:eastAsia="宋体" w:hint="default"/>
                <w:sz w:val="18"/>
                <w:szCs w:val="18"/>
              </w:rPr>
              <w:t>吴浩然</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万元人民币</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362" w:right="0"/>
              <w:jc w:val="left"/>
              <w:rPr>
                <w:rFonts w:ascii="宋体" w:hAnsi="宋体" w:cs="宋体" w:eastAsia="宋体" w:hint="default"/>
                <w:sz w:val="18"/>
                <w:szCs w:val="18"/>
              </w:rPr>
            </w:pPr>
            <w:r>
              <w:rPr>
                <w:rFonts w:ascii="宋体" w:hAnsi="宋体" w:cs="宋体" w:eastAsia="宋体" w:hint="default"/>
                <w:spacing w:val="-3"/>
                <w:sz w:val="18"/>
                <w:szCs w:val="18"/>
              </w:rPr>
              <w:t>有限责任公司（自然人投资或控股的法人独资）</w:t>
            </w:r>
          </w:p>
        </w:tc>
      </w:tr>
      <w:tr>
        <w:trPr>
          <w:trHeight w:val="1594"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 w:right="-3" w:firstLine="360"/>
              <w:jc w:val="both"/>
              <w:rPr>
                <w:rFonts w:ascii="宋体" w:hAnsi="宋体" w:cs="宋体" w:eastAsia="宋体" w:hint="default"/>
                <w:sz w:val="18"/>
                <w:szCs w:val="18"/>
              </w:rPr>
            </w:pPr>
            <w:r>
              <w:rPr>
                <w:rFonts w:ascii="宋体" w:hAnsi="宋体" w:cs="宋体" w:eastAsia="宋体" w:hint="default"/>
                <w:spacing w:val="-4"/>
                <w:sz w:val="18"/>
                <w:szCs w:val="18"/>
              </w:rPr>
              <w:t>信息技术咨询服务；销售：制冷设备、空调设备（不含特种设备）、电源设备、电池、环境保护专</w:t>
            </w:r>
            <w:r>
              <w:rPr>
                <w:rFonts w:ascii="宋体" w:hAnsi="宋体" w:cs="宋体" w:eastAsia="宋体" w:hint="default"/>
                <w:w w:val="101"/>
                <w:sz w:val="18"/>
                <w:szCs w:val="18"/>
              </w:rPr>
              <w:t> </w:t>
            </w:r>
            <w:r>
              <w:rPr>
                <w:rFonts w:ascii="宋体" w:hAnsi="宋体" w:cs="宋体" w:eastAsia="宋体" w:hint="default"/>
                <w:spacing w:val="-4"/>
                <w:sz w:val="18"/>
                <w:szCs w:val="18"/>
              </w:rPr>
              <w:t>用设备、空气净化器、电子产品并提供技术服务；计算机系统集成；大数据服务；工程管理服务（凭资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质证书经营）；合同能源管理；建筑装修工程设计、施工（凭资质证书经营）；节能技术、环保技术的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开发、技术咨询；电子产品的研发、销售及技术咨询。（依法须经批准的项目，经相关部门批准后方可</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开展经营活动）。</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100%</w:t>
            </w:r>
          </w:p>
        </w:tc>
      </w:tr>
      <w:tr>
        <w:trPr>
          <w:trHeight w:val="428"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2" w:right="0"/>
              <w:jc w:val="center"/>
              <w:rPr>
                <w:rFonts w:ascii="Times New Roman" w:hAnsi="Times New Roman" w:cs="Times New Roman" w:eastAsia="Times New Roman" w:hint="default"/>
                <w:sz w:val="18"/>
                <w:szCs w:val="18"/>
              </w:rPr>
            </w:pPr>
            <w:r>
              <w:rPr>
                <w:rFonts w:ascii="Times New Roman"/>
                <w:sz w:val="18"/>
              </w:rPr>
              <w:t>100%</w:t>
            </w:r>
          </w:p>
        </w:tc>
      </w:tr>
      <w:tr>
        <w:trPr>
          <w:trHeight w:val="1594"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9" w:right="-5" w:firstLine="268"/>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日召开第三届董事会第四十三次会议审议通过了《关于对外投资设立依米康</w:t>
            </w:r>
            <w:r>
              <w:rPr>
                <w:rFonts w:ascii="宋体" w:hAnsi="宋体" w:cs="宋体" w:eastAsia="宋体" w:hint="default"/>
                <w:w w:val="101"/>
                <w:sz w:val="18"/>
                <w:szCs w:val="18"/>
              </w:rPr>
              <w:t> </w:t>
            </w:r>
            <w:r>
              <w:rPr>
                <w:rFonts w:ascii="宋体" w:hAnsi="宋体" w:cs="宋体" w:eastAsia="宋体" w:hint="default"/>
                <w:spacing w:val="-3"/>
                <w:sz w:val="18"/>
                <w:szCs w:val="18"/>
              </w:rPr>
              <w:t>信息服务有限公司的议案》，同意公司出资</w:t>
            </w:r>
            <w:r>
              <w:rPr>
                <w:rFonts w:ascii="Times New Roman" w:hAnsi="Times New Roman" w:cs="Times New Roman" w:eastAsia="Times New Roman" w:hint="default"/>
                <w:spacing w:val="-3"/>
                <w:sz w:val="18"/>
                <w:szCs w:val="18"/>
              </w:rPr>
              <w:t>5,000</w:t>
            </w:r>
            <w:r>
              <w:rPr>
                <w:rFonts w:ascii="宋体" w:hAnsi="宋体" w:cs="宋体" w:eastAsia="宋体" w:hint="default"/>
                <w:spacing w:val="-3"/>
                <w:sz w:val="18"/>
                <w:szCs w:val="18"/>
              </w:rPr>
              <w:t>万元人民币投资设立全资子公司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依米康信息服务有限</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公司（暂定，最终以工商核准名称为准）（以下简称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依米康信息服务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），大力拓展云计算数据中心智</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慧运行维护及整体节能改造等服务业务。</w:t>
            </w:r>
          </w:p>
          <w:p>
            <w:pPr>
              <w:pStyle w:val="TableParagraph"/>
              <w:spacing w:line="240" w:lineRule="auto" w:before="32"/>
              <w:ind w:left="27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日，依米康信息服务完成了设立有关工商手续，并取得了《营业执照》。</w:t>
            </w:r>
          </w:p>
        </w:tc>
      </w:tr>
    </w:tbl>
    <w:p>
      <w:pPr>
        <w:pStyle w:val="BodyText"/>
        <w:spacing w:line="240" w:lineRule="auto" w:before="41"/>
        <w:ind w:left="633"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日，依米康信息服务暂未实质性开展经营活动。</w:t>
      </w:r>
    </w:p>
    <w:p>
      <w:pPr>
        <w:pStyle w:val="Heading2"/>
        <w:spacing w:line="240" w:lineRule="auto" w:before="56"/>
        <w:ind w:left="633" w:right="0"/>
        <w:jc w:val="left"/>
        <w:rPr>
          <w:b w:val="0"/>
          <w:bCs w:val="0"/>
        </w:rPr>
      </w:pPr>
      <w:r>
        <w:rPr/>
        <w:t>（十一）四川依米康智云科技有限公司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spacing w:before="46"/>
        <w:ind w:left="0" w:right="898" w:firstLine="0"/>
        <w:jc w:val="right"/>
        <w:rPr>
          <w:rFonts w:ascii="宋体" w:hAnsi="宋体" w:cs="宋体" w:eastAsia="宋体" w:hint="default"/>
          <w:sz w:val="18"/>
          <w:szCs w:val="18"/>
        </w:rPr>
      </w:pPr>
      <w:r>
        <w:rPr/>
        <w:pict>
          <v:shape style="position:absolute;margin-left:56.183998pt;margin-top:-143.238251pt;width:490.4pt;height:251.4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0"/>
                    <w:gridCol w:w="8087"/>
                  </w:tblGrid>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r>
                  <w:tr>
                    <w:trPr>
                      <w:trHeight w:val="428"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4"/>
                          <w:ind w:left="9"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36" w:right="0"/>
                          <w:jc w:val="center"/>
                          <w:rPr>
                            <w:rFonts w:ascii="Times New Roman" w:hAnsi="Times New Roman" w:cs="Times New Roman" w:eastAsia="Times New Roman" w:hint="default"/>
                            <w:sz w:val="18"/>
                            <w:szCs w:val="18"/>
                          </w:rPr>
                        </w:pPr>
                        <w:r>
                          <w:rPr>
                            <w:rFonts w:ascii="Times New Roman"/>
                            <w:sz w:val="18"/>
                          </w:rPr>
                          <w:t>91510100MA64C98H11</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900" w:right="0"/>
                          <w:jc w:val="left"/>
                          <w:rPr>
                            <w:rFonts w:ascii="宋体" w:hAnsi="宋体" w:cs="宋体" w:eastAsia="宋体" w:hint="default"/>
                            <w:sz w:val="18"/>
                            <w:szCs w:val="18"/>
                          </w:rPr>
                        </w:pPr>
                        <w:r>
                          <w:rPr>
                            <w:rFonts w:ascii="宋体" w:hAnsi="宋体" w:cs="宋体" w:eastAsia="宋体" w:hint="default"/>
                            <w:sz w:val="18"/>
                            <w:szCs w:val="18"/>
                          </w:rPr>
                          <w:t>成都高新区顺锦路</w:t>
                        </w:r>
                        <w:r>
                          <w:rPr>
                            <w:rFonts w:ascii="Times New Roman" w:hAnsi="Times New Roman" w:cs="Times New Roman" w:eastAsia="Times New Roman" w:hint="default"/>
                            <w:sz w:val="18"/>
                            <w:szCs w:val="18"/>
                          </w:rPr>
                          <w:t>272</w:t>
                        </w:r>
                        <w:r>
                          <w:rPr>
                            <w:rFonts w:ascii="宋体" w:hAnsi="宋体" w:cs="宋体" w:eastAsia="宋体" w:hint="default"/>
                            <w:sz w:val="18"/>
                            <w:szCs w:val="18"/>
                          </w:rPr>
                          <w:t>号</w:t>
                        </w:r>
                        <w:r>
                          <w:rPr>
                            <w:rFonts w:ascii="Times New Roman" w:hAnsi="Times New Roman" w:cs="Times New Roman" w:eastAsia="Times New Roman" w:hint="default"/>
                            <w:sz w:val="18"/>
                            <w:szCs w:val="18"/>
                          </w:rPr>
                          <w:t>5</w:t>
                        </w:r>
                        <w:r>
                          <w:rPr>
                            <w:rFonts w:ascii="宋体" w:hAnsi="宋体" w:cs="宋体" w:eastAsia="宋体" w:hint="default"/>
                            <w:sz w:val="18"/>
                            <w:szCs w:val="18"/>
                          </w:rPr>
                          <w:t>栋</w:t>
                        </w:r>
                        <w:r>
                          <w:rPr>
                            <w:rFonts w:ascii="Times New Roman" w:hAnsi="Times New Roman" w:cs="Times New Roman" w:eastAsia="Times New Roman" w:hint="default"/>
                            <w:sz w:val="18"/>
                            <w:szCs w:val="18"/>
                          </w:rPr>
                          <w:t>2</w:t>
                        </w:r>
                        <w:r>
                          <w:rPr>
                            <w:rFonts w:ascii="宋体" w:hAnsi="宋体" w:cs="宋体" w:eastAsia="宋体" w:hint="default"/>
                            <w:sz w:val="18"/>
                            <w:szCs w:val="18"/>
                          </w:rPr>
                          <w:t>层</w:t>
                        </w:r>
                        <w:r>
                          <w:rPr>
                            <w:rFonts w:ascii="Times New Roman" w:hAnsi="Times New Roman" w:cs="Times New Roman" w:eastAsia="Times New Roman" w:hint="default"/>
                            <w:sz w:val="18"/>
                            <w:szCs w:val="18"/>
                          </w:rPr>
                          <w:t>1</w:t>
                        </w:r>
                        <w:r>
                          <w:rPr>
                            <w:rFonts w:ascii="宋体" w:hAnsi="宋体" w:cs="宋体" w:eastAsia="宋体" w:hint="default"/>
                            <w:sz w:val="18"/>
                            <w:szCs w:val="18"/>
                          </w:rPr>
                          <w:t>号</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宋体" w:hAnsi="宋体" w:cs="宋体" w:eastAsia="宋体" w:hint="default"/>
                            <w:sz w:val="18"/>
                            <w:szCs w:val="18"/>
                          </w:rPr>
                          <w:t>孙晶晶</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3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w:t>
                        </w:r>
                      </w:p>
                    </w:tc>
                  </w:tr>
                  <w:tr>
                    <w:trPr>
                      <w:trHeight w:val="428"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362" w:right="0"/>
                          <w:jc w:val="left"/>
                          <w:rPr>
                            <w:rFonts w:ascii="宋体" w:hAnsi="宋体" w:cs="宋体" w:eastAsia="宋体" w:hint="default"/>
                            <w:sz w:val="18"/>
                            <w:szCs w:val="18"/>
                          </w:rPr>
                        </w:pPr>
                        <w:r>
                          <w:rPr>
                            <w:rFonts w:ascii="宋体" w:hAnsi="宋体" w:cs="宋体" w:eastAsia="宋体" w:hint="default"/>
                            <w:spacing w:val="-3"/>
                            <w:sz w:val="18"/>
                            <w:szCs w:val="18"/>
                          </w:rPr>
                          <w:t>有限责任公司（自然人投资或控股的法人独资）</w:t>
                        </w:r>
                      </w:p>
                    </w:tc>
                  </w:tr>
                  <w:tr>
                    <w:trPr>
                      <w:trHeight w:val="1594"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 w:right="-4" w:firstLine="360"/>
                          <w:jc w:val="left"/>
                          <w:rPr>
                            <w:rFonts w:ascii="宋体" w:hAnsi="宋体" w:cs="宋体" w:eastAsia="宋体" w:hint="default"/>
                            <w:sz w:val="18"/>
                            <w:szCs w:val="18"/>
                          </w:rPr>
                        </w:pPr>
                        <w:r>
                          <w:rPr>
                            <w:rFonts w:ascii="宋体" w:hAnsi="宋体" w:cs="宋体" w:eastAsia="宋体" w:hint="default"/>
                            <w:spacing w:val="-4"/>
                            <w:sz w:val="18"/>
                            <w:szCs w:val="18"/>
                          </w:rPr>
                          <w:t>软件开发；销售制冷设备、空调设备、电源设备、电池、环境保护专用设备、空气净化器、电子产</w:t>
                        </w:r>
                        <w:r>
                          <w:rPr>
                            <w:rFonts w:ascii="宋体" w:hAnsi="宋体" w:cs="宋体" w:eastAsia="宋体" w:hint="default"/>
                            <w:w w:val="101"/>
                            <w:sz w:val="18"/>
                            <w:szCs w:val="18"/>
                          </w:rPr>
                          <w:t> </w:t>
                        </w:r>
                        <w:r>
                          <w:rPr>
                            <w:rFonts w:ascii="宋体" w:hAnsi="宋体" w:cs="宋体" w:eastAsia="宋体" w:hint="default"/>
                            <w:spacing w:val="-6"/>
                            <w:sz w:val="18"/>
                            <w:szCs w:val="18"/>
                          </w:rPr>
                          <w:t>品并提供技术服务；计算机软硬件开发与销售；信息系统集成服务；计算机系统集成；物联网技术服务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6"/>
                            <w:sz w:val="18"/>
                            <w:szCs w:val="18"/>
                          </w:rPr>
                          <w:t>人工智能行业应用系统研发及技术转让；大数据服务；建筑智能化工程设计与施工（凭资质证书经营）</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工业自动化控制设备研发与销售；新能源技术研发。（依法须经批准的项目，经相关部门批准后方可开</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展经营活动）。</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100%</w:t>
                        </w:r>
                      </w:p>
                    </w:tc>
                  </w:tr>
                  <w:tr>
                    <w:trPr>
                      <w:trHeight w:val="427"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2" w:right="0"/>
                          <w:jc w:val="center"/>
                          <w:rPr>
                            <w:rFonts w:ascii="Times New Roman" w:hAnsi="Times New Roman" w:cs="Times New Roman" w:eastAsia="Times New Roman" w:hint="default"/>
                            <w:sz w:val="18"/>
                            <w:szCs w:val="18"/>
                          </w:rPr>
                        </w:pPr>
                        <w:r>
                          <w:rPr>
                            <w:rFonts w:ascii="Times New Roman"/>
                            <w:sz w:val="18"/>
                          </w:rPr>
                          <w:t>100%</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before="76"/>
        <w:ind w:left="0" w:right="898"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697"/>
        <w:gridCol w:w="8087"/>
      </w:tblGrid>
      <w:tr>
        <w:trPr>
          <w:trHeight w:val="1282" w:hRule="exact"/>
        </w:trPr>
        <w:tc>
          <w:tcPr>
            <w:tcW w:w="16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9" w:right="-5" w:firstLine="268"/>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日召开第三届董事会第四十三次会议审议通过了《关于对外投资设立四川依</w:t>
            </w:r>
            <w:r>
              <w:rPr>
                <w:rFonts w:ascii="宋体" w:hAnsi="宋体" w:cs="宋体" w:eastAsia="宋体" w:hint="default"/>
                <w:w w:val="101"/>
                <w:sz w:val="18"/>
                <w:szCs w:val="18"/>
              </w:rPr>
              <w:t> </w:t>
            </w:r>
            <w:r>
              <w:rPr>
                <w:rFonts w:ascii="宋体" w:hAnsi="宋体" w:cs="宋体" w:eastAsia="宋体" w:hint="default"/>
                <w:spacing w:val="-3"/>
                <w:sz w:val="18"/>
                <w:szCs w:val="18"/>
              </w:rPr>
              <w:t>米康智云科技有限公司的议案》，同意公司出资</w:t>
            </w:r>
            <w:r>
              <w:rPr>
                <w:rFonts w:ascii="Times New Roman" w:hAnsi="Times New Roman" w:cs="Times New Roman" w:eastAsia="Times New Roman" w:hint="default"/>
                <w:spacing w:val="-3"/>
                <w:sz w:val="18"/>
                <w:szCs w:val="18"/>
              </w:rPr>
              <w:t>2,000</w:t>
            </w:r>
            <w:r>
              <w:rPr>
                <w:rFonts w:ascii="宋体" w:hAnsi="宋体" w:cs="宋体" w:eastAsia="宋体" w:hint="default"/>
                <w:spacing w:val="-3"/>
                <w:sz w:val="18"/>
                <w:szCs w:val="18"/>
              </w:rPr>
              <w:t>万元人民币投资设立全资子公司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四川依米康智云</w:t>
            </w:r>
            <w:r>
              <w:rPr>
                <w:rFonts w:ascii="宋体" w:hAnsi="宋体" w:cs="宋体" w:eastAsia="宋体" w:hint="default"/>
                <w:spacing w:val="28"/>
                <w:sz w:val="18"/>
                <w:szCs w:val="18"/>
              </w:rPr>
              <w:t> </w:t>
            </w:r>
            <w:r>
              <w:rPr>
                <w:rFonts w:ascii="宋体" w:hAnsi="宋体" w:cs="宋体" w:eastAsia="宋体" w:hint="default"/>
                <w:spacing w:val="28"/>
                <w:sz w:val="18"/>
                <w:szCs w:val="18"/>
              </w:rPr>
            </w:r>
            <w:r>
              <w:rPr>
                <w:rFonts w:ascii="宋体" w:hAnsi="宋体" w:cs="宋体" w:eastAsia="宋体" w:hint="default"/>
                <w:spacing w:val="-3"/>
                <w:sz w:val="18"/>
                <w:szCs w:val="18"/>
              </w:rPr>
              <w:t>科技有限公司（暂定，最终以工商部门核准为准）（以下简称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依米康智云科技</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p>
            <w:pPr>
              <w:pStyle w:val="TableParagraph"/>
              <w:spacing w:line="240" w:lineRule="auto" w:before="13"/>
              <w:ind w:left="27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日，依米康智云科技完成了设立有关工商手续，并取得了《营业执照》。</w:t>
            </w:r>
          </w:p>
        </w:tc>
      </w:tr>
    </w:tbl>
    <w:p>
      <w:pPr>
        <w:pStyle w:val="BodyText"/>
        <w:spacing w:line="240" w:lineRule="auto" w:before="41"/>
        <w:ind w:left="633" w:right="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日，依米康智云科技暂未实质性开展经营活动。</w:t>
      </w:r>
    </w:p>
    <w:p>
      <w:pPr>
        <w:pStyle w:val="Heading2"/>
        <w:spacing w:line="240" w:lineRule="auto" w:before="56"/>
        <w:ind w:left="633" w:right="0"/>
        <w:jc w:val="left"/>
        <w:rPr>
          <w:b w:val="0"/>
          <w:bCs w:val="0"/>
        </w:rPr>
      </w:pPr>
      <w:r>
        <w:rPr/>
        <w:t>（十二）平昌县依米康医疗投资管理有限公司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1"/>
          <w:szCs w:val="21"/>
        </w:rPr>
      </w:pPr>
    </w:p>
    <w:p>
      <w:pPr>
        <w:spacing w:before="46"/>
        <w:ind w:left="0" w:right="917" w:firstLine="0"/>
        <w:jc w:val="right"/>
        <w:rPr>
          <w:rFonts w:ascii="宋体" w:hAnsi="宋体" w:cs="宋体" w:eastAsia="宋体" w:hint="default"/>
          <w:sz w:val="18"/>
          <w:szCs w:val="18"/>
        </w:rPr>
      </w:pPr>
      <w:r>
        <w:rPr/>
        <w:pict>
          <v:shape style="position:absolute;margin-left:56.183998pt;margin-top:-103.608253pt;width:490.4pt;height:330.3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226"/>
                  </w:tblGrid>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91511923MA638ADJXT</w:t>
                        </w:r>
                      </w:p>
                    </w:tc>
                  </w:tr>
                  <w:tr>
                    <w:trPr>
                      <w:trHeight w:val="350"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305" w:right="0"/>
                          <w:jc w:val="left"/>
                          <w:rPr>
                            <w:rFonts w:ascii="宋体" w:hAnsi="宋体" w:cs="宋体" w:eastAsia="宋体" w:hint="default"/>
                            <w:sz w:val="18"/>
                            <w:szCs w:val="18"/>
                          </w:rPr>
                        </w:pPr>
                        <w:r>
                          <w:rPr>
                            <w:rFonts w:ascii="宋体" w:hAnsi="宋体" w:cs="宋体" w:eastAsia="宋体" w:hint="default"/>
                            <w:spacing w:val="-3"/>
                            <w:sz w:val="18"/>
                            <w:szCs w:val="18"/>
                          </w:rPr>
                          <w:t>四川省平昌县金宝鑫区金宝大道三段七十七号</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李玲</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3,000</w:t>
                        </w:r>
                        <w:r>
                          <w:rPr>
                            <w:rFonts w:ascii="宋体" w:hAnsi="宋体" w:cs="宋体" w:eastAsia="宋体" w:hint="default"/>
                            <w:sz w:val="18"/>
                            <w:szCs w:val="18"/>
                          </w:rPr>
                          <w:t>万元人民币</w:t>
                        </w:r>
                      </w:p>
                    </w:tc>
                  </w:tr>
                  <w:tr>
                    <w:trPr>
                      <w:trHeight w:val="350"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pacing w:val="-3"/>
                            <w:sz w:val="18"/>
                            <w:szCs w:val="18"/>
                          </w:rPr>
                          <w:t>医院项目投资，医院运营管理服务。（依法须经批准的项目，经相关部门批准后方可开展经营活动</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90.25%</w:t>
                        </w:r>
                      </w:p>
                    </w:tc>
                  </w:tr>
                  <w:tr>
                    <w:trPr>
                      <w:trHeight w:val="350"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90.25%</w:t>
                        </w:r>
                      </w:p>
                    </w:tc>
                  </w:tr>
                  <w:tr>
                    <w:trPr>
                      <w:trHeight w:val="346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5"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）公司于</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14</w:t>
                        </w:r>
                        <w:r>
                          <w:rPr>
                            <w:rFonts w:ascii="宋体" w:hAnsi="宋体" w:cs="宋体" w:eastAsia="宋体" w:hint="default"/>
                            <w:spacing w:val="-4"/>
                            <w:sz w:val="18"/>
                            <w:szCs w:val="18"/>
                          </w:rPr>
                          <w:t>日召开第三届董事会第三十一次会议审议通过《关于对外投资设立项目公司建</w:t>
                        </w:r>
                        <w:r>
                          <w:rPr>
                            <w:rFonts w:ascii="宋体" w:hAnsi="宋体" w:cs="宋体" w:eastAsia="宋体" w:hint="default"/>
                            <w:w w:val="101"/>
                            <w:sz w:val="18"/>
                            <w:szCs w:val="18"/>
                          </w:rPr>
                          <w:t> </w:t>
                        </w:r>
                        <w:r>
                          <w:rPr>
                            <w:rFonts w:ascii="宋体" w:hAnsi="宋体" w:cs="宋体" w:eastAsia="宋体" w:hint="default"/>
                            <w:spacing w:val="-4"/>
                            <w:sz w:val="18"/>
                            <w:szCs w:val="18"/>
                          </w:rPr>
                          <w:t>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平昌县黄滩坝医疗科技产业园建设</w:t>
                        </w:r>
                        <w:r>
                          <w:rPr>
                            <w:rFonts w:ascii="Times New Roman" w:hAnsi="Times New Roman" w:cs="Times New Roman" w:eastAsia="Times New Roman" w:hint="default"/>
                            <w:spacing w:val="-4"/>
                            <w:sz w:val="18"/>
                            <w:szCs w:val="18"/>
                          </w:rPr>
                          <w:t>PPP</w:t>
                        </w:r>
                        <w:r>
                          <w:rPr>
                            <w:rFonts w:ascii="宋体" w:hAnsi="宋体" w:cs="宋体" w:eastAsia="宋体" w:hint="default"/>
                            <w:spacing w:val="-4"/>
                            <w:sz w:val="18"/>
                            <w:szCs w:val="18"/>
                          </w:rPr>
                          <w:t>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的议案》，同意公司使用自有资金</w:t>
                        </w:r>
                        <w:r>
                          <w:rPr>
                            <w:rFonts w:ascii="Times New Roman" w:hAnsi="Times New Roman" w:cs="Times New Roman" w:eastAsia="Times New Roman" w:hint="default"/>
                            <w:spacing w:val="-4"/>
                            <w:sz w:val="18"/>
                            <w:szCs w:val="18"/>
                          </w:rPr>
                          <w:t>2,707.50</w:t>
                        </w:r>
                        <w:r>
                          <w:rPr>
                            <w:rFonts w:ascii="宋体" w:hAnsi="宋体" w:cs="宋体" w:eastAsia="宋体" w:hint="default"/>
                            <w:spacing w:val="-4"/>
                            <w:sz w:val="18"/>
                            <w:szCs w:val="18"/>
                          </w:rPr>
                          <w:t>万元和联合体单</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w w:val="101"/>
                            <w:sz w:val="18"/>
                            <w:szCs w:val="18"/>
                          </w:rPr>
                          <w:t>位平昌县宏源建筑工程有限责任公司、平昌县人民政府授权的项目实施机构平昌县卫生和计划生育局委托</w:t>
                        </w:r>
                        <w:r>
                          <w:rPr>
                            <w:rFonts w:ascii="宋体" w:hAnsi="宋体" w:cs="宋体" w:eastAsia="宋体" w:hint="default"/>
                            <w:spacing w:val="-54"/>
                            <w:w w:val="101"/>
                            <w:sz w:val="18"/>
                            <w:szCs w:val="18"/>
                          </w:rPr>
                          <w:t> </w:t>
                        </w:r>
                        <w:r>
                          <w:rPr>
                            <w:rFonts w:ascii="宋体" w:hAnsi="宋体" w:cs="宋体" w:eastAsia="宋体" w:hint="default"/>
                            <w:spacing w:val="-54"/>
                            <w:w w:val="101"/>
                            <w:sz w:val="18"/>
                            <w:szCs w:val="18"/>
                          </w:rPr>
                        </w:r>
                        <w:r>
                          <w:rPr>
                            <w:rFonts w:ascii="宋体" w:hAnsi="宋体" w:cs="宋体" w:eastAsia="宋体" w:hint="default"/>
                            <w:spacing w:val="-5"/>
                            <w:sz w:val="18"/>
                            <w:szCs w:val="18"/>
                          </w:rPr>
                          <w:t>的政府出资方四川巴山佛光医疗投资有限公司共同出资设立项目公司，实施项目的投融资、建设及运营管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4"/>
                            <w:sz w:val="18"/>
                            <w:szCs w:val="18"/>
                          </w:rPr>
                          <w:t>理。项目公司注册资本为</w:t>
                        </w:r>
                        <w:r>
                          <w:rPr>
                            <w:rFonts w:ascii="Times New Roman" w:hAnsi="Times New Roman" w:cs="Times New Roman" w:eastAsia="Times New Roman" w:hint="default"/>
                            <w:spacing w:val="-4"/>
                            <w:sz w:val="18"/>
                            <w:szCs w:val="18"/>
                          </w:rPr>
                          <w:t>3,000</w:t>
                        </w:r>
                        <w:r>
                          <w:rPr>
                            <w:rFonts w:ascii="宋体" w:hAnsi="宋体" w:cs="宋体" w:eastAsia="宋体" w:hint="default"/>
                            <w:spacing w:val="-4"/>
                            <w:sz w:val="18"/>
                            <w:szCs w:val="18"/>
                          </w:rPr>
                          <w:t>万元，其中公司出资</w:t>
                        </w:r>
                        <w:r>
                          <w:rPr>
                            <w:rFonts w:ascii="Times New Roman" w:hAnsi="Times New Roman" w:cs="Times New Roman" w:eastAsia="Times New Roman" w:hint="default"/>
                            <w:spacing w:val="-4"/>
                            <w:sz w:val="18"/>
                            <w:szCs w:val="18"/>
                          </w:rPr>
                          <w:t>2,707.50</w:t>
                        </w:r>
                        <w:r>
                          <w:rPr>
                            <w:rFonts w:ascii="宋体" w:hAnsi="宋体" w:cs="宋体" w:eastAsia="宋体" w:hint="default"/>
                            <w:spacing w:val="-4"/>
                            <w:sz w:val="18"/>
                            <w:szCs w:val="18"/>
                          </w:rPr>
                          <w:t>万元，占项目公司注册资本</w:t>
                        </w:r>
                        <w:r>
                          <w:rPr>
                            <w:rFonts w:ascii="Times New Roman" w:hAnsi="Times New Roman" w:cs="Times New Roman" w:eastAsia="Times New Roman" w:hint="default"/>
                            <w:spacing w:val="-4"/>
                            <w:sz w:val="18"/>
                            <w:szCs w:val="18"/>
                          </w:rPr>
                          <w:t>90.25%</w:t>
                        </w:r>
                        <w:r>
                          <w:rPr>
                            <w:rFonts w:ascii="宋体" w:hAnsi="宋体" w:cs="宋体" w:eastAsia="宋体" w:hint="default"/>
                            <w:spacing w:val="-4"/>
                            <w:sz w:val="18"/>
                            <w:szCs w:val="18"/>
                          </w:rPr>
                          <w:t>，为项目公</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司的控股股东。</w:t>
                        </w:r>
                      </w:p>
                      <w:p>
                        <w:pPr>
                          <w:pStyle w:val="TableParagraph"/>
                          <w:spacing w:line="300" w:lineRule="auto" w:before="26"/>
                          <w:ind w:left="4" w:right="0"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22</w:t>
                        </w:r>
                        <w:r>
                          <w:rPr>
                            <w:rFonts w:ascii="宋体" w:hAnsi="宋体" w:cs="宋体" w:eastAsia="宋体" w:hint="default"/>
                            <w:spacing w:val="-4"/>
                            <w:sz w:val="18"/>
                            <w:szCs w:val="18"/>
                          </w:rPr>
                          <w:t>日，项目公司完成了股东、董事、监事、法定代表人、总经理以及《公司章程》等一</w:t>
                        </w:r>
                        <w:r>
                          <w:rPr>
                            <w:rFonts w:ascii="宋体" w:hAnsi="宋体" w:cs="宋体" w:eastAsia="宋体" w:hint="default"/>
                            <w:w w:val="101"/>
                            <w:sz w:val="18"/>
                            <w:szCs w:val="18"/>
                          </w:rPr>
                          <w:t> </w:t>
                        </w:r>
                        <w:r>
                          <w:rPr>
                            <w:rFonts w:ascii="宋体" w:hAnsi="宋体" w:cs="宋体" w:eastAsia="宋体" w:hint="default"/>
                            <w:spacing w:val="-3"/>
                            <w:sz w:val="18"/>
                            <w:szCs w:val="18"/>
                          </w:rPr>
                          <w:t>系列工商登记备案手续，并取得了《营业执照》。</w:t>
                        </w:r>
                      </w:p>
                      <w:p>
                        <w:pPr>
                          <w:pStyle w:val="TableParagraph"/>
                          <w:spacing w:line="240" w:lineRule="auto" w:before="32"/>
                          <w:ind w:left="36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日，平昌依米康完成了股东名称变更（股东名称由</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四川依米康环境科技股份有限公司</w:t>
                        </w:r>
                        <w:r>
                          <w:rPr>
                            <w:rFonts w:ascii="Times New Roman" w:hAnsi="Times New Roman" w:cs="Times New Roman" w:eastAsia="Times New Roman" w:hint="default"/>
                            <w:spacing w:val="-6"/>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依米康科技集团股份有限公司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）的工商登记变更及章程修订手续。</w:t>
                        </w:r>
                      </w:p>
                      <w:p>
                        <w:pPr>
                          <w:pStyle w:val="TableParagraph"/>
                          <w:spacing w:line="240" w:lineRule="auto" w:before="63"/>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日，平昌依米康完成了法人、董事及高管变更，并换发了《营业执照》。</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2"/>
        <w:spacing w:line="240" w:lineRule="auto" w:before="26"/>
        <w:ind w:left="633" w:right="0"/>
        <w:jc w:val="left"/>
        <w:rPr>
          <w:b w:val="0"/>
          <w:bCs w:val="0"/>
        </w:rPr>
      </w:pPr>
      <w:r>
        <w:rPr/>
        <w:t>（十三）依米康冷元节能科技（上海）有限公司</w:t>
      </w:r>
      <w:r>
        <w:rPr>
          <w:b w:val="0"/>
          <w:bCs w:val="0"/>
        </w:rPr>
      </w:r>
    </w:p>
    <w:p>
      <w:pPr>
        <w:spacing w:line="240" w:lineRule="auto" w:before="12"/>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1700"/>
        <w:gridCol w:w="8087"/>
      </w:tblGrid>
      <w:tr>
        <w:trPr>
          <w:trHeight w:val="34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350"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 w:right="0"/>
              <w:jc w:val="center"/>
              <w:rPr>
                <w:rFonts w:ascii="Times New Roman" w:hAnsi="Times New Roman" w:cs="Times New Roman" w:eastAsia="Times New Roman" w:hint="default"/>
                <w:sz w:val="18"/>
                <w:szCs w:val="18"/>
              </w:rPr>
            </w:pPr>
            <w:r>
              <w:rPr>
                <w:rFonts w:ascii="Times New Roman"/>
                <w:sz w:val="18"/>
              </w:rPr>
              <w:t>91310115MA1K3GUG9K</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中国（上海）自由贸易试验区张东路</w:t>
            </w:r>
            <w:r>
              <w:rPr>
                <w:rFonts w:ascii="Times New Roman" w:hAnsi="Times New Roman" w:cs="Times New Roman" w:eastAsia="Times New Roman" w:hint="default"/>
                <w:spacing w:val="-3"/>
                <w:sz w:val="18"/>
                <w:szCs w:val="18"/>
              </w:rPr>
              <w:t>1761</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幢</w:t>
            </w:r>
            <w:r>
              <w:rPr>
                <w:rFonts w:ascii="Times New Roman" w:hAnsi="Times New Roman" w:cs="Times New Roman" w:eastAsia="Times New Roman" w:hint="default"/>
                <w:spacing w:val="-3"/>
                <w:sz w:val="18"/>
                <w:szCs w:val="18"/>
              </w:rPr>
              <w:t>704</w:t>
            </w:r>
            <w:r>
              <w:rPr>
                <w:rFonts w:ascii="宋体" w:hAnsi="宋体" w:cs="宋体" w:eastAsia="宋体" w:hint="default"/>
                <w:spacing w:val="-3"/>
                <w:sz w:val="18"/>
                <w:szCs w:val="18"/>
              </w:rPr>
              <w:t>室</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颜晓霜</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宋体" w:hAnsi="宋体" w:cs="宋体" w:eastAsia="宋体" w:hint="default"/>
                <w:sz w:val="18"/>
                <w:szCs w:val="18"/>
              </w:rPr>
              <w:t>万元人民币</w:t>
            </w:r>
          </w:p>
        </w:tc>
      </w:tr>
      <w:tr>
        <w:trPr>
          <w:trHeight w:val="351"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pacing w:val="-3"/>
                <w:sz w:val="18"/>
                <w:szCs w:val="18"/>
              </w:rPr>
              <w:t>有限责任公司（国内合资）</w:t>
            </w:r>
          </w:p>
        </w:tc>
      </w:tr>
      <w:tr>
        <w:trPr>
          <w:trHeight w:val="190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 w:right="-4" w:firstLine="360"/>
              <w:jc w:val="both"/>
              <w:rPr>
                <w:rFonts w:ascii="宋体" w:hAnsi="宋体" w:cs="宋体" w:eastAsia="宋体" w:hint="default"/>
                <w:sz w:val="18"/>
                <w:szCs w:val="18"/>
              </w:rPr>
            </w:pPr>
            <w:r>
              <w:rPr>
                <w:rFonts w:ascii="宋体" w:hAnsi="宋体" w:cs="宋体" w:eastAsia="宋体" w:hint="default"/>
                <w:spacing w:val="-4"/>
                <w:sz w:val="18"/>
                <w:szCs w:val="18"/>
              </w:rPr>
              <w:t>节能科技、信息技术领域内的技术开发、技术转让、技术咨询、技术服务，计算机软件的开发、设</w:t>
            </w:r>
            <w:r>
              <w:rPr>
                <w:rFonts w:ascii="宋体" w:hAnsi="宋体" w:cs="宋体" w:eastAsia="宋体" w:hint="default"/>
                <w:w w:val="101"/>
                <w:sz w:val="18"/>
                <w:szCs w:val="18"/>
              </w:rPr>
              <w:t> </w:t>
            </w:r>
            <w:r>
              <w:rPr>
                <w:rFonts w:ascii="宋体" w:hAnsi="宋体" w:cs="宋体" w:eastAsia="宋体" w:hint="default"/>
                <w:spacing w:val="-4"/>
                <w:sz w:val="18"/>
                <w:szCs w:val="18"/>
              </w:rPr>
              <w:t>计、制作、销售，计算机硬件、电子产品、节能环保设备、节能制冷设备、机电设备的研发、销售、生</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产（限分支机构），系统集成，网络工程，合同能源管理，机电安装建设工程施工、水暖电安装建设工</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程作业，建筑装修装饰建设工程专业施工，环保建设工程专业施工，环境工程建设工程专项设计，通信</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建设工程施工，商务信息咨询，从事货物与技术的进出口业务。【依法须经批准的项目，经相关部门批</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准后方可开展经营活动】</w:t>
            </w:r>
          </w:p>
        </w:tc>
      </w:tr>
      <w:tr>
        <w:trPr>
          <w:trHeight w:val="34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51%</w:t>
            </w:r>
          </w:p>
        </w:tc>
      </w:tr>
    </w:tbl>
    <w:p>
      <w:pPr>
        <w:spacing w:after="0" w:line="240" w:lineRule="auto"/>
        <w:jc w:val="center"/>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3" w:type="dxa"/>
        <w:tblLayout w:type="fixed"/>
        <w:tblCellMar>
          <w:top w:w="0" w:type="dxa"/>
          <w:left w:w="0" w:type="dxa"/>
          <w:bottom w:w="0" w:type="dxa"/>
          <w:right w:w="0" w:type="dxa"/>
        </w:tblCellMar>
        <w:tblLook w:val="01E0"/>
      </w:tblPr>
      <w:tblGrid>
        <w:gridCol w:w="1700"/>
        <w:gridCol w:w="8087"/>
      </w:tblGrid>
      <w:tr>
        <w:trPr>
          <w:trHeight w:val="346"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 w:right="0"/>
              <w:jc w:val="center"/>
              <w:rPr>
                <w:rFonts w:ascii="Times New Roman" w:hAnsi="Times New Roman" w:cs="Times New Roman" w:eastAsia="Times New Roman" w:hint="default"/>
                <w:sz w:val="18"/>
                <w:szCs w:val="18"/>
              </w:rPr>
            </w:pPr>
            <w:r>
              <w:rPr>
                <w:rFonts w:ascii="Times New Roman"/>
                <w:sz w:val="18"/>
              </w:rPr>
              <w:t>51%</w:t>
            </w:r>
          </w:p>
        </w:tc>
      </w:tr>
      <w:tr>
        <w:trPr>
          <w:trHeight w:val="1911" w:hRule="exact"/>
        </w:trPr>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087"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9" w:right="-3"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日公司召开第三届董事会第十三次会议审议通过《关于投资设立控股公司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依米康</w:t>
            </w:r>
            <w:r>
              <w:rPr>
                <w:rFonts w:ascii="宋体" w:hAnsi="宋体" w:cs="宋体" w:eastAsia="宋体" w:hint="default"/>
                <w:w w:val="101"/>
                <w:sz w:val="18"/>
                <w:szCs w:val="18"/>
              </w:rPr>
              <w:t> </w:t>
            </w:r>
            <w:r>
              <w:rPr>
                <w:rFonts w:ascii="宋体" w:hAnsi="宋体" w:cs="宋体" w:eastAsia="宋体" w:hint="default"/>
                <w:spacing w:val="-4"/>
                <w:sz w:val="18"/>
                <w:szCs w:val="18"/>
              </w:rPr>
              <w:t>冷元的议案》，依米康冷元在中国（上海）自由贸易试验区市场监督管理局完成了相关工商登记注册手</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续，并取得</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21</w:t>
            </w:r>
            <w:r>
              <w:rPr>
                <w:rFonts w:ascii="宋体" w:hAnsi="宋体" w:cs="宋体" w:eastAsia="宋体" w:hint="default"/>
                <w:spacing w:val="-3"/>
                <w:sz w:val="18"/>
                <w:szCs w:val="18"/>
              </w:rPr>
              <w:t>日签发的《营业执照》。</w:t>
            </w:r>
          </w:p>
          <w:p>
            <w:pPr>
              <w:pStyle w:val="TableParagraph"/>
              <w:spacing w:line="300" w:lineRule="auto" w:before="5"/>
              <w:ind w:left="9" w:right="56"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日，依米康冷元完成了股东名称变更（股东名称由</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四川依米康环境科技股份有限</w:t>
            </w:r>
            <w:r>
              <w:rPr>
                <w:rFonts w:ascii="宋体" w:hAnsi="宋体" w:cs="宋体" w:eastAsia="宋体" w:hint="default"/>
                <w:w w:val="101"/>
                <w:sz w:val="18"/>
                <w:szCs w:val="18"/>
              </w:rPr>
              <w:t> </w:t>
            </w:r>
            <w:r>
              <w:rPr>
                <w:rFonts w:ascii="宋体" w:hAnsi="宋体" w:cs="宋体" w:eastAsia="宋体" w:hint="default"/>
                <w:spacing w:val="-3"/>
                <w:sz w:val="18"/>
                <w:szCs w:val="18"/>
              </w:rPr>
              <w:t>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变更为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依米康科技集团股份有限公司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）的工商登记变更及章程修订手续。</w:t>
            </w:r>
          </w:p>
          <w:p>
            <w:pPr>
              <w:pStyle w:val="TableParagraph"/>
              <w:spacing w:line="240" w:lineRule="auto" w:before="13"/>
              <w:ind w:left="370" w:right="-4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日，依米康冷元完成了注册地址变更及其有关备案手续，并取得了《营业执照》。</w:t>
            </w:r>
          </w:p>
        </w:tc>
      </w:tr>
    </w:tbl>
    <w:p>
      <w:pPr>
        <w:pStyle w:val="BodyText"/>
        <w:spacing w:line="336" w:lineRule="auto" w:before="41"/>
        <w:ind w:right="1122" w:firstLine="480"/>
        <w:jc w:val="left"/>
      </w:pPr>
      <w:r>
        <w:rPr>
          <w:spacing w:val="-4"/>
        </w:rPr>
        <w:t>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日，依米康冷元总资产</w:t>
      </w:r>
      <w:r>
        <w:rPr>
          <w:rFonts w:ascii="Times New Roman" w:hAnsi="Times New Roman" w:cs="Times New Roman" w:eastAsia="Times New Roman" w:hint="default"/>
          <w:spacing w:val="-4"/>
        </w:rPr>
        <w:t>2,831.02</w:t>
      </w:r>
      <w:r>
        <w:rPr>
          <w:spacing w:val="-4"/>
        </w:rPr>
        <w:t>万元，净资产</w:t>
      </w:r>
      <w:r>
        <w:rPr>
          <w:rFonts w:ascii="Times New Roman" w:hAnsi="Times New Roman" w:cs="Times New Roman" w:eastAsia="Times New Roman" w:hint="default"/>
          <w:spacing w:val="-4"/>
        </w:rPr>
        <w:t>1,261.29</w:t>
      </w:r>
      <w:r>
        <w:rPr>
          <w:spacing w:val="-4"/>
        </w:rPr>
        <w:t>万元。报告期内，</w:t>
      </w:r>
      <w:r>
        <w:rPr/>
        <w:t> 依米康冷元实现营业收入</w:t>
      </w:r>
      <w:r>
        <w:rPr>
          <w:rFonts w:ascii="Times New Roman" w:hAnsi="Times New Roman" w:cs="Times New Roman" w:eastAsia="Times New Roman" w:hint="default"/>
        </w:rPr>
        <w:t>439.04</w:t>
      </w:r>
      <w:r>
        <w:rPr/>
        <w:t>万元，净利润</w:t>
      </w:r>
      <w:r>
        <w:rPr>
          <w:rFonts w:ascii="Times New Roman" w:hAnsi="Times New Roman" w:cs="Times New Roman" w:eastAsia="Times New Roman" w:hint="default"/>
        </w:rPr>
        <w:t>-934.45</w:t>
      </w:r>
      <w:r>
        <w:rPr/>
        <w:t>万元。</w:t>
      </w:r>
    </w:p>
    <w:p>
      <w:pPr>
        <w:pStyle w:val="Heading2"/>
        <w:spacing w:line="264" w:lineRule="exact"/>
        <w:ind w:left="633" w:right="0"/>
        <w:jc w:val="left"/>
        <w:rPr>
          <w:b w:val="0"/>
          <w:bCs w:val="0"/>
        </w:rPr>
      </w:pPr>
      <w:r>
        <w:rPr/>
        <w:t>（十四）江苏亿金环保科技有限公司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spacing w:before="46"/>
        <w:ind w:left="0" w:right="916" w:firstLine="0"/>
        <w:jc w:val="right"/>
        <w:rPr>
          <w:rFonts w:ascii="宋体" w:hAnsi="宋体" w:cs="宋体" w:eastAsia="宋体" w:hint="default"/>
          <w:sz w:val="18"/>
          <w:szCs w:val="18"/>
        </w:rPr>
      </w:pPr>
      <w:r>
        <w:rPr/>
        <w:pict>
          <v:shape style="position:absolute;margin-left:56.183998pt;margin-top:-233.738281pt;width:490.4pt;height:486.4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226"/>
                  </w:tblGrid>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9132028175507530XJ</w:t>
                        </w:r>
                      </w:p>
                    </w:tc>
                  </w:tr>
                  <w:tr>
                    <w:trPr>
                      <w:trHeight w:val="351"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江苏省江阴市顾山镇国东村</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宋正兴</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11,000</w:t>
                        </w:r>
                        <w:r>
                          <w:rPr>
                            <w:rFonts w:ascii="宋体" w:hAnsi="宋体" w:cs="宋体" w:eastAsia="宋体" w:hint="default"/>
                            <w:sz w:val="18"/>
                            <w:szCs w:val="18"/>
                          </w:rPr>
                          <w:t>万元人民币</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r>
                  <w:tr>
                    <w:trPr>
                      <w:trHeight w:val="1599"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4" w:right="0" w:firstLine="360"/>
                          <w:jc w:val="both"/>
                          <w:rPr>
                            <w:rFonts w:ascii="宋体" w:hAnsi="宋体" w:cs="宋体" w:eastAsia="宋体" w:hint="default"/>
                            <w:sz w:val="18"/>
                            <w:szCs w:val="18"/>
                          </w:rPr>
                        </w:pPr>
                        <w:r>
                          <w:rPr>
                            <w:rFonts w:ascii="宋体" w:hAnsi="宋体" w:cs="宋体" w:eastAsia="宋体" w:hint="default"/>
                            <w:spacing w:val="-5"/>
                            <w:sz w:val="18"/>
                            <w:szCs w:val="18"/>
                          </w:rPr>
                          <w:t>环保节能技术研发；石化、炼钢、环保成套设备的制造、安装；给排水工程的安装；轻钢结构、交通</w:t>
                        </w:r>
                        <w:r>
                          <w:rPr>
                            <w:rFonts w:ascii="宋体" w:hAnsi="宋体" w:cs="宋体" w:eastAsia="宋体" w:hint="default"/>
                            <w:w w:val="101"/>
                            <w:sz w:val="18"/>
                            <w:szCs w:val="18"/>
                          </w:rPr>
                          <w:t> </w:t>
                        </w:r>
                        <w:r>
                          <w:rPr>
                            <w:rFonts w:ascii="宋体" w:hAnsi="宋体" w:cs="宋体" w:eastAsia="宋体" w:hint="default"/>
                            <w:spacing w:val="-5"/>
                            <w:sz w:val="18"/>
                            <w:szCs w:val="18"/>
                          </w:rPr>
                          <w:t>设施的加工、安装；架线、管道、设备的施工；通风管道及设备安装；环境工程设计、施工总承包（凭资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5"/>
                            <w:sz w:val="18"/>
                            <w:szCs w:val="18"/>
                          </w:rPr>
                          <w:t>质经营）；金属材料、纺织原料（不含籽棉）的销售；自营和代理各类商品及技术的进出口业务（但国家</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5"/>
                            <w:sz w:val="18"/>
                            <w:szCs w:val="18"/>
                          </w:rPr>
                          <w:t>限定企业经营或禁止进出口的商品和技术除外）。（依法须经批准的项目，经相关部门批准后方可开展经</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营活动）</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53.84%</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53.84%</w:t>
                        </w:r>
                      </w:p>
                    </w:tc>
                  </w:tr>
                  <w:tr>
                    <w:trPr>
                      <w:trHeight w:val="5344"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5"/>
                          <w:ind w:left="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江苏亿金环保科技股份有限公司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变更为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江苏亿金环保科技有限公司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，企业</w:t>
                        </w:r>
                        <w:r>
                          <w:rPr>
                            <w:rFonts w:ascii="宋体" w:hAnsi="宋体" w:cs="宋体" w:eastAsia="宋体" w:hint="default"/>
                            <w:w w:val="101"/>
                            <w:sz w:val="18"/>
                            <w:szCs w:val="18"/>
                          </w:rPr>
                          <w:t> </w:t>
                        </w:r>
                        <w:r>
                          <w:rPr>
                            <w:rFonts w:ascii="宋体" w:hAnsi="宋体" w:cs="宋体" w:eastAsia="宋体" w:hint="default"/>
                            <w:spacing w:val="-3"/>
                            <w:sz w:val="18"/>
                            <w:szCs w:val="18"/>
                          </w:rPr>
                          <w:t>性质由股份有限公司变更为有限责任公司；</w:t>
                        </w:r>
                        <w:r>
                          <w:rPr>
                            <w:rFonts w:ascii="Times New Roman" w:hAnsi="Times New Roman" w:cs="Times New Roman" w:eastAsia="Times New Roman" w:hint="default"/>
                            <w:spacing w:val="-3"/>
                            <w:sz w:val="18"/>
                            <w:szCs w:val="18"/>
                          </w:rPr>
                          <w:t>2014</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17</w:t>
                        </w:r>
                        <w:r>
                          <w:rPr>
                            <w:rFonts w:ascii="宋体" w:hAnsi="宋体" w:cs="宋体" w:eastAsia="宋体" w:hint="default"/>
                            <w:spacing w:val="-3"/>
                            <w:sz w:val="18"/>
                            <w:szCs w:val="18"/>
                          </w:rPr>
                          <w:t>日公司完成发行股份购买江苏亿金的资产交割</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依米康持有江苏亿金的股份比例为</w:t>
                        </w:r>
                        <w:r>
                          <w:rPr>
                            <w:rFonts w:ascii="Times New Roman" w:hAnsi="Times New Roman" w:cs="Times New Roman" w:eastAsia="Times New Roman" w:hint="default"/>
                            <w:sz w:val="18"/>
                            <w:szCs w:val="18"/>
                          </w:rPr>
                          <w:t>53.00%</w:t>
                        </w:r>
                        <w:r>
                          <w:rPr>
                            <w:rFonts w:ascii="宋体" w:hAnsi="宋体" w:cs="宋体" w:eastAsia="宋体" w:hint="default"/>
                            <w:sz w:val="18"/>
                            <w:szCs w:val="18"/>
                          </w:rPr>
                          <w:t>。</w:t>
                        </w:r>
                      </w:p>
                      <w:p>
                        <w:pPr>
                          <w:pStyle w:val="TableParagraph"/>
                          <w:spacing w:line="300" w:lineRule="auto" w:before="13"/>
                          <w:ind w:left="4" w:right="-5" w:firstLine="45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月，依米康使用配套募集资金净额单方面向江苏亿金增资，其注册资本从</w:t>
                        </w:r>
                        <w:r>
                          <w:rPr>
                            <w:rFonts w:ascii="Times New Roman" w:hAnsi="Times New Roman" w:cs="Times New Roman" w:eastAsia="Times New Roman" w:hint="default"/>
                            <w:spacing w:val="-3"/>
                            <w:sz w:val="18"/>
                            <w:szCs w:val="18"/>
                          </w:rPr>
                          <w:t>5,990</w:t>
                        </w:r>
                        <w:r>
                          <w:rPr>
                            <w:rFonts w:ascii="宋体" w:hAnsi="宋体" w:cs="宋体" w:eastAsia="宋体" w:hint="default"/>
                            <w:spacing w:val="-3"/>
                            <w:sz w:val="18"/>
                            <w:szCs w:val="18"/>
                          </w:rPr>
                          <w:t>万元增加</w:t>
                        </w:r>
                        <w:r>
                          <w:rPr>
                            <w:rFonts w:ascii="宋体" w:hAnsi="宋体" w:cs="宋体" w:eastAsia="宋体" w:hint="default"/>
                            <w:w w:val="101"/>
                            <w:sz w:val="18"/>
                            <w:szCs w:val="18"/>
                          </w:rPr>
                          <w:t> </w:t>
                        </w:r>
                        <w:r>
                          <w:rPr>
                            <w:rFonts w:ascii="宋体" w:hAnsi="宋体" w:cs="宋体" w:eastAsia="宋体" w:hint="default"/>
                            <w:spacing w:val="-3"/>
                            <w:sz w:val="18"/>
                            <w:szCs w:val="18"/>
                          </w:rPr>
                          <w:t>至</w:t>
                        </w:r>
                        <w:r>
                          <w:rPr>
                            <w:rFonts w:ascii="Times New Roman" w:hAnsi="Times New Roman" w:cs="Times New Roman" w:eastAsia="Times New Roman" w:hint="default"/>
                            <w:spacing w:val="-3"/>
                            <w:sz w:val="18"/>
                            <w:szCs w:val="18"/>
                          </w:rPr>
                          <w:t>6,904</w:t>
                        </w:r>
                        <w:r>
                          <w:rPr>
                            <w:rFonts w:ascii="宋体" w:hAnsi="宋体" w:cs="宋体" w:eastAsia="宋体" w:hint="default"/>
                            <w:spacing w:val="-3"/>
                            <w:sz w:val="18"/>
                            <w:szCs w:val="18"/>
                          </w:rPr>
                          <w:t>万元，依米康持有江苏亿金的股份比例增至</w:t>
                        </w:r>
                        <w:r>
                          <w:rPr>
                            <w:rFonts w:ascii="Times New Roman" w:hAnsi="Times New Roman" w:cs="Times New Roman" w:eastAsia="Times New Roman" w:hint="default"/>
                            <w:spacing w:val="-3"/>
                            <w:sz w:val="18"/>
                            <w:szCs w:val="18"/>
                          </w:rPr>
                          <w:t>59.22%</w:t>
                        </w:r>
                        <w:r>
                          <w:rPr>
                            <w:rFonts w:ascii="宋体" w:hAnsi="宋体" w:cs="宋体" w:eastAsia="宋体" w:hint="default"/>
                            <w:spacing w:val="-3"/>
                            <w:sz w:val="18"/>
                            <w:szCs w:val="18"/>
                          </w:rPr>
                          <w:t>。</w:t>
                        </w:r>
                      </w:p>
                      <w:p>
                        <w:pPr>
                          <w:pStyle w:val="TableParagraph"/>
                          <w:spacing w:line="240" w:lineRule="auto" w:before="13"/>
                          <w:ind w:left="456"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月，依米康与江苏亿金原主要股东共同对江苏亿金增资，其注册资本从</w:t>
                        </w:r>
                        <w:r>
                          <w:rPr>
                            <w:rFonts w:ascii="Times New Roman" w:hAnsi="Times New Roman" w:cs="Times New Roman" w:eastAsia="Times New Roman" w:hint="default"/>
                            <w:sz w:val="18"/>
                            <w:szCs w:val="18"/>
                          </w:rPr>
                          <w:t>6,904</w:t>
                        </w:r>
                        <w:r>
                          <w:rPr>
                            <w:rFonts w:ascii="宋体" w:hAnsi="宋体" w:cs="宋体" w:eastAsia="宋体" w:hint="default"/>
                            <w:sz w:val="18"/>
                            <w:szCs w:val="18"/>
                          </w:rPr>
                          <w:t>万元增至</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宋体" w:hAnsi="宋体" w:cs="宋体" w:eastAsia="宋体" w:hint="default"/>
                            <w:sz w:val="18"/>
                            <w:szCs w:val="18"/>
                          </w:rPr>
                          <w:t>万元，依米康持股比例仍然为</w:t>
                        </w:r>
                        <w:r>
                          <w:rPr>
                            <w:rFonts w:ascii="Times New Roman" w:hAnsi="Times New Roman" w:cs="Times New Roman" w:eastAsia="Times New Roman" w:hint="default"/>
                            <w:sz w:val="18"/>
                            <w:szCs w:val="18"/>
                          </w:rPr>
                          <w:t>59.22%</w:t>
                        </w:r>
                        <w:r>
                          <w:rPr>
                            <w:rFonts w:ascii="宋体" w:hAnsi="宋体" w:cs="宋体" w:eastAsia="宋体" w:hint="default"/>
                            <w:sz w:val="18"/>
                            <w:szCs w:val="18"/>
                          </w:rPr>
                          <w:t>。</w:t>
                        </w:r>
                      </w:p>
                      <w:p>
                        <w:pPr>
                          <w:pStyle w:val="TableParagraph"/>
                          <w:spacing w:line="240" w:lineRule="auto" w:before="63"/>
                          <w:ind w:left="45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月，取得江苏省江阴市市场监督管理局核发的三证合一《营业执照》。</w:t>
                        </w:r>
                      </w:p>
                      <w:p>
                        <w:pPr>
                          <w:pStyle w:val="TableParagraph"/>
                          <w:spacing w:line="300" w:lineRule="auto" w:before="63"/>
                          <w:ind w:left="4" w:right="0" w:firstLine="4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月，引入新的股东包天剑出资</w:t>
                        </w:r>
                        <w:r>
                          <w:rPr>
                            <w:rFonts w:ascii="Times New Roman" w:hAnsi="Times New Roman" w:cs="Times New Roman" w:eastAsia="Times New Roman" w:hint="default"/>
                            <w:spacing w:val="-2"/>
                            <w:sz w:val="18"/>
                            <w:szCs w:val="18"/>
                          </w:rPr>
                          <w:t>5,000</w:t>
                        </w:r>
                        <w:r>
                          <w:rPr>
                            <w:rFonts w:ascii="宋体" w:hAnsi="宋体" w:cs="宋体" w:eastAsia="宋体" w:hint="default"/>
                            <w:spacing w:val="-2"/>
                            <w:sz w:val="18"/>
                            <w:szCs w:val="18"/>
                          </w:rPr>
                          <w:t>万元单方面对江苏亿金增资</w:t>
                        </w:r>
                        <w:r>
                          <w:rPr>
                            <w:rFonts w:ascii="Times New Roman" w:hAnsi="Times New Roman" w:cs="Times New Roman" w:eastAsia="Times New Roman" w:hint="default"/>
                            <w:spacing w:val="-2"/>
                            <w:sz w:val="18"/>
                            <w:szCs w:val="18"/>
                          </w:rPr>
                          <w:t>1,000</w:t>
                        </w:r>
                        <w:r>
                          <w:rPr>
                            <w:rFonts w:ascii="宋体" w:hAnsi="宋体" w:cs="宋体" w:eastAsia="宋体" w:hint="default"/>
                            <w:spacing w:val="-2"/>
                            <w:sz w:val="18"/>
                            <w:szCs w:val="18"/>
                          </w:rPr>
                          <w:t>万元，江苏亿金股</w:t>
                        </w:r>
                        <w:r>
                          <w:rPr>
                            <w:rFonts w:ascii="宋体" w:hAnsi="宋体" w:cs="宋体" w:eastAsia="宋体" w:hint="default"/>
                            <w:w w:val="101"/>
                            <w:sz w:val="18"/>
                            <w:szCs w:val="18"/>
                          </w:rPr>
                          <w:t> </w:t>
                        </w:r>
                        <w:r>
                          <w:rPr>
                            <w:rFonts w:ascii="宋体" w:hAnsi="宋体" w:cs="宋体" w:eastAsia="宋体" w:hint="default"/>
                            <w:sz w:val="18"/>
                            <w:szCs w:val="18"/>
                          </w:rPr>
                          <w:t>本增至</w:t>
                        </w:r>
                        <w:r>
                          <w:rPr>
                            <w:rFonts w:ascii="Times New Roman" w:hAnsi="Times New Roman" w:cs="Times New Roman" w:eastAsia="Times New Roman" w:hint="default"/>
                            <w:sz w:val="18"/>
                            <w:szCs w:val="18"/>
                          </w:rPr>
                          <w:t>11,000</w:t>
                        </w:r>
                        <w:r>
                          <w:rPr>
                            <w:rFonts w:ascii="宋体" w:hAnsi="宋体" w:cs="宋体" w:eastAsia="宋体" w:hint="default"/>
                            <w:sz w:val="18"/>
                            <w:szCs w:val="18"/>
                          </w:rPr>
                          <w:t>万元。</w:t>
                        </w:r>
                      </w:p>
                      <w:p>
                        <w:pPr>
                          <w:pStyle w:val="TableParagraph"/>
                          <w:spacing w:line="300" w:lineRule="auto" w:before="13"/>
                          <w:ind w:left="4" w:right="-5" w:firstLine="451"/>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2016</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12</w:t>
                        </w:r>
                        <w:r>
                          <w:rPr>
                            <w:rFonts w:ascii="宋体" w:hAnsi="宋体" w:cs="宋体" w:eastAsia="宋体" w:hint="default"/>
                            <w:spacing w:val="-6"/>
                            <w:sz w:val="18"/>
                            <w:szCs w:val="18"/>
                          </w:rPr>
                          <w:t>月，江苏亿金原股东上海添惠投资管理有限公司将其所持有的江苏亿金</w:t>
                        </w:r>
                        <w:r>
                          <w:rPr>
                            <w:rFonts w:ascii="Times New Roman" w:hAnsi="Times New Roman" w:cs="Times New Roman" w:eastAsia="Times New Roman" w:hint="default"/>
                            <w:spacing w:val="-6"/>
                            <w:sz w:val="18"/>
                            <w:szCs w:val="18"/>
                          </w:rPr>
                          <w:t>628</w:t>
                        </w:r>
                        <w:r>
                          <w:rPr>
                            <w:rFonts w:ascii="宋体" w:hAnsi="宋体" w:cs="宋体" w:eastAsia="宋体" w:hint="default"/>
                            <w:spacing w:val="-6"/>
                            <w:sz w:val="18"/>
                            <w:szCs w:val="18"/>
                          </w:rPr>
                          <w:t>万股股权（占</w:t>
                        </w:r>
                        <w:r>
                          <w:rPr>
                            <w:rFonts w:ascii="宋体" w:hAnsi="宋体" w:cs="宋体" w:eastAsia="宋体" w:hint="default"/>
                            <w:w w:val="101"/>
                            <w:sz w:val="18"/>
                            <w:szCs w:val="18"/>
                          </w:rPr>
                          <w:t> </w:t>
                        </w:r>
                        <w:r>
                          <w:rPr>
                            <w:rFonts w:ascii="宋体" w:hAnsi="宋体" w:cs="宋体" w:eastAsia="宋体" w:hint="default"/>
                            <w:spacing w:val="-1"/>
                            <w:sz w:val="18"/>
                            <w:szCs w:val="18"/>
                          </w:rPr>
                          <w:t>江苏亿金注册资本的</w:t>
                        </w:r>
                        <w:r>
                          <w:rPr>
                            <w:rFonts w:ascii="Times New Roman" w:hAnsi="Times New Roman" w:cs="Times New Roman" w:eastAsia="Times New Roman" w:hint="default"/>
                            <w:spacing w:val="-1"/>
                            <w:sz w:val="18"/>
                            <w:szCs w:val="18"/>
                          </w:rPr>
                          <w:t>5.7091%</w:t>
                        </w:r>
                        <w:r>
                          <w:rPr>
                            <w:rFonts w:ascii="宋体" w:hAnsi="宋体" w:cs="宋体" w:eastAsia="宋体" w:hint="default"/>
                            <w:spacing w:val="-1"/>
                            <w:sz w:val="18"/>
                            <w:szCs w:val="18"/>
                          </w:rPr>
                          <w:t>）以</w:t>
                        </w:r>
                        <w:r>
                          <w:rPr>
                            <w:rFonts w:ascii="Times New Roman" w:hAnsi="Times New Roman" w:cs="Times New Roman" w:eastAsia="Times New Roman" w:hint="default"/>
                            <w:spacing w:val="-1"/>
                            <w:sz w:val="18"/>
                            <w:szCs w:val="18"/>
                          </w:rPr>
                          <w:t>628</w:t>
                        </w:r>
                        <w:r>
                          <w:rPr>
                            <w:rFonts w:ascii="宋体" w:hAnsi="宋体" w:cs="宋体" w:eastAsia="宋体" w:hint="default"/>
                            <w:spacing w:val="-1"/>
                            <w:sz w:val="18"/>
                            <w:szCs w:val="18"/>
                          </w:rPr>
                          <w:t>万元人民币作价转让给上海巽浩投资合伙企业（有限合伙），上海</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添惠和上海巽浩的实际控制人均为是志浩先生。于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月完成了股东变更、公司章程修订的工商变更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备案登记，并换发了《营业执照》。</w:t>
                        </w:r>
                      </w:p>
                      <w:p>
                        <w:pPr>
                          <w:pStyle w:val="TableParagraph"/>
                          <w:spacing w:line="300" w:lineRule="auto" w:before="31"/>
                          <w:ind w:left="4" w:right="-5" w:firstLine="45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月，江苏亿金完成了股东名称变更（股东名称由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四川依米康环境科技股份有限公司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变</w:t>
                        </w:r>
                        <w:r>
                          <w:rPr>
                            <w:rFonts w:ascii="宋体" w:hAnsi="宋体" w:cs="宋体" w:eastAsia="宋体" w:hint="default"/>
                            <w:w w:val="101"/>
                            <w:sz w:val="18"/>
                            <w:szCs w:val="18"/>
                          </w:rPr>
                          <w:t> </w:t>
                        </w:r>
                        <w:r>
                          <w:rPr>
                            <w:rFonts w:ascii="宋体" w:hAnsi="宋体" w:cs="宋体" w:eastAsia="宋体" w:hint="default"/>
                            <w:spacing w:val="-3"/>
                            <w:sz w:val="18"/>
                            <w:szCs w:val="18"/>
                          </w:rPr>
                          <w:t>更为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依米康科技集团股份有限公司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）的工商登记变更及章程修订手续。</w:t>
                        </w:r>
                      </w:p>
                      <w:p>
                        <w:pPr>
                          <w:pStyle w:val="TableParagraph"/>
                          <w:spacing w:line="240" w:lineRule="auto" w:before="13"/>
                          <w:ind w:left="45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月，江苏亿金增加了部分经营范围，并换发了《营业执照》。</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ind w:left="633" w:right="0"/>
        <w:jc w:val="left"/>
      </w:pPr>
      <w:r>
        <w:rPr>
          <w:spacing w:val="-4"/>
        </w:rPr>
        <w:t>截至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31</w:t>
      </w:r>
      <w:r>
        <w:rPr>
          <w:spacing w:val="-4"/>
        </w:rPr>
        <w:t>日，江苏亿金总资产</w:t>
      </w:r>
      <w:r>
        <w:rPr>
          <w:rFonts w:ascii="Times New Roman" w:hAnsi="Times New Roman" w:cs="Times New Roman" w:eastAsia="Times New Roman" w:hint="default"/>
          <w:spacing w:val="-4"/>
        </w:rPr>
        <w:t>82,451.15</w:t>
      </w:r>
      <w:r>
        <w:rPr>
          <w:spacing w:val="-4"/>
        </w:rPr>
        <w:t>万元，净资产</w:t>
      </w:r>
      <w:r>
        <w:rPr>
          <w:rFonts w:ascii="Times New Roman" w:hAnsi="Times New Roman" w:cs="Times New Roman" w:eastAsia="Times New Roman" w:hint="default"/>
          <w:spacing w:val="-4"/>
        </w:rPr>
        <w:t>37,284.19</w:t>
      </w:r>
      <w:r>
        <w:rPr>
          <w:spacing w:val="-4"/>
        </w:rPr>
        <w:t>万元。报告期内，</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240" w:lineRule="auto"/>
        <w:ind w:right="0"/>
        <w:jc w:val="left"/>
      </w:pPr>
      <w:r>
        <w:rPr/>
        <w:t>江苏亿金实现营业收入</w:t>
      </w:r>
      <w:r>
        <w:rPr>
          <w:rFonts w:ascii="Times New Roman" w:hAnsi="Times New Roman" w:cs="Times New Roman" w:eastAsia="Times New Roman" w:hint="default"/>
        </w:rPr>
        <w:t>24,053.65</w:t>
      </w:r>
      <w:r>
        <w:rPr/>
        <w:t>万元，净利润</w:t>
      </w:r>
      <w:r>
        <w:rPr>
          <w:rFonts w:ascii="Times New Roman" w:hAnsi="Times New Roman" w:cs="Times New Roman" w:eastAsia="Times New Roman" w:hint="default"/>
        </w:rPr>
        <w:t>185.59</w:t>
      </w:r>
      <w:r>
        <w:rPr/>
        <w:t>万元。</w:t>
      </w:r>
    </w:p>
    <w:p>
      <w:pPr>
        <w:pStyle w:val="Heading2"/>
        <w:spacing w:line="240" w:lineRule="auto" w:before="51"/>
        <w:ind w:left="633" w:right="0"/>
        <w:jc w:val="left"/>
        <w:rPr>
          <w:b w:val="0"/>
          <w:bCs w:val="0"/>
        </w:rPr>
      </w:pPr>
      <w:r>
        <w:rPr/>
        <w:t>（十五）临沧亿金再生能源科技有限公司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0"/>
        <w:ind w:left="0" w:right="917" w:firstLine="0"/>
        <w:jc w:val="right"/>
        <w:rPr>
          <w:rFonts w:ascii="宋体" w:hAnsi="宋体" w:cs="宋体" w:eastAsia="宋体" w:hint="default"/>
          <w:sz w:val="18"/>
          <w:szCs w:val="18"/>
        </w:rPr>
      </w:pPr>
      <w:r>
        <w:rPr/>
        <w:pict>
          <v:shape style="position:absolute;margin-left:56.183998pt;margin-top:-114.098305pt;width:490.4pt;height:324.6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226"/>
                  </w:tblGrid>
                  <w:tr>
                    <w:trPr>
                      <w:trHeight w:val="428"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6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r>
                  <w:tr>
                    <w:trPr>
                      <w:trHeight w:val="350"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10" w:right="0"/>
                          <w:jc w:val="center"/>
                          <w:rPr>
                            <w:rFonts w:ascii="Times New Roman" w:hAnsi="Times New Roman" w:cs="Times New Roman" w:eastAsia="Times New Roman" w:hint="default"/>
                            <w:sz w:val="18"/>
                            <w:szCs w:val="18"/>
                          </w:rPr>
                        </w:pPr>
                        <w:r>
                          <w:rPr>
                            <w:rFonts w:ascii="Times New Roman"/>
                            <w:sz w:val="18"/>
                          </w:rPr>
                          <w:t>91530902MA6KJ0018B</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719" w:right="0"/>
                          <w:jc w:val="left"/>
                          <w:rPr>
                            <w:rFonts w:ascii="宋体" w:hAnsi="宋体" w:cs="宋体" w:eastAsia="宋体" w:hint="default"/>
                            <w:sz w:val="18"/>
                            <w:szCs w:val="18"/>
                          </w:rPr>
                        </w:pPr>
                        <w:r>
                          <w:rPr>
                            <w:rFonts w:ascii="宋体" w:hAnsi="宋体" w:cs="宋体" w:eastAsia="宋体" w:hint="default"/>
                            <w:sz w:val="18"/>
                            <w:szCs w:val="18"/>
                          </w:rPr>
                          <w:t>云南省临沧市临翔区南天路</w:t>
                        </w:r>
                        <w:r>
                          <w:rPr>
                            <w:rFonts w:ascii="Times New Roman" w:hAnsi="Times New Roman" w:cs="Times New Roman" w:eastAsia="Times New Roman" w:hint="default"/>
                            <w:sz w:val="18"/>
                            <w:szCs w:val="18"/>
                          </w:rPr>
                          <w:t>1379</w:t>
                        </w:r>
                        <w:r>
                          <w:rPr>
                            <w:rFonts w:ascii="宋体" w:hAnsi="宋体" w:cs="宋体" w:eastAsia="宋体" w:hint="default"/>
                            <w:sz w:val="18"/>
                            <w:szCs w:val="18"/>
                          </w:rPr>
                          <w:t>号（区住建局办公楼</w:t>
                        </w:r>
                        <w:r>
                          <w:rPr>
                            <w:rFonts w:ascii="Times New Roman" w:hAnsi="Times New Roman" w:cs="Times New Roman" w:eastAsia="Times New Roman" w:hint="default"/>
                            <w:sz w:val="18"/>
                            <w:szCs w:val="18"/>
                          </w:rPr>
                          <w:t>105</w:t>
                        </w:r>
                        <w:r>
                          <w:rPr>
                            <w:rFonts w:ascii="宋体" w:hAnsi="宋体" w:cs="宋体" w:eastAsia="宋体" w:hint="default"/>
                            <w:sz w:val="18"/>
                            <w:szCs w:val="18"/>
                          </w:rPr>
                          <w:t>室）</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69" w:right="0"/>
                          <w:jc w:val="center"/>
                          <w:rPr>
                            <w:rFonts w:ascii="宋体" w:hAnsi="宋体" w:cs="宋体" w:eastAsia="宋体" w:hint="default"/>
                            <w:sz w:val="18"/>
                            <w:szCs w:val="18"/>
                          </w:rPr>
                        </w:pPr>
                        <w:r>
                          <w:rPr>
                            <w:rFonts w:ascii="宋体" w:hAnsi="宋体" w:cs="宋体" w:eastAsia="宋体" w:hint="default"/>
                            <w:sz w:val="18"/>
                            <w:szCs w:val="18"/>
                          </w:rPr>
                          <w:t>宋正兴</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万元人民币</w:t>
                        </w:r>
                      </w:p>
                    </w:tc>
                  </w:tr>
                  <w:tr>
                    <w:trPr>
                      <w:trHeight w:val="351"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218" w:right="0"/>
                          <w:jc w:val="left"/>
                          <w:rPr>
                            <w:rFonts w:ascii="宋体" w:hAnsi="宋体" w:cs="宋体" w:eastAsia="宋体" w:hint="default"/>
                            <w:sz w:val="18"/>
                            <w:szCs w:val="18"/>
                          </w:rPr>
                        </w:pPr>
                        <w:r>
                          <w:rPr>
                            <w:rFonts w:ascii="宋体" w:hAnsi="宋体" w:cs="宋体" w:eastAsia="宋体" w:hint="default"/>
                            <w:spacing w:val="-3"/>
                            <w:sz w:val="18"/>
                            <w:szCs w:val="18"/>
                          </w:rPr>
                          <w:t>有限责任公司（自然人投资或控股的法人独资）</w:t>
                        </w:r>
                      </w:p>
                    </w:tc>
                  </w:tr>
                  <w:tr>
                    <w:trPr>
                      <w:trHeight w:val="1282"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firstLine="360"/>
                          <w:jc w:val="left"/>
                          <w:rPr>
                            <w:rFonts w:ascii="宋体" w:hAnsi="宋体" w:cs="宋体" w:eastAsia="宋体" w:hint="default"/>
                            <w:sz w:val="18"/>
                            <w:szCs w:val="18"/>
                          </w:rPr>
                        </w:pPr>
                        <w:r>
                          <w:rPr>
                            <w:rFonts w:ascii="宋体" w:hAnsi="宋体" w:cs="宋体" w:eastAsia="宋体" w:hint="default"/>
                            <w:spacing w:val="-3"/>
                            <w:sz w:val="18"/>
                            <w:szCs w:val="18"/>
                          </w:rPr>
                          <w:t>生活垃圾综合利用有关的科学研究、技术开发、成果推广及咨询服务；生活垃圾、废旧物资的收集</w:t>
                        </w:r>
                        <w:r>
                          <w:rPr>
                            <w:rFonts w:ascii="宋体" w:hAnsi="宋体" w:cs="宋体" w:eastAsia="宋体" w:hint="default"/>
                            <w:w w:val="101"/>
                            <w:sz w:val="18"/>
                            <w:szCs w:val="18"/>
                          </w:rPr>
                          <w:t> </w:t>
                        </w:r>
                        <w:r>
                          <w:rPr>
                            <w:rFonts w:ascii="宋体" w:hAnsi="宋体" w:cs="宋体" w:eastAsia="宋体" w:hint="default"/>
                            <w:spacing w:val="-7"/>
                            <w:sz w:val="18"/>
                            <w:szCs w:val="18"/>
                          </w:rPr>
                          <w:t>回收、运输与综合利用；农业种植技术咨询服务；有机肥及有机无机复合肥的生产、销售；再生能源利用</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5"/>
                            <w:sz w:val="18"/>
                            <w:szCs w:val="18"/>
                          </w:rPr>
                          <w:t>沼气的生产与销售；沼气发电、电力产品的销售；发电系统、垃圾处理系统运行维护及运营管理服务；建</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7"/>
                            <w:w w:val="101"/>
                            <w:sz w:val="18"/>
                            <w:szCs w:val="18"/>
                          </w:rPr>
                          <w:t>筑工程的设计与施工；污水处理运营服务。（依法须经批准的项目，经相关部门批准后方可开展经营活动</w:t>
                        </w:r>
                        <w:r>
                          <w:rPr>
                            <w:rFonts w:ascii="宋体" w:hAnsi="宋体" w:cs="宋体" w:eastAsia="宋体" w:hint="default"/>
                            <w:spacing w:val="-7"/>
                            <w:sz w:val="18"/>
                            <w:szCs w:val="18"/>
                          </w:rPr>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江苏亿金环保科技有限公司</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100%</w:t>
                        </w:r>
                      </w:p>
                    </w:tc>
                  </w:tr>
                  <w:tr>
                    <w:trPr>
                      <w:trHeight w:val="350"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7" w:right="0"/>
                          <w:jc w:val="center"/>
                          <w:rPr>
                            <w:rFonts w:ascii="Times New Roman" w:hAnsi="Times New Roman" w:cs="Times New Roman" w:eastAsia="Times New Roman" w:hint="default"/>
                            <w:sz w:val="18"/>
                            <w:szCs w:val="18"/>
                          </w:rPr>
                        </w:pPr>
                        <w:r>
                          <w:rPr>
                            <w:rFonts w:ascii="Times New Roman"/>
                            <w:sz w:val="18"/>
                          </w:rPr>
                          <w:t>100%</w:t>
                        </w:r>
                      </w:p>
                    </w:tc>
                  </w:tr>
                  <w:tr>
                    <w:trPr>
                      <w:trHeight w:val="190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firstLine="36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）公司于</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31</w:t>
                        </w:r>
                        <w:r>
                          <w:rPr>
                            <w:rFonts w:ascii="宋体" w:hAnsi="宋体" w:cs="宋体" w:eastAsia="宋体" w:hint="default"/>
                            <w:spacing w:val="-4"/>
                            <w:sz w:val="18"/>
                            <w:szCs w:val="18"/>
                          </w:rPr>
                          <w:t>日召开第三届董事会第二十三次会议审议通过了《关于控股公司江苏亿金环保</w:t>
                        </w:r>
                        <w:r>
                          <w:rPr>
                            <w:rFonts w:ascii="宋体" w:hAnsi="宋体" w:cs="宋体" w:eastAsia="宋体" w:hint="default"/>
                            <w:w w:val="101"/>
                            <w:sz w:val="18"/>
                            <w:szCs w:val="18"/>
                          </w:rPr>
                          <w:t> </w:t>
                        </w:r>
                        <w:r>
                          <w:rPr>
                            <w:rFonts w:ascii="宋体" w:hAnsi="宋体" w:cs="宋体" w:eastAsia="宋体" w:hint="default"/>
                            <w:spacing w:val="-4"/>
                            <w:sz w:val="18"/>
                            <w:szCs w:val="18"/>
                          </w:rPr>
                          <w:t>科技有限公司拟设立全资子公司投资建设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临翔区生活垃圾资源化处理工程项目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的议案》。同意公司控股</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4"/>
                            <w:sz w:val="18"/>
                            <w:szCs w:val="18"/>
                          </w:rPr>
                          <w:t>公司江苏亿金环保科技有限公司在云南省临沧市设立全资子公司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临沧亿金再生能源科技有限公司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（暂定</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名，以工商核定名为准，下称项目公司）作为主体投资建设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临翔区生活垃圾资源化处理工程项目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，注册</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资金拟为人民币</w:t>
                        </w:r>
                        <w:r>
                          <w:rPr>
                            <w:rFonts w:ascii="Times New Roman" w:hAnsi="Times New Roman" w:cs="Times New Roman" w:eastAsia="Times New Roman" w:hint="default"/>
                            <w:spacing w:val="-3"/>
                            <w:sz w:val="18"/>
                            <w:szCs w:val="18"/>
                          </w:rPr>
                          <w:t>5000</w:t>
                        </w:r>
                        <w:r>
                          <w:rPr>
                            <w:rFonts w:ascii="宋体" w:hAnsi="宋体" w:cs="宋体" w:eastAsia="宋体" w:hint="default"/>
                            <w:spacing w:val="-3"/>
                            <w:sz w:val="18"/>
                            <w:szCs w:val="18"/>
                          </w:rPr>
                          <w:t>万。</w:t>
                        </w:r>
                        <w:r>
                          <w:rPr>
                            <w:rFonts w:ascii="宋体" w:hAnsi="宋体" w:cs="宋体" w:eastAsia="宋体" w:hint="default"/>
                            <w:sz w:val="18"/>
                            <w:szCs w:val="18"/>
                          </w:rPr>
                        </w:r>
                      </w:p>
                      <w:p>
                        <w:pPr>
                          <w:pStyle w:val="TableParagraph"/>
                          <w:spacing w:line="240" w:lineRule="auto" w:before="13"/>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24</w:t>
                        </w:r>
                        <w:r>
                          <w:rPr>
                            <w:rFonts w:ascii="宋体" w:hAnsi="宋体" w:cs="宋体" w:eastAsia="宋体" w:hint="default"/>
                            <w:spacing w:val="-3"/>
                            <w:sz w:val="18"/>
                            <w:szCs w:val="18"/>
                          </w:rPr>
                          <w:t>日，项目公司完成了工商注册登记手续，并取得了《营业执照》。</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before="76"/>
        <w:ind w:left="0" w:right="903"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2"/>
        <w:rPr>
          <w:rFonts w:ascii="宋体" w:hAnsi="宋体" w:cs="宋体" w:eastAsia="宋体" w:hint="default"/>
          <w:sz w:val="26"/>
          <w:szCs w:val="26"/>
        </w:rPr>
      </w:pPr>
    </w:p>
    <w:p>
      <w:pPr>
        <w:spacing w:before="46"/>
        <w:ind w:left="0" w:right="903"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left="633" w:right="0"/>
        <w:jc w:val="left"/>
        <w:rPr>
          <w:b w:val="0"/>
          <w:bCs w:val="0"/>
        </w:rPr>
      </w:pPr>
      <w:r>
        <w:rPr/>
        <w:t>（十六）辽宁亿金生物质能源科技有限公司</w:t>
      </w:r>
      <w:r>
        <w:rPr>
          <w:b w:val="0"/>
          <w:bCs w:val="0"/>
        </w:rPr>
      </w:r>
    </w:p>
    <w:p>
      <w:pPr>
        <w:spacing w:line="240" w:lineRule="auto" w:before="12"/>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1561"/>
        <w:gridCol w:w="8226"/>
      </w:tblGrid>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r>
      <w:tr>
        <w:trPr>
          <w:trHeight w:val="350"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8"/>
                <w:szCs w:val="18"/>
              </w:rPr>
            </w:pPr>
            <w:r>
              <w:rPr>
                <w:rFonts w:ascii="Times New Roman"/>
                <w:sz w:val="18"/>
              </w:rPr>
              <w:t>91211224MA0P5U0GX7</w:t>
            </w:r>
          </w:p>
        </w:tc>
      </w:tr>
      <w:tr>
        <w:trPr>
          <w:trHeight w:val="427"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 w:right="0"/>
              <w:jc w:val="center"/>
              <w:rPr>
                <w:rFonts w:ascii="宋体" w:hAnsi="宋体" w:cs="宋体" w:eastAsia="宋体" w:hint="default"/>
                <w:sz w:val="18"/>
                <w:szCs w:val="18"/>
              </w:rPr>
            </w:pPr>
            <w:r>
              <w:rPr>
                <w:rFonts w:ascii="宋体" w:hAnsi="宋体" w:cs="宋体" w:eastAsia="宋体" w:hint="default"/>
                <w:spacing w:val="-3"/>
                <w:sz w:val="18"/>
                <w:szCs w:val="18"/>
              </w:rPr>
              <w:t>辽宁省铁岭市昌图县曲家店镇范家村十一组</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宋正兴</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宋体" w:hAnsi="宋体" w:cs="宋体" w:eastAsia="宋体" w:hint="default"/>
                <w:sz w:val="18"/>
                <w:szCs w:val="18"/>
              </w:rPr>
              <w:t>万元人民币</w:t>
            </w:r>
          </w:p>
        </w:tc>
      </w:tr>
      <w:tr>
        <w:trPr>
          <w:trHeight w:val="350"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1282"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0" w:firstLine="360"/>
              <w:jc w:val="both"/>
              <w:rPr>
                <w:rFonts w:ascii="宋体" w:hAnsi="宋体" w:cs="宋体" w:eastAsia="宋体" w:hint="default"/>
                <w:sz w:val="18"/>
                <w:szCs w:val="18"/>
              </w:rPr>
            </w:pPr>
            <w:r>
              <w:rPr>
                <w:rFonts w:ascii="宋体" w:hAnsi="宋体" w:cs="宋体" w:eastAsia="宋体" w:hint="default"/>
                <w:spacing w:val="-5"/>
                <w:sz w:val="18"/>
                <w:szCs w:val="18"/>
              </w:rPr>
              <w:t>农林生物质发电、电力产品、热力产品、生物质成型燃料、有机肥的生产、销售；秸秆农林剩余物的</w:t>
            </w:r>
            <w:r>
              <w:rPr>
                <w:rFonts w:ascii="宋体" w:hAnsi="宋体" w:cs="宋体" w:eastAsia="宋体" w:hint="default"/>
                <w:w w:val="101"/>
                <w:sz w:val="18"/>
                <w:szCs w:val="18"/>
              </w:rPr>
              <w:t> </w:t>
            </w:r>
            <w:r>
              <w:rPr>
                <w:rFonts w:ascii="宋体" w:hAnsi="宋体" w:cs="宋体" w:eastAsia="宋体" w:hint="default"/>
                <w:spacing w:val="-4"/>
                <w:sz w:val="18"/>
                <w:szCs w:val="18"/>
              </w:rPr>
              <w:t>收集、加工、运输与配送；生物质灰渣综合利用；清洁发展机制</w:t>
            </w:r>
            <w:r>
              <w:rPr>
                <w:rFonts w:ascii="Times New Roman" w:hAnsi="Times New Roman" w:cs="Times New Roman" w:eastAsia="Times New Roman" w:hint="default"/>
                <w:spacing w:val="-4"/>
                <w:sz w:val="18"/>
                <w:szCs w:val="18"/>
              </w:rPr>
              <w:t>(CDM)</w:t>
            </w:r>
            <w:r>
              <w:rPr>
                <w:rFonts w:ascii="宋体" w:hAnsi="宋体" w:cs="宋体" w:eastAsia="宋体" w:hint="default"/>
                <w:spacing w:val="-4"/>
                <w:sz w:val="18"/>
                <w:szCs w:val="18"/>
              </w:rPr>
              <w:t>项目开发与碳排放交易，生物质能</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5"/>
                <w:sz w:val="18"/>
                <w:szCs w:val="18"/>
              </w:rPr>
              <w:t>工程有关的科学研究、技术研发、成果推广、咨询服务；发电系统运行维护、环保系统运行维护的运营管</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理服务（依法须经批准的项目，经相关部门批准后方可开展经营活动）</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pacing w:val="-3"/>
                <w:sz w:val="18"/>
                <w:szCs w:val="18"/>
              </w:rPr>
              <w:t>江苏亿金环保科技有限公司、季兴华、于泳</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江苏亿金为</w:t>
            </w:r>
            <w:r>
              <w:rPr>
                <w:rFonts w:ascii="Times New Roman" w:hAnsi="Times New Roman" w:cs="Times New Roman" w:eastAsia="Times New Roman" w:hint="default"/>
                <w:sz w:val="18"/>
                <w:szCs w:val="18"/>
              </w:rPr>
              <w:t>70%</w:t>
            </w:r>
          </w:p>
        </w:tc>
      </w:tr>
      <w:tr>
        <w:trPr>
          <w:trHeight w:val="350"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江苏亿金为</w:t>
            </w:r>
            <w:r>
              <w:rPr>
                <w:rFonts w:ascii="Times New Roman" w:hAnsi="Times New Roman" w:cs="Times New Roman" w:eastAsia="Times New Roman" w:hint="default"/>
                <w:sz w:val="18"/>
                <w:szCs w:val="18"/>
              </w:rPr>
              <w:t>70%</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11"/>
        <w:rPr>
          <w:rFonts w:ascii="宋体" w:hAnsi="宋体" w:cs="宋体" w:eastAsia="宋体" w:hint="default"/>
          <w:b/>
          <w:bCs/>
          <w:sz w:val="18"/>
          <w:szCs w:val="18"/>
        </w:rPr>
      </w:pPr>
    </w:p>
    <w:p>
      <w:pPr>
        <w:pStyle w:val="Heading2"/>
        <w:spacing w:line="240" w:lineRule="auto" w:before="26"/>
        <w:ind w:left="623" w:right="0"/>
        <w:jc w:val="left"/>
        <w:rPr>
          <w:b w:val="0"/>
          <w:bCs w:val="0"/>
        </w:rPr>
      </w:pPr>
      <w:r>
        <w:rPr/>
        <w:t>（十七）四川商投资本股权投资基金管理有限公司</w:t>
      </w:r>
      <w:r>
        <w:rPr>
          <w:b w:val="0"/>
          <w:bCs w:val="0"/>
        </w:rPr>
      </w:r>
    </w:p>
    <w:p>
      <w:pPr>
        <w:spacing w:line="240" w:lineRule="auto" w:before="12"/>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1561"/>
        <w:gridCol w:w="8269"/>
      </w:tblGrid>
      <w:tr>
        <w:trPr>
          <w:trHeight w:val="350"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1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3" w:type="dxa"/>
        <w:tblLayout w:type="fixed"/>
        <w:tblCellMar>
          <w:top w:w="0" w:type="dxa"/>
          <w:left w:w="0" w:type="dxa"/>
          <w:bottom w:w="0" w:type="dxa"/>
          <w:right w:w="0" w:type="dxa"/>
        </w:tblCellMar>
        <w:tblLook w:val="01E0"/>
      </w:tblPr>
      <w:tblGrid>
        <w:gridCol w:w="1561"/>
        <w:gridCol w:w="8269"/>
      </w:tblGrid>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center"/>
              <w:rPr>
                <w:rFonts w:ascii="Times New Roman" w:hAnsi="Times New Roman" w:cs="Times New Roman" w:eastAsia="Times New Roman" w:hint="default"/>
                <w:sz w:val="18"/>
                <w:szCs w:val="18"/>
              </w:rPr>
            </w:pPr>
            <w:r>
              <w:rPr>
                <w:rFonts w:ascii="Times New Roman"/>
                <w:sz w:val="18"/>
              </w:rPr>
              <w:t>91510100MA6DEQNF61</w:t>
            </w:r>
          </w:p>
        </w:tc>
      </w:tr>
      <w:tr>
        <w:trPr>
          <w:trHeight w:val="350"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中国（四川）自由贸易试验区成都高新区天府大道北段</w:t>
            </w:r>
            <w:r>
              <w:rPr>
                <w:rFonts w:ascii="Times New Roman" w:hAnsi="Times New Roman" w:cs="Times New Roman" w:eastAsia="Times New Roman" w:hint="default"/>
                <w:spacing w:val="-3"/>
                <w:sz w:val="18"/>
                <w:szCs w:val="18"/>
              </w:rPr>
              <w:t>1199</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栋</w:t>
            </w:r>
            <w:r>
              <w:rPr>
                <w:rFonts w:ascii="Times New Roman" w:hAnsi="Times New Roman" w:cs="Times New Roman" w:eastAsia="Times New Roman" w:hint="default"/>
                <w:spacing w:val="-3"/>
                <w:sz w:val="18"/>
                <w:szCs w:val="18"/>
              </w:rPr>
              <w:t>31</w:t>
            </w:r>
            <w:r>
              <w:rPr>
                <w:rFonts w:ascii="宋体" w:hAnsi="宋体" w:cs="宋体" w:eastAsia="宋体" w:hint="default"/>
                <w:spacing w:val="-3"/>
                <w:sz w:val="18"/>
                <w:szCs w:val="18"/>
              </w:rPr>
              <w:t>楼</w:t>
            </w:r>
            <w:r>
              <w:rPr>
                <w:rFonts w:ascii="Times New Roman" w:hAnsi="Times New Roman" w:cs="Times New Roman" w:eastAsia="Times New Roman" w:hint="default"/>
                <w:spacing w:val="-3"/>
                <w:sz w:val="18"/>
                <w:szCs w:val="18"/>
              </w:rPr>
              <w:t>3101-3103</w:t>
            </w:r>
            <w:r>
              <w:rPr>
                <w:rFonts w:ascii="宋体" w:hAnsi="宋体" w:cs="宋体" w:eastAsia="宋体" w:hint="default"/>
                <w:spacing w:val="-3"/>
                <w:sz w:val="18"/>
                <w:szCs w:val="18"/>
              </w:rPr>
              <w:t>号</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岳锋</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其他有限责任公司</w:t>
            </w:r>
          </w:p>
        </w:tc>
      </w:tr>
      <w:tr>
        <w:trPr>
          <w:trHeight w:val="662"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5"/>
              <w:ind w:left="4" w:right="-3" w:firstLine="360"/>
              <w:jc w:val="left"/>
              <w:rPr>
                <w:rFonts w:ascii="宋体" w:hAnsi="宋体" w:cs="宋体" w:eastAsia="宋体" w:hint="default"/>
                <w:sz w:val="18"/>
                <w:szCs w:val="18"/>
              </w:rPr>
            </w:pPr>
            <w:r>
              <w:rPr>
                <w:rFonts w:ascii="宋体" w:hAnsi="宋体" w:cs="宋体" w:eastAsia="宋体" w:hint="default"/>
                <w:spacing w:val="-4"/>
                <w:sz w:val="18"/>
                <w:szCs w:val="18"/>
              </w:rPr>
              <w:t>受托管理股权投资企业，从事投资管理及相关咨询服务。（不得从事非法集资、吸收公众资金等金融</w:t>
            </w:r>
            <w:r>
              <w:rPr>
                <w:rFonts w:ascii="宋体" w:hAnsi="宋体" w:cs="宋体" w:eastAsia="宋体" w:hint="default"/>
                <w:w w:val="101"/>
                <w:sz w:val="18"/>
                <w:szCs w:val="18"/>
              </w:rPr>
              <w:t> </w:t>
            </w:r>
            <w:r>
              <w:rPr>
                <w:rFonts w:ascii="宋体" w:hAnsi="宋体" w:cs="宋体" w:eastAsia="宋体" w:hint="default"/>
                <w:spacing w:val="-3"/>
                <w:sz w:val="18"/>
                <w:szCs w:val="18"/>
              </w:rPr>
              <w:t>活动）。（依法须经批准的项目，经相关部门批准后方可开展经营活动）。</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spacing w:val="-3"/>
                <w:sz w:val="18"/>
                <w:szCs w:val="18"/>
              </w:rPr>
              <w:t>四川桑瑞思环境技术工程有限公司</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10%</w:t>
            </w:r>
          </w:p>
        </w:tc>
      </w:tr>
      <w:tr>
        <w:trPr>
          <w:trHeight w:val="350"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sz w:val="18"/>
              </w:rPr>
              <w:t>10%</w:t>
            </w:r>
          </w:p>
        </w:tc>
      </w:tr>
      <w:tr>
        <w:trPr>
          <w:trHeight w:val="2218"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5"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）公司于</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14</w:t>
            </w:r>
            <w:r>
              <w:rPr>
                <w:rFonts w:ascii="宋体" w:hAnsi="宋体" w:cs="宋体" w:eastAsia="宋体" w:hint="default"/>
                <w:spacing w:val="-3"/>
                <w:sz w:val="18"/>
                <w:szCs w:val="18"/>
              </w:rPr>
              <w:t>日召开第三届董事会第三十一次会议审议通过了《关于全资子公司对外投资参</w:t>
            </w:r>
            <w:r>
              <w:rPr>
                <w:rFonts w:ascii="宋体" w:hAnsi="宋体" w:cs="宋体" w:eastAsia="宋体" w:hint="default"/>
                <w:w w:val="101"/>
                <w:sz w:val="18"/>
                <w:szCs w:val="18"/>
              </w:rPr>
              <w:t> </w:t>
            </w:r>
            <w:r>
              <w:rPr>
                <w:rFonts w:ascii="宋体" w:hAnsi="宋体" w:cs="宋体" w:eastAsia="宋体" w:hint="default"/>
                <w:spacing w:val="-4"/>
                <w:sz w:val="18"/>
                <w:szCs w:val="18"/>
              </w:rPr>
              <w:t>股基金管理公司的议案》，同意桑瑞思与四川省商投金融控股有限公司、四川省中药材有限责任公司、四</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4"/>
                <w:w w:val="101"/>
                <w:sz w:val="18"/>
                <w:szCs w:val="18"/>
              </w:rPr>
              <w:t>川普润控股集团有限公司、成都长峰报业广告策划有限公司共同出资</w:t>
            </w:r>
            <w:r>
              <w:rPr>
                <w:rFonts w:ascii="Times New Roman" w:hAnsi="Times New Roman" w:cs="Times New Roman" w:eastAsia="Times New Roman" w:hint="default"/>
                <w:spacing w:val="-4"/>
                <w:w w:val="101"/>
                <w:sz w:val="18"/>
                <w:szCs w:val="18"/>
              </w:rPr>
              <w:t>2,000</w:t>
            </w:r>
            <w:r>
              <w:rPr>
                <w:rFonts w:ascii="宋体" w:hAnsi="宋体" w:cs="宋体" w:eastAsia="宋体" w:hint="default"/>
                <w:spacing w:val="-4"/>
                <w:w w:val="101"/>
                <w:sz w:val="18"/>
                <w:szCs w:val="18"/>
              </w:rPr>
              <w:t>万元在成都市高新区设立四川商</w:t>
            </w:r>
            <w:r>
              <w:rPr>
                <w:rFonts w:ascii="宋体" w:hAnsi="宋体" w:cs="宋体" w:eastAsia="宋体" w:hint="default"/>
                <w:spacing w:val="-86"/>
                <w:w w:val="101"/>
                <w:sz w:val="18"/>
                <w:szCs w:val="18"/>
              </w:rPr>
              <w:t> </w:t>
            </w:r>
            <w:r>
              <w:rPr>
                <w:rFonts w:ascii="宋体" w:hAnsi="宋体" w:cs="宋体" w:eastAsia="宋体" w:hint="default"/>
                <w:spacing w:val="-86"/>
                <w:w w:val="101"/>
                <w:sz w:val="18"/>
                <w:szCs w:val="18"/>
              </w:rPr>
            </w:r>
            <w:r>
              <w:rPr>
                <w:rFonts w:ascii="宋体" w:hAnsi="宋体" w:cs="宋体" w:eastAsia="宋体" w:hint="default"/>
                <w:spacing w:val="-4"/>
                <w:sz w:val="18"/>
                <w:szCs w:val="18"/>
              </w:rPr>
              <w:t>投资本股权投资基金管理有限公司（最终名称以工商核名文件为准），其中桑瑞思以自有资金出资人民币</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z w:val="18"/>
                <w:szCs w:val="18"/>
              </w:rPr>
              <w:t>200</w:t>
            </w:r>
            <w:r>
              <w:rPr>
                <w:rFonts w:ascii="宋体" w:hAnsi="宋体" w:cs="宋体" w:eastAsia="宋体" w:hint="default"/>
                <w:sz w:val="18"/>
                <w:szCs w:val="18"/>
              </w:rPr>
              <w:t>万元，占合资公司注册资本的</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pStyle w:val="TableParagraph"/>
              <w:spacing w:line="240" w:lineRule="auto" w:before="5"/>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日，商投资本已取得成都市工商行政管理局颁发的《营业执照》。</w:t>
            </w:r>
          </w:p>
          <w:p>
            <w:pPr>
              <w:pStyle w:val="TableParagraph"/>
              <w:spacing w:line="240" w:lineRule="auto" w:before="63"/>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月，商投资本完成注册地址变更的工商变更登记，并换发了《营业执照》。</w:t>
            </w:r>
          </w:p>
        </w:tc>
      </w:tr>
    </w:tbl>
    <w:p>
      <w:pPr>
        <w:spacing w:line="240" w:lineRule="auto" w:before="11"/>
        <w:rPr>
          <w:rFonts w:ascii="宋体" w:hAnsi="宋体" w:cs="宋体" w:eastAsia="宋体" w:hint="default"/>
          <w:b/>
          <w:bCs/>
          <w:sz w:val="18"/>
          <w:szCs w:val="18"/>
        </w:rPr>
      </w:pPr>
    </w:p>
    <w:p>
      <w:pPr>
        <w:pStyle w:val="Heading2"/>
        <w:spacing w:line="240" w:lineRule="auto" w:before="26"/>
        <w:ind w:left="633" w:right="0"/>
        <w:jc w:val="left"/>
        <w:rPr>
          <w:b w:val="0"/>
          <w:bCs w:val="0"/>
        </w:rPr>
      </w:pPr>
      <w:r>
        <w:rPr/>
        <w:t>（十八）</w:t>
      </w:r>
      <w:r>
        <w:rPr>
          <w:rFonts w:ascii="Times New Roman" w:hAnsi="Times New Roman" w:cs="Times New Roman" w:eastAsia="Times New Roman" w:hint="default"/>
        </w:rPr>
        <w:t>ValueBioTech</w:t>
      </w:r>
      <w:r>
        <w:rPr>
          <w:rFonts w:ascii="Times New Roman" w:hAnsi="Times New Roman" w:cs="Times New Roman" w:eastAsia="Times New Roman" w:hint="default"/>
          <w:spacing w:val="-10"/>
        </w:rPr>
        <w:t> </w:t>
      </w:r>
      <w:r>
        <w:rPr>
          <w:rFonts w:ascii="Times New Roman" w:hAnsi="Times New Roman" w:cs="Times New Roman" w:eastAsia="Times New Roman" w:hint="default"/>
        </w:rPr>
        <w:t>S.r.l</w:t>
      </w:r>
      <w:r>
        <w:rPr/>
        <w:t>（意大利智能手术机器人技术研发公司）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before="39"/>
        <w:ind w:left="0" w:right="887" w:firstLine="0"/>
        <w:jc w:val="right"/>
        <w:rPr>
          <w:rFonts w:ascii="宋体" w:hAnsi="宋体" w:cs="宋体" w:eastAsia="宋体" w:hint="default"/>
          <w:sz w:val="20"/>
          <w:szCs w:val="20"/>
        </w:rPr>
      </w:pPr>
      <w:r>
        <w:rPr/>
        <w:pict>
          <v:shape style="position:absolute;margin-left:56.183998pt;margin-top:-206.020325pt;width:491.85pt;height:256.4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5"/>
                    <w:gridCol w:w="8250"/>
                  </w:tblGrid>
                  <w:tr>
                    <w:trPr>
                      <w:trHeight w:val="346"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350"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财税代码及注册号</w:t>
                        </w:r>
                      </w:p>
                    </w:tc>
                    <w:tc>
                      <w:tcPr>
                        <w:tcW w:w="8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8"/>
                            <w:szCs w:val="18"/>
                          </w:rPr>
                        </w:pPr>
                        <w:r>
                          <w:rPr>
                            <w:rFonts w:ascii="Times New Roman"/>
                            <w:sz w:val="18"/>
                          </w:rPr>
                          <w:t>07784610961</w:t>
                        </w:r>
                      </w:p>
                    </w:tc>
                  </w:tr>
                  <w:tr>
                    <w:trPr>
                      <w:trHeight w:val="346"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注册及营业地址</w:t>
                        </w:r>
                      </w:p>
                    </w:tc>
                    <w:tc>
                      <w:tcPr>
                        <w:tcW w:w="8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Piazza dell’Ospedale Maggiore, </w:t>
                        </w:r>
                        <w:r>
                          <w:rPr>
                            <w:rFonts w:ascii="Times New Roman" w:hAnsi="Times New Roman" w:cs="Times New Roman" w:eastAsia="Times New Roman" w:hint="default"/>
                            <w:spacing w:val="-3"/>
                            <w:sz w:val="18"/>
                            <w:szCs w:val="18"/>
                          </w:rPr>
                          <w:t>n.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-20162, Milano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pacing w:val="-4"/>
                            <w:sz w:val="18"/>
                            <w:szCs w:val="18"/>
                          </w:rPr>
                          <w:t>(MI)</w:t>
                        </w:r>
                      </w:p>
                    </w:tc>
                  </w:tr>
                  <w:tr>
                    <w:trPr>
                      <w:trHeight w:val="346"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总股份</w:t>
                        </w:r>
                      </w:p>
                    </w:tc>
                    <w:tc>
                      <w:tcPr>
                        <w:tcW w:w="8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12,632.3</w:t>
                        </w:r>
                        <w:r>
                          <w:rPr>
                            <w:rFonts w:ascii="宋体" w:hAnsi="宋体" w:cs="宋体" w:eastAsia="宋体" w:hint="default"/>
                            <w:sz w:val="18"/>
                            <w:szCs w:val="18"/>
                          </w:rPr>
                          <w:t>欧元</w:t>
                        </w:r>
                      </w:p>
                    </w:tc>
                  </w:tr>
                  <w:tr>
                    <w:trPr>
                      <w:trHeight w:val="346"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企业性质</w:t>
                        </w:r>
                      </w:p>
                    </w:tc>
                    <w:tc>
                      <w:tcPr>
                        <w:tcW w:w="8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有限责任公司</w:t>
                        </w:r>
                      </w:p>
                    </w:tc>
                  </w:tr>
                  <w:tr>
                    <w:trPr>
                      <w:trHeight w:val="427"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营业截止日期</w:t>
                        </w:r>
                      </w:p>
                    </w:tc>
                    <w:tc>
                      <w:tcPr>
                        <w:tcW w:w="8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2050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50"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8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3" w:right="0"/>
                          <w:jc w:val="center"/>
                          <w:rPr>
                            <w:rFonts w:ascii="宋体" w:hAnsi="宋体" w:cs="宋体" w:eastAsia="宋体" w:hint="default"/>
                            <w:sz w:val="18"/>
                            <w:szCs w:val="18"/>
                          </w:rPr>
                        </w:pPr>
                        <w:r>
                          <w:rPr>
                            <w:rFonts w:ascii="宋体" w:hAnsi="宋体" w:cs="宋体" w:eastAsia="宋体" w:hint="default"/>
                            <w:spacing w:val="-3"/>
                            <w:sz w:val="18"/>
                            <w:szCs w:val="18"/>
                          </w:rPr>
                          <w:t>微创手术、内窥镜及其他介入手术技术的研究、开发、验证以及新工艺研发</w:t>
                        </w:r>
                      </w:p>
                    </w:tc>
                  </w:tr>
                  <w:tr>
                    <w:trPr>
                      <w:trHeight w:val="346"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6.09%</w:t>
                        </w:r>
                      </w:p>
                    </w:tc>
                  </w:tr>
                  <w:tr>
                    <w:trPr>
                      <w:trHeight w:val="346"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6.09%</w:t>
                        </w:r>
                      </w:p>
                    </w:tc>
                  </w:tr>
                  <w:tr>
                    <w:trPr>
                      <w:trHeight w:val="1911" w:hRule="exact"/>
                    </w:trPr>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250"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before="25"/>
                          <w:ind w:left="4" w:right="1" w:firstLine="360"/>
                          <w:jc w:val="left"/>
                          <w:rPr>
                            <w:rFonts w:ascii="宋体" w:hAnsi="宋体" w:cs="宋体" w:eastAsia="宋体" w:hint="default"/>
                            <w:sz w:val="20"/>
                            <w:szCs w:val="20"/>
                          </w:rPr>
                        </w:pP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日公司召开第三届董事会第十七次会议审议通过《关于对</w:t>
                        </w:r>
                        <w:r>
                          <w:rPr>
                            <w:rFonts w:ascii="Times New Roman" w:hAnsi="Times New Roman" w:cs="Times New Roman" w:eastAsia="Times New Roman" w:hint="default"/>
                            <w:spacing w:val="-3"/>
                            <w:sz w:val="18"/>
                            <w:szCs w:val="18"/>
                          </w:rPr>
                          <w:t>VALUEBIOTECH</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S.R.L.</w:t>
                        </w:r>
                        <w:r>
                          <w:rPr>
                            <w:rFonts w:ascii="宋体" w:hAnsi="宋体" w:cs="宋体" w:eastAsia="宋体" w:hint="default"/>
                            <w:sz w:val="18"/>
                            <w:szCs w:val="18"/>
                          </w:rPr>
                          <w:t>增资</w:t>
                        </w:r>
                        <w:r>
                          <w:rPr>
                            <w:rFonts w:ascii="宋体" w:hAnsi="宋体" w:cs="宋体" w:eastAsia="宋体" w:hint="default"/>
                            <w:w w:val="101"/>
                            <w:sz w:val="18"/>
                            <w:szCs w:val="18"/>
                          </w:rPr>
                          <w:t> </w:t>
                        </w:r>
                        <w:r>
                          <w:rPr>
                            <w:rFonts w:ascii="宋体" w:hAnsi="宋体" w:cs="宋体" w:eastAsia="宋体" w:hint="default"/>
                            <w:spacing w:val="-3"/>
                            <w:sz w:val="18"/>
                            <w:szCs w:val="18"/>
                          </w:rPr>
                          <w:t>暨对外投资的议案》。所有股东增资款在</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29</w:t>
                        </w:r>
                        <w:r>
                          <w:rPr>
                            <w:rFonts w:ascii="宋体" w:hAnsi="宋体" w:cs="宋体" w:eastAsia="宋体" w:hint="default"/>
                            <w:spacing w:val="-3"/>
                            <w:sz w:val="18"/>
                            <w:szCs w:val="18"/>
                          </w:rPr>
                          <w:t>日前均出资到位；</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21</w:t>
                        </w:r>
                        <w:r>
                          <w:rPr>
                            <w:rFonts w:ascii="宋体" w:hAnsi="宋体" w:cs="宋体" w:eastAsia="宋体" w:hint="default"/>
                            <w:spacing w:val="-3"/>
                            <w:sz w:val="18"/>
                            <w:szCs w:val="18"/>
                          </w:rPr>
                          <w:t>日完成股东变更及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7"/>
                            <w:w w:val="101"/>
                            <w:sz w:val="18"/>
                            <w:szCs w:val="18"/>
                          </w:rPr>
                          <w:t>董事变更的注册登记事项，公司为</w:t>
                        </w:r>
                        <w:r>
                          <w:rPr>
                            <w:rFonts w:ascii="Times New Roman" w:hAnsi="Times New Roman" w:cs="Times New Roman" w:eastAsia="Times New Roman" w:hint="default"/>
                            <w:spacing w:val="-7"/>
                            <w:w w:val="101"/>
                            <w:sz w:val="18"/>
                            <w:szCs w:val="18"/>
                          </w:rPr>
                          <w:t>VBT</w:t>
                        </w:r>
                        <w:r>
                          <w:rPr>
                            <w:rFonts w:ascii="宋体" w:hAnsi="宋体" w:cs="宋体" w:eastAsia="宋体" w:hint="default"/>
                            <w:spacing w:val="-7"/>
                            <w:w w:val="101"/>
                            <w:sz w:val="18"/>
                            <w:szCs w:val="18"/>
                          </w:rPr>
                          <w:t>股东之一，公司董事长孙屹峥先生任</w:t>
                        </w:r>
                        <w:r>
                          <w:rPr>
                            <w:rFonts w:ascii="Times New Roman" w:hAnsi="Times New Roman" w:cs="Times New Roman" w:eastAsia="Times New Roman" w:hint="default"/>
                            <w:spacing w:val="-7"/>
                            <w:w w:val="101"/>
                            <w:sz w:val="18"/>
                            <w:szCs w:val="18"/>
                          </w:rPr>
                          <w:t>VBT</w:t>
                        </w:r>
                        <w:r>
                          <w:rPr>
                            <w:rFonts w:ascii="宋体" w:hAnsi="宋体" w:cs="宋体" w:eastAsia="宋体" w:hint="default"/>
                            <w:spacing w:val="-7"/>
                            <w:w w:val="101"/>
                            <w:sz w:val="18"/>
                            <w:szCs w:val="18"/>
                          </w:rPr>
                          <w:t>董事，公司持有</w:t>
                        </w:r>
                        <w:r>
                          <w:rPr>
                            <w:rFonts w:ascii="Times New Roman" w:hAnsi="Times New Roman" w:cs="Times New Roman" w:eastAsia="Times New Roman" w:hint="default"/>
                            <w:spacing w:val="-7"/>
                            <w:w w:val="101"/>
                            <w:sz w:val="20"/>
                            <w:szCs w:val="20"/>
                          </w:rPr>
                          <w:t>VBT6.36%</w:t>
                        </w:r>
                        <w:r>
                          <w:rPr>
                            <w:rFonts w:ascii="Times New Roman" w:hAnsi="Times New Roman" w:cs="Times New Roman" w:eastAsia="Times New Roman" w:hint="default"/>
                            <w:w w:val="100"/>
                            <w:sz w:val="20"/>
                            <w:szCs w:val="20"/>
                          </w:rPr>
                          <w:t> </w:t>
                        </w:r>
                        <w:r>
                          <w:rPr>
                            <w:rFonts w:ascii="宋体" w:hAnsi="宋体" w:cs="宋体" w:eastAsia="宋体" w:hint="default"/>
                            <w:sz w:val="20"/>
                            <w:szCs w:val="20"/>
                          </w:rPr>
                          <w:t>的股权。目前，因</w:t>
                        </w:r>
                        <w:r>
                          <w:rPr>
                            <w:rFonts w:ascii="Times New Roman" w:hAnsi="Times New Roman" w:cs="Times New Roman" w:eastAsia="Times New Roman" w:hint="default"/>
                            <w:sz w:val="20"/>
                            <w:szCs w:val="20"/>
                          </w:rPr>
                          <w:t>VBT</w:t>
                        </w:r>
                        <w:r>
                          <w:rPr>
                            <w:rFonts w:ascii="宋体" w:hAnsi="宋体" w:cs="宋体" w:eastAsia="宋体" w:hint="default"/>
                            <w:sz w:val="20"/>
                            <w:szCs w:val="20"/>
                          </w:rPr>
                          <w:t>部分外方股东增资，</w:t>
                        </w:r>
                        <w:r>
                          <w:rPr>
                            <w:rFonts w:ascii="Times New Roman" w:hAnsi="Times New Roman" w:cs="Times New Roman" w:eastAsia="Times New Roman" w:hint="default"/>
                            <w:sz w:val="20"/>
                            <w:szCs w:val="20"/>
                          </w:rPr>
                          <w:t>VBT</w:t>
                        </w:r>
                        <w:r>
                          <w:rPr>
                            <w:rFonts w:ascii="宋体" w:hAnsi="宋体" w:cs="宋体" w:eastAsia="宋体" w:hint="default"/>
                            <w:sz w:val="20"/>
                            <w:szCs w:val="20"/>
                          </w:rPr>
                          <w:t>实缴资本增至</w:t>
                        </w:r>
                        <w:r>
                          <w:rPr>
                            <w:rFonts w:ascii="Times New Roman" w:hAnsi="Times New Roman" w:cs="Times New Roman" w:eastAsia="Times New Roman" w:hint="default"/>
                            <w:sz w:val="20"/>
                            <w:szCs w:val="20"/>
                          </w:rPr>
                          <w:t>12,632.3</w:t>
                        </w:r>
                        <w:r>
                          <w:rPr>
                            <w:rFonts w:ascii="宋体" w:hAnsi="宋体" w:cs="宋体" w:eastAsia="宋体" w:hint="default"/>
                            <w:sz w:val="20"/>
                            <w:szCs w:val="20"/>
                          </w:rPr>
                          <w:t>欧元，公司出资额不变</w:t>
                        </w:r>
                        <w:r>
                          <w:rPr>
                            <w:rFonts w:ascii="宋体" w:hAnsi="宋体" w:cs="宋体" w:eastAsia="宋体" w:hint="default"/>
                            <w:w w:val="100"/>
                            <w:sz w:val="20"/>
                            <w:szCs w:val="20"/>
                          </w:rPr>
                          <w:t> </w:t>
                        </w:r>
                        <w:r>
                          <w:rPr>
                            <w:rFonts w:ascii="宋体" w:hAnsi="宋体" w:cs="宋体" w:eastAsia="宋体" w:hint="default"/>
                            <w:spacing w:val="-2"/>
                            <w:sz w:val="20"/>
                            <w:szCs w:val="20"/>
                          </w:rPr>
                          <w:t>公司持股比例被动稀释为</w:t>
                        </w:r>
                        <w:r>
                          <w:rPr>
                            <w:rFonts w:ascii="Times New Roman" w:hAnsi="Times New Roman" w:cs="Times New Roman" w:eastAsia="Times New Roman" w:hint="default"/>
                            <w:spacing w:val="-2"/>
                            <w:sz w:val="20"/>
                            <w:szCs w:val="20"/>
                          </w:rPr>
                          <w:t>6.09%</w:t>
                        </w:r>
                        <w:r>
                          <w:rPr>
                            <w:rFonts w:ascii="宋体" w:hAnsi="宋体" w:cs="宋体" w:eastAsia="宋体" w:hint="default"/>
                            <w:spacing w:val="-2"/>
                            <w:sz w:val="20"/>
                            <w:szCs w:val="20"/>
                          </w:rPr>
                          <w:t>，公司已于</w:t>
                        </w:r>
                        <w:r>
                          <w:rPr>
                            <w:rFonts w:ascii="Times New Roman" w:hAnsi="Times New Roman" w:cs="Times New Roman" w:eastAsia="Times New Roman" w:hint="default"/>
                            <w:spacing w:val="-2"/>
                            <w:sz w:val="20"/>
                            <w:szCs w:val="20"/>
                          </w:rPr>
                          <w:t>2020</w:t>
                        </w:r>
                        <w:r>
                          <w:rPr>
                            <w:rFonts w:ascii="宋体" w:hAnsi="宋体" w:cs="宋体" w:eastAsia="宋体" w:hint="default"/>
                            <w:spacing w:val="-2"/>
                            <w:sz w:val="20"/>
                            <w:szCs w:val="20"/>
                          </w:rPr>
                          <w:t>年</w:t>
                        </w:r>
                        <w:r>
                          <w:rPr>
                            <w:rFonts w:ascii="Times New Roman" w:hAnsi="Times New Roman" w:cs="Times New Roman" w:eastAsia="Times New Roman" w:hint="default"/>
                            <w:spacing w:val="-2"/>
                            <w:sz w:val="20"/>
                            <w:szCs w:val="20"/>
                          </w:rPr>
                          <w:t>1</w:t>
                        </w:r>
                        <w:r>
                          <w:rPr>
                            <w:rFonts w:ascii="宋体" w:hAnsi="宋体" w:cs="宋体" w:eastAsia="宋体" w:hint="default"/>
                            <w:spacing w:val="-2"/>
                            <w:sz w:val="20"/>
                            <w:szCs w:val="20"/>
                          </w:rPr>
                          <w:t>月</w:t>
                        </w:r>
                        <w:r>
                          <w:rPr>
                            <w:rFonts w:ascii="Times New Roman" w:hAnsi="Times New Roman" w:cs="Times New Roman" w:eastAsia="Times New Roman" w:hint="default"/>
                            <w:spacing w:val="-2"/>
                            <w:sz w:val="20"/>
                            <w:szCs w:val="20"/>
                          </w:rPr>
                          <w:t>20</w:t>
                        </w:r>
                        <w:r>
                          <w:rPr>
                            <w:rFonts w:ascii="宋体" w:hAnsi="宋体" w:cs="宋体" w:eastAsia="宋体" w:hint="default"/>
                            <w:spacing w:val="-2"/>
                            <w:sz w:val="20"/>
                            <w:szCs w:val="20"/>
                          </w:rPr>
                          <w:t>日在四川省商务厅完成变更备案，并新</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z w:val="20"/>
                            <w:szCs w:val="20"/>
                          </w:rPr>
                          <w:t>换发了《企业境外投资证书》。</w:t>
                        </w:r>
                      </w:p>
                    </w:tc>
                  </w:tr>
                </w:tbl>
                <w:p>
                  <w:pPr/>
                </w:p>
              </w:txbxContent>
            </v:textbox>
            <w10:wrap type="none"/>
          </v:shape>
        </w:pict>
      </w:r>
      <w:r>
        <w:rPr>
          <w:rFonts w:ascii="宋体" w:hAnsi="宋体" w:cs="宋体" w:eastAsia="宋体" w:hint="default"/>
          <w:w w:val="100"/>
          <w:sz w:val="20"/>
          <w:szCs w:val="2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3"/>
        <w:ind w:left="633" w:right="0"/>
        <w:jc w:val="left"/>
        <w:rPr>
          <w:b w:val="0"/>
          <w:bCs w:val="0"/>
        </w:rPr>
      </w:pPr>
      <w:r>
        <w:rPr/>
        <w:t>（十九）上海国富光启云计算科技股份有限公司</w:t>
      </w:r>
      <w:r>
        <w:rPr>
          <w:b w:val="0"/>
          <w:bCs w:val="0"/>
        </w:rPr>
      </w:r>
    </w:p>
    <w:p>
      <w:pPr>
        <w:spacing w:line="240" w:lineRule="auto" w:before="12"/>
        <w:rPr>
          <w:rFonts w:ascii="宋体" w:hAnsi="宋体" w:cs="宋体" w:eastAsia="宋体" w:hint="default"/>
          <w:b/>
          <w:bCs/>
          <w:sz w:val="2"/>
          <w:szCs w:val="2"/>
        </w:rPr>
      </w:pPr>
    </w:p>
    <w:tbl>
      <w:tblPr>
        <w:tblW w:w="0" w:type="auto"/>
        <w:jc w:val="left"/>
        <w:tblInd w:w="143" w:type="dxa"/>
        <w:tblLayout w:type="fixed"/>
        <w:tblCellMar>
          <w:top w:w="0" w:type="dxa"/>
          <w:left w:w="0" w:type="dxa"/>
          <w:bottom w:w="0" w:type="dxa"/>
          <w:right w:w="0" w:type="dxa"/>
        </w:tblCellMar>
        <w:tblLook w:val="01E0"/>
      </w:tblPr>
      <w:tblGrid>
        <w:gridCol w:w="1561"/>
        <w:gridCol w:w="8269"/>
      </w:tblGrid>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统一社会信用代码</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 w:right="0"/>
              <w:jc w:val="center"/>
              <w:rPr>
                <w:rFonts w:ascii="Times New Roman" w:hAnsi="Times New Roman" w:cs="Times New Roman" w:eastAsia="Times New Roman" w:hint="default"/>
                <w:sz w:val="18"/>
                <w:szCs w:val="18"/>
              </w:rPr>
            </w:pPr>
            <w:r>
              <w:rPr>
                <w:rFonts w:ascii="Times New Roman"/>
                <w:sz w:val="18"/>
              </w:rPr>
              <w:t>9131000059640964XP</w:t>
            </w:r>
          </w:p>
        </w:tc>
      </w:tr>
      <w:tr>
        <w:trPr>
          <w:trHeight w:val="351"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上海市宝山区云天路</w:t>
            </w:r>
            <w:r>
              <w:rPr>
                <w:rFonts w:ascii="Times New Roman" w:hAnsi="Times New Roman" w:cs="Times New Roman" w:eastAsia="Times New Roman" w:hint="default"/>
                <w:sz w:val="18"/>
                <w:szCs w:val="18"/>
              </w:rPr>
              <w:t>248</w:t>
            </w:r>
            <w:r>
              <w:rPr>
                <w:rFonts w:ascii="宋体" w:hAnsi="宋体" w:cs="宋体" w:eastAsia="宋体" w:hint="default"/>
                <w:sz w:val="18"/>
                <w:szCs w:val="18"/>
              </w:rPr>
              <w:t>号</w:t>
            </w:r>
            <w:r>
              <w:rPr>
                <w:rFonts w:ascii="Times New Roman" w:hAnsi="Times New Roman" w:cs="Times New Roman" w:eastAsia="Times New Roman" w:hint="default"/>
                <w:sz w:val="18"/>
                <w:szCs w:val="18"/>
              </w:rPr>
              <w:t>5</w:t>
            </w:r>
            <w:r>
              <w:rPr>
                <w:rFonts w:ascii="宋体" w:hAnsi="宋体" w:cs="宋体" w:eastAsia="宋体" w:hint="default"/>
                <w:sz w:val="18"/>
                <w:szCs w:val="18"/>
              </w:rPr>
              <w:t>幢</w:t>
            </w:r>
            <w:r>
              <w:rPr>
                <w:rFonts w:ascii="Times New Roman" w:hAnsi="Times New Roman" w:cs="Times New Roman" w:eastAsia="Times New Roman" w:hint="default"/>
                <w:sz w:val="18"/>
                <w:szCs w:val="18"/>
              </w:rPr>
              <w:t>3</w:t>
            </w:r>
            <w:r>
              <w:rPr>
                <w:rFonts w:ascii="宋体" w:hAnsi="宋体" w:cs="宋体" w:eastAsia="宋体" w:hint="default"/>
                <w:sz w:val="18"/>
                <w:szCs w:val="18"/>
              </w:rPr>
              <w:t>层</w:t>
            </w:r>
            <w:r>
              <w:rPr>
                <w:rFonts w:ascii="Times New Roman" w:hAnsi="Times New Roman" w:cs="Times New Roman" w:eastAsia="Times New Roman" w:hint="default"/>
                <w:sz w:val="18"/>
                <w:szCs w:val="18"/>
              </w:rPr>
              <w:t>301</w:t>
            </w:r>
            <w:r>
              <w:rPr>
                <w:rFonts w:ascii="宋体" w:hAnsi="宋体" w:cs="宋体" w:eastAsia="宋体" w:hint="default"/>
                <w:sz w:val="18"/>
                <w:szCs w:val="18"/>
              </w:rPr>
              <w:t>室</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赵煜峰</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14,971.16</w:t>
            </w:r>
            <w:r>
              <w:rPr>
                <w:rFonts w:ascii="宋体" w:hAnsi="宋体" w:cs="宋体" w:eastAsia="宋体" w:hint="default"/>
                <w:sz w:val="18"/>
                <w:szCs w:val="18"/>
              </w:rPr>
              <w:t>万元</w:t>
            </w:r>
          </w:p>
        </w:tc>
      </w:tr>
    </w:tbl>
    <w:p>
      <w:pPr>
        <w:spacing w:after="0" w:line="240" w:lineRule="auto"/>
        <w:jc w:val="center"/>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2"/>
          <w:szCs w:val="22"/>
        </w:rPr>
      </w:pPr>
    </w:p>
    <w:p>
      <w:pPr>
        <w:spacing w:before="46"/>
        <w:ind w:left="0" w:right="855" w:firstLine="0"/>
        <w:jc w:val="right"/>
        <w:rPr>
          <w:rFonts w:ascii="宋体" w:hAnsi="宋体" w:cs="宋体" w:eastAsia="宋体" w:hint="default"/>
          <w:sz w:val="18"/>
          <w:szCs w:val="18"/>
        </w:rPr>
      </w:pPr>
      <w:r>
        <w:rPr/>
        <w:pict>
          <v:shape style="position:absolute;margin-left:56.183998pt;margin-top:-47.938255pt;width:492.6pt;height:430.9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8269"/>
                  </w:tblGrid>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股份有限公司（非上市）</w:t>
                        </w:r>
                      </w:p>
                    </w:tc>
                  </w:tr>
                  <w:tr>
                    <w:trPr>
                      <w:trHeight w:val="1599"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经营范围</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4" w:right="-3" w:firstLine="360"/>
                          <w:jc w:val="left"/>
                          <w:rPr>
                            <w:rFonts w:ascii="宋体" w:hAnsi="宋体" w:cs="宋体" w:eastAsia="宋体" w:hint="default"/>
                            <w:sz w:val="18"/>
                            <w:szCs w:val="18"/>
                          </w:rPr>
                        </w:pPr>
                        <w:r>
                          <w:rPr>
                            <w:rFonts w:ascii="宋体" w:hAnsi="宋体" w:cs="宋体" w:eastAsia="宋体" w:hint="default"/>
                            <w:spacing w:val="-4"/>
                            <w:sz w:val="18"/>
                            <w:szCs w:val="18"/>
                          </w:rPr>
                          <w:t>在云计算机专业科技领域内从事技术开发、技术转让、技术服务、技术咨询，计算机软件开发，云软</w:t>
                        </w:r>
                        <w:r>
                          <w:rPr>
                            <w:rFonts w:ascii="宋体" w:hAnsi="宋体" w:cs="宋体" w:eastAsia="宋体" w:hint="default"/>
                            <w:w w:val="101"/>
                            <w:sz w:val="18"/>
                            <w:szCs w:val="18"/>
                          </w:rPr>
                          <w:t> </w:t>
                        </w:r>
                        <w:r>
                          <w:rPr>
                            <w:rFonts w:ascii="宋体" w:hAnsi="宋体" w:cs="宋体" w:eastAsia="宋体" w:hint="default"/>
                            <w:spacing w:val="-4"/>
                            <w:sz w:val="18"/>
                            <w:szCs w:val="18"/>
                          </w:rPr>
                          <w:t>件服务、云平台服务、云基础设施服务，电信业务，自有房屋租赁，物业管理，从事货物及技术的进出口</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10"/>
                            <w:sz w:val="18"/>
                            <w:szCs w:val="18"/>
                          </w:rPr>
                          <w:t>业务</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计算机网络布线工程，弱电工程设计、施工、安装，计算机软硬件（除计算机信息系统安全专用产品）</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通风设备及配件、电子设备、监控设备销售。【依法须经批准的项目，经相关部门批准后方可开展经营活</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动】</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0.40%</w:t>
                        </w:r>
                      </w:p>
                    </w:tc>
                  </w:tr>
                  <w:tr>
                    <w:trPr>
                      <w:trHeight w:val="346"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表决权</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0.40%</w:t>
                        </w:r>
                      </w:p>
                    </w:tc>
                  </w:tr>
                  <w:tr>
                    <w:trPr>
                      <w:trHeight w:val="5968" w:hRule="exact"/>
                    </w:trPr>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c>
                      <w:tcPr>
                        <w:tcW w:w="826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5" w:firstLine="360"/>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）依米康</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年</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月出资</w:t>
                        </w:r>
                        <w:r>
                          <w:rPr>
                            <w:rFonts w:ascii="Times New Roman" w:hAnsi="Times New Roman" w:cs="Times New Roman" w:eastAsia="Times New Roman" w:hint="default"/>
                            <w:spacing w:val="-5"/>
                            <w:sz w:val="18"/>
                            <w:szCs w:val="18"/>
                          </w:rPr>
                          <w:t>900</w:t>
                        </w:r>
                        <w:r>
                          <w:rPr>
                            <w:rFonts w:ascii="宋体" w:hAnsi="宋体" w:cs="宋体" w:eastAsia="宋体" w:hint="default"/>
                            <w:spacing w:val="-5"/>
                            <w:sz w:val="18"/>
                            <w:szCs w:val="18"/>
                          </w:rPr>
                          <w:t>万元与其他股东共同参与对上海国富光启的增资，上海国富光启已于</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日完成新增股权在上海股权托管交易中心的登记手续，其注册资本从</w:t>
                        </w:r>
                        <w:r>
                          <w:rPr>
                            <w:rFonts w:ascii="Times New Roman" w:hAnsi="Times New Roman" w:cs="Times New Roman" w:eastAsia="Times New Roman" w:hint="default"/>
                            <w:spacing w:val="-3"/>
                            <w:sz w:val="18"/>
                            <w:szCs w:val="18"/>
                          </w:rPr>
                          <w:t>8,600</w:t>
                        </w:r>
                        <w:r>
                          <w:rPr>
                            <w:rFonts w:ascii="宋体" w:hAnsi="宋体" w:cs="宋体" w:eastAsia="宋体" w:hint="default"/>
                            <w:spacing w:val="-3"/>
                            <w:sz w:val="18"/>
                            <w:szCs w:val="18"/>
                          </w:rPr>
                          <w:t>万元增资</w:t>
                        </w:r>
                        <w:r>
                          <w:rPr>
                            <w:rFonts w:ascii="Times New Roman" w:hAnsi="Times New Roman" w:cs="Times New Roman" w:eastAsia="Times New Roman" w:hint="default"/>
                            <w:spacing w:val="-3"/>
                            <w:sz w:val="18"/>
                            <w:szCs w:val="18"/>
                          </w:rPr>
                          <w:t>8,780</w:t>
                        </w:r>
                        <w:r>
                          <w:rPr>
                            <w:rFonts w:ascii="宋体" w:hAnsi="宋体" w:cs="宋体" w:eastAsia="宋体" w:hint="default"/>
                            <w:spacing w:val="-3"/>
                            <w:sz w:val="18"/>
                            <w:szCs w:val="18"/>
                          </w:rPr>
                          <w:t>万元，其</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中依米康持有其</w:t>
                        </w:r>
                        <w:r>
                          <w:rPr>
                            <w:rFonts w:ascii="Times New Roman" w:hAnsi="Times New Roman" w:cs="Times New Roman" w:eastAsia="Times New Roman" w:hint="default"/>
                            <w:spacing w:val="-3"/>
                            <w:sz w:val="18"/>
                            <w:szCs w:val="18"/>
                          </w:rPr>
                          <w:t>60</w:t>
                        </w:r>
                        <w:r>
                          <w:rPr>
                            <w:rFonts w:ascii="宋体" w:hAnsi="宋体" w:cs="宋体" w:eastAsia="宋体" w:hint="default"/>
                            <w:spacing w:val="-3"/>
                            <w:sz w:val="18"/>
                            <w:szCs w:val="18"/>
                          </w:rPr>
                          <w:t>万股股份，持股比例</w:t>
                        </w:r>
                        <w:r>
                          <w:rPr>
                            <w:rFonts w:ascii="Times New Roman" w:hAnsi="Times New Roman" w:cs="Times New Roman" w:eastAsia="Times New Roman" w:hint="default"/>
                            <w:spacing w:val="-3"/>
                            <w:sz w:val="18"/>
                            <w:szCs w:val="18"/>
                          </w:rPr>
                          <w:t>0.683%</w:t>
                        </w:r>
                        <w:r>
                          <w:rPr>
                            <w:rFonts w:ascii="宋体" w:hAnsi="宋体" w:cs="宋体" w:eastAsia="宋体" w:hint="default"/>
                            <w:spacing w:val="-3"/>
                            <w:sz w:val="18"/>
                            <w:szCs w:val="18"/>
                          </w:rPr>
                          <w:t>。</w:t>
                        </w:r>
                      </w:p>
                      <w:p>
                        <w:pPr>
                          <w:pStyle w:val="TableParagraph"/>
                          <w:spacing w:line="300" w:lineRule="auto" w:before="13"/>
                          <w:ind w:left="4" w:right="-37"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）经上海国富光启</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日召开的股东大会审议，同意向郭峰先生、胡磊先生、陆留福先生、</w:t>
                        </w:r>
                        <w:r>
                          <w:rPr>
                            <w:rFonts w:ascii="宋体" w:hAnsi="宋体" w:cs="宋体" w:eastAsia="宋体" w:hint="default"/>
                            <w:w w:val="101"/>
                            <w:sz w:val="18"/>
                            <w:szCs w:val="18"/>
                          </w:rPr>
                          <w:t> </w:t>
                        </w:r>
                        <w:r>
                          <w:rPr>
                            <w:rFonts w:ascii="宋体" w:hAnsi="宋体" w:cs="宋体" w:eastAsia="宋体" w:hint="default"/>
                            <w:spacing w:val="-7"/>
                            <w:w w:val="101"/>
                            <w:sz w:val="18"/>
                            <w:szCs w:val="18"/>
                          </w:rPr>
                          <w:t>吴培芳女士和上海发弘互联网科技有限公司定向发行</w:t>
                        </w:r>
                        <w:r>
                          <w:rPr>
                            <w:rFonts w:ascii="Times New Roman" w:hAnsi="Times New Roman" w:cs="Times New Roman" w:eastAsia="Times New Roman" w:hint="default"/>
                            <w:spacing w:val="-7"/>
                            <w:w w:val="101"/>
                            <w:sz w:val="18"/>
                            <w:szCs w:val="18"/>
                          </w:rPr>
                          <w:t>426.67</w:t>
                        </w:r>
                        <w:r>
                          <w:rPr>
                            <w:rFonts w:ascii="宋体" w:hAnsi="宋体" w:cs="宋体" w:eastAsia="宋体" w:hint="default"/>
                            <w:spacing w:val="-7"/>
                            <w:w w:val="101"/>
                            <w:sz w:val="18"/>
                            <w:szCs w:val="18"/>
                          </w:rPr>
                          <w:t>万股（每股价格不低于</w:t>
                        </w:r>
                        <w:r>
                          <w:rPr>
                            <w:rFonts w:ascii="Times New Roman" w:hAnsi="Times New Roman" w:cs="Times New Roman" w:eastAsia="Times New Roman" w:hint="default"/>
                            <w:spacing w:val="-7"/>
                            <w:w w:val="101"/>
                            <w:sz w:val="18"/>
                            <w:szCs w:val="18"/>
                          </w:rPr>
                          <w:t>15</w:t>
                        </w:r>
                        <w:r>
                          <w:rPr>
                            <w:rFonts w:ascii="宋体" w:hAnsi="宋体" w:cs="宋体" w:eastAsia="宋体" w:hint="default"/>
                            <w:spacing w:val="-7"/>
                            <w:w w:val="101"/>
                            <w:sz w:val="18"/>
                            <w:szCs w:val="18"/>
                          </w:rPr>
                          <w:t>元）；公司股本从</w:t>
                        </w:r>
                        <w:r>
                          <w:rPr>
                            <w:rFonts w:ascii="Times New Roman" w:hAnsi="Times New Roman" w:cs="Times New Roman" w:eastAsia="Times New Roman" w:hint="default"/>
                            <w:spacing w:val="-7"/>
                            <w:w w:val="101"/>
                            <w:sz w:val="18"/>
                            <w:szCs w:val="18"/>
                          </w:rPr>
                          <w:t>8,780</w:t>
                        </w:r>
                        <w:r>
                          <w:rPr>
                            <w:rFonts w:ascii="Times New Roman" w:hAnsi="Times New Roman" w:cs="Times New Roman" w:eastAsia="Times New Roman" w:hint="default"/>
                            <w:spacing w:val="2"/>
                            <w:w w:val="101"/>
                            <w:sz w:val="18"/>
                            <w:szCs w:val="18"/>
                          </w:rPr>
                          <w:t> </w:t>
                        </w:r>
                        <w:r>
                          <w:rPr>
                            <w:rFonts w:ascii="Times New Roman" w:hAnsi="Times New Roman" w:cs="Times New Roman" w:eastAsia="Times New Roman" w:hint="default"/>
                            <w:spacing w:val="2"/>
                            <w:w w:val="101"/>
                            <w:sz w:val="18"/>
                            <w:szCs w:val="18"/>
                          </w:rPr>
                        </w:r>
                        <w:r>
                          <w:rPr>
                            <w:rFonts w:ascii="宋体" w:hAnsi="宋体" w:cs="宋体" w:eastAsia="宋体" w:hint="default"/>
                            <w:spacing w:val="-3"/>
                            <w:sz w:val="18"/>
                            <w:szCs w:val="18"/>
                          </w:rPr>
                          <w:t>万元增至</w:t>
                        </w:r>
                        <w:r>
                          <w:rPr>
                            <w:rFonts w:ascii="Times New Roman" w:hAnsi="Times New Roman" w:cs="Times New Roman" w:eastAsia="Times New Roman" w:hint="default"/>
                            <w:spacing w:val="-3"/>
                            <w:sz w:val="18"/>
                            <w:szCs w:val="18"/>
                          </w:rPr>
                          <w:t>9206.67</w:t>
                        </w:r>
                        <w:r>
                          <w:rPr>
                            <w:rFonts w:ascii="宋体" w:hAnsi="宋体" w:cs="宋体" w:eastAsia="宋体" w:hint="default"/>
                            <w:spacing w:val="-3"/>
                            <w:sz w:val="18"/>
                            <w:szCs w:val="18"/>
                          </w:rPr>
                          <w:t>万元，其中依米康持有</w:t>
                        </w:r>
                        <w:r>
                          <w:rPr>
                            <w:rFonts w:ascii="Times New Roman" w:hAnsi="Times New Roman" w:cs="Times New Roman" w:eastAsia="Times New Roman" w:hint="default"/>
                            <w:spacing w:val="-3"/>
                            <w:sz w:val="18"/>
                            <w:szCs w:val="18"/>
                          </w:rPr>
                          <w:t>60</w:t>
                        </w:r>
                        <w:r>
                          <w:rPr>
                            <w:rFonts w:ascii="宋体" w:hAnsi="宋体" w:cs="宋体" w:eastAsia="宋体" w:hint="default"/>
                            <w:spacing w:val="-3"/>
                            <w:sz w:val="18"/>
                            <w:szCs w:val="18"/>
                          </w:rPr>
                          <w:t>万股股份，持股比例</w:t>
                        </w:r>
                        <w:r>
                          <w:rPr>
                            <w:rFonts w:ascii="Times New Roman" w:hAnsi="Times New Roman" w:cs="Times New Roman" w:eastAsia="Times New Roman" w:hint="default"/>
                            <w:spacing w:val="-3"/>
                            <w:sz w:val="18"/>
                            <w:szCs w:val="18"/>
                          </w:rPr>
                          <w:t>0.65%</w:t>
                        </w:r>
                        <w:r>
                          <w:rPr>
                            <w:rFonts w:ascii="宋体" w:hAnsi="宋体" w:cs="宋体" w:eastAsia="宋体" w:hint="default"/>
                            <w:spacing w:val="-3"/>
                            <w:sz w:val="18"/>
                            <w:szCs w:val="18"/>
                          </w:rPr>
                          <w:t>。本次定增事项已完成上海市工商行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政管理局备案及向上海股权托管交易中心申报定向增发等相关手续。</w:t>
                        </w:r>
                      </w:p>
                      <w:p>
                        <w:pPr>
                          <w:pStyle w:val="TableParagraph"/>
                          <w:spacing w:line="300" w:lineRule="auto" w:before="31"/>
                          <w:ind w:left="4" w:right="0" w:firstLine="36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）经上海国富光启</w:t>
                        </w:r>
                        <w:r>
                          <w:rPr>
                            <w:rFonts w:ascii="Times New Roman" w:hAnsi="Times New Roman" w:cs="Times New Roman" w:eastAsia="Times New Roman" w:hint="default"/>
                            <w:spacing w:val="-3"/>
                            <w:sz w:val="18"/>
                            <w:szCs w:val="18"/>
                          </w:rPr>
                          <w:t>2015</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日召开的股东大会审议，同意向深圳市赛为智能股份有限公司定向</w:t>
                        </w:r>
                        <w:r>
                          <w:rPr>
                            <w:rFonts w:ascii="宋体" w:hAnsi="宋体" w:cs="宋体" w:eastAsia="宋体" w:hint="default"/>
                            <w:w w:val="101"/>
                            <w:sz w:val="18"/>
                            <w:szCs w:val="18"/>
                          </w:rPr>
                          <w:t> </w:t>
                        </w:r>
                        <w:r>
                          <w:rPr>
                            <w:rFonts w:ascii="宋体" w:hAnsi="宋体" w:cs="宋体" w:eastAsia="宋体" w:hint="default"/>
                            <w:spacing w:val="-4"/>
                            <w:sz w:val="18"/>
                            <w:szCs w:val="18"/>
                          </w:rPr>
                          <w:t>发行</w:t>
                        </w:r>
                        <w:r>
                          <w:rPr>
                            <w:rFonts w:ascii="Times New Roman" w:hAnsi="Times New Roman" w:cs="Times New Roman" w:eastAsia="Times New Roman" w:hint="default"/>
                            <w:spacing w:val="-4"/>
                            <w:sz w:val="18"/>
                            <w:szCs w:val="18"/>
                          </w:rPr>
                          <w:t>1022.96</w:t>
                        </w:r>
                        <w:r>
                          <w:rPr>
                            <w:rFonts w:ascii="宋体" w:hAnsi="宋体" w:cs="宋体" w:eastAsia="宋体" w:hint="default"/>
                            <w:spacing w:val="-4"/>
                            <w:sz w:val="18"/>
                            <w:szCs w:val="18"/>
                          </w:rPr>
                          <w:t>万股（每股价格不低于</w:t>
                        </w:r>
                        <w:r>
                          <w:rPr>
                            <w:rFonts w:ascii="Times New Roman" w:hAnsi="Times New Roman" w:cs="Times New Roman" w:eastAsia="Times New Roman" w:hint="default"/>
                            <w:spacing w:val="-4"/>
                            <w:sz w:val="18"/>
                            <w:szCs w:val="18"/>
                          </w:rPr>
                          <w:t>13.5</w:t>
                        </w:r>
                        <w:r>
                          <w:rPr>
                            <w:rFonts w:ascii="宋体" w:hAnsi="宋体" w:cs="宋体" w:eastAsia="宋体" w:hint="default"/>
                            <w:spacing w:val="-4"/>
                            <w:sz w:val="18"/>
                            <w:szCs w:val="18"/>
                          </w:rPr>
                          <w:t>元）；公司股本从</w:t>
                        </w:r>
                        <w:r>
                          <w:rPr>
                            <w:rFonts w:ascii="Times New Roman" w:hAnsi="Times New Roman" w:cs="Times New Roman" w:eastAsia="Times New Roman" w:hint="default"/>
                            <w:spacing w:val="-4"/>
                            <w:sz w:val="18"/>
                            <w:szCs w:val="18"/>
                          </w:rPr>
                          <w:t>9206.67</w:t>
                        </w:r>
                        <w:r>
                          <w:rPr>
                            <w:rFonts w:ascii="宋体" w:hAnsi="宋体" w:cs="宋体" w:eastAsia="宋体" w:hint="default"/>
                            <w:spacing w:val="-4"/>
                            <w:sz w:val="18"/>
                            <w:szCs w:val="18"/>
                          </w:rPr>
                          <w:t>万元增至</w:t>
                        </w:r>
                        <w:r>
                          <w:rPr>
                            <w:rFonts w:ascii="Times New Roman" w:hAnsi="Times New Roman" w:cs="Times New Roman" w:eastAsia="Times New Roman" w:hint="default"/>
                            <w:spacing w:val="-4"/>
                            <w:sz w:val="18"/>
                            <w:szCs w:val="18"/>
                          </w:rPr>
                          <w:t>10229.63</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本次增资实施后依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米康的持股比例下降为</w:t>
                        </w:r>
                        <w:r>
                          <w:rPr>
                            <w:rFonts w:ascii="Times New Roman" w:hAnsi="Times New Roman" w:cs="Times New Roman" w:eastAsia="Times New Roman" w:hint="default"/>
                            <w:spacing w:val="-4"/>
                            <w:sz w:val="18"/>
                            <w:szCs w:val="18"/>
                          </w:rPr>
                          <w:t>0.59%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月完成本次定增事项向上海市工商行政管理局备案及向上海股权托</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3"/>
                            <w:sz w:val="18"/>
                            <w:szCs w:val="18"/>
                          </w:rPr>
                          <w:t>管交易中心申报定向增发等相关手续。</w:t>
                        </w:r>
                      </w:p>
                      <w:p>
                        <w:pPr>
                          <w:pStyle w:val="TableParagraph"/>
                          <w:spacing w:line="240" w:lineRule="auto" w:before="32"/>
                          <w:ind w:left="36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）经上海国富光启</w:t>
                        </w:r>
                        <w:r>
                          <w:rPr>
                            <w:rFonts w:ascii="Times New Roman" w:hAnsi="Times New Roman" w:cs="Times New Roman" w:eastAsia="Times New Roman" w:hint="default"/>
                            <w:spacing w:val="-3"/>
                            <w:sz w:val="18"/>
                            <w:szCs w:val="18"/>
                          </w:rPr>
                          <w:t>2016</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29</w:t>
                        </w:r>
                        <w:r>
                          <w:rPr>
                            <w:rFonts w:ascii="宋体" w:hAnsi="宋体" w:cs="宋体" w:eastAsia="宋体" w:hint="default"/>
                            <w:spacing w:val="-3"/>
                            <w:sz w:val="18"/>
                            <w:szCs w:val="18"/>
                          </w:rPr>
                          <w:t>日召开的股东大会审议，同意向易事特集团股份有限公司定向增发</w:t>
                        </w:r>
                      </w:p>
                      <w:p>
                        <w:pPr>
                          <w:pStyle w:val="TableParagraph"/>
                          <w:spacing w:line="300" w:lineRule="auto" w:before="63"/>
                          <w:ind w:left="4" w:right="-5"/>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2223</w:t>
                        </w:r>
                        <w:r>
                          <w:rPr>
                            <w:rFonts w:ascii="宋体" w:hAnsi="宋体" w:cs="宋体" w:eastAsia="宋体" w:hint="default"/>
                            <w:spacing w:val="-4"/>
                            <w:sz w:val="18"/>
                            <w:szCs w:val="18"/>
                          </w:rPr>
                          <w:t>万股（每股价格不低于</w:t>
                        </w:r>
                        <w:r>
                          <w:rPr>
                            <w:rFonts w:ascii="Times New Roman" w:hAnsi="Times New Roman" w:cs="Times New Roman" w:eastAsia="Times New Roman" w:hint="default"/>
                            <w:spacing w:val="-4"/>
                            <w:sz w:val="18"/>
                            <w:szCs w:val="18"/>
                          </w:rPr>
                          <w:t>13.5</w:t>
                        </w:r>
                        <w:r>
                          <w:rPr>
                            <w:rFonts w:ascii="宋体" w:hAnsi="宋体" w:cs="宋体" w:eastAsia="宋体" w:hint="default"/>
                            <w:spacing w:val="-4"/>
                            <w:sz w:val="18"/>
                            <w:szCs w:val="18"/>
                          </w:rPr>
                          <w:t>元）；公司股本从</w:t>
                        </w:r>
                        <w:r>
                          <w:rPr>
                            <w:rFonts w:ascii="Times New Roman" w:hAnsi="Times New Roman" w:cs="Times New Roman" w:eastAsia="Times New Roman" w:hint="default"/>
                            <w:spacing w:val="-4"/>
                            <w:sz w:val="18"/>
                            <w:szCs w:val="18"/>
                          </w:rPr>
                          <w:t>10229.63</w:t>
                        </w:r>
                        <w:r>
                          <w:rPr>
                            <w:rFonts w:ascii="宋体" w:hAnsi="宋体" w:cs="宋体" w:eastAsia="宋体" w:hint="default"/>
                            <w:spacing w:val="-4"/>
                            <w:sz w:val="18"/>
                            <w:szCs w:val="18"/>
                          </w:rPr>
                          <w:t>万股增值</w:t>
                        </w:r>
                        <w:r>
                          <w:rPr>
                            <w:rFonts w:ascii="Times New Roman" w:hAnsi="Times New Roman" w:cs="Times New Roman" w:eastAsia="Times New Roman" w:hint="default"/>
                            <w:spacing w:val="-4"/>
                            <w:sz w:val="18"/>
                            <w:szCs w:val="18"/>
                          </w:rPr>
                          <w:t>12452.63</w:t>
                        </w:r>
                        <w:r>
                          <w:rPr>
                            <w:rFonts w:ascii="宋体" w:hAnsi="宋体" w:cs="宋体" w:eastAsia="宋体" w:hint="default"/>
                            <w:spacing w:val="-4"/>
                            <w:sz w:val="18"/>
                            <w:szCs w:val="18"/>
                          </w:rPr>
                          <w:t>万股，本次增资实施后依米康</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4"/>
                            <w:sz w:val="18"/>
                            <w:szCs w:val="18"/>
                          </w:rPr>
                          <w:t>的持股比例下降为</w:t>
                        </w:r>
                        <w:r>
                          <w:rPr>
                            <w:rFonts w:ascii="Times New Roman" w:hAnsi="Times New Roman" w:cs="Times New Roman" w:eastAsia="Times New Roman" w:hint="default"/>
                            <w:spacing w:val="-4"/>
                            <w:sz w:val="18"/>
                            <w:szCs w:val="18"/>
                          </w:rPr>
                          <w:t>0.48%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月完成本次定增事项向上海市工商行政管理局备案及向上海股权托管交</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易中心申报定向增发等相关手续。</w:t>
                        </w:r>
                      </w:p>
                      <w:p>
                        <w:pPr>
                          <w:pStyle w:val="TableParagraph"/>
                          <w:spacing w:line="300" w:lineRule="auto" w:before="31"/>
                          <w:ind w:left="4" w:right="5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）经上海国富光启</w:t>
                        </w:r>
                        <w:r>
                          <w:rPr>
                            <w:rFonts w:ascii="Times New Roman" w:hAnsi="Times New Roman" w:cs="Times New Roman" w:eastAsia="Times New Roman" w:hint="default"/>
                            <w:spacing w:val="-3"/>
                            <w:sz w:val="18"/>
                            <w:szCs w:val="18"/>
                          </w:rPr>
                          <w:t>2017</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日召开的股东大会审议，同意向远东智慧能源股份有限公司与上海范</w:t>
                        </w:r>
                        <w:r>
                          <w:rPr>
                            <w:rFonts w:ascii="宋体" w:hAnsi="宋体" w:cs="宋体" w:eastAsia="宋体" w:hint="default"/>
                            <w:w w:val="101"/>
                            <w:sz w:val="18"/>
                            <w:szCs w:val="18"/>
                          </w:rPr>
                          <w:t> </w:t>
                        </w:r>
                        <w:r>
                          <w:rPr>
                            <w:rFonts w:ascii="宋体" w:hAnsi="宋体" w:cs="宋体" w:eastAsia="宋体" w:hint="default"/>
                            <w:spacing w:val="-2"/>
                            <w:sz w:val="18"/>
                            <w:szCs w:val="18"/>
                          </w:rPr>
                          <w:t>仕达科技投资有限公司定向增发</w:t>
                        </w:r>
                        <w:r>
                          <w:rPr>
                            <w:rFonts w:ascii="Times New Roman" w:hAnsi="Times New Roman" w:cs="Times New Roman" w:eastAsia="Times New Roman" w:hint="default"/>
                            <w:spacing w:val="-2"/>
                            <w:sz w:val="18"/>
                            <w:szCs w:val="18"/>
                          </w:rPr>
                          <w:t>2518.53</w:t>
                        </w:r>
                        <w:r>
                          <w:rPr>
                            <w:rFonts w:ascii="宋体" w:hAnsi="宋体" w:cs="宋体" w:eastAsia="宋体" w:hint="default"/>
                            <w:spacing w:val="-2"/>
                            <w:sz w:val="18"/>
                            <w:szCs w:val="18"/>
                          </w:rPr>
                          <w:t>万股（每股价格不低于</w:t>
                        </w:r>
                        <w:r>
                          <w:rPr>
                            <w:rFonts w:ascii="Times New Roman" w:hAnsi="Times New Roman" w:cs="Times New Roman" w:eastAsia="Times New Roman" w:hint="default"/>
                            <w:spacing w:val="-2"/>
                            <w:sz w:val="18"/>
                            <w:szCs w:val="18"/>
                          </w:rPr>
                          <w:t>13.5</w:t>
                        </w:r>
                        <w:r>
                          <w:rPr>
                            <w:rFonts w:ascii="宋体" w:hAnsi="宋体" w:cs="宋体" w:eastAsia="宋体" w:hint="default"/>
                            <w:spacing w:val="-2"/>
                            <w:sz w:val="18"/>
                            <w:szCs w:val="18"/>
                          </w:rPr>
                          <w:t>元）；公司股本从</w:t>
                        </w:r>
                        <w:r>
                          <w:rPr>
                            <w:rFonts w:ascii="Times New Roman" w:hAnsi="Times New Roman" w:cs="Times New Roman" w:eastAsia="Times New Roman" w:hint="default"/>
                            <w:spacing w:val="-2"/>
                            <w:sz w:val="18"/>
                            <w:szCs w:val="18"/>
                          </w:rPr>
                          <w:t>12452.63</w:t>
                        </w:r>
                        <w:r>
                          <w:rPr>
                            <w:rFonts w:ascii="宋体" w:hAnsi="宋体" w:cs="宋体" w:eastAsia="宋体" w:hint="default"/>
                            <w:spacing w:val="-2"/>
                            <w:sz w:val="18"/>
                            <w:szCs w:val="18"/>
                          </w:rPr>
                          <w:t>万股增值</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Times New Roman" w:hAnsi="Times New Roman" w:cs="Times New Roman" w:eastAsia="Times New Roman" w:hint="default"/>
                            <w:spacing w:val="-3"/>
                            <w:sz w:val="18"/>
                            <w:szCs w:val="18"/>
                          </w:rPr>
                          <w:t>14971.16</w:t>
                        </w:r>
                        <w:r>
                          <w:rPr>
                            <w:rFonts w:ascii="宋体" w:hAnsi="宋体" w:cs="宋体" w:eastAsia="宋体" w:hint="default"/>
                            <w:spacing w:val="-3"/>
                            <w:sz w:val="18"/>
                            <w:szCs w:val="18"/>
                          </w:rPr>
                          <w:t>万股，本次增资实施后依米康的持股比例下降为</w:t>
                        </w:r>
                        <w:r>
                          <w:rPr>
                            <w:rFonts w:ascii="Times New Roman" w:hAnsi="Times New Roman" w:cs="Times New Roman" w:eastAsia="Times New Roman" w:hint="default"/>
                            <w:spacing w:val="-3"/>
                            <w:sz w:val="18"/>
                            <w:szCs w:val="18"/>
                          </w:rPr>
                          <w:t>0.40%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月完成本次定增事项向上海市</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工商行政管理局备案及向上海股权托管交易中心申报定向增发等相关手续。</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right="0"/>
        <w:jc w:val="both"/>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7"/>
        <w:rPr>
          <w:rFonts w:ascii="宋体" w:hAnsi="宋体" w:cs="宋体" w:eastAsia="宋体" w:hint="default"/>
          <w:b/>
          <w:bCs/>
          <w:sz w:val="29"/>
          <w:szCs w:val="29"/>
        </w:rPr>
      </w:pPr>
    </w:p>
    <w:p>
      <w:pPr>
        <w:spacing w:line="352" w:lineRule="auto" w:before="0"/>
        <w:ind w:left="633" w:right="1124" w:firstLine="0"/>
        <w:jc w:val="left"/>
        <w:rPr>
          <w:rFonts w:ascii="宋体" w:hAnsi="宋体" w:cs="宋体" w:eastAsia="宋体" w:hint="default"/>
          <w:sz w:val="24"/>
          <w:szCs w:val="24"/>
        </w:rPr>
      </w:pPr>
      <w:r>
        <w:rPr>
          <w:rFonts w:ascii="宋体" w:hAnsi="宋体" w:cs="宋体" w:eastAsia="宋体" w:hint="default"/>
          <w:b/>
          <w:bCs/>
          <w:color w:val="0D0D0D"/>
          <w:sz w:val="24"/>
          <w:szCs w:val="24"/>
        </w:rPr>
        <w:t>（一）行业格局和趋势</w:t>
      </w:r>
      <w:r>
        <w:rPr>
          <w:rFonts w:ascii="宋体" w:hAnsi="宋体" w:cs="宋体" w:eastAsia="宋体" w:hint="default"/>
          <w:b/>
          <w:bCs/>
          <w:color w:val="0D0D0D"/>
          <w:w w:val="99"/>
          <w:sz w:val="24"/>
          <w:szCs w:val="24"/>
        </w:rPr>
        <w:t> </w:t>
      </w:r>
      <w:r>
        <w:rPr>
          <w:rFonts w:ascii="宋体" w:hAnsi="宋体" w:cs="宋体" w:eastAsia="宋体" w:hint="default"/>
          <w:sz w:val="24"/>
          <w:szCs w:val="24"/>
        </w:rPr>
        <w:t>公司业务涉及信息数据、医疗健康及环保治理三大产业，主要情况如下：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、信息数据领域</w:t>
      </w:r>
      <w:r>
        <w:rPr>
          <w:rFonts w:ascii="宋体" w:hAnsi="宋体" w:cs="宋体" w:eastAsia="宋体" w:hint="default"/>
          <w:b/>
          <w:bCs/>
          <w:w w:val="99"/>
          <w:sz w:val="24"/>
          <w:szCs w:val="24"/>
        </w:rPr>
        <w:t> </w:t>
      </w:r>
      <w:r>
        <w:rPr>
          <w:rFonts w:ascii="宋体" w:hAnsi="宋体" w:cs="宋体" w:eastAsia="宋体" w:hint="default"/>
          <w:spacing w:val="-1"/>
          <w:sz w:val="24"/>
          <w:szCs w:val="24"/>
        </w:rPr>
        <w:t>随着国内</w:t>
      </w:r>
      <w:r>
        <w:rPr>
          <w:rFonts w:ascii="Times New Roman" w:hAnsi="Times New Roman" w:cs="Times New Roman" w:eastAsia="Times New Roman" w:hint="default"/>
          <w:spacing w:val="-1"/>
          <w:sz w:val="24"/>
          <w:szCs w:val="24"/>
        </w:rPr>
        <w:t>5G</w:t>
      </w:r>
      <w:r>
        <w:rPr>
          <w:rFonts w:ascii="宋体" w:hAnsi="宋体" w:cs="宋体" w:eastAsia="宋体" w:hint="default"/>
          <w:spacing w:val="-1"/>
          <w:sz w:val="24"/>
          <w:szCs w:val="24"/>
        </w:rPr>
        <w:t>、物联网、</w:t>
      </w:r>
      <w:r>
        <w:rPr>
          <w:rFonts w:ascii="Times New Roman" w:hAnsi="Times New Roman" w:cs="Times New Roman" w:eastAsia="Times New Roman" w:hint="default"/>
          <w:spacing w:val="-1"/>
          <w:sz w:val="24"/>
          <w:szCs w:val="24"/>
        </w:rPr>
        <w:t>AI</w:t>
      </w:r>
      <w:r>
        <w:rPr>
          <w:rFonts w:ascii="宋体" w:hAnsi="宋体" w:cs="宋体" w:eastAsia="宋体" w:hint="default"/>
          <w:spacing w:val="-1"/>
          <w:sz w:val="24"/>
          <w:szCs w:val="24"/>
        </w:rPr>
        <w:t>等新科技应用及发展，数据中心作为政府、社会、企业发展的</w:t>
      </w:r>
    </w:p>
    <w:p>
      <w:pPr>
        <w:pStyle w:val="BodyText"/>
        <w:spacing w:line="338" w:lineRule="auto" w:before="9"/>
        <w:ind w:right="1002"/>
        <w:jc w:val="both"/>
      </w:pPr>
      <w:r>
        <w:rPr/>
        <w:t>支撑，其建设迎来新一轮发展机遇。特别是，国家发展</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战略，将加快数据中心建设</w:t>
      </w:r>
      <w:r>
        <w:rPr>
          <w:spacing w:val="-67"/>
        </w:rPr>
        <w:t> </w:t>
      </w:r>
      <w:r>
        <w:rPr>
          <w:spacing w:val="-67"/>
        </w:rPr>
      </w:r>
      <w:r>
        <w:rPr>
          <w:spacing w:val="-5"/>
          <w:w w:val="99"/>
        </w:rPr>
        <w:t>发展。根据国内知名行业调研机构科智咨询发布的《</w:t>
      </w:r>
      <w:r>
        <w:rPr>
          <w:rFonts w:ascii="Times New Roman" w:hAnsi="Times New Roman" w:cs="Times New Roman" w:eastAsia="Times New Roman" w:hint="default"/>
          <w:spacing w:val="-5"/>
          <w:w w:val="99"/>
        </w:rPr>
        <w:t>2019-2020</w:t>
      </w:r>
      <w:r>
        <w:rPr>
          <w:spacing w:val="-5"/>
          <w:w w:val="99"/>
        </w:rPr>
        <w:t>年中国</w:t>
      </w:r>
      <w:r>
        <w:rPr>
          <w:rFonts w:ascii="Times New Roman" w:hAnsi="Times New Roman" w:cs="Times New Roman" w:eastAsia="Times New Roman" w:hint="default"/>
          <w:spacing w:val="-5"/>
          <w:w w:val="99"/>
        </w:rPr>
        <w:t>IDC</w:t>
      </w:r>
      <w:r>
        <w:rPr>
          <w:spacing w:val="-5"/>
          <w:w w:val="99"/>
        </w:rPr>
        <w:t>产业发展研究报告》</w:t>
      </w:r>
      <w:r>
        <w:rPr>
          <w:spacing w:val="-105"/>
          <w:w w:val="99"/>
        </w:rPr>
        <w:t> </w:t>
      </w:r>
      <w:r>
        <w:rPr>
          <w:spacing w:val="-105"/>
          <w:w w:val="99"/>
        </w:rPr>
      </w:r>
      <w:r>
        <w:rPr/>
        <w:t>显示，</w:t>
      </w:r>
      <w:r>
        <w:rPr>
          <w:rFonts w:ascii="Times New Roman" w:hAnsi="Times New Roman" w:cs="Times New Roman" w:eastAsia="Times New Roman" w:hint="default"/>
        </w:rPr>
        <w:t>2019</w:t>
      </w:r>
      <w:r>
        <w:rPr/>
        <w:t>年，中国</w:t>
      </w:r>
      <w:r>
        <w:rPr>
          <w:rFonts w:ascii="Times New Roman" w:hAnsi="Times New Roman" w:cs="Times New Roman" w:eastAsia="Times New Roman" w:hint="default"/>
        </w:rPr>
        <w:t>IDC</w:t>
      </w:r>
      <w:r>
        <w:rPr/>
        <w:t>业务市场规模达到</w:t>
      </w:r>
      <w:r>
        <w:rPr>
          <w:rFonts w:ascii="Times New Roman" w:hAnsi="Times New Roman" w:cs="Times New Roman" w:eastAsia="Times New Roman" w:hint="default"/>
        </w:rPr>
        <w:t>1,562.5</w:t>
      </w:r>
      <w:r>
        <w:rPr/>
        <w:t>亿元，同比增长</w:t>
      </w:r>
      <w:r>
        <w:rPr>
          <w:rFonts w:ascii="Times New Roman" w:hAnsi="Times New Roman" w:cs="Times New Roman" w:eastAsia="Times New Roman" w:hint="default"/>
        </w:rPr>
        <w:t>27.2%</w:t>
      </w:r>
      <w:r>
        <w:rPr/>
        <w:t>。预计</w:t>
      </w:r>
      <w:r>
        <w:rPr>
          <w:rFonts w:ascii="Times New Roman" w:hAnsi="Times New Roman" w:cs="Times New Roman" w:eastAsia="Times New Roman" w:hint="default"/>
        </w:rPr>
        <w:t>2019-2022</w:t>
      </w:r>
      <w:r>
        <w:rPr/>
        <w:t>年，</w:t>
      </w:r>
    </w:p>
    <w:p>
      <w:pPr>
        <w:spacing w:after="0" w:line="338"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48" w:lineRule="auto"/>
        <w:ind w:right="1128"/>
        <w:jc w:val="both"/>
      </w:pPr>
      <w:r>
        <w:rPr/>
        <w:t>中国</w:t>
      </w:r>
      <w:r>
        <w:rPr>
          <w:rFonts w:ascii="Times New Roman" w:hAnsi="Times New Roman" w:cs="Times New Roman" w:eastAsia="Times New Roman" w:hint="default"/>
        </w:rPr>
        <w:t>IDC</w:t>
      </w:r>
      <w:r>
        <w:rPr/>
        <w:t>业务市场规模复合增长率将达到</w:t>
      </w:r>
      <w:r>
        <w:rPr>
          <w:rFonts w:ascii="Times New Roman" w:hAnsi="Times New Roman" w:cs="Times New Roman" w:eastAsia="Times New Roman" w:hint="default"/>
        </w:rPr>
        <w:t>26.9%</w:t>
      </w:r>
      <w:r>
        <w:rPr/>
        <w:t>。公司作为国内</w:t>
      </w:r>
      <w:r>
        <w:rPr>
          <w:rFonts w:ascii="Times New Roman" w:hAnsi="Times New Roman" w:cs="Times New Roman" w:eastAsia="Times New Roman" w:hint="default"/>
        </w:rPr>
        <w:t>IDC</w:t>
      </w:r>
      <w:r>
        <w:rPr/>
        <w:t>厂商的上游企业，可提供</w:t>
      </w:r>
      <w:r>
        <w:rPr>
          <w:spacing w:val="-102"/>
        </w:rPr>
        <w:t> </w:t>
      </w:r>
      <w:r>
        <w:rPr>
          <w:spacing w:val="-102"/>
        </w:rPr>
      </w:r>
      <w:r>
        <w:rPr/>
        <w:t>数据中心基础设施建设整体解决方案和精密空调，公司已拥有包含精密空调等关键设备、智</w:t>
      </w:r>
      <w:r>
        <w:rPr>
          <w:spacing w:val="-93"/>
        </w:rPr>
        <w:t> </w:t>
      </w:r>
      <w:r>
        <w:rPr>
          <w:spacing w:val="-93"/>
        </w:rPr>
      </w:r>
      <w:r>
        <w:rPr>
          <w:spacing w:val="-5"/>
        </w:rPr>
        <w:t>能工程、物联软件及智慧服务四大业务布局，四大业务共享技术、供应链、营销和客户资源，</w:t>
      </w:r>
      <w:r>
        <w:rPr>
          <w:spacing w:val="-118"/>
        </w:rPr>
        <w:t> </w:t>
      </w:r>
      <w:r>
        <w:rPr>
          <w:spacing w:val="-118"/>
        </w:rPr>
      </w:r>
      <w:r>
        <w:rPr>
          <w:spacing w:val="2"/>
        </w:rPr>
        <w:t>可为用户提供系统安全可靠和节能高效的整体解决方案。受益于</w:t>
      </w:r>
      <w:r>
        <w:rPr>
          <w:rFonts w:ascii="Times New Roman" w:hAnsi="Times New Roman" w:cs="Times New Roman" w:eastAsia="Times New Roman" w:hint="default"/>
          <w:spacing w:val="2"/>
        </w:rPr>
        <w:t>IDC</w:t>
      </w:r>
      <w:r>
        <w:rPr>
          <w:spacing w:val="2"/>
        </w:rPr>
        <w:t>行业的发展和日益增长</w:t>
      </w:r>
      <w:r>
        <w:rPr>
          <w:spacing w:val="-109"/>
        </w:rPr>
        <w:t> </w:t>
      </w:r>
      <w:r>
        <w:rPr>
          <w:spacing w:val="-109"/>
        </w:rPr>
      </w:r>
      <w:r>
        <w:rPr/>
        <w:t>的未来需求，公司信息数据领域业务将赢得更多机遇。</w:t>
      </w:r>
    </w:p>
    <w:p>
      <w:pPr>
        <w:pStyle w:val="BodyText"/>
        <w:spacing w:line="345" w:lineRule="auto" w:before="43"/>
        <w:ind w:right="0" w:firstLine="480"/>
        <w:jc w:val="left"/>
      </w:pPr>
      <w:r>
        <w:rPr>
          <w:spacing w:val="2"/>
        </w:rPr>
        <w:t>同时，随着国家绿色环保发展理念的不断深入，</w:t>
      </w:r>
      <w:r>
        <w:rPr>
          <w:rFonts w:ascii="Times New Roman" w:hAnsi="Times New Roman" w:cs="Times New Roman" w:eastAsia="Times New Roman" w:hint="default"/>
          <w:spacing w:val="2"/>
        </w:rPr>
        <w:t>IDC</w:t>
      </w:r>
      <w:r>
        <w:rPr>
          <w:spacing w:val="2"/>
        </w:rPr>
        <w:t>行业作为资源消耗行业，在安全可</w:t>
      </w:r>
      <w:r>
        <w:rPr/>
        <w:t> 靠性指标的基础上，能耗等环保指标将日趋严格，未来数据中心的建设朝着规范、开放、模</w:t>
      </w:r>
      <w:r>
        <w:rPr>
          <w:spacing w:val="-93"/>
        </w:rPr>
        <w:t> </w:t>
      </w:r>
      <w:r>
        <w:rPr>
          <w:spacing w:val="-93"/>
        </w:rPr>
      </w:r>
      <w:r>
        <w:rPr/>
        <w:t>块化、绿色节能的方向提出了更高的标准，机房空调作为数据中心能耗构成占比最大的基础</w:t>
      </w:r>
      <w:r>
        <w:rPr>
          <w:spacing w:val="-93"/>
        </w:rPr>
        <w:t> </w:t>
      </w:r>
      <w:r>
        <w:rPr>
          <w:spacing w:val="-93"/>
        </w:rPr>
      </w:r>
      <w:r>
        <w:rPr/>
        <w:t>设备，对其</w:t>
      </w:r>
      <w:r>
        <w:rPr>
          <w:rFonts w:ascii="Times New Roman" w:hAnsi="Times New Roman" w:cs="Times New Roman" w:eastAsia="Times New Roman" w:hint="default"/>
        </w:rPr>
        <w:t>PUE</w:t>
      </w:r>
      <w:r>
        <w:rPr/>
        <w:t>指标要求将日趋严格。加之，随着数据中心行业快速发展，数据中心单体规</w:t>
      </w:r>
      <w:r>
        <w:rPr>
          <w:spacing w:val="-72"/>
        </w:rPr>
        <w:t> </w:t>
      </w:r>
      <w:r>
        <w:rPr>
          <w:spacing w:val="-72"/>
        </w:rPr>
      </w:r>
      <w:r>
        <w:rPr/>
        <w:t>模不断攀升，越来越多的基础设施设备需要日常维护和管理。传统运维模式以人为核心，人</w:t>
      </w:r>
      <w:r>
        <w:rPr>
          <w:spacing w:val="-93"/>
        </w:rPr>
        <w:t> </w:t>
      </w:r>
      <w:r>
        <w:rPr>
          <w:spacing w:val="-93"/>
        </w:rPr>
      </w:r>
      <w:r>
        <w:rPr/>
        <w:t>工定期巡视，对于关键设备需有专人</w:t>
      </w:r>
      <w:r>
        <w:rPr>
          <w:rFonts w:ascii="Times New Roman" w:hAnsi="Times New Roman" w:cs="Times New Roman" w:eastAsia="Times New Roman" w:hint="default"/>
        </w:rPr>
        <w:t>24</w:t>
      </w:r>
      <w:r>
        <w:rPr/>
        <w:t>小时值班巡检。人工投入大、成本高、效率低、可靠</w:t>
      </w:r>
      <w:r>
        <w:rPr>
          <w:spacing w:val="-92"/>
        </w:rPr>
        <w:t> </w:t>
      </w:r>
      <w:r>
        <w:rPr>
          <w:spacing w:val="-92"/>
        </w:rPr>
      </w:r>
      <w:r>
        <w:rPr/>
        <w:t>性差是众多数据中心面临的共同问题。未来通过优化智能运维机器人智能巡检、</w:t>
      </w:r>
      <w:r>
        <w:rPr>
          <w:rFonts w:ascii="Times New Roman" w:hAnsi="Times New Roman" w:cs="Times New Roman" w:eastAsia="Times New Roman" w:hint="default"/>
        </w:rPr>
        <w:t>AI</w:t>
      </w:r>
      <w:r>
        <w:rPr/>
        <w:t>深度学习</w:t>
      </w:r>
      <w:r>
        <w:rPr>
          <w:spacing w:val="-106"/>
        </w:rPr>
        <w:t> </w:t>
      </w:r>
      <w:r>
        <w:rPr/>
        <w:t>的能力，将逐步实现以智能机器人辅助人工巡检甚至替代人工巡检，形成</w:t>
      </w:r>
      <w:r>
        <w:rPr>
          <w:rFonts w:ascii="Times New Roman" w:hAnsi="Times New Roman" w:cs="Times New Roman" w:eastAsia="Times New Roman" w:hint="default"/>
        </w:rPr>
        <w:t>“</w:t>
      </w:r>
      <w:r>
        <w:rPr/>
        <w:t>智能化管理平台</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spacing w:val="-3"/>
        </w:rPr>
        <w:t>智能机器人</w:t>
      </w:r>
      <w:r>
        <w:rPr>
          <w:rFonts w:ascii="Times New Roman" w:hAnsi="Times New Roman" w:cs="Times New Roman" w:eastAsia="Times New Roman" w:hint="default"/>
          <w:spacing w:val="-3"/>
        </w:rPr>
        <w:t>+</w:t>
      </w:r>
      <w:r>
        <w:rPr>
          <w:spacing w:val="-3"/>
        </w:rPr>
        <w:t>预防性服务</w:t>
      </w:r>
      <w:r>
        <w:rPr>
          <w:rFonts w:ascii="Times New Roman" w:hAnsi="Times New Roman" w:cs="Times New Roman" w:eastAsia="Times New Roman" w:hint="default"/>
          <w:spacing w:val="-3"/>
        </w:rPr>
        <w:t>+</w:t>
      </w:r>
      <w:r>
        <w:rPr>
          <w:spacing w:val="-3"/>
        </w:rPr>
        <w:t>专业工程师</w:t>
      </w:r>
      <w:r>
        <w:rPr>
          <w:rFonts w:ascii="Times New Roman" w:hAnsi="Times New Roman" w:cs="Times New Roman" w:eastAsia="Times New Roman" w:hint="default"/>
          <w:spacing w:val="-3"/>
        </w:rPr>
        <w:t>”</w:t>
      </w:r>
      <w:r>
        <w:rPr>
          <w:spacing w:val="-3"/>
        </w:rPr>
        <w:t>的四道运维安全防线。这也对公司精密空调设备的生产、</w:t>
      </w:r>
      <w:r>
        <w:rPr>
          <w:spacing w:val="-96"/>
        </w:rPr>
        <w:t> </w:t>
      </w:r>
      <w:r>
        <w:rPr>
          <w:spacing w:val="-96"/>
        </w:rPr>
      </w:r>
      <w:r>
        <w:rPr/>
        <w:t>智能运营管理系统及服务提出了新的机遇和挑战。</w:t>
      </w:r>
    </w:p>
    <w:p>
      <w:pPr>
        <w:pStyle w:val="BodyText"/>
        <w:spacing w:line="340" w:lineRule="auto" w:before="46"/>
        <w:ind w:left="633" w:right="0"/>
        <w:jc w:val="left"/>
      </w:pPr>
      <w:r>
        <w:rPr>
          <w:rFonts w:ascii="Times New Roman" w:hAnsi="Times New Roman" w:cs="Times New Roman" w:eastAsia="Times New Roman" w:hint="default"/>
          <w:b/>
          <w:bCs/>
        </w:rPr>
        <w:t>2</w:t>
      </w:r>
      <w:r>
        <w:rPr>
          <w:rFonts w:ascii="宋体" w:hAnsi="宋体" w:cs="宋体" w:eastAsia="宋体" w:hint="default"/>
          <w:b/>
          <w:bCs/>
        </w:rPr>
        <w:t>、医疗健康领域</w:t>
      </w:r>
      <w:r>
        <w:rPr>
          <w:rFonts w:ascii="宋体" w:hAnsi="宋体" w:cs="宋体" w:eastAsia="宋体" w:hint="default"/>
          <w:b/>
          <w:bCs/>
          <w:w w:val="99"/>
        </w:rPr>
        <w:t> </w:t>
      </w:r>
      <w:r>
        <w:rPr/>
        <w:t>随着</w:t>
      </w:r>
      <w:r>
        <w:rPr>
          <w:rFonts w:ascii="Times New Roman" w:hAnsi="Times New Roman" w:cs="Times New Roman" w:eastAsia="Times New Roman" w:hint="default"/>
        </w:rPr>
        <w:t>“</w:t>
      </w:r>
      <w:r>
        <w:rPr/>
        <w:t>健康中国</w:t>
      </w:r>
      <w:r>
        <w:rPr>
          <w:rFonts w:ascii="Times New Roman" w:hAnsi="Times New Roman" w:cs="Times New Roman" w:eastAsia="Times New Roman" w:hint="default"/>
        </w:rPr>
        <w:t>”</w:t>
      </w:r>
      <w:r>
        <w:rPr/>
        <w:t>战略落地，整个医疗卫生行业以及大健康产业将进入蓬勃发展期，医疗</w:t>
      </w:r>
    </w:p>
    <w:p>
      <w:pPr>
        <w:pStyle w:val="BodyText"/>
        <w:spacing w:line="350" w:lineRule="auto" w:before="22"/>
        <w:ind w:right="1012"/>
        <w:jc w:val="left"/>
      </w:pPr>
      <w:r>
        <w:rPr/>
        <w:t>健康产业成为国家支柱型战略产业，政府将继续加大对医疗卫生行业的扶持力度，国家政策</w:t>
      </w:r>
      <w:r>
        <w:rPr>
          <w:spacing w:val="-93"/>
        </w:rPr>
        <w:t> </w:t>
      </w:r>
      <w:r>
        <w:rPr>
          <w:spacing w:val="-93"/>
        </w:rPr>
      </w:r>
      <w:r>
        <w:rPr/>
        <w:t>支持、居民消费能力和健康意识提升、人口老龄化加速以及医疗服务消费结构升级等因素促</w:t>
      </w:r>
      <w:r>
        <w:rPr>
          <w:spacing w:val="-93"/>
        </w:rPr>
        <w:t> </w:t>
      </w:r>
      <w:r>
        <w:rPr>
          <w:spacing w:val="-93"/>
        </w:rPr>
      </w:r>
      <w:r>
        <w:rPr>
          <w:spacing w:val="-7"/>
        </w:rPr>
        <w:t>进了国内健康服务需求的快速增长，医疗与健康产业市场总量持续扩大，根据《</w:t>
      </w:r>
      <w:r>
        <w:rPr>
          <w:rFonts w:ascii="Times New Roman" w:hAnsi="Times New Roman" w:cs="Times New Roman" w:eastAsia="Times New Roman" w:hint="default"/>
          <w:spacing w:val="-7"/>
        </w:rPr>
        <w:t>“</w:t>
      </w:r>
      <w:r>
        <w:rPr>
          <w:spacing w:val="-7"/>
        </w:rPr>
        <w:t>健康中国</w:t>
      </w:r>
      <w:r>
        <w:rPr>
          <w:rFonts w:ascii="Times New Roman" w:hAnsi="Times New Roman" w:cs="Times New Roman" w:eastAsia="Times New Roman" w:hint="default"/>
          <w:spacing w:val="-7"/>
        </w:rPr>
        <w:t>2030”</w:t>
      </w:r>
      <w:r>
        <w:rPr>
          <w:rFonts w:ascii="Times New Roman" w:hAnsi="Times New Roman" w:cs="Times New Roman" w:eastAsia="Times New Roman" w:hint="default"/>
          <w:spacing w:val="-58"/>
        </w:rPr>
        <w:t> </w:t>
      </w:r>
      <w:r>
        <w:rPr/>
        <w:t>规划纲要》规划，</w:t>
      </w:r>
      <w:r>
        <w:rPr>
          <w:rFonts w:ascii="Times New Roman" w:hAnsi="Times New Roman" w:cs="Times New Roman" w:eastAsia="Times New Roman" w:hint="default"/>
        </w:rPr>
        <w:t>2030</w:t>
      </w:r>
      <w:r>
        <w:rPr/>
        <w:t>年我国健康服务产业规模将达到</w:t>
      </w:r>
      <w:r>
        <w:rPr>
          <w:rFonts w:ascii="Times New Roman" w:hAnsi="Times New Roman" w:cs="Times New Roman" w:eastAsia="Times New Roman" w:hint="default"/>
        </w:rPr>
        <w:t>16</w:t>
      </w:r>
      <w:r>
        <w:rPr/>
        <w:t>万亿元以上。</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期间，国家</w:t>
      </w:r>
      <w:r>
        <w:rPr>
          <w:spacing w:val="-71"/>
        </w:rPr>
        <w:t> </w:t>
      </w:r>
      <w:r>
        <w:rPr>
          <w:spacing w:val="-71"/>
        </w:rPr>
      </w:r>
      <w:r>
        <w:rPr/>
        <w:t>政策导向将继续支持医疗健康行业，积极鼓励社会资本参与医疗服务行业，持续推动整个产</w:t>
      </w:r>
      <w:r>
        <w:rPr>
          <w:spacing w:val="-93"/>
        </w:rPr>
        <w:t> </w:t>
      </w:r>
      <w:r>
        <w:rPr>
          <w:spacing w:val="-93"/>
        </w:rPr>
      </w:r>
      <w:r>
        <w:rPr/>
        <w:t>业快速发展。</w:t>
      </w:r>
      <w:r>
        <w:rPr>
          <w:rFonts w:ascii="Times New Roman" w:hAnsi="Times New Roman" w:cs="Times New Roman" w:eastAsia="Times New Roman" w:hint="default"/>
        </w:rPr>
        <w:t>2020</w:t>
      </w:r>
      <w:r>
        <w:rPr/>
        <w:t>年是</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规划的收官之年，加之疫情期间也暴露了部分地区医疗建设</w:t>
      </w:r>
      <w:r>
        <w:rPr>
          <w:spacing w:val="-74"/>
        </w:rPr>
        <w:t> </w:t>
      </w:r>
      <w:r>
        <w:rPr>
          <w:spacing w:val="-74"/>
        </w:rPr>
      </w:r>
      <w:r>
        <w:rPr/>
        <w:t>资源不足的情况，在政策支持与市场需求双因素驱动下，我国医疗市场规模将进一步扩大，</w:t>
      </w:r>
      <w:r>
        <w:rPr>
          <w:spacing w:val="-93"/>
        </w:rPr>
        <w:t> </w:t>
      </w:r>
      <w:r>
        <w:rPr>
          <w:spacing w:val="-93"/>
        </w:rPr>
      </w:r>
      <w:r>
        <w:rPr/>
        <w:t>医疗服务行业迎来新的发展机遇，就细分领域而言，医疗服务、健康保险、养老产业及互联</w:t>
      </w:r>
      <w:r>
        <w:rPr>
          <w:spacing w:val="-93"/>
        </w:rPr>
        <w:t> </w:t>
      </w:r>
      <w:r>
        <w:rPr>
          <w:spacing w:val="-93"/>
        </w:rPr>
      </w:r>
      <w:r>
        <w:rPr/>
        <w:t>网医疗行业有望率先迎来发展机遇。</w:t>
      </w:r>
    </w:p>
    <w:p>
      <w:pPr>
        <w:pStyle w:val="BodyText"/>
        <w:spacing w:line="336" w:lineRule="auto" w:before="46"/>
        <w:ind w:left="633" w:right="0"/>
        <w:jc w:val="left"/>
      </w:pPr>
      <w:r>
        <w:rPr>
          <w:rFonts w:ascii="Times New Roman" w:hAnsi="Times New Roman" w:cs="Times New Roman" w:eastAsia="Times New Roman" w:hint="default"/>
          <w:b/>
          <w:bCs/>
        </w:rPr>
        <w:t>3</w:t>
      </w:r>
      <w:r>
        <w:rPr>
          <w:rFonts w:ascii="宋体" w:hAnsi="宋体" w:cs="宋体" w:eastAsia="宋体" w:hint="default"/>
          <w:b/>
          <w:bCs/>
        </w:rPr>
        <w:t>、环保治理领域</w:t>
      </w:r>
      <w:r>
        <w:rPr>
          <w:rFonts w:ascii="宋体" w:hAnsi="宋体" w:cs="宋体" w:eastAsia="宋体" w:hint="default"/>
          <w:b/>
          <w:bCs/>
          <w:w w:val="99"/>
        </w:rPr>
        <w:t> </w:t>
      </w:r>
      <w:r>
        <w:rPr/>
        <w:t>近年来，国家对环境治理、节能减排的要求日趋严格，将环境保护与治理工作作为社会</w:t>
      </w:r>
    </w:p>
    <w:p>
      <w:pPr>
        <w:pStyle w:val="BodyText"/>
        <w:spacing w:line="240" w:lineRule="auto" w:before="60"/>
        <w:ind w:right="0"/>
        <w:jc w:val="left"/>
      </w:pPr>
      <w:r>
        <w:rPr/>
        <w:t>发展的重要内容，污染物排放控制政策和市场调控政策等相关政策相继出台，环保行业作为</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48" w:lineRule="auto"/>
        <w:ind w:right="1127"/>
        <w:jc w:val="both"/>
      </w:pPr>
      <w:r>
        <w:rPr/>
        <w:t>战略型新兴行业得到足够的重视。根据环保十三五规划，在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期间将实施《大气污染</w:t>
      </w:r>
      <w:r>
        <w:rPr>
          <w:spacing w:val="-65"/>
        </w:rPr>
        <w:t> </w:t>
      </w:r>
      <w:r>
        <w:rPr>
          <w:spacing w:val="-65"/>
        </w:rPr>
      </w:r>
      <w:r>
        <w:rPr/>
        <w:t>防治行动计划》、《水污染防治行动计划》和《土壤污染防治行动计划》三大行动计划，分</w:t>
      </w:r>
      <w:r>
        <w:rPr>
          <w:spacing w:val="-93"/>
        </w:rPr>
        <w:t> </w:t>
      </w:r>
      <w:r>
        <w:rPr>
          <w:spacing w:val="-93"/>
        </w:rPr>
      </w:r>
      <w:r>
        <w:rPr/>
        <w:t>区域持续改善环境质量。随着环境政策、管理体系的逐步构建完善，我国环境产业的内生动</w:t>
      </w:r>
      <w:r>
        <w:rPr>
          <w:spacing w:val="-93"/>
        </w:rPr>
        <w:t> </w:t>
      </w:r>
      <w:r>
        <w:rPr>
          <w:spacing w:val="-93"/>
        </w:rPr>
      </w:r>
      <w:r>
        <w:rPr>
          <w:spacing w:val="-6"/>
        </w:rPr>
        <w:t>力正不断释放，环保工作从</w:t>
      </w:r>
      <w:r>
        <w:rPr>
          <w:rFonts w:ascii="Times New Roman" w:hAnsi="Times New Roman" w:cs="Times New Roman" w:eastAsia="Times New Roman" w:hint="default"/>
          <w:spacing w:val="-6"/>
        </w:rPr>
        <w:t>“</w:t>
      </w:r>
      <w:r>
        <w:rPr>
          <w:spacing w:val="-6"/>
        </w:rPr>
        <w:t>被动</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2"/>
        </w:rPr>
        <w:t> </w:t>
      </w:r>
      <w:r>
        <w:rPr>
          <w:spacing w:val="-6"/>
        </w:rPr>
        <w:t>变为</w:t>
      </w:r>
      <w:r>
        <w:rPr>
          <w:rFonts w:ascii="Times New Roman" w:hAnsi="Times New Roman" w:cs="Times New Roman" w:eastAsia="Times New Roman" w:hint="default"/>
          <w:spacing w:val="-6"/>
        </w:rPr>
        <w:t>“</w:t>
      </w:r>
      <w:r>
        <w:rPr>
          <w:spacing w:val="-6"/>
        </w:rPr>
        <w:t>主动</w:t>
      </w:r>
      <w:r>
        <w:rPr>
          <w:rFonts w:ascii="Times New Roman" w:hAnsi="Times New Roman" w:cs="Times New Roman" w:eastAsia="Times New Roman" w:hint="default"/>
          <w:spacing w:val="-6"/>
        </w:rPr>
        <w:t>”</w:t>
      </w:r>
      <w:r>
        <w:rPr>
          <w:spacing w:val="-6"/>
        </w:rPr>
        <w:t>，为整个环境产业的发展提供了巨大动能。</w:t>
      </w:r>
      <w:r>
        <w:rPr>
          <w:rFonts w:ascii="Times New Roman" w:hAnsi="Times New Roman" w:cs="Times New Roman" w:eastAsia="Times New Roman" w:hint="default"/>
          <w:spacing w:val="-6"/>
        </w:rPr>
        <w:t>2020</w:t>
      </w:r>
      <w:r>
        <w:rPr>
          <w:rFonts w:ascii="Times New Roman" w:hAnsi="Times New Roman" w:cs="Times New Roman" w:eastAsia="Times New Roman" w:hint="default"/>
          <w:spacing w:val="-58"/>
        </w:rPr>
        <w:t> </w:t>
      </w:r>
      <w:r>
        <w:rPr/>
        <w:t>年更是环保攻坚年，业务的发展将保持持续性的增长。</w:t>
      </w:r>
    </w:p>
    <w:p>
      <w:pPr>
        <w:pStyle w:val="BodyText"/>
        <w:spacing w:line="357" w:lineRule="auto" w:before="43"/>
        <w:ind w:right="1132" w:firstLine="480"/>
        <w:jc w:val="both"/>
      </w:pPr>
      <w:r>
        <w:rPr/>
        <w:t>从近两年环保行业的发展来看，单体项目规模变得越来越大，服务要求变得越来越综合 化。在业务形态上，环境服务业比例将会逐渐增加，这是环保产业回归本质标志，也是意味</w:t>
      </w:r>
      <w:r>
        <w:rPr>
          <w:spacing w:val="-93"/>
        </w:rPr>
        <w:t> </w:t>
      </w:r>
      <w:r>
        <w:rPr>
          <w:spacing w:val="-93"/>
        </w:rPr>
      </w:r>
      <w:r>
        <w:rPr/>
        <w:t>着行业正在走向成熟。在成熟的环保行业业态下，专业化和整合能力将会是环保行业公司重</w:t>
      </w:r>
      <w:r>
        <w:rPr>
          <w:spacing w:val="-89"/>
        </w:rPr>
        <w:t> </w:t>
      </w:r>
      <w:r>
        <w:rPr>
          <w:spacing w:val="-89"/>
        </w:rPr>
      </w:r>
      <w:r>
        <w:rPr/>
        <w:t>点打造的能力。</w:t>
      </w:r>
    </w:p>
    <w:p>
      <w:pPr>
        <w:pStyle w:val="BodyText"/>
        <w:spacing w:line="360" w:lineRule="auto" w:before="34"/>
        <w:ind w:left="633" w:right="0"/>
        <w:jc w:val="left"/>
      </w:pPr>
      <w:r>
        <w:rPr>
          <w:rFonts w:ascii="宋体" w:hAnsi="宋体" w:cs="宋体" w:eastAsia="宋体" w:hint="default"/>
          <w:b/>
          <w:bCs/>
          <w:color w:val="0D0D0D"/>
        </w:rPr>
        <w:t>（二）发展战略</w:t>
      </w:r>
      <w:r>
        <w:rPr>
          <w:rFonts w:ascii="宋体" w:hAnsi="宋体" w:cs="宋体" w:eastAsia="宋体" w:hint="default"/>
          <w:b/>
          <w:bCs/>
          <w:color w:val="0D0D0D"/>
          <w:w w:val="99"/>
        </w:rPr>
        <w:t> </w:t>
      </w:r>
      <w:r>
        <w:rPr>
          <w:spacing w:val="-5"/>
        </w:rPr>
        <w:t>公司发展理念：深化</w:t>
      </w:r>
      <w:r>
        <w:rPr>
          <w:rFonts w:ascii="Times New Roman" w:hAnsi="Times New Roman" w:cs="Times New Roman" w:eastAsia="Times New Roman" w:hint="default"/>
          <w:spacing w:val="-5"/>
        </w:rPr>
        <w:t>“</w:t>
      </w:r>
      <w:r>
        <w:rPr>
          <w:spacing w:val="-5"/>
        </w:rPr>
        <w:t>前瞻性意识、创新型管理、思路决定道路、战略成就发展</w:t>
      </w:r>
      <w:r>
        <w:rPr>
          <w:rFonts w:ascii="Times New Roman" w:hAnsi="Times New Roman" w:cs="Times New Roman" w:eastAsia="Times New Roman" w:hint="default"/>
          <w:spacing w:val="-5"/>
        </w:rPr>
        <w:t>”</w:t>
      </w:r>
      <w:r>
        <w:rPr>
          <w:spacing w:val="-5"/>
        </w:rPr>
        <w:t>等理念，</w:t>
      </w:r>
    </w:p>
    <w:p>
      <w:pPr>
        <w:pStyle w:val="BodyText"/>
        <w:spacing w:line="357" w:lineRule="auto" w:before="0"/>
        <w:ind w:right="1136"/>
        <w:jc w:val="both"/>
      </w:pPr>
      <w:r>
        <w:rPr/>
        <w:t>构建前瞻性发展战略，秉承创业精神，以创新为驱动力，以满足用户需求为导向，通过构建</w:t>
      </w:r>
      <w:r>
        <w:rPr>
          <w:spacing w:val="-93"/>
        </w:rPr>
        <w:t> </w:t>
      </w:r>
      <w:r>
        <w:rPr>
          <w:spacing w:val="-93"/>
        </w:rPr>
      </w:r>
      <w:r>
        <w:rPr/>
        <w:t>核心竞争力，利用先进互联网技术和管理理念全面提升经营管理能力，建立资源平台，构建</w:t>
      </w:r>
      <w:r>
        <w:rPr>
          <w:spacing w:val="-93"/>
        </w:rPr>
        <w:t> </w:t>
      </w:r>
      <w:r>
        <w:rPr>
          <w:spacing w:val="-93"/>
        </w:rPr>
      </w:r>
      <w:r>
        <w:rPr/>
        <w:t>市场领导地位，引领行业发展。</w:t>
      </w:r>
    </w:p>
    <w:p>
      <w:pPr>
        <w:pStyle w:val="BodyText"/>
        <w:spacing w:line="355" w:lineRule="auto" w:before="38"/>
        <w:ind w:right="1141" w:firstLine="480"/>
        <w:jc w:val="both"/>
      </w:pPr>
      <w:r>
        <w:rPr/>
        <w:t>公司战略目标：成为一流高科技企业，实现公司持续发展，不断为社会、股东、员工和 相关方创造价值。</w:t>
      </w:r>
    </w:p>
    <w:p>
      <w:pPr>
        <w:pStyle w:val="BodyText"/>
        <w:spacing w:line="357" w:lineRule="auto" w:before="41"/>
        <w:ind w:right="1010" w:firstLine="480"/>
        <w:jc w:val="both"/>
      </w:pPr>
      <w:r>
        <w:rPr/>
        <w:t>公司未来发展战略为：由创新战略、协同战略、营销战略、品牌战略、研发和人才驱动 战略构建了公司未来发展的五大战略。以持续构建高新、高端、高效为抓手，围绕以客户需</w:t>
      </w:r>
      <w:r>
        <w:rPr>
          <w:spacing w:val="-93"/>
        </w:rPr>
        <w:t> </w:t>
      </w:r>
      <w:r>
        <w:rPr>
          <w:spacing w:val="-93"/>
        </w:rPr>
      </w:r>
      <w:r>
        <w:rPr/>
        <w:t>求为中心，以激励价值创造的奋斗者为导向全面提升公司经营管理竞争力。在立信、精业、</w:t>
      </w:r>
      <w:r>
        <w:rPr>
          <w:spacing w:val="-93"/>
        </w:rPr>
        <w:t> </w:t>
      </w:r>
      <w:r>
        <w:rPr>
          <w:spacing w:val="-93"/>
        </w:rPr>
      </w:r>
      <w:r>
        <w:rPr>
          <w:spacing w:val="-2"/>
        </w:rPr>
        <w:t>兼容、至善的核心文化指引下不断向成为数据中心整体解决方案最佳服务提供商的目标迈进。</w:t>
      </w:r>
    </w:p>
    <w:p>
      <w:pPr>
        <w:pStyle w:val="BodyText"/>
        <w:spacing w:line="355" w:lineRule="auto" w:before="39"/>
        <w:ind w:right="1141" w:firstLine="480"/>
        <w:jc w:val="both"/>
      </w:pPr>
      <w:r>
        <w:rPr/>
        <w:t>新经济背景，面对内、外部环境，依米康完成了战略更新，新战略、新举措将加快依米 康发展步伐，为公司持续发展奠定基础。</w:t>
      </w:r>
    </w:p>
    <w:p>
      <w:pPr>
        <w:pStyle w:val="Heading2"/>
        <w:spacing w:line="240" w:lineRule="auto" w:before="41"/>
        <w:ind w:left="633" w:right="0"/>
        <w:jc w:val="left"/>
        <w:rPr>
          <w:b w:val="0"/>
          <w:bCs w:val="0"/>
        </w:rPr>
      </w:pPr>
      <w:r>
        <w:rPr>
          <w:color w:val="0D0D0D"/>
        </w:rPr>
        <w:t>（三）</w:t>
      </w:r>
      <w:r>
        <w:rPr>
          <w:rFonts w:ascii="Times New Roman" w:hAnsi="Times New Roman" w:cs="Times New Roman" w:eastAsia="Times New Roman" w:hint="default"/>
          <w:color w:val="0D0D0D"/>
        </w:rPr>
        <w:t>2020</w:t>
      </w:r>
      <w:r>
        <w:rPr>
          <w:color w:val="0D0D0D"/>
        </w:rPr>
        <w:t>年的经营计划及资金计划</w:t>
      </w:r>
      <w:r>
        <w:rPr>
          <w:b w:val="0"/>
          <w:bCs w:val="0"/>
        </w:rPr>
      </w:r>
    </w:p>
    <w:p>
      <w:pPr>
        <w:pStyle w:val="Heading2"/>
        <w:spacing w:line="240" w:lineRule="auto" w:before="133"/>
        <w:ind w:left="633" w:right="0"/>
        <w:jc w:val="left"/>
        <w:rPr>
          <w:b w:val="0"/>
          <w:bCs w:val="0"/>
        </w:rPr>
      </w:pPr>
      <w:r>
        <w:rPr/>
        <w:t>（</w:t>
      </w:r>
      <w:r>
        <w:rPr>
          <w:rFonts w:ascii="Times New Roman" w:hAnsi="Times New Roman" w:cs="Times New Roman" w:eastAsia="Times New Roman" w:hint="default"/>
        </w:rPr>
        <w:t>1</w:t>
      </w:r>
      <w:r>
        <w:rPr/>
        <w:t>）经营计划</w:t>
      </w:r>
      <w:r>
        <w:rPr>
          <w:b w:val="0"/>
          <w:bCs w:val="0"/>
        </w:rPr>
      </w:r>
    </w:p>
    <w:p>
      <w:pPr>
        <w:pStyle w:val="BodyText"/>
        <w:spacing w:line="350" w:lineRule="auto" w:before="138"/>
        <w:ind w:right="1135" w:firstLine="480"/>
        <w:jc w:val="both"/>
      </w:pPr>
      <w:r>
        <w:rPr>
          <w:rFonts w:ascii="Times New Roman" w:hAnsi="Times New Roman" w:cs="Times New Roman" w:eastAsia="Times New Roman" w:hint="default"/>
        </w:rPr>
        <w:t>2020</w:t>
      </w:r>
      <w:r>
        <w:rPr/>
        <w:t>年公司总体经营计划包括：继续提升经营管理能力；加强研发管理水平，提升产品 竞争力和开发新产品；开发新市场提升公司营销能力；加强品牌管理提升客户满意度和市场</w:t>
      </w:r>
      <w:r>
        <w:rPr>
          <w:spacing w:val="-93"/>
        </w:rPr>
        <w:t> </w:t>
      </w:r>
      <w:r>
        <w:rPr>
          <w:spacing w:val="-93"/>
        </w:rPr>
      </w:r>
      <w:r>
        <w:rPr/>
        <w:t>竞争力；加强公司财务管理，提升公司运营保障能力；推行卓越绩效管理，提升公司业绩指</w:t>
      </w:r>
      <w:r>
        <w:rPr>
          <w:spacing w:val="-93"/>
        </w:rPr>
        <w:t> </w:t>
      </w:r>
      <w:r>
        <w:rPr>
          <w:spacing w:val="-93"/>
        </w:rPr>
      </w:r>
      <w:r>
        <w:rPr/>
        <w:t>标和盈利能力；持续开展公司社会责任规划和落实；持续开展企业文化建设。</w:t>
      </w:r>
    </w:p>
    <w:p>
      <w:pPr>
        <w:pStyle w:val="BodyText"/>
        <w:spacing w:line="240" w:lineRule="auto" w:before="46"/>
        <w:ind w:left="633" w:right="0"/>
        <w:jc w:val="left"/>
      </w:pPr>
      <w:r>
        <w:rPr>
          <w:rFonts w:ascii="Times New Roman" w:hAnsi="Times New Roman" w:cs="Times New Roman" w:eastAsia="Times New Roman" w:hint="default"/>
        </w:rPr>
        <w:t>2020</w:t>
      </w:r>
      <w:r>
        <w:rPr/>
        <w:t>年公司业绩规划：聚焦数据中心核心业务增长优势，同时促进其他业务共同增长，</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240" w:lineRule="auto"/>
        <w:ind w:right="0"/>
        <w:jc w:val="both"/>
      </w:pPr>
      <w:r>
        <w:rPr/>
        <w:t>为公司持续发展目标和战略目标夯实基础。</w:t>
      </w:r>
    </w:p>
    <w:p>
      <w:pPr>
        <w:pStyle w:val="BodyText"/>
        <w:spacing w:line="340" w:lineRule="auto" w:before="151"/>
        <w:ind w:left="633"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）预算与资金计划</w:t>
      </w:r>
      <w:r>
        <w:rPr>
          <w:rFonts w:ascii="宋体" w:hAnsi="宋体" w:cs="宋体" w:eastAsia="宋体" w:hint="default"/>
          <w:b/>
          <w:bCs/>
          <w:w w:val="99"/>
        </w:rPr>
        <w:t> </w:t>
      </w:r>
      <w:r>
        <w:rPr>
          <w:spacing w:val="-1"/>
        </w:rPr>
        <w:t>根据</w:t>
      </w:r>
      <w:r>
        <w:rPr>
          <w:rFonts w:ascii="Times New Roman" w:hAnsi="Times New Roman" w:cs="Times New Roman" w:eastAsia="Times New Roman" w:hint="default"/>
          <w:spacing w:val="-1"/>
        </w:rPr>
        <w:t>2020</w:t>
      </w:r>
      <w:r>
        <w:rPr>
          <w:spacing w:val="-1"/>
        </w:rPr>
        <w:t>年经营计划，公司拟申请总额不超过</w:t>
      </w:r>
      <w:r>
        <w:rPr>
          <w:rFonts w:ascii="Times New Roman" w:hAnsi="Times New Roman" w:cs="Times New Roman" w:eastAsia="Times New Roman" w:hint="default"/>
          <w:spacing w:val="-1"/>
        </w:rPr>
        <w:t>136,600</w:t>
      </w:r>
      <w:r>
        <w:rPr>
          <w:spacing w:val="-1"/>
        </w:rPr>
        <w:t>万元的综合授信以满足日常经营的</w:t>
      </w:r>
    </w:p>
    <w:p>
      <w:pPr>
        <w:pStyle w:val="BodyText"/>
        <w:spacing w:line="357" w:lineRule="auto" w:before="21"/>
        <w:ind w:right="1130"/>
        <w:jc w:val="both"/>
      </w:pPr>
      <w:r>
        <w:rPr/>
        <w:t>资金需求；超出上述范围的重大融资事项，公司将根据开展的融资租赁、重大投资等事项的</w:t>
      </w:r>
      <w:r>
        <w:rPr>
          <w:spacing w:val="-93"/>
        </w:rPr>
        <w:t> </w:t>
      </w:r>
      <w:r>
        <w:rPr>
          <w:spacing w:val="-93"/>
        </w:rPr>
      </w:r>
      <w:r>
        <w:rPr>
          <w:spacing w:val="-5"/>
        </w:rPr>
        <w:t>融资方案另行审议。同时，公司将强化应收款管理，提高资金使用效率，合理利用现有资金，</w:t>
      </w:r>
      <w:r>
        <w:rPr/>
        <w:t> 制定多渠道的资金筹措方案，实现股东利益最大化。</w:t>
      </w:r>
    </w:p>
    <w:p>
      <w:pPr>
        <w:pStyle w:val="BodyText"/>
        <w:spacing w:line="355" w:lineRule="auto" w:before="39"/>
        <w:ind w:left="633" w:right="0"/>
        <w:jc w:val="left"/>
      </w:pPr>
      <w:r>
        <w:rPr>
          <w:rFonts w:ascii="宋体" w:hAnsi="宋体" w:cs="宋体" w:eastAsia="宋体" w:hint="default"/>
          <w:b/>
          <w:bCs/>
        </w:rPr>
        <w:t>（四）风险提示</w:t>
      </w:r>
      <w:r>
        <w:rPr>
          <w:rFonts w:ascii="宋体" w:hAnsi="宋体" w:cs="宋体" w:eastAsia="宋体" w:hint="default"/>
          <w:b/>
          <w:bCs/>
          <w:w w:val="99"/>
        </w:rPr>
        <w:t> </w:t>
      </w:r>
      <w:r>
        <w:rPr/>
        <w:t>本报告中如有涉及未来的计划、业绩预测等方面的内容，均不构成本公司对投资者的实</w:t>
      </w:r>
    </w:p>
    <w:p>
      <w:pPr>
        <w:pStyle w:val="BodyText"/>
        <w:spacing w:line="355" w:lineRule="auto" w:before="41"/>
        <w:ind w:right="1136"/>
        <w:jc w:val="both"/>
      </w:pPr>
      <w:r>
        <w:rPr/>
        <w:t>质性承诺；投资者及相关人士均应当对此保持足够的风险认识，并应当理解计划、预测与承</w:t>
      </w:r>
      <w:r>
        <w:rPr>
          <w:spacing w:val="-93"/>
        </w:rPr>
        <w:t> </w:t>
      </w:r>
      <w:r>
        <w:rPr>
          <w:spacing w:val="-93"/>
        </w:rPr>
      </w:r>
      <w:r>
        <w:rPr/>
        <w:t>诺之间的差异。</w:t>
      </w:r>
    </w:p>
    <w:p>
      <w:pPr>
        <w:spacing w:line="336" w:lineRule="auto" w:before="41"/>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、大项目延迟实施风险及应对措施</w:t>
      </w:r>
      <w:r>
        <w:rPr>
          <w:rFonts w:ascii="宋体" w:hAnsi="宋体" w:cs="宋体" w:eastAsia="宋体" w:hint="default"/>
          <w:b/>
          <w:bCs/>
          <w:w w:val="99"/>
          <w:sz w:val="24"/>
          <w:szCs w:val="24"/>
        </w:rPr>
        <w:t> </w:t>
      </w:r>
      <w:r>
        <w:rPr>
          <w:rFonts w:ascii="宋体" w:hAnsi="宋体" w:cs="宋体" w:eastAsia="宋体" w:hint="default"/>
          <w:sz w:val="24"/>
          <w:szCs w:val="24"/>
        </w:rPr>
        <w:t>公司在信息化领域定位于</w:t>
      </w:r>
      <w:r>
        <w:rPr>
          <w:rFonts w:ascii="Times New Roman" w:hAnsi="Times New Roman" w:cs="Times New Roman" w:eastAsia="Times New Roman" w:hint="default"/>
          <w:sz w:val="24"/>
          <w:szCs w:val="24"/>
        </w:rPr>
        <w:t>“</w:t>
      </w:r>
      <w:r>
        <w:rPr>
          <w:rFonts w:ascii="宋体" w:hAnsi="宋体" w:cs="宋体" w:eastAsia="宋体" w:hint="default"/>
          <w:sz w:val="24"/>
          <w:szCs w:val="24"/>
        </w:rPr>
        <w:t>成为云计算基础设施全生命周期最佳服务商</w:t>
      </w:r>
      <w:r>
        <w:rPr>
          <w:rFonts w:ascii="Times New Roman" w:hAnsi="Times New Roman" w:cs="Times New Roman" w:eastAsia="Times New Roman" w:hint="default"/>
          <w:sz w:val="24"/>
          <w:szCs w:val="24"/>
        </w:rPr>
        <w:t>”</w:t>
      </w:r>
      <w:r>
        <w:rPr>
          <w:rFonts w:ascii="宋体" w:hAnsi="宋体" w:cs="宋体" w:eastAsia="宋体" w:hint="default"/>
          <w:sz w:val="24"/>
          <w:szCs w:val="24"/>
        </w:rPr>
        <w:t>，随着公司业务</w:t>
      </w:r>
    </w:p>
    <w:p>
      <w:pPr>
        <w:pStyle w:val="BodyText"/>
        <w:spacing w:line="357" w:lineRule="auto" w:before="32"/>
        <w:ind w:right="1130"/>
        <w:jc w:val="both"/>
      </w:pPr>
      <w:r>
        <w:rPr/>
        <w:t>的不断发展，产业链布局和完整智慧解决方案进一步完善，公司业务包括云计算数据中心基</w:t>
      </w:r>
      <w:r>
        <w:rPr>
          <w:spacing w:val="-93"/>
        </w:rPr>
        <w:t> </w:t>
      </w:r>
      <w:r>
        <w:rPr>
          <w:spacing w:val="-93"/>
        </w:rPr>
      </w:r>
      <w:r>
        <w:rPr/>
        <w:t>础设施精密空调、微模块数据中心、磁悬浮冷机等关键保障设备研发、制造，运营智慧软件</w:t>
      </w:r>
      <w:r>
        <w:rPr>
          <w:spacing w:val="-93"/>
        </w:rPr>
        <w:t> </w:t>
      </w:r>
      <w:r>
        <w:rPr>
          <w:spacing w:val="-93"/>
        </w:rPr>
      </w:r>
      <w:r>
        <w:rPr/>
        <w:t>平台，以及架构、设计、实施、运维管理整体解决方案和大数据挖掘应用的完整布局。随着</w:t>
      </w:r>
      <w:r>
        <w:rPr>
          <w:spacing w:val="-93"/>
        </w:rPr>
        <w:t> </w:t>
      </w:r>
      <w:r>
        <w:rPr>
          <w:spacing w:val="-93"/>
        </w:rPr>
      </w:r>
      <w:r>
        <w:rPr/>
        <w:t>公司技术和交付能力提升，品牌影响力加大，公司承接项目规模有较大程度增长，大项目可</w:t>
      </w:r>
      <w:r>
        <w:rPr>
          <w:spacing w:val="-93"/>
        </w:rPr>
        <w:t> </w:t>
      </w:r>
      <w:r>
        <w:rPr>
          <w:spacing w:val="-93"/>
        </w:rPr>
      </w:r>
      <w:r>
        <w:rPr>
          <w:spacing w:val="-5"/>
        </w:rPr>
        <w:t>能会因为业主方的资金和方案调整导致项目实施周期延长的风险。同时，受春节后疫情影响，</w:t>
      </w:r>
      <w:r>
        <w:rPr>
          <w:spacing w:val="-117"/>
        </w:rPr>
        <w:t> </w:t>
      </w:r>
      <w:r>
        <w:rPr>
          <w:spacing w:val="-117"/>
        </w:rPr>
      </w:r>
      <w:r>
        <w:rPr/>
        <w:t>公司部分在建大项目无法入场安装或施工，施工进度较原定计划延期或滞后，加大了大项目</w:t>
      </w:r>
      <w:r>
        <w:rPr>
          <w:spacing w:val="-93"/>
        </w:rPr>
        <w:t> </w:t>
      </w:r>
      <w:r>
        <w:rPr>
          <w:spacing w:val="-93"/>
        </w:rPr>
      </w:r>
      <w:r>
        <w:rPr/>
        <w:t>延迟实施风险。</w:t>
      </w:r>
    </w:p>
    <w:p>
      <w:pPr>
        <w:pStyle w:val="BodyText"/>
        <w:spacing w:line="357" w:lineRule="auto" w:before="34"/>
        <w:ind w:right="1136" w:firstLine="480"/>
        <w:jc w:val="both"/>
      </w:pPr>
      <w:r>
        <w:rPr/>
        <w:t>应对措施：公司将加强对业主方项目前期尽调，加强与业主方沟通，增强对项目前期尽 调的能力，把握行业趋势变化，谨慎选择项目，以及在实施过程中及时调整方案规避风险。</w:t>
      </w:r>
      <w:r>
        <w:rPr>
          <w:spacing w:val="-93"/>
        </w:rPr>
        <w:t> </w:t>
      </w:r>
      <w:r>
        <w:rPr>
          <w:spacing w:val="-93"/>
        </w:rPr>
      </w:r>
      <w:r>
        <w:rPr/>
        <w:t>同时面对突发的不可抗力风险，公司也将在政策范围允许内，及时做好应对及防范措施，以</w:t>
      </w:r>
      <w:r>
        <w:rPr>
          <w:spacing w:val="-93"/>
        </w:rPr>
        <w:t> </w:t>
      </w:r>
      <w:r>
        <w:rPr>
          <w:spacing w:val="-93"/>
        </w:rPr>
      </w:r>
      <w:r>
        <w:rPr/>
        <w:t>尽可能的降低风险。</w:t>
      </w:r>
    </w:p>
    <w:p>
      <w:pPr>
        <w:spacing w:line="340" w:lineRule="auto" w:before="34"/>
        <w:ind w:left="633" w:right="0" w:firstLine="105"/>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、资金筹措不能满足经营增长导致经营管理目标不能达成的风险及应对措施</w:t>
      </w:r>
      <w:r>
        <w:rPr>
          <w:rFonts w:ascii="宋体" w:hAnsi="宋体" w:cs="宋体" w:eastAsia="宋体" w:hint="default"/>
          <w:b/>
          <w:bCs/>
          <w:w w:val="99"/>
          <w:sz w:val="24"/>
          <w:szCs w:val="24"/>
        </w:rPr>
        <w:t> </w:t>
      </w:r>
      <w:r>
        <w:rPr>
          <w:rFonts w:ascii="宋体" w:hAnsi="宋体" w:cs="宋体" w:eastAsia="宋体" w:hint="default"/>
          <w:sz w:val="24"/>
          <w:szCs w:val="24"/>
        </w:rPr>
        <w:t>根据</w:t>
      </w:r>
      <w:r>
        <w:rPr>
          <w:rFonts w:ascii="Times New Roman" w:hAnsi="Times New Roman" w:cs="Times New Roman" w:eastAsia="Times New Roman" w:hint="default"/>
          <w:sz w:val="24"/>
          <w:szCs w:val="24"/>
        </w:rPr>
        <w:t>2020</w:t>
      </w:r>
      <w:r>
        <w:rPr>
          <w:rFonts w:ascii="宋体" w:hAnsi="宋体" w:cs="宋体" w:eastAsia="宋体" w:hint="default"/>
          <w:sz w:val="24"/>
          <w:szCs w:val="24"/>
        </w:rPr>
        <w:t>年度公司的经营计划，公司及子公司经营规模将持续扩大，按计划实施对外投</w:t>
      </w:r>
    </w:p>
    <w:p>
      <w:pPr>
        <w:pStyle w:val="BodyText"/>
        <w:spacing w:line="360" w:lineRule="auto" w:before="21"/>
        <w:ind w:right="1136"/>
        <w:jc w:val="both"/>
      </w:pPr>
      <w:r>
        <w:rPr/>
        <w:t>资计划以及项目的落地将增加公司经营资金需求，若资金筹措不及时将造成公司既定的各项</w:t>
      </w:r>
      <w:r>
        <w:rPr>
          <w:spacing w:val="-93"/>
        </w:rPr>
        <w:t> </w:t>
      </w:r>
      <w:r>
        <w:rPr>
          <w:spacing w:val="-93"/>
        </w:rPr>
      </w:r>
      <w:r>
        <w:rPr/>
        <w:t>经营计划不能顺利开展从而导致经营管理目标不能达成。</w:t>
      </w:r>
    </w:p>
    <w:p>
      <w:pPr>
        <w:pStyle w:val="BodyText"/>
        <w:spacing w:line="360" w:lineRule="auto" w:before="32"/>
        <w:ind w:right="1136" w:firstLine="480"/>
        <w:jc w:val="both"/>
      </w:pPr>
      <w:r>
        <w:rPr/>
        <w:t>应对措施：公司将科学、谨慎地评估、审批各项经营计划的资金需求；积极拓宽融资渠 道及融资方式；适度终止部分影响现金流的对外投资项目，同时公司还将强化应收账款的管</w:t>
      </w:r>
    </w:p>
    <w:p>
      <w:pPr>
        <w:spacing w:after="0" w:line="360"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spacing w:line="348" w:lineRule="auto" w:before="26"/>
        <w:ind w:left="633" w:right="0" w:hanging="480"/>
        <w:jc w:val="left"/>
        <w:rPr>
          <w:rFonts w:ascii="宋体" w:hAnsi="宋体" w:cs="宋体" w:eastAsia="宋体" w:hint="default"/>
          <w:sz w:val="24"/>
          <w:szCs w:val="24"/>
        </w:rPr>
      </w:pPr>
      <w:r>
        <w:rPr>
          <w:rFonts w:ascii="宋体" w:hAnsi="宋体" w:cs="宋体" w:eastAsia="宋体" w:hint="default"/>
          <w:sz w:val="24"/>
          <w:szCs w:val="24"/>
        </w:rPr>
        <w:t>理，持续推动应收账款回收工作，进一步提高资金使用效率。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、应收账款总额较大降低公司资金周转速度和运营效率的风险及应对措施</w:t>
      </w:r>
      <w:r>
        <w:rPr>
          <w:rFonts w:ascii="宋体" w:hAnsi="宋体" w:cs="宋体" w:eastAsia="宋体" w:hint="default"/>
          <w:b/>
          <w:bCs/>
          <w:w w:val="99"/>
          <w:sz w:val="24"/>
          <w:szCs w:val="24"/>
        </w:rPr>
        <w:t> </w:t>
      </w:r>
      <w:r>
        <w:rPr>
          <w:rFonts w:ascii="宋体" w:hAnsi="宋体" w:cs="宋体" w:eastAsia="宋体" w:hint="default"/>
          <w:spacing w:val="-6"/>
          <w:sz w:val="24"/>
          <w:szCs w:val="24"/>
        </w:rPr>
        <w:t>报告期内，随着公司业务规模的持续扩大，近三年以来公司应收账款一直保持较高水平。</w:t>
      </w:r>
    </w:p>
    <w:p>
      <w:pPr>
        <w:pStyle w:val="BodyText"/>
        <w:spacing w:line="345" w:lineRule="auto" w:before="43"/>
        <w:ind w:right="1127"/>
        <w:jc w:val="both"/>
      </w:pPr>
      <w:r>
        <w:rPr>
          <w:rFonts w:ascii="Times New Roman" w:hAnsi="Times New Roman" w:cs="Times New Roman" w:eastAsia="Times New Roman" w:hint="default"/>
        </w:rPr>
        <w:t>2017</w:t>
      </w:r>
      <w:r>
        <w:rPr/>
        <w:t>年末、</w:t>
      </w:r>
      <w:r>
        <w:rPr>
          <w:rFonts w:ascii="Times New Roman" w:hAnsi="Times New Roman" w:cs="Times New Roman" w:eastAsia="Times New Roman" w:hint="default"/>
        </w:rPr>
        <w:t>2018</w:t>
      </w:r>
      <w:r>
        <w:rPr/>
        <w:t>年末、本报告期末，公司应收账款总额分别为</w:t>
      </w:r>
      <w:r>
        <w:rPr>
          <w:rFonts w:ascii="Times New Roman" w:hAnsi="Times New Roman" w:cs="Times New Roman" w:eastAsia="Times New Roman" w:hint="default"/>
        </w:rPr>
        <w:t>102,012.55</w:t>
      </w:r>
      <w:r>
        <w:rPr/>
        <w:t>万元、</w:t>
      </w:r>
      <w:r>
        <w:rPr>
          <w:rFonts w:ascii="Times New Roman" w:hAnsi="Times New Roman" w:cs="Times New Roman" w:eastAsia="Times New Roman" w:hint="default"/>
        </w:rPr>
        <w:t>118,662.97</w:t>
      </w:r>
      <w:r>
        <w:rPr/>
        <w:t>万</w:t>
      </w:r>
      <w:r>
        <w:rPr>
          <w:spacing w:val="-85"/>
        </w:rPr>
        <w:t> </w:t>
      </w:r>
      <w:r>
        <w:rPr/>
        <w:t>元、</w:t>
      </w:r>
      <w:r>
        <w:rPr>
          <w:rFonts w:ascii="Times New Roman" w:hAnsi="Times New Roman" w:cs="Times New Roman" w:eastAsia="Times New Roman" w:hint="default"/>
        </w:rPr>
        <w:t>106,600.52</w:t>
      </w:r>
      <w:r>
        <w:rPr/>
        <w:t>万元，占资产总额的比例分别为</w:t>
      </w:r>
      <w:r>
        <w:rPr>
          <w:rFonts w:ascii="Times New Roman" w:hAnsi="Times New Roman" w:cs="Times New Roman" w:eastAsia="Times New Roman" w:hint="default"/>
        </w:rPr>
        <w:t>40.75%</w:t>
      </w:r>
      <w:r>
        <w:rPr/>
        <w:t>、</w:t>
      </w:r>
      <w:r>
        <w:rPr>
          <w:rFonts w:ascii="Times New Roman" w:hAnsi="Times New Roman" w:cs="Times New Roman" w:eastAsia="Times New Roman" w:hint="default"/>
        </w:rPr>
        <w:t>40.27%</w:t>
      </w:r>
      <w:r>
        <w:rPr/>
        <w:t>、</w:t>
      </w:r>
      <w:r>
        <w:rPr>
          <w:rFonts w:ascii="Times New Roman" w:hAnsi="Times New Roman" w:cs="Times New Roman" w:eastAsia="Times New Roman" w:hint="default"/>
        </w:rPr>
        <w:t>37.92%</w:t>
      </w:r>
      <w:r>
        <w:rPr/>
        <w:t>，如果应收账款不</w:t>
      </w:r>
      <w:r>
        <w:rPr>
          <w:spacing w:val="-35"/>
        </w:rPr>
        <w:t> </w:t>
      </w:r>
      <w:r>
        <w:rPr>
          <w:spacing w:val="-35"/>
        </w:rPr>
      </w:r>
      <w:r>
        <w:rPr/>
        <w:t>能及时收回，将对公司资产质量及财务状况产生不利影响，同时会降低公司资金周转速度与</w:t>
      </w:r>
      <w:r>
        <w:rPr>
          <w:spacing w:val="-93"/>
        </w:rPr>
        <w:t> </w:t>
      </w:r>
      <w:r>
        <w:rPr>
          <w:spacing w:val="-93"/>
        </w:rPr>
      </w:r>
      <w:r>
        <w:rPr/>
        <w:t>运营效率，从而限制公司经营活动的正常开展、直接影响经营业绩。</w:t>
      </w:r>
    </w:p>
    <w:p>
      <w:pPr>
        <w:pStyle w:val="BodyText"/>
        <w:spacing w:line="240" w:lineRule="auto" w:before="46"/>
        <w:ind w:left="633" w:right="0"/>
        <w:jc w:val="left"/>
      </w:pPr>
      <w:r>
        <w:rPr/>
        <w:t>对此，公司拟采取以下应对措施：</w:t>
      </w:r>
    </w:p>
    <w:p>
      <w:pPr>
        <w:pStyle w:val="BodyText"/>
        <w:spacing w:line="240" w:lineRule="auto" w:before="156"/>
        <w:ind w:left="633" w:right="0"/>
        <w:jc w:val="left"/>
      </w:pPr>
      <w:r>
        <w:rPr/>
        <w:t>（</w:t>
      </w:r>
      <w:r>
        <w:rPr>
          <w:rFonts w:ascii="Times New Roman" w:hAnsi="Times New Roman" w:cs="Times New Roman" w:eastAsia="Times New Roman" w:hint="default"/>
        </w:rPr>
        <w:t>1</w:t>
      </w:r>
      <w:r>
        <w:rPr/>
        <w:t>）加强重大项目的预评估，谨慎选择项目，主动放弃存在较大不可控风险的项目；</w:t>
      </w:r>
    </w:p>
    <w:p>
      <w:pPr>
        <w:pStyle w:val="BodyText"/>
        <w:spacing w:line="348" w:lineRule="auto" w:before="134"/>
        <w:ind w:right="1125" w:firstLine="480"/>
        <w:jc w:val="both"/>
      </w:pPr>
      <w:r>
        <w:rPr>
          <w:spacing w:val="2"/>
        </w:rPr>
        <w:t>（</w:t>
      </w:r>
      <w:r>
        <w:rPr>
          <w:rFonts w:ascii="Times New Roman" w:hAnsi="Times New Roman" w:cs="Times New Roman" w:eastAsia="Times New Roman" w:hint="default"/>
          <w:spacing w:val="2"/>
        </w:rPr>
        <w:t>2</w:t>
      </w:r>
      <w:r>
        <w:rPr>
          <w:spacing w:val="2"/>
        </w:rPr>
        <w:t>）制定考核，加强催收，有奖有罚。主管部门</w:t>
      </w:r>
      <w:r>
        <w:rPr>
          <w:rFonts w:ascii="Times New Roman" w:hAnsi="Times New Roman" w:cs="Times New Roman" w:eastAsia="Times New Roman" w:hint="default"/>
          <w:spacing w:val="2"/>
        </w:rPr>
        <w:t>/</w:t>
      </w:r>
      <w:r>
        <w:rPr>
          <w:spacing w:val="2"/>
        </w:rPr>
        <w:t>领导制定合理的应收款考核制度，加</w:t>
      </w:r>
      <w:r>
        <w:rPr/>
        <w:t> 强对业务部门的应收款工作管理以及对应收款进行穿透，有奖有罚，赏罚分明，以有效控制</w:t>
      </w:r>
      <w:r>
        <w:rPr>
          <w:spacing w:val="-93"/>
        </w:rPr>
        <w:t> </w:t>
      </w:r>
      <w:r>
        <w:rPr>
          <w:spacing w:val="-93"/>
        </w:rPr>
      </w:r>
      <w:r>
        <w:rPr/>
        <w:t>应收账款占比，降低对公司经营资金周转的影响，有效控制应收款带来的经营风险；</w:t>
      </w:r>
    </w:p>
    <w:p>
      <w:pPr>
        <w:pStyle w:val="BodyText"/>
        <w:spacing w:line="348" w:lineRule="auto" w:before="48"/>
        <w:ind w:right="1127" w:firstLine="480"/>
        <w:jc w:val="both"/>
      </w:pPr>
      <w:r>
        <w:rPr>
          <w:spacing w:val="-3"/>
        </w:rPr>
        <w:t>（</w:t>
      </w:r>
      <w:r>
        <w:rPr>
          <w:rFonts w:ascii="Times New Roman" w:hAnsi="Times New Roman" w:cs="Times New Roman" w:eastAsia="Times New Roman" w:hint="default"/>
          <w:spacing w:val="-3"/>
        </w:rPr>
        <w:t>3</w:t>
      </w:r>
      <w:r>
        <w:rPr>
          <w:spacing w:val="-3"/>
        </w:rPr>
        <w:t>）制定对账龄较长的应收账款的处置措施，根据实际情况采取提请诉讼、出售债权等</w:t>
      </w:r>
      <w:r>
        <w:rPr/>
        <w:t> 办法，尽可能控制应收账款；同时出于谨慎考虑，对应收账款实施合理的坏账计提，以有效</w:t>
      </w:r>
      <w:r>
        <w:rPr>
          <w:spacing w:val="-93"/>
        </w:rPr>
        <w:t> </w:t>
      </w:r>
      <w:r>
        <w:rPr>
          <w:spacing w:val="-93"/>
        </w:rPr>
      </w:r>
      <w:r>
        <w:rPr>
          <w:spacing w:val="-5"/>
        </w:rPr>
        <w:t>防范坏账可能给公司带来的风险；截至本报告期末，公司累计计提了</w:t>
      </w:r>
      <w:r>
        <w:rPr>
          <w:rFonts w:ascii="Times New Roman" w:hAnsi="Times New Roman" w:cs="Times New Roman" w:eastAsia="Times New Roman" w:hint="default"/>
          <w:spacing w:val="-5"/>
        </w:rPr>
        <w:t>20,470.82</w:t>
      </w:r>
      <w:r>
        <w:rPr>
          <w:spacing w:val="-5"/>
        </w:rPr>
        <w:t>万元坏账准备。</w:t>
      </w:r>
    </w:p>
    <w:p>
      <w:pPr>
        <w:spacing w:line="340" w:lineRule="auto" w:before="13"/>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、公司快速发展带来经营管理风险及应对措施</w:t>
      </w:r>
      <w:r>
        <w:rPr>
          <w:rFonts w:ascii="宋体" w:hAnsi="宋体" w:cs="宋体" w:eastAsia="宋体" w:hint="default"/>
          <w:b/>
          <w:bCs/>
          <w:w w:val="99"/>
          <w:sz w:val="24"/>
          <w:szCs w:val="24"/>
        </w:rPr>
        <w:t> </w:t>
      </w:r>
      <w:r>
        <w:rPr>
          <w:rFonts w:ascii="宋体" w:hAnsi="宋体" w:cs="宋体" w:eastAsia="宋体" w:hint="default"/>
          <w:spacing w:val="-3"/>
          <w:sz w:val="24"/>
          <w:szCs w:val="24"/>
        </w:rPr>
        <w:t>公司自</w:t>
      </w:r>
      <w:r>
        <w:rPr>
          <w:rFonts w:ascii="Times New Roman" w:hAnsi="Times New Roman" w:cs="Times New Roman" w:eastAsia="Times New Roman" w:hint="default"/>
          <w:spacing w:val="-3"/>
          <w:sz w:val="24"/>
          <w:szCs w:val="24"/>
        </w:rPr>
        <w:t>2011</w:t>
      </w:r>
      <w:r>
        <w:rPr>
          <w:rFonts w:ascii="宋体" w:hAnsi="宋体" w:cs="宋体" w:eastAsia="宋体" w:hint="default"/>
          <w:spacing w:val="-3"/>
          <w:sz w:val="24"/>
          <w:szCs w:val="24"/>
        </w:rPr>
        <w:t>年</w:t>
      </w:r>
      <w:r>
        <w:rPr>
          <w:rFonts w:ascii="Times New Roman" w:hAnsi="Times New Roman" w:cs="Times New Roman" w:eastAsia="Times New Roman" w:hint="default"/>
          <w:spacing w:val="-3"/>
          <w:sz w:val="24"/>
          <w:szCs w:val="24"/>
        </w:rPr>
        <w:t>8</w:t>
      </w:r>
      <w:r>
        <w:rPr>
          <w:rFonts w:ascii="宋体" w:hAnsi="宋体" w:cs="宋体" w:eastAsia="宋体" w:hint="default"/>
          <w:spacing w:val="-3"/>
          <w:sz w:val="24"/>
          <w:szCs w:val="24"/>
        </w:rPr>
        <w:t>月上市以来，公司通过不断发展和扩张，扩大了业务领域、丰富了产品和</w:t>
      </w:r>
    </w:p>
    <w:p>
      <w:pPr>
        <w:pStyle w:val="BodyText"/>
        <w:spacing w:line="357" w:lineRule="auto" w:before="22"/>
        <w:ind w:right="1136"/>
        <w:jc w:val="both"/>
      </w:pPr>
      <w:r>
        <w:rPr/>
        <w:t>服务版图、拓展了经营业务范围，上市近九年来公司资产规模、产销规模、人员规模快速增</w:t>
      </w:r>
      <w:r>
        <w:rPr>
          <w:spacing w:val="-93"/>
        </w:rPr>
        <w:t> </w:t>
      </w:r>
      <w:r>
        <w:rPr>
          <w:spacing w:val="-93"/>
        </w:rPr>
      </w:r>
      <w:r>
        <w:rPr/>
        <w:t>长，公司的快速发展对公司管理能力、经营能力、盈利能力等提出新的挑战，若不能持续改</w:t>
      </w:r>
      <w:r>
        <w:rPr>
          <w:spacing w:val="-93"/>
        </w:rPr>
        <w:t> </w:t>
      </w:r>
      <w:r>
        <w:rPr>
          <w:spacing w:val="-93"/>
        </w:rPr>
      </w:r>
      <w:r>
        <w:rPr/>
        <w:t>进和提升经营管理和决策能力，引进并有效发挥高端经营和管理人才的作用，公司将面临较</w:t>
      </w:r>
      <w:r>
        <w:rPr>
          <w:spacing w:val="-93"/>
        </w:rPr>
        <w:t> </w:t>
      </w:r>
      <w:r>
        <w:rPr>
          <w:spacing w:val="-93"/>
        </w:rPr>
      </w:r>
      <w:r>
        <w:rPr/>
        <w:t>大的经营及管理风险。</w:t>
      </w:r>
    </w:p>
    <w:p>
      <w:pPr>
        <w:pStyle w:val="BodyText"/>
        <w:spacing w:line="240" w:lineRule="auto" w:before="34"/>
        <w:ind w:left="633" w:right="0"/>
        <w:jc w:val="left"/>
      </w:pPr>
      <w:r>
        <w:rPr/>
        <w:t>对此，公司拟采取以下应对措施：</w:t>
      </w:r>
    </w:p>
    <w:p>
      <w:pPr>
        <w:pStyle w:val="BodyText"/>
        <w:spacing w:line="348" w:lineRule="auto" w:before="156"/>
        <w:ind w:right="1131" w:firstLine="480"/>
        <w:jc w:val="both"/>
      </w:pPr>
      <w:r>
        <w:rPr>
          <w:spacing w:val="-3"/>
        </w:rPr>
        <w:t>（</w:t>
      </w:r>
      <w:r>
        <w:rPr>
          <w:rFonts w:ascii="Times New Roman" w:hAnsi="Times New Roman" w:cs="Times New Roman" w:eastAsia="Times New Roman" w:hint="default"/>
          <w:spacing w:val="-3"/>
        </w:rPr>
        <w:t>1</w:t>
      </w:r>
      <w:r>
        <w:rPr>
          <w:spacing w:val="-3"/>
        </w:rPr>
        <w:t>）建立完善的标准化集团管控平台及集团信息化管理系统，以切实发挥与子公司协同</w:t>
      </w:r>
      <w:r>
        <w:rPr/>
        <w:t> 发展、稳步实现公司既定发展战略目标，确保公司管理水平不断提升，推动公司持续健康发</w:t>
      </w:r>
      <w:r>
        <w:rPr>
          <w:spacing w:val="-88"/>
        </w:rPr>
        <w:t> </w:t>
      </w:r>
      <w:r>
        <w:rPr>
          <w:spacing w:val="-88"/>
        </w:rPr>
      </w:r>
      <w:r>
        <w:rPr/>
        <w:t>展。</w:t>
      </w:r>
    </w:p>
    <w:p>
      <w:pPr>
        <w:pStyle w:val="BodyText"/>
        <w:spacing w:line="348" w:lineRule="auto" w:before="43"/>
        <w:ind w:right="1134" w:firstLine="480"/>
        <w:jc w:val="both"/>
      </w:pPr>
      <w:r>
        <w:rPr>
          <w:spacing w:val="-3"/>
        </w:rPr>
        <w:t>（</w:t>
      </w:r>
      <w:r>
        <w:rPr>
          <w:rFonts w:ascii="Times New Roman" w:hAnsi="Times New Roman" w:cs="Times New Roman" w:eastAsia="Times New Roman" w:hint="default"/>
          <w:spacing w:val="-3"/>
        </w:rPr>
        <w:t>2</w:t>
      </w:r>
      <w:r>
        <w:rPr>
          <w:spacing w:val="-3"/>
        </w:rPr>
        <w:t>）在制定集团发展战略的同时，组织制定子公司发展战略规划、年度经营计划及业绩</w:t>
      </w:r>
      <w:r>
        <w:rPr/>
        <w:t> 目标指标，全面、深入地参与子公司经营管理，对未达成的经营计划和业绩目标指标项查找</w:t>
      </w:r>
      <w:r>
        <w:rPr>
          <w:spacing w:val="-93"/>
        </w:rPr>
        <w:t> </w:t>
      </w:r>
      <w:r>
        <w:rPr>
          <w:spacing w:val="-93"/>
        </w:rPr>
      </w:r>
      <w:r>
        <w:rPr/>
        <w:t>原因、明确改进计划并推进实施，以确保各项经营管理目标的实现。</w:t>
      </w:r>
    </w:p>
    <w:p>
      <w:pPr>
        <w:pStyle w:val="BodyText"/>
        <w:spacing w:line="240" w:lineRule="auto" w:before="48"/>
        <w:ind w:left="633" w:right="0"/>
        <w:jc w:val="left"/>
      </w:pPr>
      <w:r>
        <w:rPr>
          <w:spacing w:val="-3"/>
        </w:rPr>
        <w:t>（</w:t>
      </w:r>
      <w:r>
        <w:rPr>
          <w:rFonts w:ascii="Times New Roman" w:hAnsi="Times New Roman" w:cs="Times New Roman" w:eastAsia="Times New Roman" w:hint="default"/>
          <w:spacing w:val="-3"/>
        </w:rPr>
        <w:t>3</w:t>
      </w:r>
      <w:r>
        <w:rPr>
          <w:spacing w:val="-3"/>
        </w:rPr>
        <w:t>）严格执行公司制定的《分子公司管理制度》，将内控管理要求落实到子公司的内部</w:t>
      </w:r>
    </w:p>
    <w:p>
      <w:pPr>
        <w:spacing w:after="0" w:line="240" w:lineRule="auto"/>
        <w:jc w:val="left"/>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355" w:lineRule="auto"/>
        <w:ind w:right="0"/>
        <w:jc w:val="left"/>
      </w:pPr>
      <w:r>
        <w:rPr/>
        <w:t>管理制度中；加强对分子公司经营管理活动的日常指导和管控，审计部加强对分子公司的内</w:t>
      </w:r>
      <w:r>
        <w:rPr>
          <w:spacing w:val="-93"/>
        </w:rPr>
        <w:t> </w:t>
      </w:r>
      <w:r>
        <w:rPr>
          <w:spacing w:val="-93"/>
        </w:rPr>
      </w:r>
      <w:r>
        <w:rPr/>
        <w:t>控审计，确保各项规范运作要求的落实到位。</w:t>
      </w:r>
    </w:p>
    <w:p>
      <w:pPr>
        <w:pStyle w:val="BodyText"/>
        <w:spacing w:line="336" w:lineRule="auto" w:before="41"/>
        <w:ind w:right="1129" w:firstLine="480"/>
        <w:jc w:val="both"/>
      </w:pPr>
      <w:r>
        <w:rPr>
          <w:spacing w:val="-3"/>
        </w:rPr>
        <w:t>（</w:t>
      </w:r>
      <w:r>
        <w:rPr>
          <w:rFonts w:ascii="Times New Roman" w:hAnsi="Times New Roman" w:cs="Times New Roman" w:eastAsia="Times New Roman" w:hint="default"/>
          <w:spacing w:val="-3"/>
        </w:rPr>
        <w:t>4</w:t>
      </w:r>
      <w:r>
        <w:rPr>
          <w:spacing w:val="-3"/>
        </w:rPr>
        <w:t>）制定集团及子公司管理、组织、品牌、文化建设规划，持续提升集团管控能力和子</w:t>
      </w:r>
      <w:r>
        <w:rPr/>
        <w:t> 公司经营管理能力。</w:t>
      </w:r>
    </w:p>
    <w:p>
      <w:pPr>
        <w:pStyle w:val="BodyText"/>
        <w:spacing w:line="348" w:lineRule="auto" w:before="60"/>
        <w:ind w:right="1129" w:firstLine="480"/>
        <w:jc w:val="both"/>
      </w:pPr>
      <w:r>
        <w:rPr>
          <w:spacing w:val="-3"/>
        </w:rPr>
        <w:t>（</w:t>
      </w:r>
      <w:r>
        <w:rPr>
          <w:rFonts w:ascii="Times New Roman" w:hAnsi="Times New Roman" w:cs="Times New Roman" w:eastAsia="Times New Roman" w:hint="default"/>
          <w:spacing w:val="-3"/>
        </w:rPr>
        <w:t>5</w:t>
      </w:r>
      <w:r>
        <w:rPr>
          <w:spacing w:val="-3"/>
        </w:rPr>
        <w:t>）提升人力资源管理水平，加强人才储备，实施具有竞争力的人才激励机制和薪酬福</w:t>
      </w:r>
      <w:r>
        <w:rPr/>
        <w:t> 利政策，加强对员工的培训教育，强化绩效管理，充分挖掘人才，有效的吸引人才、激励人</w:t>
      </w:r>
      <w:r>
        <w:rPr>
          <w:spacing w:val="-93"/>
        </w:rPr>
        <w:t> </w:t>
      </w:r>
      <w:r>
        <w:rPr>
          <w:spacing w:val="-93"/>
        </w:rPr>
      </w:r>
      <w:r>
        <w:rPr/>
        <w:t>才、留住人才。</w:t>
      </w:r>
    </w:p>
    <w:p>
      <w:pPr>
        <w:pStyle w:val="BodyText"/>
        <w:spacing w:line="340" w:lineRule="auto" w:before="43"/>
        <w:ind w:right="1133" w:firstLine="480"/>
        <w:jc w:val="both"/>
      </w:pPr>
      <w:r>
        <w:rPr>
          <w:spacing w:val="-3"/>
        </w:rPr>
        <w:t>（</w:t>
      </w:r>
      <w:r>
        <w:rPr>
          <w:rFonts w:ascii="Times New Roman" w:hAnsi="Times New Roman" w:cs="Times New Roman" w:eastAsia="Times New Roman" w:hint="default"/>
          <w:spacing w:val="-3"/>
        </w:rPr>
        <w:t>6</w:t>
      </w:r>
      <w:r>
        <w:rPr>
          <w:spacing w:val="-3"/>
        </w:rPr>
        <w:t>）适当时候考虑通过加强控制力度或者适度终止部分对外投资项目，以提高经营管理</w:t>
      </w:r>
      <w:r>
        <w:rPr/>
        <w:t> 效率。</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登记表" w:id="56"/>
      <w:bookmarkEnd w:id="56"/>
      <w:r>
        <w:rPr>
          <w:b w:val="0"/>
          <w:bCs w:val="0"/>
        </w:rPr>
      </w:r>
      <w:r>
        <w:rPr/>
        <w:t>十、接待调研、沟通、采访等活动登记表</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报告期内接待调研、沟通、采访等活动登记表" w:id="57"/>
      <w:bookmarkEnd w:id="5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公司报告期内未发生接待调研、沟通、采访等活动。</w:t>
      </w:r>
    </w:p>
    <w:p>
      <w:pPr>
        <w:spacing w:after="0" w:line="338"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69"/>
        <w:jc w:val="center"/>
        <w:rPr>
          <w:b w:val="0"/>
          <w:bCs w:val="0"/>
        </w:rPr>
      </w:pPr>
      <w:bookmarkStart w:name="第五节重要事项" w:id="58"/>
      <w:bookmarkEnd w:id="58"/>
      <w:r>
        <w:rPr>
          <w:b w:val="0"/>
          <w:bCs w:val="0"/>
        </w:rPr>
      </w:r>
      <w:bookmarkStart w:name="_bookmark4" w:id="59"/>
      <w:bookmarkEnd w:id="59"/>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57" w:lineRule="auto" w:before="127"/>
        <w:ind w:right="1136" w:firstLine="480"/>
        <w:jc w:val="both"/>
      </w:pPr>
      <w:r>
        <w:rPr/>
        <w:t>报告期内，公司利润分配政策特别是现金分红政策的制定及执行情况符合《公司章程》 的规定和股东大会决议的要求，分红标准及比例明确、清晰；相关的决策程序和机制完备，</w:t>
      </w:r>
      <w:r>
        <w:rPr>
          <w:spacing w:val="-93"/>
        </w:rPr>
        <w:t> </w:t>
      </w:r>
      <w:r>
        <w:rPr>
          <w:spacing w:val="-93"/>
        </w:rPr>
      </w:r>
      <w:r>
        <w:rPr/>
        <w:t>相关议案经由公司董事会、监事会审议后提交股东大会审议，独立董事尽职履责并发表了独</w:t>
      </w:r>
      <w:r>
        <w:rPr>
          <w:spacing w:val="-93"/>
        </w:rPr>
        <w:t> </w:t>
      </w:r>
      <w:r>
        <w:rPr>
          <w:spacing w:val="-93"/>
        </w:rPr>
      </w:r>
      <w:r>
        <w:rPr/>
        <w:t>立意见，中小股东有充分表达意见和诉求的机会，中小股东的合法权益得到充分维护；并在</w:t>
      </w:r>
      <w:r>
        <w:rPr>
          <w:spacing w:val="-93"/>
        </w:rPr>
        <w:t> </w:t>
      </w:r>
      <w:r>
        <w:rPr>
          <w:spacing w:val="-93"/>
        </w:rPr>
      </w:r>
      <w:r>
        <w:rPr/>
        <w:t>分配方案审议通过后的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个月内进行了权益分派，保证了全体股东的利益。</w:t>
      </w:r>
    </w:p>
    <w:p>
      <w:pPr>
        <w:pStyle w:val="BodyText"/>
        <w:spacing w:line="338" w:lineRule="auto" w:before="8"/>
        <w:ind w:right="1107"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日，公司召开</w:t>
      </w:r>
      <w:r>
        <w:rPr>
          <w:rFonts w:ascii="Times New Roman" w:hAnsi="Times New Roman" w:cs="Times New Roman" w:eastAsia="Times New Roman" w:hint="default"/>
          <w:spacing w:val="-2"/>
        </w:rPr>
        <w:t>2018</w:t>
      </w:r>
      <w:r>
        <w:rPr>
          <w:spacing w:val="-2"/>
        </w:rPr>
        <w:t>年度股东大会审议通过了《关于</w:t>
      </w:r>
      <w:r>
        <w:rPr>
          <w:rFonts w:ascii="Times New Roman" w:hAnsi="Times New Roman" w:cs="Times New Roman" w:eastAsia="Times New Roman" w:hint="default"/>
          <w:spacing w:val="-2"/>
        </w:rPr>
        <w:t>2018</w:t>
      </w:r>
      <w:r>
        <w:rPr>
          <w:spacing w:val="-2"/>
        </w:rPr>
        <w:t>年度利润分配预案的</w:t>
      </w:r>
      <w:r>
        <w:rPr/>
        <w:t> 议案》，公司</w:t>
      </w:r>
      <w:r>
        <w:rPr>
          <w:rFonts w:ascii="Times New Roman" w:hAnsi="Times New Roman" w:cs="Times New Roman" w:eastAsia="Times New Roman" w:hint="default"/>
        </w:rPr>
        <w:t>2018</w:t>
      </w:r>
      <w:r>
        <w:rPr/>
        <w:t>年度利润分配方案为：以截止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445,987,594</w:t>
      </w:r>
      <w:r>
        <w:rPr/>
        <w:t>股为</w:t>
      </w:r>
      <w:r>
        <w:rPr>
          <w:spacing w:val="-92"/>
        </w:rPr>
        <w:t> </w:t>
      </w:r>
      <w:r>
        <w:rPr/>
        <w:t>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0.15</w:t>
      </w:r>
      <w:r>
        <w:rPr/>
        <w:t>元（含税），共计派发现金</w:t>
      </w:r>
      <w:r>
        <w:rPr>
          <w:rFonts w:ascii="Times New Roman" w:hAnsi="Times New Roman" w:cs="Times New Roman" w:eastAsia="Times New Roman" w:hint="default"/>
        </w:rPr>
        <w:t>6,689,813.91</w:t>
      </w:r>
      <w:r>
        <w:rPr/>
        <w:t>元，公司</w:t>
      </w:r>
      <w:r>
        <w:rPr>
          <w:spacing w:val="-89"/>
        </w:rPr>
        <w:t> </w:t>
      </w:r>
      <w:r>
        <w:rPr>
          <w:spacing w:val="-12"/>
        </w:rPr>
        <w:t>于</w:t>
      </w:r>
      <w:r>
        <w:rPr>
          <w:rFonts w:ascii="Times New Roman" w:hAnsi="Times New Roman" w:cs="Times New Roman" w:eastAsia="Times New Roman" w:hint="default"/>
          <w:spacing w:val="-12"/>
        </w:rPr>
        <w:t>2019</w:t>
      </w:r>
      <w:r>
        <w:rPr>
          <w:spacing w:val="-12"/>
        </w:rPr>
        <w:t>年</w:t>
      </w:r>
      <w:r>
        <w:rPr>
          <w:rFonts w:ascii="Times New Roman" w:hAnsi="Times New Roman" w:cs="Times New Roman" w:eastAsia="Times New Roman" w:hint="default"/>
          <w:spacing w:val="-12"/>
        </w:rPr>
        <w:t>6</w:t>
      </w:r>
      <w:r>
        <w:rPr>
          <w:spacing w:val="-12"/>
        </w:rPr>
        <w:t>月</w:t>
      </w:r>
      <w:r>
        <w:rPr>
          <w:rFonts w:ascii="Times New Roman" w:hAnsi="Times New Roman" w:cs="Times New Roman" w:eastAsia="Times New Roman" w:hint="default"/>
          <w:spacing w:val="-12"/>
        </w:rPr>
        <w:t>5</w:t>
      </w:r>
      <w:r>
        <w:rPr>
          <w:spacing w:val="-12"/>
        </w:rPr>
        <w:t>日在巨潮资讯网刊登了《</w:t>
      </w:r>
      <w:r>
        <w:rPr>
          <w:rFonts w:ascii="Times New Roman" w:hAnsi="Times New Roman" w:cs="Times New Roman" w:eastAsia="Times New Roman" w:hint="default"/>
          <w:spacing w:val="-12"/>
        </w:rPr>
        <w:t>2018</w:t>
      </w:r>
      <w:r>
        <w:rPr>
          <w:spacing w:val="-12"/>
        </w:rPr>
        <w:t>年年度权益分派实施公告》（公告编号：</w:t>
      </w:r>
      <w:r>
        <w:rPr>
          <w:rFonts w:ascii="Times New Roman" w:hAnsi="Times New Roman" w:cs="Times New Roman" w:eastAsia="Times New Roman" w:hint="default"/>
          <w:spacing w:val="-12"/>
        </w:rPr>
        <w:t>2019-045</w:t>
      </w:r>
      <w:r>
        <w:rPr>
          <w:spacing w:val="-12"/>
        </w:rPr>
        <w:t>），</w:t>
      </w:r>
      <w:r>
        <w:rPr>
          <w:spacing w:val="-118"/>
        </w:rPr>
        <w:t> </w:t>
      </w:r>
      <w:r>
        <w:rPr/>
        <w:t>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日实施完成本次现金股利的派发。</w:t>
      </w:r>
    </w:p>
    <w:tbl>
      <w:tblPr>
        <w:tblW w:w="0" w:type="auto"/>
        <w:jc w:val="left"/>
        <w:tblInd w:w="160" w:type="dxa"/>
        <w:tblLayout w:type="fixed"/>
        <w:tblCellMar>
          <w:top w:w="0" w:type="dxa"/>
          <w:left w:w="0" w:type="dxa"/>
          <w:bottom w:w="0" w:type="dxa"/>
          <w:right w:w="0" w:type="dxa"/>
        </w:tblCellMar>
        <w:tblLook w:val="01E0"/>
      </w:tblPr>
      <w:tblGrid>
        <w:gridCol w:w="4941"/>
        <w:gridCol w:w="4617"/>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2"/>
              <w:ind w:right="2201"/>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7"/>
              <w:ind w:right="2201"/>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9"/>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9"/>
              <w:ind w:right="2201"/>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7"/>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7"/>
              <w:ind w:right="2201"/>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37"/>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中小股东是否有充分表达意见和诉求的机会，其合法权益是否</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得到了充分保护：</w:t>
            </w:r>
          </w:p>
        </w:tc>
        <w:tc>
          <w:tcPr>
            <w:tcW w:w="46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2201"/>
              <w:jc w:val="righ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941"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37"/>
              <w:ind w:left="11" w:right="0"/>
              <w:jc w:val="left"/>
              <w:rPr>
                <w:rFonts w:ascii="宋体" w:hAnsi="宋体" w:cs="宋体" w:eastAsia="宋体" w:hint="default"/>
                <w:sz w:val="18"/>
                <w:szCs w:val="18"/>
              </w:rPr>
            </w:pPr>
            <w:r>
              <w:rPr>
                <w:rFonts w:ascii="宋体" w:hAnsi="宋体" w:cs="宋体" w:eastAsia="宋体" w:hint="default"/>
                <w:spacing w:val="-5"/>
                <w:sz w:val="18"/>
                <w:szCs w:val="18"/>
              </w:rPr>
              <w:t>现金分红政策进行调整或变更的，条件及程序是否合规、透明</w:t>
            </w:r>
          </w:p>
        </w:tc>
        <w:tc>
          <w:tcPr>
            <w:tcW w:w="4617" w:type="dxa"/>
            <w:tcBorders>
              <w:top w:val="single" w:sz="4" w:space="0" w:color="000000"/>
              <w:left w:val="single" w:sz="10" w:space="0" w:color="FFFFFF"/>
              <w:bottom w:val="single" w:sz="4" w:space="0" w:color="000000"/>
              <w:right w:val="single" w:sz="4" w:space="0" w:color="000000"/>
            </w:tcBorders>
          </w:tcPr>
          <w:p>
            <w:pPr>
              <w:pStyle w:val="TableParagraph"/>
              <w:tabs>
                <w:tab w:pos="2213" w:val="left" w:leader="none"/>
              </w:tabs>
              <w:spacing w:line="240" w:lineRule="auto" w:before="37"/>
              <w:ind w:left="-117" w:right="2201"/>
              <w:jc w:val="right"/>
              <w:rPr>
                <w:rFonts w:ascii="宋体" w:hAnsi="宋体" w:cs="宋体" w:eastAsia="宋体" w:hint="default"/>
                <w:sz w:val="18"/>
                <w:szCs w:val="18"/>
              </w:rPr>
            </w:pPr>
            <w:r>
              <w:rPr>
                <w:rFonts w:ascii="宋体" w:hAnsi="宋体" w:cs="宋体" w:eastAsia="宋体" w:hint="default"/>
                <w:sz w:val="18"/>
                <w:szCs w:val="18"/>
              </w:rPr>
              <w:t>：</w:t>
              <w:tab/>
              <w:t>是</w:t>
            </w:r>
          </w:p>
        </w:tc>
      </w:tr>
    </w:tbl>
    <w:p>
      <w:pPr>
        <w:spacing w:before="37"/>
        <w:ind w:left="153" w:right="0" w:firstLine="0"/>
        <w:jc w:val="left"/>
        <w:rPr>
          <w:rFonts w:ascii="宋体" w:hAnsi="宋体" w:cs="宋体" w:eastAsia="宋体" w:hint="default"/>
          <w:sz w:val="18"/>
          <w:szCs w:val="18"/>
        </w:rPr>
      </w:pPr>
      <w:r>
        <w:rPr/>
        <w:pict>
          <v:group style="position:absolute;margin-left:306.359985pt;margin-top:-20.998274pt;width:227.6pt;height:19.45pt;mso-position-horizontal-relative:page;mso-position-vertical-relative:paragraph;z-index:-1180960" coordorigin="6127,-420" coordsize="4552,389">
            <v:shape style="position:absolute;left:6127;top:-420;width:4552;height:389" coordorigin="6127,-420" coordsize="4552,389" path="m6127,-31l10679,-31,10679,-420,6127,-420,6127,-31xe" filled="true" fillcolor="#ffffff" stroked="false">
              <v:path arrowok="t"/>
              <v:fill type="solid"/>
            </v:shape>
            <w10:wrap type="none"/>
          </v:group>
        </w:pict>
      </w:r>
      <w:r>
        <w:rPr>
          <w:rFonts w:ascii="宋体" w:hAnsi="宋体" w:cs="宋体" w:eastAsia="宋体" w:hint="default"/>
          <w:spacing w:val="-3"/>
          <w:sz w:val="18"/>
          <w:szCs w:val="18"/>
        </w:rPr>
        <w:t>公司报告期利润分配预案及资本公积金转增股本预案与公司章程和分红管理办法等的相关规定一致</w:t>
      </w:r>
    </w:p>
    <w:p>
      <w:pPr>
        <w:spacing w:line="350" w:lineRule="auto" w:before="115"/>
        <w:ind w:left="153" w:right="2924" w:firstLine="0"/>
        <w:jc w:val="left"/>
        <w:rPr>
          <w:rFonts w:ascii="宋体" w:hAnsi="宋体" w:cs="宋体" w:eastAsia="宋体" w:hint="default"/>
          <w:sz w:val="18"/>
          <w:szCs w:val="18"/>
        </w:rPr>
      </w:pPr>
      <w:r>
        <w:rPr/>
        <w:pict>
          <v:group style="position:absolute;margin-left:242.979996pt;margin-top:98.127716pt;width:291pt;height:20.45pt;mso-position-horizontal-relative:page;mso-position-vertical-relative:paragraph;z-index:-1180936" coordorigin="4860,1963" coordsize="5820,409">
            <v:group style="position:absolute;left:4869;top:1972;width:2;height:390" coordorigin="4869,1972" coordsize="2,390">
              <v:shape style="position:absolute;left:4869;top:1972;width:2;height:390" coordorigin="4869,1972" coordsize="0,390" path="m4869,1972l4869,2361e" filled="false" stroked="true" strokeweight=".96001pt" strokecolor="#ffffff">
                <v:path arrowok="t"/>
              </v:shape>
            </v:group>
            <v:group style="position:absolute;left:4879;top:1972;width:5801;height:390" coordorigin="4879,1972" coordsize="5801,390">
              <v:shape style="position:absolute;left:4879;top:1972;width:5801;height:390" coordorigin="4879,1972" coordsize="5801,390" path="m4879,2361l10679,2361,10679,1972,4879,1972,4879,2361xe" filled="true" fillcolor="#ffffff" stroked="false">
                <v:path arrowok="t"/>
                <v:fill type="solid"/>
              </v:shape>
            </v:group>
            <w10:wrap type="none"/>
          </v:group>
        </w:pic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不适用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公司报告期利润分配预案及资本公积金转增股本预案符合公司章程等的相关规定。</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3707"/>
        <w:gridCol w:w="5863"/>
      </w:tblGrid>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437,470,194</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tabs>
                <w:tab w:pos="5504" w:val="left" w:leader="none"/>
              </w:tabs>
              <w:spacing w:line="240" w:lineRule="auto" w:before="54"/>
              <w:ind w:left="-114"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7"/>
        <w:gridCol w:w="5863"/>
      </w:tblGrid>
      <w:tr>
        <w:trPr>
          <w:trHeight w:val="715"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6"/>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的比例</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9"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90" w:right="0"/>
              <w:jc w:val="left"/>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2314"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pacing w:val="-5"/>
                <w:sz w:val="18"/>
                <w:szCs w:val="18"/>
              </w:rPr>
              <w:t>日公司第四届董事会第十五次会议、第四届监事会第十一次会议审议通过了公司《关于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年度利润</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分</w:t>
            </w:r>
            <w:r>
              <w:rPr>
                <w:rFonts w:ascii="宋体" w:hAnsi="宋体" w:cs="宋体" w:eastAsia="宋体" w:hint="default"/>
                <w:spacing w:val="-5"/>
                <w:w w:val="101"/>
                <w:sz w:val="18"/>
                <w:szCs w:val="18"/>
              </w:rPr>
              <w:t>配</w:t>
            </w:r>
            <w:r>
              <w:rPr>
                <w:rFonts w:ascii="宋体" w:hAnsi="宋体" w:cs="宋体" w:eastAsia="宋体" w:hint="default"/>
                <w:w w:val="101"/>
                <w:sz w:val="18"/>
                <w:szCs w:val="18"/>
              </w:rPr>
              <w:t>预</w:t>
            </w:r>
            <w:r>
              <w:rPr>
                <w:rFonts w:ascii="宋体" w:hAnsi="宋体" w:cs="宋体" w:eastAsia="宋体" w:hint="default"/>
                <w:spacing w:val="-5"/>
                <w:w w:val="101"/>
                <w:sz w:val="18"/>
                <w:szCs w:val="18"/>
              </w:rPr>
              <w:t>案</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15"/>
                <w:w w:val="101"/>
                <w:sz w:val="18"/>
                <w:szCs w:val="18"/>
              </w:rPr>
              <w:t>，</w:t>
            </w:r>
            <w:r>
              <w:rPr>
                <w:rFonts w:ascii="宋体" w:hAnsi="宋体" w:cs="宋体" w:eastAsia="宋体" w:hint="default"/>
                <w:w w:val="101"/>
                <w:sz w:val="18"/>
                <w:szCs w:val="18"/>
              </w:rPr>
              <w:t>议</w:t>
            </w:r>
            <w:r>
              <w:rPr>
                <w:rFonts w:ascii="宋体" w:hAnsi="宋体" w:cs="宋体" w:eastAsia="宋体" w:hint="default"/>
                <w:spacing w:val="-5"/>
                <w:w w:val="101"/>
                <w:sz w:val="18"/>
                <w:szCs w:val="18"/>
              </w:rPr>
              <w:t>案</w:t>
            </w:r>
            <w:r>
              <w:rPr>
                <w:rFonts w:ascii="宋体" w:hAnsi="宋体" w:cs="宋体" w:eastAsia="宋体" w:hint="default"/>
                <w:w w:val="101"/>
                <w:sz w:val="18"/>
                <w:szCs w:val="18"/>
              </w:rPr>
              <w:t>的</w:t>
            </w:r>
            <w:r>
              <w:rPr>
                <w:rFonts w:ascii="宋体" w:hAnsi="宋体" w:cs="宋体" w:eastAsia="宋体" w:hint="default"/>
                <w:spacing w:val="-5"/>
                <w:w w:val="101"/>
                <w:sz w:val="18"/>
                <w:szCs w:val="18"/>
              </w:rPr>
              <w:t>具</w:t>
            </w:r>
            <w:r>
              <w:rPr>
                <w:rFonts w:ascii="宋体" w:hAnsi="宋体" w:cs="宋体" w:eastAsia="宋体" w:hint="default"/>
                <w:w w:val="101"/>
                <w:sz w:val="18"/>
                <w:szCs w:val="18"/>
              </w:rPr>
              <w:t>体</w:t>
            </w:r>
            <w:r>
              <w:rPr>
                <w:rFonts w:ascii="宋体" w:hAnsi="宋体" w:cs="宋体" w:eastAsia="宋体" w:hint="default"/>
                <w:spacing w:val="-5"/>
                <w:w w:val="101"/>
                <w:sz w:val="18"/>
                <w:szCs w:val="18"/>
              </w:rPr>
              <w:t>内</w:t>
            </w:r>
            <w:r>
              <w:rPr>
                <w:rFonts w:ascii="宋体" w:hAnsi="宋体" w:cs="宋体" w:eastAsia="宋体" w:hint="default"/>
                <w:w w:val="101"/>
                <w:sz w:val="18"/>
                <w:szCs w:val="18"/>
              </w:rPr>
              <w:t>容</w:t>
            </w:r>
            <w:r>
              <w:rPr>
                <w:rFonts w:ascii="宋体" w:hAnsi="宋体" w:cs="宋体" w:eastAsia="宋体" w:hint="default"/>
                <w:spacing w:val="-5"/>
                <w:w w:val="101"/>
                <w:sz w:val="18"/>
                <w:szCs w:val="18"/>
              </w:rPr>
              <w:t>为</w:t>
            </w:r>
            <w:r>
              <w:rPr>
                <w:rFonts w:ascii="宋体" w:hAnsi="宋体" w:cs="宋体" w:eastAsia="宋体" w:hint="default"/>
                <w:spacing w:val="-10"/>
                <w:w w:val="101"/>
                <w:sz w:val="18"/>
                <w:szCs w:val="18"/>
              </w:rPr>
              <w:t>：</w:t>
            </w:r>
            <w:r>
              <w:rPr>
                <w:rFonts w:ascii="宋体" w:hAnsi="宋体" w:cs="宋体" w:eastAsia="宋体" w:hint="default"/>
                <w:spacing w:val="-5"/>
                <w:w w:val="101"/>
                <w:sz w:val="18"/>
                <w:szCs w:val="18"/>
              </w:rPr>
              <w:t>考</w:t>
            </w:r>
            <w:r>
              <w:rPr>
                <w:rFonts w:ascii="宋体" w:hAnsi="宋体" w:cs="宋体" w:eastAsia="宋体" w:hint="default"/>
                <w:w w:val="101"/>
                <w:sz w:val="18"/>
                <w:szCs w:val="18"/>
              </w:rPr>
              <w:t>虑</w:t>
            </w:r>
            <w:r>
              <w:rPr>
                <w:rFonts w:ascii="宋体" w:hAnsi="宋体" w:cs="宋体" w:eastAsia="宋体" w:hint="default"/>
                <w:spacing w:val="-5"/>
                <w:w w:val="101"/>
                <w:sz w:val="18"/>
                <w:szCs w:val="18"/>
              </w:rPr>
              <w:t>到</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既</w:t>
            </w:r>
            <w:r>
              <w:rPr>
                <w:rFonts w:ascii="宋体" w:hAnsi="宋体" w:cs="宋体" w:eastAsia="宋体" w:hint="default"/>
                <w:spacing w:val="-5"/>
                <w:w w:val="101"/>
                <w:sz w:val="18"/>
                <w:szCs w:val="18"/>
              </w:rPr>
              <w:t>定</w:t>
            </w:r>
            <w:r>
              <w:rPr>
                <w:rFonts w:ascii="宋体" w:hAnsi="宋体" w:cs="宋体" w:eastAsia="宋体" w:hint="default"/>
                <w:w w:val="101"/>
                <w:sz w:val="18"/>
                <w:szCs w:val="18"/>
              </w:rPr>
              <w:t>发</w:t>
            </w:r>
            <w:r>
              <w:rPr>
                <w:rFonts w:ascii="宋体" w:hAnsi="宋体" w:cs="宋体" w:eastAsia="宋体" w:hint="default"/>
                <w:spacing w:val="-5"/>
                <w:w w:val="101"/>
                <w:sz w:val="18"/>
                <w:szCs w:val="18"/>
              </w:rPr>
              <w:t>展</w:t>
            </w:r>
            <w:r>
              <w:rPr>
                <w:rFonts w:ascii="宋体" w:hAnsi="宋体" w:cs="宋体" w:eastAsia="宋体" w:hint="default"/>
                <w:w w:val="101"/>
                <w:sz w:val="18"/>
                <w:szCs w:val="18"/>
              </w:rPr>
              <w:t>战</w:t>
            </w:r>
            <w:r>
              <w:rPr>
                <w:rFonts w:ascii="宋体" w:hAnsi="宋体" w:cs="宋体" w:eastAsia="宋体" w:hint="default"/>
                <w:spacing w:val="-5"/>
                <w:w w:val="101"/>
                <w:sz w:val="18"/>
                <w:szCs w:val="18"/>
              </w:rPr>
              <w:t>略</w:t>
            </w:r>
            <w:r>
              <w:rPr>
                <w:rFonts w:ascii="宋体" w:hAnsi="宋体" w:cs="宋体" w:eastAsia="宋体" w:hint="default"/>
                <w:w w:val="101"/>
                <w:sz w:val="18"/>
                <w:szCs w:val="18"/>
              </w:rPr>
              <w:t>规</w:t>
            </w:r>
            <w:r>
              <w:rPr>
                <w:rFonts w:ascii="宋体" w:hAnsi="宋体" w:cs="宋体" w:eastAsia="宋体" w:hint="default"/>
                <w:spacing w:val="-5"/>
                <w:w w:val="101"/>
                <w:sz w:val="18"/>
                <w:szCs w:val="18"/>
              </w:rPr>
              <w:t>划</w:t>
            </w:r>
            <w:r>
              <w:rPr>
                <w:rFonts w:ascii="宋体" w:hAnsi="宋体" w:cs="宋体" w:eastAsia="宋体" w:hint="default"/>
                <w:w w:val="101"/>
                <w:sz w:val="18"/>
                <w:szCs w:val="18"/>
              </w:rPr>
              <w:t>推动及</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020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经</w:t>
            </w:r>
            <w:r>
              <w:rPr>
                <w:rFonts w:ascii="宋体" w:hAnsi="宋体" w:cs="宋体" w:eastAsia="宋体" w:hint="default"/>
                <w:w w:val="101"/>
                <w:sz w:val="18"/>
                <w:szCs w:val="18"/>
              </w:rPr>
              <w:t>营</w:t>
            </w:r>
            <w:r>
              <w:rPr>
                <w:rFonts w:ascii="宋体" w:hAnsi="宋体" w:cs="宋体" w:eastAsia="宋体" w:hint="default"/>
                <w:spacing w:val="-5"/>
                <w:w w:val="101"/>
                <w:sz w:val="18"/>
                <w:szCs w:val="18"/>
              </w:rPr>
              <w:t>计</w:t>
            </w:r>
            <w:r>
              <w:rPr>
                <w:rFonts w:ascii="宋体" w:hAnsi="宋体" w:cs="宋体" w:eastAsia="宋体" w:hint="default"/>
                <w:w w:val="101"/>
                <w:sz w:val="18"/>
                <w:szCs w:val="18"/>
              </w:rPr>
              <w:t>划</w:t>
            </w:r>
            <w:r>
              <w:rPr>
                <w:rFonts w:ascii="宋体" w:hAnsi="宋体" w:cs="宋体" w:eastAsia="宋体" w:hint="default"/>
                <w:spacing w:val="-5"/>
                <w:w w:val="101"/>
                <w:sz w:val="18"/>
                <w:szCs w:val="18"/>
              </w:rPr>
              <w:t>的</w:t>
            </w:r>
            <w:r>
              <w:rPr>
                <w:rFonts w:ascii="宋体" w:hAnsi="宋体" w:cs="宋体" w:eastAsia="宋体" w:hint="default"/>
                <w:w w:val="101"/>
                <w:sz w:val="18"/>
                <w:szCs w:val="18"/>
              </w:rPr>
              <w:t>实</w:t>
            </w:r>
            <w:r>
              <w:rPr>
                <w:rFonts w:ascii="宋体" w:hAnsi="宋体" w:cs="宋体" w:eastAsia="宋体" w:hint="default"/>
                <w:spacing w:val="-5"/>
                <w:w w:val="101"/>
                <w:sz w:val="18"/>
                <w:szCs w:val="18"/>
              </w:rPr>
              <w:t>施</w:t>
            </w:r>
            <w:r>
              <w:rPr>
                <w:rFonts w:ascii="宋体" w:hAnsi="宋体" w:cs="宋体" w:eastAsia="宋体" w:hint="default"/>
                <w:w w:val="101"/>
                <w:sz w:val="18"/>
                <w:szCs w:val="18"/>
              </w:rPr>
              <w:t>对</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需</w:t>
            </w:r>
            <w:r>
              <w:rPr>
                <w:rFonts w:ascii="宋体" w:hAnsi="宋体" w:cs="宋体" w:eastAsia="宋体" w:hint="default"/>
                <w:spacing w:val="-5"/>
                <w:w w:val="101"/>
                <w:sz w:val="18"/>
                <w:szCs w:val="18"/>
              </w:rPr>
              <w:t>求</w:t>
            </w:r>
            <w:r>
              <w:rPr>
                <w:rFonts w:ascii="宋体" w:hAnsi="宋体" w:cs="宋体" w:eastAsia="宋体" w:hint="default"/>
                <w:spacing w:val="-10"/>
                <w:w w:val="101"/>
                <w:sz w:val="18"/>
                <w:szCs w:val="18"/>
              </w:rPr>
              <w:t>，</w:t>
            </w:r>
            <w:r>
              <w:rPr>
                <w:rFonts w:ascii="宋体" w:hAnsi="宋体" w:cs="宋体" w:eastAsia="宋体" w:hint="default"/>
                <w:w w:val="101"/>
                <w:sz w:val="18"/>
                <w:szCs w:val="18"/>
              </w:rPr>
              <w:t>公</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司拟实施的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年度利润分配预案为：本年度不派发现金红利、不送红股，不以公积金转增股本。公司独立董事发表了</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pacing w:val="-3"/>
                <w:sz w:val="18"/>
                <w:szCs w:val="18"/>
              </w:rPr>
              <w:t>同意的独立意见，该议案须提交公司拟于</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日召开的</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年度股东大会审议。</w:t>
            </w:r>
          </w:p>
          <w:p>
            <w:pPr>
              <w:pStyle w:val="TableParagraph"/>
              <w:spacing w:line="302" w:lineRule="auto" w:before="101"/>
              <w:ind w:left="24" w:right="90" w:firstLine="360"/>
              <w:jc w:val="both"/>
              <w:rPr>
                <w:rFonts w:ascii="宋体" w:hAnsi="宋体" w:cs="宋体" w:eastAsia="宋体" w:hint="default"/>
                <w:sz w:val="18"/>
                <w:szCs w:val="18"/>
              </w:rPr>
            </w:pPr>
            <w:r>
              <w:rPr>
                <w:rFonts w:ascii="宋体" w:hAnsi="宋体" w:cs="宋体" w:eastAsia="宋体" w:hint="default"/>
                <w:spacing w:val="-3"/>
                <w:sz w:val="18"/>
                <w:szCs w:val="18"/>
              </w:rPr>
              <w:t>《公司章程》中明确约定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在达到现金分红的条件下，在任意三个连续会计年度内，公司以现金方式累计分配的利润</w:t>
            </w:r>
            <w:r>
              <w:rPr>
                <w:rFonts w:ascii="宋体" w:hAnsi="宋体" w:cs="宋体" w:eastAsia="宋体" w:hint="default"/>
                <w:w w:val="101"/>
                <w:sz w:val="18"/>
                <w:szCs w:val="18"/>
              </w:rPr>
              <w:t> </w:t>
            </w:r>
            <w:r>
              <w:rPr>
                <w:rFonts w:ascii="宋体" w:hAnsi="宋体" w:cs="宋体" w:eastAsia="宋体" w:hint="default"/>
                <w:spacing w:val="-3"/>
                <w:sz w:val="18"/>
                <w:szCs w:val="18"/>
              </w:rPr>
              <w:t>不少于该三年实现的年均可分配利润的 </w:t>
            </w:r>
            <w:r>
              <w:rPr>
                <w:rFonts w:ascii="Times New Roman" w:hAnsi="Times New Roman" w:cs="Times New Roman" w:eastAsia="Times New Roman" w:hint="default"/>
                <w:spacing w:val="-3"/>
                <w:sz w:val="18"/>
                <w:szCs w:val="18"/>
              </w:rPr>
              <w:t>30%”</w:t>
            </w:r>
            <w:r>
              <w:rPr>
                <w:rFonts w:ascii="宋体" w:hAnsi="宋体" w:cs="宋体" w:eastAsia="宋体" w:hint="default"/>
                <w:spacing w:val="-3"/>
                <w:sz w:val="18"/>
                <w:szCs w:val="18"/>
              </w:rPr>
              <w:t>，按本利润分配预案测算，公司 </w:t>
            </w:r>
            <w:r>
              <w:rPr>
                <w:rFonts w:ascii="Times New Roman" w:hAnsi="Times New Roman" w:cs="Times New Roman" w:eastAsia="Times New Roman" w:hint="default"/>
                <w:sz w:val="18"/>
                <w:szCs w:val="18"/>
              </w:rPr>
              <w:t>2017-2019 </w:t>
            </w:r>
            <w:r>
              <w:rPr>
                <w:rFonts w:ascii="宋体" w:hAnsi="宋体" w:cs="宋体" w:eastAsia="宋体" w:hint="default"/>
                <w:spacing w:val="-3"/>
                <w:sz w:val="18"/>
                <w:szCs w:val="18"/>
              </w:rPr>
              <w:t>年连续三年以现金方式累计分配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的利润占该三年实现的年均可分配利润的</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40.4%</w:t>
            </w:r>
            <w:r>
              <w:rPr>
                <w:rFonts w:ascii="宋体" w:hAnsi="宋体" w:cs="宋体" w:eastAsia="宋体" w:hint="default"/>
                <w:spacing w:val="-3"/>
                <w:sz w:val="18"/>
                <w:szCs w:val="18"/>
              </w:rPr>
              <w:t>，符合《公司章程》的相关规定。</w:t>
            </w:r>
          </w:p>
        </w:tc>
      </w:tr>
    </w:tbl>
    <w:p>
      <w:pPr>
        <w:spacing w:line="240" w:lineRule="auto" w:before="11"/>
        <w:rPr>
          <w:rFonts w:ascii="宋体" w:hAnsi="宋体" w:cs="宋体" w:eastAsia="宋体" w:hint="default"/>
          <w:sz w:val="6"/>
          <w:szCs w:val="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公司近</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年</w:t>
      </w:r>
      <w:r>
        <w:rPr>
          <w:rFonts w:ascii="宋体" w:hAnsi="宋体" w:cs="宋体" w:eastAsia="宋体" w:hint="default"/>
          <w:spacing w:val="-5"/>
          <w:w w:val="101"/>
          <w:sz w:val="18"/>
          <w:szCs w:val="18"/>
        </w:rPr>
        <w:t>（</w:t>
      </w:r>
      <w:r>
        <w:rPr>
          <w:rFonts w:ascii="宋体" w:hAnsi="宋体" w:cs="宋体" w:eastAsia="宋体" w:hint="default"/>
          <w:w w:val="101"/>
          <w:sz w:val="18"/>
          <w:szCs w:val="18"/>
        </w:rPr>
        <w:t>包</w:t>
      </w:r>
      <w:r>
        <w:rPr>
          <w:rFonts w:ascii="宋体" w:hAnsi="宋体" w:cs="宋体" w:eastAsia="宋体" w:hint="default"/>
          <w:spacing w:val="-5"/>
          <w:w w:val="101"/>
          <w:sz w:val="18"/>
          <w:szCs w:val="18"/>
        </w:rPr>
        <w:t>括</w:t>
      </w:r>
      <w:r>
        <w:rPr>
          <w:rFonts w:ascii="宋体" w:hAnsi="宋体" w:cs="宋体" w:eastAsia="宋体" w:hint="default"/>
          <w:w w:val="101"/>
          <w:sz w:val="18"/>
          <w:szCs w:val="18"/>
        </w:rPr>
        <w:t>本</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5"/>
          <w:w w:val="101"/>
          <w:sz w:val="18"/>
          <w:szCs w:val="18"/>
        </w:rPr>
        <w:t>期</w:t>
      </w:r>
      <w:r>
        <w:rPr>
          <w:rFonts w:ascii="宋体" w:hAnsi="宋体" w:cs="宋体" w:eastAsia="宋体" w:hint="default"/>
          <w:w w:val="101"/>
          <w:sz w:val="18"/>
          <w:szCs w:val="18"/>
        </w:rPr>
        <w:t>）</w:t>
      </w:r>
      <w:r>
        <w:rPr>
          <w:rFonts w:ascii="宋体" w:hAnsi="宋体" w:cs="宋体" w:eastAsia="宋体" w:hint="default"/>
          <w:spacing w:val="-5"/>
          <w:w w:val="101"/>
          <w:sz w:val="18"/>
          <w:szCs w:val="18"/>
        </w:rPr>
        <w:t>的</w:t>
      </w:r>
      <w:r>
        <w:rPr>
          <w:rFonts w:ascii="宋体" w:hAnsi="宋体" w:cs="宋体" w:eastAsia="宋体" w:hint="default"/>
          <w:w w:val="101"/>
          <w:sz w:val="18"/>
          <w:szCs w:val="18"/>
        </w:rPr>
        <w:t>普</w:t>
      </w:r>
      <w:r>
        <w:rPr>
          <w:rFonts w:ascii="宋体" w:hAnsi="宋体" w:cs="宋体" w:eastAsia="宋体" w:hint="default"/>
          <w:spacing w:val="-5"/>
          <w:w w:val="101"/>
          <w:sz w:val="18"/>
          <w:szCs w:val="18"/>
        </w:rPr>
        <w:t>通</w:t>
      </w:r>
      <w:r>
        <w:rPr>
          <w:rFonts w:ascii="宋体" w:hAnsi="宋体" w:cs="宋体" w:eastAsia="宋体" w:hint="default"/>
          <w:w w:val="101"/>
          <w:sz w:val="18"/>
          <w:szCs w:val="18"/>
        </w:rPr>
        <w:t>股</w:t>
      </w:r>
      <w:r>
        <w:rPr>
          <w:rFonts w:ascii="宋体" w:hAnsi="宋体" w:cs="宋体" w:eastAsia="宋体" w:hint="default"/>
          <w:spacing w:val="-5"/>
          <w:w w:val="101"/>
          <w:sz w:val="18"/>
          <w:szCs w:val="18"/>
        </w:rPr>
        <w:t>股</w:t>
      </w:r>
      <w:r>
        <w:rPr>
          <w:rFonts w:ascii="宋体" w:hAnsi="宋体" w:cs="宋体" w:eastAsia="宋体" w:hint="default"/>
          <w:w w:val="101"/>
          <w:sz w:val="18"/>
          <w:szCs w:val="18"/>
        </w:rPr>
        <w:t>利</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5"/>
          <w:w w:val="101"/>
          <w:sz w:val="18"/>
          <w:szCs w:val="18"/>
        </w:rPr>
        <w:t>方</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预案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资</w:t>
      </w:r>
      <w:r>
        <w:rPr>
          <w:rFonts w:ascii="宋体" w:hAnsi="宋体" w:cs="宋体" w:eastAsia="宋体" w:hint="default"/>
          <w:w w:val="101"/>
          <w:sz w:val="18"/>
          <w:szCs w:val="18"/>
        </w:rPr>
        <w:t>本</w:t>
      </w:r>
      <w:r>
        <w:rPr>
          <w:rFonts w:ascii="宋体" w:hAnsi="宋体" w:cs="宋体" w:eastAsia="宋体" w:hint="default"/>
          <w:spacing w:val="-5"/>
          <w:w w:val="101"/>
          <w:sz w:val="18"/>
          <w:szCs w:val="18"/>
        </w:rPr>
        <w:t>公</w:t>
      </w:r>
      <w:r>
        <w:rPr>
          <w:rFonts w:ascii="宋体" w:hAnsi="宋体" w:cs="宋体" w:eastAsia="宋体" w:hint="default"/>
          <w:w w:val="101"/>
          <w:sz w:val="18"/>
          <w:szCs w:val="18"/>
        </w:rPr>
        <w:t>积</w:t>
      </w:r>
      <w:r>
        <w:rPr>
          <w:rFonts w:ascii="宋体" w:hAnsi="宋体" w:cs="宋体" w:eastAsia="宋体" w:hint="default"/>
          <w:spacing w:val="-5"/>
          <w:w w:val="101"/>
          <w:sz w:val="18"/>
          <w:szCs w:val="18"/>
        </w:rPr>
        <w:t>金</w:t>
      </w:r>
      <w:r>
        <w:rPr>
          <w:rFonts w:ascii="宋体" w:hAnsi="宋体" w:cs="宋体" w:eastAsia="宋体" w:hint="default"/>
          <w:w w:val="101"/>
          <w:sz w:val="18"/>
          <w:szCs w:val="18"/>
        </w:rPr>
        <w:t>转</w:t>
      </w:r>
      <w:r>
        <w:rPr>
          <w:rFonts w:ascii="宋体" w:hAnsi="宋体" w:cs="宋体" w:eastAsia="宋体" w:hint="default"/>
          <w:spacing w:val="-5"/>
          <w:w w:val="101"/>
          <w:sz w:val="18"/>
          <w:szCs w:val="18"/>
        </w:rPr>
        <w:t>增</w:t>
      </w:r>
      <w:r>
        <w:rPr>
          <w:rFonts w:ascii="宋体" w:hAnsi="宋体" w:cs="宋体" w:eastAsia="宋体" w:hint="default"/>
          <w:w w:val="101"/>
          <w:sz w:val="18"/>
          <w:szCs w:val="18"/>
        </w:rPr>
        <w:t>股</w:t>
      </w:r>
      <w:r>
        <w:rPr>
          <w:rFonts w:ascii="宋体" w:hAnsi="宋体" w:cs="宋体" w:eastAsia="宋体" w:hint="default"/>
          <w:spacing w:val="-5"/>
          <w:w w:val="101"/>
          <w:sz w:val="18"/>
          <w:szCs w:val="18"/>
        </w:rPr>
        <w:t>本</w:t>
      </w:r>
      <w:r>
        <w:rPr>
          <w:rFonts w:ascii="宋体" w:hAnsi="宋体" w:cs="宋体" w:eastAsia="宋体" w:hint="default"/>
          <w:w w:val="101"/>
          <w:sz w:val="18"/>
          <w:szCs w:val="18"/>
        </w:rPr>
        <w:t>方</w:t>
      </w:r>
      <w:r>
        <w:rPr>
          <w:rFonts w:ascii="宋体" w:hAnsi="宋体" w:cs="宋体" w:eastAsia="宋体" w:hint="default"/>
          <w:spacing w:val="-5"/>
          <w:w w:val="101"/>
          <w:sz w:val="18"/>
          <w:szCs w:val="18"/>
        </w:rPr>
        <w:t>案</w:t>
      </w:r>
      <w:r>
        <w:rPr>
          <w:rFonts w:ascii="宋体" w:hAnsi="宋体" w:cs="宋体" w:eastAsia="宋体" w:hint="default"/>
          <w:w w:val="101"/>
          <w:sz w:val="18"/>
          <w:szCs w:val="18"/>
        </w:rPr>
        <w:t>（</w:t>
      </w:r>
      <w:r>
        <w:rPr>
          <w:rFonts w:ascii="宋体" w:hAnsi="宋体" w:cs="宋体" w:eastAsia="宋体" w:hint="default"/>
          <w:spacing w:val="-5"/>
          <w:w w:val="101"/>
          <w:sz w:val="18"/>
          <w:szCs w:val="18"/>
        </w:rPr>
        <w:t>预</w:t>
      </w:r>
      <w:r>
        <w:rPr>
          <w:rFonts w:ascii="宋体" w:hAnsi="宋体" w:cs="宋体" w:eastAsia="宋体" w:hint="default"/>
          <w:w w:val="101"/>
          <w:sz w:val="18"/>
          <w:szCs w:val="18"/>
        </w:rPr>
        <w:t>案</w:t>
      </w:r>
      <w:r>
        <w:rPr>
          <w:rFonts w:ascii="宋体" w:hAnsi="宋体" w:cs="宋体" w:eastAsia="宋体" w:hint="default"/>
          <w:spacing w:val="-5"/>
          <w:w w:val="101"/>
          <w:sz w:val="18"/>
          <w:szCs w:val="18"/>
        </w:rPr>
        <w:t>）</w:t>
      </w:r>
      <w:r>
        <w:rPr>
          <w:rFonts w:ascii="宋体" w:hAnsi="宋体" w:cs="宋体" w:eastAsia="宋体" w:hint="default"/>
          <w:w w:val="101"/>
          <w:sz w:val="18"/>
          <w:szCs w:val="18"/>
        </w:rPr>
        <w:t>情况</w:t>
      </w:r>
      <w:r>
        <w:rPr>
          <w:rFonts w:ascii="宋体" w:hAnsi="宋体" w:cs="宋体" w:eastAsia="宋体" w:hint="default"/>
          <w:sz w:val="18"/>
          <w:szCs w:val="18"/>
        </w:rPr>
      </w:r>
    </w:p>
    <w:p>
      <w:pPr>
        <w:spacing w:line="240" w:lineRule="auto" w:before="8"/>
        <w:rPr>
          <w:rFonts w:ascii="宋体" w:hAnsi="宋体" w:cs="宋体" w:eastAsia="宋体" w:hint="default"/>
          <w:sz w:val="15"/>
          <w:szCs w:val="15"/>
        </w:rPr>
      </w:pPr>
    </w:p>
    <w:p>
      <w:pPr>
        <w:pStyle w:val="Heading2"/>
        <w:spacing w:line="240" w:lineRule="auto"/>
        <w:ind w:left="633" w:right="0"/>
        <w:jc w:val="left"/>
        <w:rPr>
          <w:b w:val="0"/>
          <w:bCs w:val="0"/>
        </w:rPr>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年度公司利润分配方案</w:t>
      </w:r>
      <w:r>
        <w:rPr>
          <w:b w:val="0"/>
          <w:bCs w:val="0"/>
        </w:rPr>
      </w:r>
    </w:p>
    <w:p>
      <w:pPr>
        <w:pStyle w:val="BodyText"/>
        <w:spacing w:line="340" w:lineRule="auto" w:before="138"/>
        <w:ind w:right="993" w:firstLine="48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日召开第三届董事会第四十次会议、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w:t>
      </w:r>
      <w:r>
        <w:rPr>
          <w:rFonts w:ascii="Times New Roman" w:hAnsi="Times New Roman" w:cs="Times New Roman" w:eastAsia="Times New Roman" w:hint="default"/>
        </w:rPr>
        <w:t>2017</w:t>
      </w:r>
      <w:r>
        <w:rPr/>
        <w:t>年度股东大会 审议通过了公司《关于</w:t>
      </w:r>
      <w:r>
        <w:rPr>
          <w:rFonts w:ascii="Times New Roman" w:hAnsi="Times New Roman" w:cs="Times New Roman" w:eastAsia="Times New Roman" w:hint="default"/>
        </w:rPr>
        <w:t>2017</w:t>
      </w:r>
      <w:r>
        <w:rPr/>
        <w:t>年度利润分配预案的议案》，独立董事发表了同意的独立意见。</w:t>
      </w:r>
      <w:r>
        <w:rPr>
          <w:spacing w:val="-92"/>
        </w:rPr>
        <w:t> </w:t>
      </w:r>
      <w:r>
        <w:rPr>
          <w:spacing w:val="-92"/>
        </w:rPr>
      </w:r>
      <w:r>
        <w:rPr/>
        <w:t>公司</w:t>
      </w:r>
      <w:r>
        <w:rPr>
          <w:rFonts w:ascii="Times New Roman" w:hAnsi="Times New Roman" w:cs="Times New Roman" w:eastAsia="Times New Roman" w:hint="default"/>
        </w:rPr>
        <w:t>2017</w:t>
      </w:r>
      <w:r>
        <w:rPr/>
        <w:t>年度利润分配方案为：以截止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446,121,534</w:t>
      </w:r>
      <w:r>
        <w:rPr/>
        <w:t>股为基数，向</w:t>
      </w:r>
      <w:r>
        <w:rPr>
          <w:spacing w:val="-95"/>
        </w:rPr>
        <w:t> </w:t>
      </w:r>
      <w:r>
        <w:rPr/>
        <w:t>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0.25</w:t>
      </w:r>
      <w:r>
        <w:rPr/>
        <w:t>元（含税），共计派发现金</w:t>
      </w:r>
      <w:r>
        <w:rPr>
          <w:rFonts w:ascii="Times New Roman" w:hAnsi="Times New Roman" w:cs="Times New Roman" w:eastAsia="Times New Roman" w:hint="default"/>
        </w:rPr>
        <w:t>11,153,038.35</w:t>
      </w:r>
      <w:r>
        <w:rPr/>
        <w:t>元。因自公司权益 </w:t>
      </w:r>
      <w:r>
        <w:rPr>
          <w:spacing w:val="-2"/>
        </w:rPr>
        <w:t>分派方案经股东大会审议通过后至实施前，公司实施了限制性股票激励计划的预留授予工作，</w:t>
      </w:r>
      <w:r>
        <w:rPr/>
        <w:t> 公司总股本由</w:t>
      </w:r>
      <w:r>
        <w:rPr>
          <w:rFonts w:ascii="Times New Roman" w:hAnsi="Times New Roman" w:cs="Times New Roman" w:eastAsia="Times New Roman" w:hint="default"/>
        </w:rPr>
        <w:t>446,121,534</w:t>
      </w:r>
      <w:r>
        <w:rPr/>
        <w:t>股增加至</w:t>
      </w:r>
      <w:r>
        <w:rPr>
          <w:rFonts w:ascii="Times New Roman" w:hAnsi="Times New Roman" w:cs="Times New Roman" w:eastAsia="Times New Roman" w:hint="default"/>
        </w:rPr>
        <w:t>447,301,534</w:t>
      </w:r>
      <w:r>
        <w:rPr/>
        <w:t>股。因此，公司</w:t>
      </w:r>
      <w:r>
        <w:rPr>
          <w:rFonts w:ascii="Times New Roman" w:hAnsi="Times New Roman" w:cs="Times New Roman" w:eastAsia="Times New Roman" w:hint="default"/>
        </w:rPr>
        <w:t>2017</w:t>
      </w:r>
      <w:r>
        <w:rPr/>
        <w:t>年度权益分派对应的公司</w:t>
      </w:r>
      <w:r>
        <w:rPr>
          <w:spacing w:val="-93"/>
        </w:rPr>
        <w:t> </w:t>
      </w:r>
      <w:r>
        <w:rPr>
          <w:spacing w:val="-93"/>
        </w:rPr>
      </w:r>
      <w:r>
        <w:rPr/>
        <w:t>总股本为</w:t>
      </w:r>
      <w:r>
        <w:rPr>
          <w:rFonts w:ascii="Times New Roman" w:hAnsi="Times New Roman" w:cs="Times New Roman" w:eastAsia="Times New Roman" w:hint="default"/>
        </w:rPr>
        <w:t>447,301,534</w:t>
      </w:r>
      <w:r>
        <w:rPr/>
        <w:t>股，按照</w:t>
      </w:r>
      <w:r>
        <w:rPr>
          <w:rFonts w:ascii="Times New Roman" w:hAnsi="Times New Roman" w:cs="Times New Roman" w:eastAsia="Times New Roman" w:hint="default"/>
        </w:rPr>
        <w:t>“</w:t>
      </w:r>
      <w:r>
        <w:rPr/>
        <w:t>现金分红总额、送红股总额、转增股本总额固定不变</w:t>
      </w:r>
      <w:r>
        <w:rPr>
          <w:rFonts w:ascii="Times New Roman" w:hAnsi="Times New Roman" w:cs="Times New Roman" w:eastAsia="Times New Roman" w:hint="default"/>
        </w:rPr>
        <w:t>”</w:t>
      </w:r>
      <w:r>
        <w:rPr/>
        <w:t>的原则</w:t>
      </w:r>
      <w:r>
        <w:rPr>
          <w:spacing w:val="-57"/>
        </w:rPr>
        <w:t> </w:t>
      </w:r>
      <w:r>
        <w:rPr>
          <w:spacing w:val="6"/>
        </w:rPr>
        <w:t>计算股权登记日每股分红金额，最终实施的</w:t>
      </w:r>
      <w:r>
        <w:rPr>
          <w:rFonts w:ascii="Times New Roman" w:hAnsi="Times New Roman" w:cs="Times New Roman" w:eastAsia="Times New Roman" w:hint="default"/>
          <w:spacing w:val="6"/>
        </w:rPr>
        <w:t>2017</w:t>
      </w:r>
      <w:r>
        <w:rPr>
          <w:spacing w:val="6"/>
        </w:rPr>
        <w:t>年度权益分派方案为每</w:t>
      </w:r>
      <w:r>
        <w:rPr>
          <w:rFonts w:ascii="Times New Roman" w:hAnsi="Times New Roman" w:cs="Times New Roman" w:eastAsia="Times New Roman" w:hint="default"/>
          <w:spacing w:val="6"/>
        </w:rPr>
        <w:t>10</w:t>
      </w:r>
      <w:r>
        <w:rPr>
          <w:spacing w:val="6"/>
        </w:rPr>
        <w:t>股派发现金股利</w:t>
      </w:r>
      <w:r>
        <w:rPr>
          <w:spacing w:val="-106"/>
        </w:rPr>
        <w:t> </w:t>
      </w:r>
      <w:r>
        <w:rPr>
          <w:spacing w:val="-106"/>
        </w:rPr>
      </w:r>
      <w:r>
        <w:rPr>
          <w:rFonts w:ascii="Times New Roman" w:hAnsi="Times New Roman" w:cs="Times New Roman" w:eastAsia="Times New Roman" w:hint="default"/>
        </w:rPr>
        <w:t>0.249340</w:t>
      </w:r>
      <w:r>
        <w:rPr/>
        <w:t>元人民币（含税）。</w:t>
      </w:r>
    </w:p>
    <w:p>
      <w:pPr>
        <w:pStyle w:val="Heading2"/>
        <w:spacing w:line="240" w:lineRule="auto" w:before="22"/>
        <w:ind w:left="633" w:right="0"/>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年度公司利润分配方案</w:t>
      </w:r>
      <w:r>
        <w:rPr>
          <w:b w:val="0"/>
          <w:bCs w:val="0"/>
        </w:rPr>
      </w:r>
    </w:p>
    <w:p>
      <w:pPr>
        <w:pStyle w:val="BodyText"/>
        <w:spacing w:line="338" w:lineRule="auto" w:before="138"/>
        <w:ind w:right="1135"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日召开第四届董事会第三次会议、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日召开</w:t>
      </w:r>
      <w:r>
        <w:rPr>
          <w:rFonts w:ascii="Times New Roman" w:hAnsi="Times New Roman" w:cs="Times New Roman" w:eastAsia="Times New Roman" w:hint="default"/>
        </w:rPr>
        <w:t>2018</w:t>
      </w:r>
      <w:r>
        <w:rPr/>
        <w:t>年度股东大会审 议通过了公司《关于</w:t>
      </w:r>
      <w:r>
        <w:rPr>
          <w:rFonts w:ascii="Times New Roman" w:hAnsi="Times New Roman" w:cs="Times New Roman" w:eastAsia="Times New Roman" w:hint="default"/>
        </w:rPr>
        <w:t>2018</w:t>
      </w:r>
      <w:r>
        <w:rPr/>
        <w:t>年度利润分配预案的议案》，独立董事发表同意的独立意见。公司</w:t>
      </w:r>
      <w:r>
        <w:rPr>
          <w:spacing w:val="-92"/>
        </w:rPr>
        <w:t> </w:t>
      </w:r>
      <w:r>
        <w:rPr>
          <w:spacing w:val="-92"/>
        </w:rPr>
      </w:r>
      <w:r>
        <w:rPr>
          <w:rFonts w:ascii="Times New Roman" w:hAnsi="Times New Roman" w:cs="Times New Roman" w:eastAsia="Times New Roman" w:hint="default"/>
        </w:rPr>
        <w:t>2018</w:t>
      </w:r>
      <w:r>
        <w:rPr/>
        <w:t>年度利润分配方案为：以截止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445,987,594</w:t>
      </w:r>
      <w:r>
        <w:rPr/>
        <w:t>股为基数，向全体</w:t>
      </w:r>
      <w:r>
        <w:rPr>
          <w:spacing w:val="-94"/>
        </w:rPr>
        <w:t> </w:t>
      </w:r>
      <w:r>
        <w:rPr/>
        <w:t>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0.15</w:t>
      </w:r>
      <w:r>
        <w:rPr/>
        <w:t>元（含税），共计派发现金</w:t>
      </w:r>
      <w:r>
        <w:rPr>
          <w:rFonts w:ascii="Times New Roman" w:hAnsi="Times New Roman" w:cs="Times New Roman" w:eastAsia="Times New Roman" w:hint="default"/>
        </w:rPr>
        <w:t>6,689,813.91</w:t>
      </w:r>
      <w:r>
        <w:rPr/>
        <w:t>元。</w:t>
      </w:r>
    </w:p>
    <w:p>
      <w:pPr>
        <w:pStyle w:val="Heading2"/>
        <w:spacing w:line="240" w:lineRule="auto" w:before="29"/>
        <w:ind w:left="633"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年度公司利润分配方案</w:t>
      </w:r>
      <w:r>
        <w:rPr>
          <w:b w:val="0"/>
          <w:bCs w:val="0"/>
        </w:rPr>
      </w:r>
    </w:p>
    <w:p>
      <w:pPr>
        <w:pStyle w:val="BodyText"/>
        <w:spacing w:line="338" w:lineRule="auto" w:before="133"/>
        <w:ind w:right="1129" w:firstLine="480"/>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27</w:t>
      </w:r>
      <w:r>
        <w:rPr>
          <w:spacing w:val="-2"/>
        </w:rPr>
        <w:t>日公司第四届董事会第十五次会议、第四届监事会第十一次会议审议通过了</w:t>
      </w:r>
      <w:r>
        <w:rPr/>
        <w:t> 公司《关于</w:t>
      </w:r>
      <w:r>
        <w:rPr>
          <w:rFonts w:ascii="Times New Roman" w:hAnsi="Times New Roman" w:cs="Times New Roman" w:eastAsia="Times New Roman" w:hint="default"/>
        </w:rPr>
        <w:t>2019</w:t>
      </w:r>
      <w:r>
        <w:rPr/>
        <w:t>年度利润分配预案的议案》，公司拟实施的</w:t>
      </w:r>
      <w:r>
        <w:rPr>
          <w:rFonts w:ascii="Times New Roman" w:hAnsi="Times New Roman" w:cs="Times New Roman" w:eastAsia="Times New Roman" w:hint="default"/>
        </w:rPr>
        <w:t>2019</w:t>
      </w:r>
      <w:r>
        <w:rPr/>
        <w:t>年度利润分配预案为：本年</w:t>
      </w:r>
      <w:r>
        <w:rPr>
          <w:spacing w:val="-91"/>
        </w:rPr>
        <w:t> </w:t>
      </w:r>
      <w:r>
        <w:rPr>
          <w:spacing w:val="-91"/>
        </w:rPr>
      </w:r>
      <w:r>
        <w:rPr>
          <w:spacing w:val="-5"/>
        </w:rPr>
        <w:t>度不派发现金红利、不送红股，不以公积金转增股本。公司独立董事发表了同意的独立意见，</w:t>
      </w:r>
    </w:p>
    <w:p>
      <w:pPr>
        <w:spacing w:after="0" w:line="338" w:lineRule="auto"/>
        <w:jc w:val="both"/>
        <w:sectPr>
          <w:pgSz w:w="11910" w:h="16840"/>
          <w:pgMar w:header="741" w:footer="979" w:top="1060" w:bottom="1160" w:left="980" w:right="0"/>
        </w:sectPr>
      </w:pPr>
    </w:p>
    <w:p>
      <w:pPr>
        <w:spacing w:line="240" w:lineRule="auto" w:before="13"/>
        <w:rPr>
          <w:rFonts w:ascii="宋体" w:hAnsi="宋体" w:cs="宋体" w:eastAsia="宋体" w:hint="default"/>
          <w:sz w:val="29"/>
          <w:szCs w:val="29"/>
        </w:rPr>
      </w:pPr>
    </w:p>
    <w:p>
      <w:pPr>
        <w:pStyle w:val="BodyText"/>
        <w:spacing w:line="240" w:lineRule="auto"/>
        <w:ind w:right="0"/>
        <w:jc w:val="left"/>
      </w:pPr>
      <w:r>
        <w:rPr/>
        <w:t>该议案须提交公司拟于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2019</w:t>
      </w:r>
      <w:r>
        <w:rPr/>
        <w:t>年度股东大会审议。</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公司近三年（包括本报告期）普通股现金分红情况表</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84"/>
        <w:gridCol w:w="1220"/>
        <w:gridCol w:w="1174"/>
      </w:tblGrid>
      <w:tr>
        <w:trPr>
          <w:trHeight w:val="16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FFFFFF"/>
            </w:tcBorders>
            <w:shd w:val="clear" w:color="auto" w:fill="D2D2D2"/>
          </w:tcPr>
          <w:p>
            <w:pPr/>
          </w:p>
        </w:tc>
        <w:tc>
          <w:tcPr>
            <w:tcW w:w="1201" w:type="dxa"/>
            <w:vMerge w:val="restart"/>
            <w:tcBorders>
              <w:top w:val="single" w:sz="4" w:space="0" w:color="000000"/>
              <w:left w:val="single" w:sz="4" w:space="0" w:color="FFFFFF"/>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tcBorders>
              <w:left w:val="single" w:sz="4" w:space="0" w:color="FFFFFF"/>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4" w:lineRule="auto" w:before="71"/>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89"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tcBorders>
              <w:left w:val="single" w:sz="4" w:space="0" w:color="FFFFFF"/>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tcBorders>
              <w:left w:val="single" w:sz="4" w:space="0" w:color="FFFFFF"/>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FFFFFF"/>
            </w:tcBorders>
            <w:shd w:val="clear" w:color="auto" w:fill="D2D2D2"/>
          </w:tcPr>
          <w:p>
            <w:pPr/>
          </w:p>
        </w:tc>
        <w:tc>
          <w:tcPr>
            <w:tcW w:w="1201" w:type="dxa"/>
            <w:vMerge w:val="restart"/>
            <w:tcBorders>
              <w:top w:val="nil" w:sz="6" w:space="0" w:color="auto"/>
              <w:left w:val="single" w:sz="4" w:space="0" w:color="FFFFFF"/>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FFFFFF"/>
            </w:tcBorders>
            <w:shd w:val="clear" w:color="auto" w:fill="D2D2D2"/>
          </w:tcPr>
          <w:p>
            <w:pPr/>
          </w:p>
        </w:tc>
        <w:tc>
          <w:tcPr>
            <w:tcW w:w="1201" w:type="dxa"/>
            <w:vMerge/>
            <w:tcBorders>
              <w:left w:val="single" w:sz="4" w:space="0" w:color="FFFFFF"/>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FFFFFF"/>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3,278,236.16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FFFFFF"/>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6,689,813.91</w:t>
            </w:r>
          </w:p>
        </w:tc>
        <w:tc>
          <w:tcPr>
            <w:tcW w:w="120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38,278,594.81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6,689,813.91</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17.48%</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FFFFFF"/>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11,153,038.35</w:t>
            </w:r>
          </w:p>
        </w:tc>
        <w:tc>
          <w:tcPr>
            <w:tcW w:w="120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90,947,204.42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2"/>
                <w:sz w:val="18"/>
              </w:rPr>
              <w:t>11,153,038.35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12.26%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公司报告期内盈利且母公司可供普通股股东分配利润为正但未提出普通股现金红利分配预案</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71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37" w:right="42" w:hanging="990"/>
              <w:jc w:val="left"/>
              <w:rPr>
                <w:rFonts w:ascii="宋体" w:hAnsi="宋体" w:cs="宋体" w:eastAsia="宋体" w:hint="default"/>
                <w:sz w:val="18"/>
                <w:szCs w:val="18"/>
              </w:rPr>
            </w:pPr>
            <w:r>
              <w:rPr>
                <w:rFonts w:ascii="宋体" w:hAnsi="宋体" w:cs="宋体" w:eastAsia="宋体" w:hint="default"/>
                <w:spacing w:val="-3"/>
                <w:sz w:val="18"/>
                <w:szCs w:val="18"/>
              </w:rPr>
              <w:t>报告期内盈利且母公司可供普通股股东分配利润为正但未提</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出普通股现金红利分配预案的原因</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pacing w:val="-3"/>
                <w:sz w:val="18"/>
                <w:szCs w:val="18"/>
              </w:rPr>
              <w:t>公司未分配利润的用途和使用计划</w:t>
            </w:r>
          </w:p>
        </w:tc>
      </w:tr>
      <w:tr>
        <w:trPr>
          <w:trHeight w:val="196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7"/>
              <w:jc w:val="both"/>
              <w:rPr>
                <w:rFonts w:ascii="宋体" w:hAnsi="宋体" w:cs="宋体" w:eastAsia="宋体" w:hint="default"/>
                <w:sz w:val="18"/>
                <w:szCs w:val="18"/>
              </w:rPr>
            </w:pPr>
            <w:r>
              <w:rPr>
                <w:rFonts w:ascii="宋体" w:hAnsi="宋体" w:cs="宋体" w:eastAsia="宋体" w:hint="default"/>
                <w:spacing w:val="-3"/>
                <w:sz w:val="18"/>
                <w:szCs w:val="18"/>
              </w:rPr>
              <w:t>随着集团战略的推动，公司业务涵盖信息数据、医疗健康、</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环保治理三大业务领域，为推动公司各业务领域业务的快速</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发展，开展公司日常经营和对外投资活动的资金需求较大，</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加之近三年来公司应收账款出现较快增长，一定程度上降低</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7"/>
                <w:sz w:val="18"/>
                <w:szCs w:val="18"/>
              </w:rPr>
              <w:t>了公司资金周转率，公司对现金管理的需求增加，因此，</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宋体" w:hAnsi="宋体" w:cs="宋体" w:eastAsia="宋体" w:hint="default"/>
                <w:spacing w:val="-3"/>
                <w:sz w:val="18"/>
                <w:szCs w:val="18"/>
              </w:rPr>
              <w:t>年公司拟不派发现金红利。</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pacing w:val="-3"/>
                <w:sz w:val="18"/>
                <w:szCs w:val="18"/>
              </w:rPr>
              <w:t>用于公司经营规模持续扩大</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承诺事项履行情况" w:id="61"/>
      <w:bookmarkEnd w:id="61"/>
      <w:r>
        <w:rPr>
          <w:b w:val="0"/>
          <w:bCs w:val="0"/>
        </w:rPr>
      </w:r>
      <w:r>
        <w:rPr/>
        <w:t>二、承诺事项履行情况</w:t>
      </w:r>
      <w:r>
        <w:rPr>
          <w:b w:val="0"/>
          <w:bCs w:val="0"/>
        </w:rPr>
      </w:r>
    </w:p>
    <w:p>
      <w:pPr>
        <w:spacing w:line="240" w:lineRule="auto" w:before="4"/>
        <w:rPr>
          <w:rFonts w:ascii="宋体" w:hAnsi="宋体" w:cs="宋体" w:eastAsia="宋体" w:hint="default"/>
          <w:b/>
          <w:bCs/>
          <w:sz w:val="25"/>
          <w:szCs w:val="25"/>
        </w:rPr>
      </w:pPr>
    </w:p>
    <w:p>
      <w:pPr>
        <w:spacing w:line="256" w:lineRule="auto" w:before="0"/>
        <w:ind w:left="153" w:right="0" w:firstLine="0"/>
        <w:jc w:val="left"/>
        <w:rPr>
          <w:rFonts w:ascii="宋体" w:hAnsi="宋体" w:cs="宋体" w:eastAsia="宋体" w:hint="default"/>
          <w:sz w:val="21"/>
          <w:szCs w:val="21"/>
        </w:rPr>
      </w:pPr>
      <w:bookmarkStart w:name="1、公司实际控制人、股东、关联方、收购人以及公司等承诺相关方在报告期内履行完毕及" w:id="62"/>
      <w:bookmarkEnd w:id="6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537"/>
        <w:gridCol w:w="1145"/>
        <w:gridCol w:w="1417"/>
        <w:gridCol w:w="2271"/>
        <w:gridCol w:w="1133"/>
        <w:gridCol w:w="951"/>
        <w:gridCol w:w="1104"/>
      </w:tblGrid>
      <w:tr>
        <w:trPr>
          <w:trHeight w:val="403"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0"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7" w:hRule="exact"/>
        </w:trPr>
        <w:tc>
          <w:tcPr>
            <w:tcW w:w="15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45" w:type="dxa"/>
            <w:vMerge w:val="restart"/>
            <w:tcBorders>
              <w:top w:val="single" w:sz="4" w:space="0" w:color="000000"/>
              <w:left w:val="single" w:sz="10" w:space="0" w:color="D2D2D2"/>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18"/>
              <w:jc w:val="left"/>
              <w:rPr>
                <w:rFonts w:ascii="宋体" w:hAnsi="宋体" w:cs="宋体" w:eastAsia="宋体" w:hint="default"/>
                <w:sz w:val="18"/>
                <w:szCs w:val="18"/>
              </w:rPr>
            </w:pPr>
            <w:r>
              <w:rPr>
                <w:rFonts w:ascii="宋体" w:hAnsi="宋体" w:cs="宋体" w:eastAsia="宋体" w:hint="default"/>
                <w:spacing w:val="-3"/>
                <w:sz w:val="18"/>
                <w:szCs w:val="18"/>
              </w:rPr>
              <w:t>重大资产重组时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承诺</w:t>
            </w:r>
          </w:p>
        </w:tc>
        <w:tc>
          <w:tcPr>
            <w:tcW w:w="2271" w:type="dxa"/>
            <w:vMerge w:val="restart"/>
            <w:tcBorders>
              <w:top w:val="single" w:sz="4" w:space="0" w:color="000000"/>
              <w:left w:val="single" w:sz="4" w:space="0" w:color="000000"/>
              <w:right w:val="single" w:sz="4" w:space="0" w:color="000000"/>
            </w:tcBorders>
          </w:tcPr>
          <w:p>
            <w:pPr>
              <w:pStyle w:val="TableParagraph"/>
              <w:spacing w:line="309" w:lineRule="auto" w:before="54"/>
              <w:ind w:left="28" w:right="12"/>
              <w:jc w:val="left"/>
              <w:rPr>
                <w:rFonts w:ascii="宋体" w:hAnsi="宋体" w:cs="宋体" w:eastAsia="宋体" w:hint="default"/>
                <w:sz w:val="18"/>
                <w:szCs w:val="18"/>
              </w:rPr>
            </w:pPr>
            <w:r>
              <w:rPr>
                <w:rFonts w:ascii="宋体" w:hAnsi="宋体" w:cs="宋体" w:eastAsia="宋体" w:hint="default"/>
                <w:sz w:val="18"/>
                <w:szCs w:val="18"/>
              </w:rPr>
              <w:t>公司在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年度完成发行股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份购买江苏亿金资产并配套</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募集资金的项目，相关承诺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请见以下</w:t>
            </w:r>
            <w:r>
              <w:rPr>
                <w:rFonts w:ascii="Times New Roman" w:hAnsi="Times New Roman" w:cs="Times New Roman" w:eastAsia="Times New Roman" w:hint="default"/>
                <w:sz w:val="18"/>
                <w:szCs w:val="18"/>
              </w:rPr>
              <w:t>"</w:t>
            </w:r>
            <w:r>
              <w:rPr>
                <w:rFonts w:ascii="宋体" w:hAnsi="宋体" w:cs="宋体" w:eastAsia="宋体" w:hint="default"/>
                <w:sz w:val="18"/>
                <w:szCs w:val="18"/>
              </w:rPr>
              <w:t>资产重组时所作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承诺</w:t>
            </w:r>
            <w:r>
              <w:rPr>
                <w:rFonts w:ascii="Times New Roman" w:hAnsi="Times New Roman" w:cs="Times New Roman" w:eastAsia="Times New Roman" w:hint="default"/>
                <w:sz w:val="18"/>
                <w:szCs w:val="18"/>
              </w:rPr>
              <w:t>"</w:t>
            </w:r>
            <w:r>
              <w:rPr>
                <w:rFonts w:ascii="宋体" w:hAnsi="宋体" w:cs="宋体" w:eastAsia="宋体" w:hint="default"/>
                <w:sz w:val="18"/>
                <w:szCs w:val="18"/>
              </w:rPr>
              <w:t>的相关内容</w:t>
            </w:r>
          </w:p>
        </w:tc>
        <w:tc>
          <w:tcPr>
            <w:tcW w:w="1133" w:type="dxa"/>
            <w:vMerge w:val="restart"/>
            <w:tcBorders>
              <w:top w:val="single" w:sz="4" w:space="0" w:color="000000"/>
              <w:left w:val="single" w:sz="4" w:space="0" w:color="000000"/>
              <w:right w:val="single" w:sz="4" w:space="0" w:color="000000"/>
            </w:tcBorders>
          </w:tcPr>
          <w:p>
            <w:pPr/>
          </w:p>
        </w:tc>
        <w:tc>
          <w:tcPr>
            <w:tcW w:w="951" w:type="dxa"/>
            <w:vMerge w:val="restart"/>
            <w:tcBorders>
              <w:top w:val="single" w:sz="4" w:space="0" w:color="000000"/>
              <w:left w:val="single" w:sz="4" w:space="0" w:color="000000"/>
              <w:right w:val="single" w:sz="4" w:space="0" w:color="000000"/>
            </w:tcBorders>
          </w:tcPr>
          <w:p>
            <w:pPr/>
          </w:p>
        </w:tc>
        <w:tc>
          <w:tcPr>
            <w:tcW w:w="1104" w:type="dxa"/>
            <w:vMerge w:val="restart"/>
            <w:tcBorders>
              <w:top w:val="single" w:sz="4" w:space="0" w:color="000000"/>
              <w:left w:val="single" w:sz="4" w:space="0" w:color="000000"/>
              <w:right w:val="single" w:sz="4" w:space="0" w:color="000000"/>
            </w:tcBorders>
          </w:tcPr>
          <w:p>
            <w:pPr/>
          </w:p>
        </w:tc>
      </w:tr>
      <w:tr>
        <w:trPr>
          <w:trHeight w:val="1013" w:hRule="exact"/>
        </w:trPr>
        <w:tc>
          <w:tcPr>
            <w:tcW w:w="15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67"/>
              <w:jc w:val="both"/>
              <w:rPr>
                <w:rFonts w:ascii="宋体" w:hAnsi="宋体" w:cs="宋体" w:eastAsia="宋体" w:hint="default"/>
                <w:sz w:val="18"/>
                <w:szCs w:val="18"/>
              </w:rPr>
            </w:pPr>
            <w:r>
              <w:rPr>
                <w:rFonts w:ascii="宋体" w:hAnsi="宋体" w:cs="宋体" w:eastAsia="宋体" w:hint="default"/>
                <w:spacing w:val="-2"/>
                <w:sz w:val="18"/>
                <w:szCs w:val="18"/>
              </w:rPr>
              <w:t>收购报告书或权益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变动报告书中所作</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承诺</w:t>
            </w:r>
          </w:p>
        </w:tc>
        <w:tc>
          <w:tcPr>
            <w:tcW w:w="1145" w:type="dxa"/>
            <w:vMerge/>
            <w:tcBorders>
              <w:left w:val="single" w:sz="10" w:space="0" w:color="D2D2D2"/>
              <w:right w:val="single" w:sz="4" w:space="0" w:color="000000"/>
            </w:tcBorders>
          </w:tcPr>
          <w:p>
            <w:pPr/>
          </w:p>
        </w:tc>
        <w:tc>
          <w:tcPr>
            <w:tcW w:w="1417" w:type="dxa"/>
            <w:vMerge/>
            <w:tcBorders>
              <w:left w:val="single" w:sz="4" w:space="0" w:color="000000"/>
              <w:right w:val="single" w:sz="4" w:space="0" w:color="000000"/>
            </w:tcBorders>
          </w:tcPr>
          <w:p>
            <w:pPr/>
          </w:p>
        </w:tc>
        <w:tc>
          <w:tcPr>
            <w:tcW w:w="2271"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951" w:type="dxa"/>
            <w:vMerge/>
            <w:tcBorders>
              <w:left w:val="single" w:sz="4" w:space="0" w:color="000000"/>
              <w:right w:val="single" w:sz="4" w:space="0" w:color="000000"/>
            </w:tcBorders>
          </w:tcPr>
          <w:p>
            <w:pPr/>
          </w:p>
        </w:tc>
        <w:tc>
          <w:tcPr>
            <w:tcW w:w="1104" w:type="dxa"/>
            <w:vMerge/>
            <w:tcBorders>
              <w:left w:val="single" w:sz="4" w:space="0" w:color="000000"/>
              <w:right w:val="single" w:sz="4" w:space="0" w:color="000000"/>
            </w:tcBorders>
          </w:tcPr>
          <w:p>
            <w:pPr/>
          </w:p>
        </w:tc>
      </w:tr>
      <w:tr>
        <w:trPr>
          <w:trHeight w:val="317" w:hRule="exact"/>
        </w:trPr>
        <w:tc>
          <w:tcPr>
            <w:tcW w:w="15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5" w:type="dxa"/>
            <w:vMerge/>
            <w:tcBorders>
              <w:left w:val="single" w:sz="10" w:space="0" w:color="D2D2D2"/>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2271"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951" w:type="dxa"/>
            <w:vMerge/>
            <w:tcBorders>
              <w:left w:val="single" w:sz="4" w:space="0" w:color="000000"/>
              <w:bottom w:val="single" w:sz="4" w:space="0" w:color="000000"/>
              <w:right w:val="single" w:sz="4" w:space="0" w:color="000000"/>
            </w:tcBorders>
          </w:tcPr>
          <w:p>
            <w:pPr/>
          </w:p>
        </w:tc>
        <w:tc>
          <w:tcPr>
            <w:tcW w:w="1104" w:type="dxa"/>
            <w:vMerge/>
            <w:tcBorders>
              <w:left w:val="single" w:sz="4" w:space="0" w:color="000000"/>
              <w:bottom w:val="single" w:sz="4" w:space="0" w:color="000000"/>
              <w:right w:val="single" w:sz="4" w:space="0" w:color="000000"/>
            </w:tcBorders>
          </w:tcPr>
          <w:p>
            <w:pPr/>
          </w:p>
        </w:tc>
      </w:tr>
    </w:tbl>
    <w:p>
      <w:pPr>
        <w:spacing w:after="0"/>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1"/>
        <w:gridCol w:w="1133"/>
        <w:gridCol w:w="1417"/>
        <w:gridCol w:w="2271"/>
        <w:gridCol w:w="1133"/>
        <w:gridCol w:w="951"/>
        <w:gridCol w:w="1104"/>
      </w:tblGrid>
      <w:tr>
        <w:trPr>
          <w:trHeight w:val="3836" w:hRule="exact"/>
        </w:trPr>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24" w:lineRule="auto"/>
              <w:ind w:left="24" w:right="79"/>
              <w:jc w:val="left"/>
              <w:rPr>
                <w:rFonts w:ascii="宋体" w:hAnsi="宋体" w:cs="宋体" w:eastAsia="宋体" w:hint="default"/>
                <w:sz w:val="18"/>
                <w:szCs w:val="18"/>
              </w:rPr>
            </w:pPr>
            <w:r>
              <w:rPr>
                <w:rFonts w:ascii="宋体" w:hAnsi="宋体" w:cs="宋体" w:eastAsia="宋体" w:hint="default"/>
                <w:spacing w:val="-2"/>
                <w:sz w:val="18"/>
                <w:szCs w:val="18"/>
              </w:rPr>
              <w:t>资产重组时所作承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18"/>
              <w:jc w:val="left"/>
              <w:rPr>
                <w:rFonts w:ascii="宋体" w:hAnsi="宋体" w:cs="宋体" w:eastAsia="宋体" w:hint="default"/>
                <w:sz w:val="18"/>
                <w:szCs w:val="18"/>
              </w:rPr>
            </w:pPr>
            <w:r>
              <w:rPr>
                <w:rFonts w:ascii="宋体" w:hAnsi="宋体" w:cs="宋体" w:eastAsia="宋体" w:hint="default"/>
                <w:spacing w:val="-3"/>
                <w:sz w:val="18"/>
                <w:szCs w:val="18"/>
              </w:rPr>
              <w:t>从业承诺及竞业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限制承诺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65"/>
              <w:jc w:val="left"/>
              <w:rPr>
                <w:rFonts w:ascii="宋体" w:hAnsi="宋体" w:cs="宋体" w:eastAsia="宋体" w:hint="default"/>
                <w:sz w:val="18"/>
                <w:szCs w:val="18"/>
              </w:rPr>
            </w:pPr>
            <w:r>
              <w:rPr>
                <w:rFonts w:ascii="宋体" w:hAnsi="宋体" w:cs="宋体" w:eastAsia="宋体" w:hint="default"/>
                <w:spacing w:val="-3"/>
                <w:sz w:val="18"/>
                <w:szCs w:val="18"/>
              </w:rPr>
              <w:t>从业承诺及竞业限制承诺：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在本次发行股份购买资产完</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成后五年内服务于亿金环</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保，不以任何方式从事与亿</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金环保业务相竞争的业务，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但亿金环保的参股和控股公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司、依米康及其其他参股或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控股公司不在上述限制范围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之内；本人在离开亿金环保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两年之内不参与任何与依米</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康及其参股或控股公司有竞</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争的业务。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90"/>
              <w:jc w:val="both"/>
              <w:rPr>
                <w:rFonts w:ascii="宋体" w:hAnsi="宋体" w:cs="宋体" w:eastAsia="宋体" w:hint="default"/>
                <w:sz w:val="18"/>
                <w:szCs w:val="18"/>
              </w:rPr>
            </w:pPr>
            <w:r>
              <w:rPr>
                <w:rFonts w:ascii="宋体" w:hAnsi="宋体" w:cs="宋体" w:eastAsia="宋体" w:hint="default"/>
                <w:sz w:val="18"/>
                <w:szCs w:val="18"/>
              </w:rPr>
              <w:t>自本次资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产重组完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成之日起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至相关承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诺年限到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期之日止</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23" w:right="-15"/>
              <w:jc w:val="left"/>
              <w:rPr>
                <w:rFonts w:ascii="宋体" w:hAnsi="宋体" w:cs="宋体" w:eastAsia="宋体" w:hint="default"/>
                <w:sz w:val="18"/>
                <w:szCs w:val="18"/>
              </w:rPr>
            </w:pPr>
            <w:r>
              <w:rPr>
                <w:rFonts w:ascii="宋体" w:hAnsi="宋体" w:cs="宋体" w:eastAsia="宋体" w:hint="default"/>
                <w:spacing w:val="-2"/>
                <w:sz w:val="18"/>
                <w:szCs w:val="18"/>
              </w:rPr>
              <w:t>正常履行中，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未发生违反</w:t>
            </w:r>
            <w:r>
              <w:rPr>
                <w:rFonts w:ascii="宋体" w:hAnsi="宋体" w:cs="宋体" w:eastAsia="宋体" w:hint="default"/>
                <w:w w:val="101"/>
                <w:sz w:val="18"/>
                <w:szCs w:val="18"/>
              </w:rPr>
              <w:t> </w:t>
            </w:r>
            <w:r>
              <w:rPr>
                <w:rFonts w:ascii="宋体" w:hAnsi="宋体" w:cs="宋体" w:eastAsia="宋体" w:hint="default"/>
                <w:spacing w:val="-2"/>
                <w:sz w:val="18"/>
                <w:szCs w:val="18"/>
              </w:rPr>
              <w:t>承诺的情况。</w:t>
            </w:r>
          </w:p>
        </w:tc>
      </w:tr>
      <w:tr>
        <w:trPr>
          <w:trHeight w:val="5085"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12"/>
              <w:jc w:val="left"/>
              <w:rPr>
                <w:rFonts w:ascii="宋体" w:hAnsi="宋体" w:cs="宋体" w:eastAsia="宋体" w:hint="default"/>
                <w:sz w:val="18"/>
                <w:szCs w:val="18"/>
              </w:rPr>
            </w:pPr>
            <w:r>
              <w:rPr>
                <w:rFonts w:ascii="宋体" w:hAnsi="宋体" w:cs="宋体" w:eastAsia="宋体" w:hint="default"/>
                <w:spacing w:val="-2"/>
                <w:sz w:val="18"/>
                <w:szCs w:val="18"/>
              </w:rPr>
              <w:t>宋正兴、叶春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娥、宋丽娜、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张家港市立</w:t>
            </w:r>
            <w:r>
              <w:rPr>
                <w:rFonts w:ascii="宋体" w:hAnsi="宋体" w:cs="宋体" w:eastAsia="宋体" w:hint="default"/>
                <w:w w:val="101"/>
                <w:sz w:val="18"/>
                <w:szCs w:val="18"/>
              </w:rPr>
              <w:t> </w:t>
            </w:r>
            <w:r>
              <w:rPr>
                <w:rFonts w:ascii="宋体" w:hAnsi="宋体" w:cs="宋体" w:eastAsia="宋体" w:hint="default"/>
                <w:sz w:val="18"/>
                <w:szCs w:val="18"/>
              </w:rPr>
              <w:t>业投资发展</w:t>
            </w:r>
            <w:r>
              <w:rPr>
                <w:rFonts w:ascii="宋体" w:hAnsi="宋体" w:cs="宋体" w:eastAsia="宋体" w:hint="default"/>
                <w:w w:val="101"/>
                <w:sz w:val="18"/>
                <w:szCs w:val="18"/>
              </w:rPr>
              <w:t> </w:t>
            </w:r>
            <w:r>
              <w:rPr>
                <w:rFonts w:ascii="宋体" w:hAnsi="宋体" w:cs="宋体" w:eastAsia="宋体" w:hint="default"/>
                <w:spacing w:val="-2"/>
                <w:sz w:val="18"/>
                <w:szCs w:val="18"/>
              </w:rPr>
              <w:t>有限公司、上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海添惠投资</w:t>
            </w:r>
            <w:r>
              <w:rPr>
                <w:rFonts w:ascii="宋体" w:hAnsi="宋体" w:cs="宋体" w:eastAsia="宋体" w:hint="default"/>
                <w:w w:val="101"/>
                <w:sz w:val="18"/>
                <w:szCs w:val="18"/>
              </w:rPr>
              <w:t> </w:t>
            </w:r>
            <w:r>
              <w:rPr>
                <w:rFonts w:ascii="宋体" w:hAnsi="宋体" w:cs="宋体" w:eastAsia="宋体" w:hint="default"/>
                <w:sz w:val="18"/>
                <w:szCs w:val="18"/>
              </w:rPr>
              <w:t>管理有限公</w:t>
            </w:r>
            <w:r>
              <w:rPr>
                <w:rFonts w:ascii="宋体" w:hAnsi="宋体" w:cs="宋体" w:eastAsia="宋体" w:hint="default"/>
                <w:w w:val="101"/>
                <w:sz w:val="18"/>
                <w:szCs w:val="18"/>
              </w:rPr>
              <w:t> </w:t>
            </w:r>
            <w:r>
              <w:rPr>
                <w:rFonts w:ascii="宋体" w:hAnsi="宋体" w:cs="宋体" w:eastAsia="宋体" w:hint="default"/>
                <w:spacing w:val="-2"/>
                <w:sz w:val="18"/>
                <w:szCs w:val="18"/>
              </w:rPr>
              <w:t>司、张家港市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福兴投资管</w:t>
            </w:r>
            <w:r>
              <w:rPr>
                <w:rFonts w:ascii="宋体" w:hAnsi="宋体" w:cs="宋体" w:eastAsia="宋体" w:hint="default"/>
                <w:w w:val="101"/>
                <w:sz w:val="18"/>
                <w:szCs w:val="18"/>
              </w:rPr>
              <w:t> </w:t>
            </w:r>
            <w:r>
              <w:rPr>
                <w:rFonts w:ascii="宋体" w:hAnsi="宋体" w:cs="宋体" w:eastAsia="宋体" w:hint="default"/>
                <w:sz w:val="18"/>
                <w:szCs w:val="18"/>
              </w:rPr>
              <w:t>理咨询有限</w:t>
            </w:r>
            <w:r>
              <w:rPr>
                <w:rFonts w:ascii="宋体" w:hAnsi="宋体" w:cs="宋体" w:eastAsia="宋体" w:hint="default"/>
                <w:w w:val="101"/>
                <w:sz w:val="18"/>
                <w:szCs w:val="18"/>
              </w:rPr>
              <w:t> </w:t>
            </w:r>
            <w:r>
              <w:rPr>
                <w:rFonts w:ascii="宋体" w:hAnsi="宋体" w:cs="宋体" w:eastAsia="宋体" w:hint="default"/>
                <w:spacing w:val="-2"/>
                <w:sz w:val="18"/>
                <w:szCs w:val="18"/>
              </w:rPr>
              <w:t>公司、上海同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航投资管理</w:t>
            </w:r>
            <w:r>
              <w:rPr>
                <w:rFonts w:ascii="宋体" w:hAnsi="宋体" w:cs="宋体" w:eastAsia="宋体" w:hint="default"/>
                <w:w w:val="101"/>
                <w:sz w:val="18"/>
                <w:szCs w:val="18"/>
              </w:rPr>
              <w:t> </w:t>
            </w:r>
            <w:r>
              <w:rPr>
                <w:rFonts w:ascii="宋体" w:hAnsi="宋体" w:cs="宋体" w:eastAsia="宋体" w:hint="default"/>
                <w:spacing w:val="-2"/>
                <w:sz w:val="18"/>
                <w:szCs w:val="18"/>
              </w:rPr>
              <w:t>有限公司、张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家港市嘉明</w:t>
            </w:r>
            <w:r>
              <w:rPr>
                <w:rFonts w:ascii="宋体" w:hAnsi="宋体" w:cs="宋体" w:eastAsia="宋体" w:hint="default"/>
                <w:w w:val="101"/>
                <w:sz w:val="18"/>
                <w:szCs w:val="18"/>
              </w:rPr>
              <w:t> </w:t>
            </w:r>
            <w:r>
              <w:rPr>
                <w:rFonts w:ascii="宋体" w:hAnsi="宋体" w:cs="宋体" w:eastAsia="宋体" w:hint="default"/>
                <w:sz w:val="18"/>
                <w:szCs w:val="18"/>
              </w:rPr>
              <w:t>商贸有限公</w:t>
            </w:r>
          </w:p>
          <w:p>
            <w:pPr>
              <w:pStyle w:val="TableParagraph"/>
              <w:spacing w:line="240" w:lineRule="auto" w:before="23"/>
              <w:ind w:left="23"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118"/>
              <w:jc w:val="left"/>
              <w:rPr>
                <w:rFonts w:ascii="宋体" w:hAnsi="宋体" w:cs="宋体" w:eastAsia="宋体" w:hint="default"/>
                <w:sz w:val="18"/>
                <w:szCs w:val="18"/>
              </w:rPr>
            </w:pPr>
            <w:r>
              <w:rPr>
                <w:rFonts w:ascii="宋体" w:hAnsi="宋体" w:cs="宋体" w:eastAsia="宋体" w:hint="default"/>
                <w:spacing w:val="-3"/>
                <w:sz w:val="18"/>
                <w:szCs w:val="18"/>
              </w:rPr>
              <w:t>减少或避免关联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交易的承诺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9" w:lineRule="auto"/>
              <w:ind w:left="28" w:right="-24"/>
              <w:jc w:val="left"/>
              <w:rPr>
                <w:rFonts w:ascii="宋体" w:hAnsi="宋体" w:cs="宋体" w:eastAsia="宋体" w:hint="default"/>
                <w:sz w:val="18"/>
                <w:szCs w:val="18"/>
              </w:rPr>
            </w:pPr>
            <w:r>
              <w:rPr>
                <w:rFonts w:ascii="宋体" w:hAnsi="宋体" w:cs="宋体" w:eastAsia="宋体" w:hint="default"/>
                <w:spacing w:val="-3"/>
                <w:sz w:val="18"/>
                <w:szCs w:val="18"/>
              </w:rPr>
              <w:t>减少或避免关联交易的承</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2"/>
                <w:sz w:val="18"/>
                <w:szCs w:val="18"/>
              </w:rPr>
              <w:t>诺：</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、本次交易完成之后，</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将尽量避免或减少本人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w:t>
            </w:r>
            <w:r>
              <w:rPr>
                <w:rFonts w:ascii="宋体" w:hAnsi="宋体" w:cs="宋体" w:eastAsia="宋体" w:hint="default"/>
                <w:spacing w:val="-55"/>
                <w:sz w:val="18"/>
                <w:szCs w:val="18"/>
              </w:rPr>
              <w:t> </w:t>
            </w:r>
            <w:r>
              <w:rPr>
                <w:rFonts w:ascii="宋体" w:hAnsi="宋体" w:cs="宋体" w:eastAsia="宋体" w:hint="default"/>
                <w:spacing w:val="-3"/>
                <w:sz w:val="18"/>
                <w:szCs w:val="18"/>
              </w:rPr>
              <w:t>司及本人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本公司所控制的其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他子公司、分公司、合营或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联营公司与依米康及其子公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7"/>
                <w:sz w:val="18"/>
                <w:szCs w:val="18"/>
              </w:rPr>
              <w:t>司之间发生关联交易。</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、本</w:t>
            </w:r>
            <w:r>
              <w:rPr>
                <w:rFonts w:ascii="宋体" w:hAnsi="宋体" w:cs="宋体" w:eastAsia="宋体" w:hint="default"/>
                <w:spacing w:val="-53"/>
                <w:sz w:val="18"/>
                <w:szCs w:val="18"/>
              </w:rPr>
              <w:t> </w:t>
            </w:r>
            <w:r>
              <w:rPr>
                <w:rFonts w:ascii="宋体" w:hAnsi="宋体" w:cs="宋体" w:eastAsia="宋体" w:hint="default"/>
                <w:spacing w:val="-3"/>
                <w:sz w:val="18"/>
                <w:szCs w:val="18"/>
              </w:rPr>
              <w:t>次交易完成之后，本人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w:t>
            </w:r>
            <w:r>
              <w:rPr>
                <w:rFonts w:ascii="宋体" w:hAnsi="宋体" w:cs="宋体" w:eastAsia="宋体" w:hint="default"/>
                <w:spacing w:val="-55"/>
                <w:sz w:val="18"/>
                <w:szCs w:val="18"/>
              </w:rPr>
              <w:t> </w:t>
            </w:r>
            <w:r>
              <w:rPr>
                <w:rFonts w:ascii="宋体" w:hAnsi="宋体" w:cs="宋体" w:eastAsia="宋体" w:hint="default"/>
                <w:spacing w:val="-3"/>
                <w:sz w:val="18"/>
                <w:szCs w:val="18"/>
              </w:rPr>
              <w:t>司及本人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本公司所控制的其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他子公司、分公司、合营或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联营公司不以显失公允的价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格与依米康进行交易。</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9" w:lineRule="auto"/>
              <w:ind w:left="23" w:right="-15"/>
              <w:jc w:val="left"/>
              <w:rPr>
                <w:rFonts w:ascii="宋体" w:hAnsi="宋体" w:cs="宋体" w:eastAsia="宋体" w:hint="default"/>
                <w:sz w:val="18"/>
                <w:szCs w:val="18"/>
              </w:rPr>
            </w:pPr>
            <w:r>
              <w:rPr>
                <w:rFonts w:ascii="宋体" w:hAnsi="宋体" w:cs="宋体" w:eastAsia="宋体" w:hint="default"/>
                <w:spacing w:val="-2"/>
                <w:sz w:val="18"/>
                <w:szCs w:val="18"/>
              </w:rPr>
              <w:t>正常履行中，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未发生违反</w:t>
            </w:r>
            <w:r>
              <w:rPr>
                <w:rFonts w:ascii="宋体" w:hAnsi="宋体" w:cs="宋体" w:eastAsia="宋体" w:hint="default"/>
                <w:w w:val="101"/>
                <w:sz w:val="18"/>
                <w:szCs w:val="18"/>
              </w:rPr>
              <w:t> </w:t>
            </w:r>
            <w:r>
              <w:rPr>
                <w:rFonts w:ascii="宋体" w:hAnsi="宋体" w:cs="宋体" w:eastAsia="宋体" w:hint="default"/>
                <w:spacing w:val="-2"/>
                <w:sz w:val="18"/>
                <w:szCs w:val="18"/>
              </w:rPr>
              <w:t>承诺的情况。</w:t>
            </w:r>
          </w:p>
        </w:tc>
      </w:tr>
    </w:tbl>
    <w:p>
      <w:pPr>
        <w:spacing w:after="0" w:line="319"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7"/>
        <w:rPr>
          <w:rFonts w:ascii="Times New Roman" w:hAnsi="Times New Roman" w:cs="Times New Roman" w:eastAsia="Times New Roman" w:hint="default"/>
          <w:sz w:val="3"/>
          <w:szCs w:val="3"/>
        </w:rPr>
      </w:pPr>
      <w:r>
        <w:rPr/>
        <w:pict>
          <v:shape style="position:absolute;margin-left:263.859985pt;margin-top:776.615967pt;width:110.45pt;height:15.6pt;mso-position-horizontal-relative:page;mso-position-vertical-relative:page;z-index:-1180888" type="#_x0000_t202" filled="false" stroked="false">
            <v:textbox inset="0,0,0,0">
              <w:txbxContent>
                <w:p>
                  <w:pPr>
                    <w:spacing w:line="206" w:lineRule="exact" w:before="105"/>
                    <w:ind w:left="586" w:right="0" w:firstLine="0"/>
                    <w:jc w:val="left"/>
                    <w:rPr>
                      <w:rFonts w:ascii="Times New Roman" w:hAnsi="Times New Roman" w:cs="Times New Roman" w:eastAsia="Times New Roman" w:hint="default"/>
                      <w:sz w:val="18"/>
                      <w:szCs w:val="18"/>
                    </w:rPr>
                  </w:pPr>
                  <w:r>
                    <w:rPr>
                      <w:rFonts w:ascii="Times New Roman"/>
                      <w:sz w:val="18"/>
                    </w:rPr>
                    <w:t>58</w:t>
                  </w:r>
                </w:p>
              </w:txbxContent>
            </v:textbox>
            <w10:wrap type="none"/>
          </v:shape>
        </w:pict>
      </w:r>
      <w:r>
        <w:rPr/>
        <w:pict>
          <v:shape style="position:absolute;margin-left:370.190094pt;margin-top:72.499985pt;width:62pt;height:351.25pt;mso-position-horizontal-relative:page;mso-position-vertical-relative:page;z-index:-1180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shape style="position:absolute;margin-left:370.211517pt;margin-top:458.759979pt;width:62pt;height:351.25pt;mso-position-horizontal-relative:page;mso-position-vertical-relative:page;z-index:-11808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263.859985pt;margin-top:458.759979pt;width:168.35pt;height:351.25pt;mso-position-horizontal-relative:page;mso-position-vertical-relative:page;z-index:-1180816" coordorigin="5277,9175" coordsize="3367,7025">
            <v:group style="position:absolute;left:5277;top:15532;width:2209;height:312" coordorigin="5277,15532" coordsize="2209,312">
              <v:shape style="position:absolute;left:5277;top:15532;width:2209;height:312" coordorigin="5277,15532" coordsize="2209,312" path="m5277,15844l7486,15844,7486,15532,5277,15532,5277,15844xe" filled="true" fillcolor="#ffffff" stroked="false">
                <v:path arrowok="t"/>
                <v:fill type="solid"/>
              </v:shape>
            </v:group>
            <v:group style="position:absolute;left:7520;top:9175;width:1124;height:7025" coordorigin="7520,9175" coordsize="1124,7025">
              <v:shape style="position:absolute;left:7520;top:9175;width:1124;height:7025" coordorigin="7520,9175" coordsize="1124,7025" path="m7520,16200l8643,16200,8643,9175,7520,9175,7520,16200xe" filled="true" fillcolor="#ffffff" stroked="false">
                <v:path arrowok="t"/>
                <v:fill type="solid"/>
              </v:shape>
            </v:group>
            <w10:wrap type="none"/>
          </v:group>
        </w:pict>
      </w:r>
      <w:r>
        <w:rPr/>
        <w:pict>
          <v:group style="position:absolute;margin-left:375.980011pt;margin-top:72.499985pt;width:56.2pt;height:351.25pt;mso-position-horizontal-relative:page;mso-position-vertical-relative:page;z-index:-1180792" coordorigin="7520,1450" coordsize="1124,7025">
            <v:shape style="position:absolute;left:7520;top:1450;width:1124;height:7025" coordorigin="7520,1450" coordsize="1124,7025" path="m7520,8474l8643,8474,8643,1450,7520,1450,7520,8474xe" filled="true" fillcolor="#ffffff" stroked="false">
              <v:path arrowok="t"/>
              <v:fill type="solid"/>
            </v:shape>
            <w10:wrap type="none"/>
          </v:group>
        </w:pict>
      </w:r>
      <w:r>
        <w:rPr/>
        <w:pict>
          <v:shape style="position:absolute;margin-left:535.574707pt;margin-top:806.72052pt;width:59.493346pt;height:26.794713pt;mso-position-horizontal-relative:page;mso-position-vertical-relative:page;z-index:-1180768" type="#_x0000_t75" stroked="false">
            <v:imagedata r:id="rId16" o:title=""/>
          </v:shape>
        </w:pict>
      </w:r>
    </w:p>
    <w:p>
      <w:pPr>
        <w:spacing w:line="20" w:lineRule="exact"/>
        <w:ind w:left="11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61"/>
        <w:gridCol w:w="1133"/>
        <w:gridCol w:w="1417"/>
        <w:gridCol w:w="2271"/>
        <w:gridCol w:w="1133"/>
        <w:gridCol w:w="951"/>
        <w:gridCol w:w="1104"/>
      </w:tblGrid>
      <w:tr>
        <w:trPr>
          <w:trHeight w:val="362" w:hRule="exact"/>
        </w:trPr>
        <w:tc>
          <w:tcPr>
            <w:tcW w:w="1561"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22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7"/>
                <w:sz w:val="18"/>
                <w:szCs w:val="18"/>
              </w:rPr>
              <w:t>避免同业竞争的承诺（</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）本</w:t>
            </w:r>
            <w:r>
              <w:rPr>
                <w:rFonts w:ascii="宋体" w:hAnsi="宋体" w:cs="宋体" w:eastAsia="宋体" w:hint="default"/>
                <w:sz w:val="18"/>
                <w:szCs w:val="18"/>
              </w:rPr>
            </w:r>
          </w:p>
        </w:tc>
        <w:tc>
          <w:tcPr>
            <w:tcW w:w="1133" w:type="dxa"/>
            <w:tcBorders>
              <w:top w:val="single" w:sz="4" w:space="0" w:color="000000"/>
              <w:left w:val="single" w:sz="4" w:space="0" w:color="000000"/>
              <w:bottom w:val="nil" w:sz="6" w:space="0" w:color="auto"/>
              <w:right w:val="single" w:sz="4" w:space="0" w:color="000000"/>
            </w:tcBorders>
          </w:tcPr>
          <w:p>
            <w:pPr/>
          </w:p>
        </w:tc>
        <w:tc>
          <w:tcPr>
            <w:tcW w:w="951" w:type="dxa"/>
            <w:tcBorders>
              <w:top w:val="single" w:sz="4" w:space="0" w:color="000000"/>
              <w:left w:val="single" w:sz="4" w:space="0" w:color="000000"/>
              <w:bottom w:val="nil" w:sz="6" w:space="0" w:color="auto"/>
              <w:right w:val="single" w:sz="4" w:space="0" w:color="000000"/>
            </w:tcBorders>
          </w:tcPr>
          <w:p>
            <w:pPr/>
          </w:p>
        </w:tc>
        <w:tc>
          <w:tcPr>
            <w:tcW w:w="1104"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8" w:right="0"/>
              <w:jc w:val="left"/>
              <w:rPr>
                <w:rFonts w:ascii="宋体" w:hAnsi="宋体" w:cs="宋体" w:eastAsia="宋体" w:hint="default"/>
                <w:sz w:val="18"/>
                <w:szCs w:val="18"/>
              </w:rPr>
            </w:pPr>
            <w:r>
              <w:rPr>
                <w:rFonts w:ascii="宋体" w:hAnsi="宋体" w:cs="宋体" w:eastAsia="宋体" w:hint="default"/>
                <w:spacing w:val="-3"/>
                <w:sz w:val="18"/>
                <w:szCs w:val="18"/>
              </w:rPr>
              <w:t>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本公司所</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pacing w:val="-6"/>
                <w:sz w:val="18"/>
                <w:szCs w:val="18"/>
              </w:rPr>
              <w:t>控制的其他子公司、分公司</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合营或联营公司及其他任何</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4"/>
                <w:sz w:val="18"/>
                <w:szCs w:val="18"/>
              </w:rPr>
              <w:t>类型企业（以下统称为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相关</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pacing w:val="-4"/>
                <w:sz w:val="18"/>
                <w:szCs w:val="18"/>
              </w:rPr>
              <w:t>企业</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）目前均未从事任何与</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pacing w:val="-3"/>
                <w:sz w:val="18"/>
                <w:szCs w:val="18"/>
              </w:rPr>
              <w:t>亿金环保、依米康及其子公</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司构成直接或间接竞争的生</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w w:val="101"/>
                <w:sz w:val="18"/>
                <w:szCs w:val="18"/>
              </w:rPr>
              <w:t>产</w:t>
            </w:r>
            <w:r>
              <w:rPr>
                <w:rFonts w:ascii="宋体" w:hAnsi="宋体" w:cs="宋体" w:eastAsia="宋体" w:hint="default"/>
                <w:spacing w:val="-5"/>
                <w:w w:val="101"/>
                <w:sz w:val="18"/>
                <w:szCs w:val="18"/>
              </w:rPr>
              <w:t>经</w:t>
            </w:r>
            <w:r>
              <w:rPr>
                <w:rFonts w:ascii="宋体" w:hAnsi="宋体" w:cs="宋体" w:eastAsia="宋体" w:hint="default"/>
                <w:w w:val="101"/>
                <w:sz w:val="18"/>
                <w:szCs w:val="18"/>
              </w:rPr>
              <w:t>营</w:t>
            </w:r>
            <w:r>
              <w:rPr>
                <w:rFonts w:ascii="宋体" w:hAnsi="宋体" w:cs="宋体" w:eastAsia="宋体" w:hint="default"/>
                <w:spacing w:val="-5"/>
                <w:w w:val="101"/>
                <w:sz w:val="18"/>
                <w:szCs w:val="18"/>
              </w:rPr>
              <w:t>业</w:t>
            </w:r>
            <w:r>
              <w:rPr>
                <w:rFonts w:ascii="宋体" w:hAnsi="宋体" w:cs="宋体" w:eastAsia="宋体" w:hint="default"/>
                <w:w w:val="101"/>
                <w:sz w:val="18"/>
                <w:szCs w:val="18"/>
              </w:rPr>
              <w:t>务</w:t>
            </w:r>
            <w:r>
              <w:rPr>
                <w:rFonts w:ascii="宋体" w:hAnsi="宋体" w:cs="宋体" w:eastAsia="宋体" w:hint="default"/>
                <w:spacing w:val="-5"/>
                <w:w w:val="101"/>
                <w:sz w:val="18"/>
                <w:szCs w:val="18"/>
              </w:rPr>
              <w:t>或</w:t>
            </w:r>
            <w:r>
              <w:rPr>
                <w:rFonts w:ascii="宋体" w:hAnsi="宋体" w:cs="宋体" w:eastAsia="宋体" w:hint="default"/>
                <w:w w:val="101"/>
                <w:sz w:val="18"/>
                <w:szCs w:val="18"/>
              </w:rPr>
              <w:t>活动</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宋体" w:hAnsi="宋体" w:cs="宋体" w:eastAsia="宋体" w:hint="default"/>
                <w:w w:val="101"/>
                <w:sz w:val="18"/>
                <w:szCs w:val="18"/>
              </w:rPr>
              <w:t>）本</w:t>
            </w:r>
            <w:r>
              <w:rPr>
                <w:rFonts w:ascii="宋体" w:hAnsi="宋体" w:cs="宋体" w:eastAsia="宋体" w:hint="default"/>
                <w:sz w:val="18"/>
                <w:szCs w:val="18"/>
              </w:rPr>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pacing w:val="-3"/>
                <w:sz w:val="18"/>
                <w:szCs w:val="18"/>
              </w:rPr>
              <w:t>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本公司及相关企业将来亦</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pacing w:val="-3"/>
                <w:sz w:val="18"/>
                <w:szCs w:val="18"/>
              </w:rPr>
              <w:t>不直接或间接从事任何与依</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米康及其子公司相同或类似</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6"/>
                <w:sz w:val="18"/>
                <w:szCs w:val="18"/>
              </w:rPr>
              <w:t>的业务，不直接或间接从事</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参与或进行与依米康及其子</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公司的生产经营构成竞争的</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5310"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6" w:lineRule="auto"/>
              <w:ind w:left="24" w:right="12"/>
              <w:jc w:val="left"/>
              <w:rPr>
                <w:rFonts w:ascii="宋体" w:hAnsi="宋体" w:cs="宋体" w:eastAsia="宋体" w:hint="default"/>
                <w:sz w:val="18"/>
                <w:szCs w:val="18"/>
              </w:rPr>
            </w:pPr>
            <w:r>
              <w:rPr>
                <w:rFonts w:ascii="宋体" w:hAnsi="宋体" w:cs="宋体" w:eastAsia="宋体" w:hint="default"/>
                <w:spacing w:val="-2"/>
                <w:sz w:val="18"/>
                <w:szCs w:val="18"/>
              </w:rPr>
              <w:t>宋正兴、叶春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娥、宋丽娜、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张家港市立</w:t>
            </w:r>
            <w:r>
              <w:rPr>
                <w:rFonts w:ascii="宋体" w:hAnsi="宋体" w:cs="宋体" w:eastAsia="宋体" w:hint="default"/>
                <w:w w:val="101"/>
                <w:sz w:val="18"/>
                <w:szCs w:val="18"/>
              </w:rPr>
              <w:t> </w:t>
            </w:r>
            <w:r>
              <w:rPr>
                <w:rFonts w:ascii="宋体" w:hAnsi="宋体" w:cs="宋体" w:eastAsia="宋体" w:hint="default"/>
                <w:sz w:val="18"/>
                <w:szCs w:val="18"/>
              </w:rPr>
              <w:t>业投资发展</w:t>
            </w:r>
            <w:r>
              <w:rPr>
                <w:rFonts w:ascii="宋体" w:hAnsi="宋体" w:cs="宋体" w:eastAsia="宋体" w:hint="default"/>
                <w:w w:val="101"/>
                <w:sz w:val="18"/>
                <w:szCs w:val="18"/>
              </w:rPr>
              <w:t> </w:t>
            </w:r>
            <w:r>
              <w:rPr>
                <w:rFonts w:ascii="宋体" w:hAnsi="宋体" w:cs="宋体" w:eastAsia="宋体" w:hint="default"/>
                <w:spacing w:val="-2"/>
                <w:sz w:val="18"/>
                <w:szCs w:val="18"/>
              </w:rPr>
              <w:t>有限公司、上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海添惠投资</w:t>
            </w:r>
            <w:r>
              <w:rPr>
                <w:rFonts w:ascii="宋体" w:hAnsi="宋体" w:cs="宋体" w:eastAsia="宋体" w:hint="default"/>
                <w:w w:val="101"/>
                <w:sz w:val="18"/>
                <w:szCs w:val="18"/>
              </w:rPr>
              <w:t> </w:t>
            </w:r>
            <w:r>
              <w:rPr>
                <w:rFonts w:ascii="宋体" w:hAnsi="宋体" w:cs="宋体" w:eastAsia="宋体" w:hint="default"/>
                <w:sz w:val="18"/>
                <w:szCs w:val="18"/>
              </w:rPr>
              <w:t>管理有限公</w:t>
            </w:r>
            <w:r>
              <w:rPr>
                <w:rFonts w:ascii="宋体" w:hAnsi="宋体" w:cs="宋体" w:eastAsia="宋体" w:hint="default"/>
                <w:w w:val="101"/>
                <w:sz w:val="18"/>
                <w:szCs w:val="18"/>
              </w:rPr>
              <w:t> </w:t>
            </w:r>
            <w:r>
              <w:rPr>
                <w:rFonts w:ascii="宋体" w:hAnsi="宋体" w:cs="宋体" w:eastAsia="宋体" w:hint="default"/>
                <w:spacing w:val="-2"/>
                <w:sz w:val="18"/>
                <w:szCs w:val="18"/>
              </w:rPr>
              <w:t>司、张家港市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福兴投资管</w:t>
            </w:r>
            <w:r>
              <w:rPr>
                <w:rFonts w:ascii="宋体" w:hAnsi="宋体" w:cs="宋体" w:eastAsia="宋体" w:hint="default"/>
                <w:w w:val="101"/>
                <w:sz w:val="18"/>
                <w:szCs w:val="18"/>
              </w:rPr>
              <w:t> </w:t>
            </w:r>
            <w:r>
              <w:rPr>
                <w:rFonts w:ascii="宋体" w:hAnsi="宋体" w:cs="宋体" w:eastAsia="宋体" w:hint="default"/>
                <w:sz w:val="18"/>
                <w:szCs w:val="18"/>
              </w:rPr>
              <w:t>理咨询有限</w:t>
            </w:r>
            <w:r>
              <w:rPr>
                <w:rFonts w:ascii="宋体" w:hAnsi="宋体" w:cs="宋体" w:eastAsia="宋体" w:hint="default"/>
                <w:w w:val="101"/>
                <w:sz w:val="18"/>
                <w:szCs w:val="18"/>
              </w:rPr>
              <w:t> </w:t>
            </w:r>
            <w:r>
              <w:rPr>
                <w:rFonts w:ascii="宋体" w:hAnsi="宋体" w:cs="宋体" w:eastAsia="宋体" w:hint="default"/>
                <w:spacing w:val="-2"/>
                <w:sz w:val="18"/>
                <w:szCs w:val="18"/>
              </w:rPr>
              <w:t>公司、上海同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航投资管理</w:t>
            </w:r>
            <w:r>
              <w:rPr>
                <w:rFonts w:ascii="宋体" w:hAnsi="宋体" w:cs="宋体" w:eastAsia="宋体" w:hint="default"/>
                <w:w w:val="101"/>
                <w:sz w:val="18"/>
                <w:szCs w:val="18"/>
              </w:rPr>
              <w:t> </w:t>
            </w:r>
            <w:r>
              <w:rPr>
                <w:rFonts w:ascii="宋体" w:hAnsi="宋体" w:cs="宋体" w:eastAsia="宋体" w:hint="default"/>
                <w:spacing w:val="-2"/>
                <w:sz w:val="18"/>
                <w:szCs w:val="18"/>
              </w:rPr>
              <w:t>有限公司、张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家港市嘉明</w:t>
            </w:r>
            <w:r>
              <w:rPr>
                <w:rFonts w:ascii="宋体" w:hAnsi="宋体" w:cs="宋体" w:eastAsia="宋体" w:hint="default"/>
                <w:w w:val="101"/>
                <w:sz w:val="18"/>
                <w:szCs w:val="18"/>
              </w:rPr>
              <w:t> </w:t>
            </w:r>
            <w:r>
              <w:rPr>
                <w:rFonts w:ascii="宋体" w:hAnsi="宋体" w:cs="宋体" w:eastAsia="宋体" w:hint="default"/>
                <w:sz w:val="18"/>
                <w:szCs w:val="18"/>
              </w:rPr>
              <w:t>商贸有限公</w:t>
            </w:r>
          </w:p>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6" w:lineRule="auto"/>
              <w:ind w:left="23" w:right="118"/>
              <w:jc w:val="left"/>
              <w:rPr>
                <w:rFonts w:ascii="宋体" w:hAnsi="宋体" w:cs="宋体" w:eastAsia="宋体" w:hint="default"/>
                <w:sz w:val="18"/>
                <w:szCs w:val="18"/>
              </w:rPr>
            </w:pPr>
            <w:r>
              <w:rPr>
                <w:rFonts w:ascii="宋体" w:hAnsi="宋体" w:cs="宋体" w:eastAsia="宋体" w:hint="default"/>
                <w:spacing w:val="-3"/>
                <w:sz w:val="18"/>
                <w:szCs w:val="18"/>
              </w:rPr>
              <w:t>避免同业竞争的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承诺</w:t>
            </w: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314" w:lineRule="auto" w:before="11"/>
              <w:ind w:left="28" w:right="17"/>
              <w:jc w:val="left"/>
              <w:rPr>
                <w:rFonts w:ascii="宋体" w:hAnsi="宋体" w:cs="宋体" w:eastAsia="宋体" w:hint="default"/>
                <w:sz w:val="18"/>
                <w:szCs w:val="18"/>
              </w:rPr>
            </w:pPr>
            <w:r>
              <w:rPr>
                <w:rFonts w:ascii="宋体" w:hAnsi="宋体" w:cs="宋体" w:eastAsia="宋体" w:hint="default"/>
                <w:spacing w:val="-3"/>
                <w:sz w:val="18"/>
                <w:szCs w:val="18"/>
              </w:rPr>
              <w:t>任何生产经营业务或活动，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且不再对具有与依米康及其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子公司有相同或类似业务的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9"/>
                <w:w w:val="101"/>
                <w:sz w:val="18"/>
                <w:szCs w:val="18"/>
              </w:rPr>
              <w:t>企业进行投资。（</w:t>
            </w:r>
            <w:r>
              <w:rPr>
                <w:rFonts w:ascii="Times New Roman" w:hAnsi="Times New Roman" w:cs="Times New Roman" w:eastAsia="Times New Roman" w:hint="default"/>
                <w:spacing w:val="-9"/>
                <w:w w:val="101"/>
                <w:sz w:val="18"/>
                <w:szCs w:val="18"/>
              </w:rPr>
              <w:t>3</w:t>
            </w:r>
            <w:r>
              <w:rPr>
                <w:rFonts w:ascii="宋体" w:hAnsi="宋体" w:cs="宋体" w:eastAsia="宋体" w:hint="default"/>
                <w:spacing w:val="-9"/>
                <w:w w:val="101"/>
                <w:sz w:val="18"/>
                <w:szCs w:val="18"/>
              </w:rPr>
              <w:t>）本人</w:t>
            </w:r>
            <w:r>
              <w:rPr>
                <w:rFonts w:ascii="Times New Roman" w:hAnsi="Times New Roman" w:cs="Times New Roman" w:eastAsia="Times New Roman" w:hint="default"/>
                <w:spacing w:val="-9"/>
                <w:w w:val="101"/>
                <w:sz w:val="18"/>
                <w:szCs w:val="18"/>
              </w:rPr>
              <w:t>/</w:t>
            </w:r>
            <w:r>
              <w:rPr>
                <w:rFonts w:ascii="宋体" w:hAnsi="宋体" w:cs="宋体" w:eastAsia="宋体" w:hint="default"/>
                <w:spacing w:val="-9"/>
                <w:w w:val="101"/>
                <w:sz w:val="18"/>
                <w:szCs w:val="18"/>
              </w:rPr>
              <w:t>本</w:t>
            </w:r>
            <w:r>
              <w:rPr>
                <w:rFonts w:ascii="宋体" w:hAnsi="宋体" w:cs="宋体" w:eastAsia="宋体" w:hint="default"/>
                <w:spacing w:val="-85"/>
                <w:w w:val="101"/>
                <w:sz w:val="18"/>
                <w:szCs w:val="18"/>
              </w:rPr>
              <w:t> </w:t>
            </w:r>
            <w:r>
              <w:rPr>
                <w:rFonts w:ascii="宋体" w:hAnsi="宋体" w:cs="宋体" w:eastAsia="宋体" w:hint="default"/>
                <w:spacing w:val="-3"/>
                <w:sz w:val="18"/>
                <w:szCs w:val="18"/>
              </w:rPr>
              <w:t>公司将对自身及相关企业的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生产经营活动进行监督和约</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束，如果将来承诺人及相关</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企业的产品或业务与依米康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及其子公司的产品或业务出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现相同或类似的情况，本人</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本公司承诺将采取以下措施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6"/>
                <w:sz w:val="18"/>
                <w:szCs w:val="18"/>
              </w:rPr>
              <w:t>解决：①依米康认为必要时</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本公司及相关企业将减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持直至全部转让所持有的有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关资产和业务；②依米康认</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为必要时，可以通过适当方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式优先收购本人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本公司及相</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0"/>
              <w:ind w:left="23" w:right="-15"/>
              <w:jc w:val="left"/>
              <w:rPr>
                <w:rFonts w:ascii="宋体" w:hAnsi="宋体" w:cs="宋体" w:eastAsia="宋体" w:hint="default"/>
                <w:sz w:val="18"/>
                <w:szCs w:val="18"/>
              </w:rPr>
            </w:pPr>
            <w:r>
              <w:rPr>
                <w:rFonts w:ascii="宋体" w:hAnsi="宋体" w:cs="宋体" w:eastAsia="宋体" w:hint="default"/>
                <w:spacing w:val="-2"/>
                <w:sz w:val="18"/>
                <w:szCs w:val="18"/>
              </w:rPr>
              <w:t>正常履行中，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未发生违反</w:t>
            </w:r>
            <w:r>
              <w:rPr>
                <w:rFonts w:ascii="宋体" w:hAnsi="宋体" w:cs="宋体" w:eastAsia="宋体" w:hint="default"/>
                <w:w w:val="101"/>
                <w:sz w:val="18"/>
                <w:szCs w:val="18"/>
              </w:rPr>
              <w:t> </w:t>
            </w:r>
            <w:r>
              <w:rPr>
                <w:rFonts w:ascii="宋体" w:hAnsi="宋体" w:cs="宋体" w:eastAsia="宋体" w:hint="default"/>
                <w:spacing w:val="-2"/>
                <w:sz w:val="18"/>
                <w:szCs w:val="18"/>
              </w:rPr>
              <w:t>承诺的情况。</w:t>
            </w:r>
          </w:p>
        </w:tc>
      </w:tr>
      <w:tr>
        <w:trPr>
          <w:trHeight w:val="307"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pacing w:val="-3"/>
                <w:sz w:val="18"/>
                <w:szCs w:val="18"/>
              </w:rPr>
              <w:t>关企业持有的有关资产和业</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务；③如承诺人及相关企业</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与依米康及其子公司因同业</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竞争产生利益冲突，则无条</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件将相关利益让与依米康；</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④无条件接受依米康提出的</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可</w:t>
            </w:r>
            <w:r>
              <w:rPr>
                <w:rFonts w:ascii="宋体" w:hAnsi="宋体" w:cs="宋体" w:eastAsia="宋体" w:hint="default"/>
                <w:spacing w:val="-5"/>
                <w:w w:val="101"/>
                <w:sz w:val="18"/>
                <w:szCs w:val="18"/>
              </w:rPr>
              <w:t>消</w:t>
            </w:r>
            <w:r>
              <w:rPr>
                <w:rFonts w:ascii="宋体" w:hAnsi="宋体" w:cs="宋体" w:eastAsia="宋体" w:hint="default"/>
                <w:w w:val="101"/>
                <w:sz w:val="18"/>
                <w:szCs w:val="18"/>
              </w:rPr>
              <w:t>除</w:t>
            </w:r>
            <w:r>
              <w:rPr>
                <w:rFonts w:ascii="宋体" w:hAnsi="宋体" w:cs="宋体" w:eastAsia="宋体" w:hint="default"/>
                <w:spacing w:val="-5"/>
                <w:w w:val="101"/>
                <w:sz w:val="18"/>
                <w:szCs w:val="18"/>
              </w:rPr>
              <w:t>竞</w:t>
            </w:r>
            <w:r>
              <w:rPr>
                <w:rFonts w:ascii="宋体" w:hAnsi="宋体" w:cs="宋体" w:eastAsia="宋体" w:hint="default"/>
                <w:w w:val="101"/>
                <w:sz w:val="18"/>
                <w:szCs w:val="18"/>
              </w:rPr>
              <w:t>争</w:t>
            </w:r>
            <w:r>
              <w:rPr>
                <w:rFonts w:ascii="宋体" w:hAnsi="宋体" w:cs="宋体" w:eastAsia="宋体" w:hint="default"/>
                <w:spacing w:val="-5"/>
                <w:w w:val="101"/>
                <w:sz w:val="18"/>
                <w:szCs w:val="18"/>
              </w:rPr>
              <w:t>的</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措施</w:t>
            </w:r>
            <w:r>
              <w:rPr>
                <w:rFonts w:ascii="宋体" w:hAnsi="宋体" w:cs="宋体" w:eastAsia="宋体" w:hint="default"/>
                <w:spacing w:val="-135"/>
                <w:w w:val="101"/>
                <w:sz w:val="18"/>
                <w:szCs w:val="18"/>
              </w:rPr>
              <w:t>。</w:t>
            </w:r>
            <w:r>
              <w:rPr>
                <w:rFonts w:ascii="宋体" w:hAnsi="宋体" w:cs="宋体" w:eastAsia="宋体" w:hint="default"/>
                <w:w w:val="101"/>
                <w:sz w:val="18"/>
                <w:szCs w:val="18"/>
              </w:rPr>
              <w:t>（</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z w:val="18"/>
                <w:szCs w:val="18"/>
              </w:rPr>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pacing w:val="-3"/>
                <w:sz w:val="18"/>
                <w:szCs w:val="18"/>
              </w:rPr>
              <w:t>任何本人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本公司或相关企业</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pacing w:val="-3"/>
                <w:sz w:val="18"/>
                <w:szCs w:val="18"/>
              </w:rPr>
              <w:t>违反本承诺函，应负责赔偿</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依米康及其子公司因同业竞</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争行为而导致的损失，并且</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本公司及相关企业从事</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pacing w:val="-3"/>
                <w:sz w:val="18"/>
                <w:szCs w:val="18"/>
              </w:rPr>
              <w:t>与依米康及其子公司竞争业</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1561" w:type="dxa"/>
            <w:vMerge/>
            <w:tcBorders>
              <w:left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nil" w:sz="6" w:space="0" w:color="auto"/>
              <w:right w:val="single" w:sz="4" w:space="0" w:color="000000"/>
            </w:tcBorders>
          </w:tcPr>
          <w:p>
            <w:pPr/>
          </w:p>
        </w:tc>
        <w:tc>
          <w:tcPr>
            <w:tcW w:w="1417" w:type="dxa"/>
            <w:tcBorders>
              <w:top w:val="nil" w:sz="6" w:space="0" w:color="auto"/>
              <w:left w:val="single" w:sz="4" w:space="0" w:color="000000"/>
              <w:bottom w:val="nil" w:sz="6" w:space="0" w:color="auto"/>
              <w:right w:val="single" w:sz="4" w:space="0" w:color="000000"/>
            </w:tcBorders>
          </w:tcPr>
          <w:p>
            <w:pPr/>
          </w:p>
        </w:tc>
        <w:tc>
          <w:tcPr>
            <w:tcW w:w="22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pacing w:val="-3"/>
                <w:sz w:val="18"/>
                <w:szCs w:val="18"/>
              </w:rPr>
              <w:t>务所产生的全部收益均归依</w:t>
            </w:r>
          </w:p>
        </w:tc>
        <w:tc>
          <w:tcPr>
            <w:tcW w:w="1133" w:type="dxa"/>
            <w:tcBorders>
              <w:top w:val="nil" w:sz="6" w:space="0" w:color="auto"/>
              <w:left w:val="single" w:sz="4" w:space="0" w:color="000000"/>
              <w:bottom w:val="nil" w:sz="6" w:space="0" w:color="auto"/>
              <w:right w:val="single" w:sz="4" w:space="0" w:color="000000"/>
            </w:tcBorders>
          </w:tcPr>
          <w:p>
            <w:pPr/>
          </w:p>
        </w:tc>
        <w:tc>
          <w:tcPr>
            <w:tcW w:w="951" w:type="dxa"/>
            <w:tcBorders>
              <w:top w:val="nil" w:sz="6" w:space="0" w:color="auto"/>
              <w:left w:val="single" w:sz="4" w:space="0" w:color="000000"/>
              <w:bottom w:val="nil" w:sz="6" w:space="0" w:color="auto"/>
              <w:right w:val="single" w:sz="4" w:space="0" w:color="000000"/>
            </w:tcBorders>
          </w:tcPr>
          <w:p>
            <w:pPr/>
          </w:p>
        </w:tc>
        <w:tc>
          <w:tcPr>
            <w:tcW w:w="1104"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22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8" w:right="0"/>
              <w:jc w:val="left"/>
              <w:rPr>
                <w:rFonts w:ascii="宋体" w:hAnsi="宋体" w:cs="宋体" w:eastAsia="宋体" w:hint="default"/>
                <w:sz w:val="18"/>
                <w:szCs w:val="18"/>
              </w:rPr>
            </w:pPr>
            <w:r>
              <w:rPr>
                <w:rFonts w:ascii="宋体" w:hAnsi="宋体" w:cs="宋体" w:eastAsia="宋体" w:hint="default"/>
                <w:sz w:val="18"/>
                <w:szCs w:val="18"/>
              </w:rPr>
              <w:t>米康所有。</w:t>
            </w:r>
          </w:p>
        </w:tc>
        <w:tc>
          <w:tcPr>
            <w:tcW w:w="1133" w:type="dxa"/>
            <w:tcBorders>
              <w:top w:val="nil" w:sz="6" w:space="0" w:color="auto"/>
              <w:left w:val="single" w:sz="4" w:space="0" w:color="000000"/>
              <w:bottom w:val="single" w:sz="4" w:space="0" w:color="000000"/>
              <w:right w:val="single" w:sz="4" w:space="0" w:color="000000"/>
            </w:tcBorders>
          </w:tcPr>
          <w:p>
            <w:pPr/>
          </w:p>
        </w:tc>
        <w:tc>
          <w:tcPr>
            <w:tcW w:w="951" w:type="dxa"/>
            <w:tcBorders>
              <w:top w:val="nil" w:sz="6" w:space="0" w:color="auto"/>
              <w:left w:val="single" w:sz="4" w:space="0" w:color="000000"/>
              <w:bottom w:val="single" w:sz="4" w:space="0" w:color="000000"/>
              <w:right w:val="single" w:sz="4" w:space="0" w:color="000000"/>
            </w:tcBorders>
          </w:tcPr>
          <w:p>
            <w:pPr/>
          </w:p>
        </w:tc>
        <w:tc>
          <w:tcPr>
            <w:tcW w:w="1104"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14"/>
          <w:footerReference w:type="default" r:id="rId15"/>
          <w:pgSz w:w="11910" w:h="16840"/>
          <w:pgMar w:header="863" w:footer="0" w:top="1060" w:bottom="0" w:left="980" w:right="0"/>
        </w:sectPr>
      </w:pPr>
    </w:p>
    <w:p>
      <w:pPr>
        <w:spacing w:line="240" w:lineRule="auto" w:before="7"/>
        <w:rPr>
          <w:rFonts w:ascii="Times New Roman" w:hAnsi="Times New Roman" w:cs="Times New Roman" w:eastAsia="Times New Roman" w:hint="default"/>
          <w:sz w:val="3"/>
          <w:szCs w:val="3"/>
        </w:rPr>
      </w:pPr>
    </w:p>
    <w:p>
      <w:pPr>
        <w:spacing w:line="20" w:lineRule="exact"/>
        <w:ind w:left="11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61"/>
        <w:gridCol w:w="1133"/>
        <w:gridCol w:w="1417"/>
        <w:gridCol w:w="2271"/>
        <w:gridCol w:w="1133"/>
        <w:gridCol w:w="951"/>
        <w:gridCol w:w="1109"/>
      </w:tblGrid>
      <w:tr>
        <w:trPr>
          <w:trHeight w:val="3836"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4" w:right="12"/>
              <w:jc w:val="both"/>
              <w:rPr>
                <w:rFonts w:ascii="宋体" w:hAnsi="宋体" w:cs="宋体" w:eastAsia="宋体" w:hint="default"/>
                <w:sz w:val="18"/>
                <w:szCs w:val="18"/>
              </w:rPr>
            </w:pPr>
            <w:r>
              <w:rPr>
                <w:rFonts w:ascii="宋体" w:hAnsi="宋体" w:cs="宋体" w:eastAsia="宋体" w:hint="default"/>
                <w:spacing w:val="-2"/>
                <w:sz w:val="18"/>
                <w:szCs w:val="18"/>
              </w:rPr>
              <w:t>陈砚雄、李惠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英、刘立平、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陆雨华、沈卫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东、盛建明、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施大成、徐慧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兴、于乐意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118"/>
              <w:jc w:val="left"/>
              <w:rPr>
                <w:rFonts w:ascii="宋体" w:hAnsi="宋体" w:cs="宋体" w:eastAsia="宋体" w:hint="default"/>
                <w:sz w:val="18"/>
                <w:szCs w:val="18"/>
              </w:rPr>
            </w:pPr>
            <w:r>
              <w:rPr>
                <w:rFonts w:ascii="宋体" w:hAnsi="宋体" w:cs="宋体" w:eastAsia="宋体" w:hint="default"/>
                <w:spacing w:val="-3"/>
                <w:sz w:val="18"/>
                <w:szCs w:val="18"/>
              </w:rPr>
              <w:t>避免同业竞争的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承诺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31"/>
              <w:jc w:val="left"/>
              <w:rPr>
                <w:rFonts w:ascii="宋体" w:hAnsi="宋体" w:cs="宋体" w:eastAsia="宋体" w:hint="default"/>
                <w:sz w:val="18"/>
                <w:szCs w:val="18"/>
              </w:rPr>
            </w:pPr>
            <w:r>
              <w:rPr>
                <w:rFonts w:ascii="宋体" w:hAnsi="宋体" w:cs="宋体" w:eastAsia="宋体" w:hint="default"/>
                <w:spacing w:val="-7"/>
                <w:sz w:val="18"/>
                <w:szCs w:val="18"/>
              </w:rPr>
              <w:t>避免同业竞争的承诺（</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）在</w:t>
            </w:r>
            <w:r>
              <w:rPr>
                <w:rFonts w:ascii="宋体" w:hAnsi="宋体" w:cs="宋体" w:eastAsia="宋体" w:hint="default"/>
                <w:spacing w:val="-54"/>
                <w:sz w:val="18"/>
                <w:szCs w:val="18"/>
              </w:rPr>
              <w:t> </w:t>
            </w:r>
            <w:r>
              <w:rPr>
                <w:rFonts w:ascii="宋体" w:hAnsi="宋体" w:cs="宋体" w:eastAsia="宋体" w:hint="default"/>
                <w:spacing w:val="-3"/>
                <w:sz w:val="18"/>
                <w:szCs w:val="18"/>
              </w:rPr>
              <w:t>本次发行股份购买资产完成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后三年内服务于亿金环保，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不以任何方式从事与亿金环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保业务相竞争的业务，但亿</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金环保的参股和控股公司、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依米康及其其他参股或控股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公司不在上述限制范围之</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内；本人在离开亿金环保两</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年之内不参与任何与依米康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及其参股或控股公司有竞争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的业务。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23" w:right="-10"/>
              <w:jc w:val="left"/>
              <w:rPr>
                <w:rFonts w:ascii="宋体" w:hAnsi="宋体" w:cs="宋体" w:eastAsia="宋体" w:hint="default"/>
                <w:sz w:val="18"/>
                <w:szCs w:val="18"/>
              </w:rPr>
            </w:pPr>
            <w:r>
              <w:rPr>
                <w:rFonts w:ascii="宋体" w:hAnsi="宋体" w:cs="宋体" w:eastAsia="宋体" w:hint="default"/>
                <w:spacing w:val="-2"/>
                <w:sz w:val="18"/>
                <w:szCs w:val="18"/>
              </w:rPr>
              <w:t>正常履行中，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未发生违反</w:t>
            </w:r>
            <w:r>
              <w:rPr>
                <w:rFonts w:ascii="宋体" w:hAnsi="宋体" w:cs="宋体" w:eastAsia="宋体" w:hint="default"/>
                <w:w w:val="101"/>
                <w:sz w:val="18"/>
                <w:szCs w:val="18"/>
              </w:rPr>
              <w:t> </w:t>
            </w:r>
            <w:r>
              <w:rPr>
                <w:rFonts w:ascii="宋体" w:hAnsi="宋体" w:cs="宋体" w:eastAsia="宋体" w:hint="default"/>
                <w:spacing w:val="-2"/>
                <w:sz w:val="18"/>
                <w:szCs w:val="18"/>
              </w:rPr>
              <w:t>承诺的情况。</w:t>
            </w:r>
          </w:p>
        </w:tc>
      </w:tr>
    </w:tbl>
    <w:p>
      <w:pPr>
        <w:spacing w:after="0" w:line="316" w:lineRule="auto"/>
        <w:jc w:val="left"/>
        <w:rPr>
          <w:rFonts w:ascii="宋体" w:hAnsi="宋体" w:cs="宋体" w:eastAsia="宋体" w:hint="default"/>
          <w:sz w:val="18"/>
          <w:szCs w:val="18"/>
        </w:rPr>
        <w:sectPr>
          <w:footerReference w:type="default" r:id="rId17"/>
          <w:pgSz w:w="11910" w:h="16840"/>
          <w:pgMar w:footer="979" w:header="863" w:top="1060" w:bottom="1160" w:left="980" w:right="0"/>
        </w:sectPr>
      </w:pPr>
    </w:p>
    <w:p>
      <w:pPr>
        <w:spacing w:line="240" w:lineRule="auto" w:before="2"/>
        <w:rPr>
          <w:rFonts w:ascii="Times New Roman" w:hAnsi="Times New Roman" w:cs="Times New Roman" w:eastAsia="Times New Roman" w:hint="default"/>
          <w:sz w:val="4"/>
          <w:szCs w:val="4"/>
        </w:rPr>
      </w:pPr>
      <w:r>
        <w:rPr/>
        <w:pict>
          <v:shape style="position:absolute;margin-left:263.859985pt;margin-top:776.615967pt;width:110.45pt;height:15.6pt;mso-position-horizontal-relative:page;mso-position-vertical-relative:page;z-index:-1180720" type="#_x0000_t202" filled="false" stroked="false">
            <v:textbox inset="0,0,0,0">
              <w:txbxContent>
                <w:p>
                  <w:pPr>
                    <w:spacing w:line="206" w:lineRule="exact" w:before="105"/>
                    <w:ind w:left="586" w:right="0" w:firstLine="0"/>
                    <w:jc w:val="left"/>
                    <w:rPr>
                      <w:rFonts w:ascii="Times New Roman" w:hAnsi="Times New Roman" w:cs="Times New Roman" w:eastAsia="Times New Roman" w:hint="default"/>
                      <w:sz w:val="18"/>
                      <w:szCs w:val="18"/>
                    </w:rPr>
                  </w:pPr>
                  <w:r>
                    <w:rPr>
                      <w:rFonts w:ascii="Times New Roman"/>
                      <w:sz w:val="18"/>
                    </w:rPr>
                    <w:t>60</w:t>
                  </w:r>
                </w:p>
              </w:txbxContent>
            </v:textbox>
            <w10:wrap type="none"/>
          </v:shape>
        </w:pict>
      </w:r>
      <w:r>
        <w:rPr/>
        <w:pict>
          <v:shape style="position:absolute;margin-left:370.190094pt;margin-top:72.499985pt;width:62pt;height:460.45pt;mso-position-horizontal-relative:page;mso-position-vertical-relative:page;z-index:-1180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5"/>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r>
        <w:rPr/>
        <w:pict>
          <v:group style="position:absolute;margin-left:55.223999pt;margin-top:55.579983pt;width:485pt;height:.1pt;mso-position-horizontal-relative:page;mso-position-vertical-relative:page;z-index:-118067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group style="position:absolute;margin-left:263.859985pt;margin-top:71.779976pt;width:168.35pt;height:770.4pt;mso-position-horizontal-relative:page;mso-position-vertical-relative:page;z-index:-1180648" coordorigin="5277,1436" coordsize="3367,15408">
            <v:group style="position:absolute;left:5277;top:15532;width:2209;height:312" coordorigin="5277,15532" coordsize="2209,312">
              <v:shape style="position:absolute;left:5277;top:15532;width:2209;height:312" coordorigin="5277,15532" coordsize="2209,312" path="m5277,15844l7486,15844,7486,15532,5277,15532,5277,15844xe" filled="true" fillcolor="#ffffff" stroked="false">
                <v:path arrowok="t"/>
                <v:fill type="solid"/>
              </v:shape>
            </v:group>
            <v:group style="position:absolute;left:7520;top:1450;width:1124;height:9209" coordorigin="7520,1450" coordsize="1124,9209">
              <v:shape style="position:absolute;left:7520;top:1450;width:1124;height:9209" coordorigin="7520,1450" coordsize="1124,9209" path="m7520,10659l8643,10659,8643,1450,7520,1450,7520,10659xe" filled="true" fillcolor="#ffffff" stroked="false">
                <v:path arrowok="t"/>
                <v:fill type="solid"/>
              </v:shape>
            </v:group>
            <v:group style="position:absolute;left:7515;top:1440;width:2;height:15398" coordorigin="7515,1440" coordsize="2,15398">
              <v:shape style="position:absolute;left:7515;top:1440;width:2;height:15398" coordorigin="7515,1440" coordsize="0,15398" path="m7515,1440l7515,16838e" filled="false" stroked="true" strokeweight=".48001pt" strokecolor="#000000">
                <v:path arrowok="t"/>
              </v:shape>
            </v:group>
            <w10:wrap type="none"/>
          </v:group>
        </w:pict>
      </w:r>
      <w:r>
        <w:rPr/>
        <w:pict>
          <v:shape style="position:absolute;margin-left:535.574707pt;margin-top:806.72052pt;width:59.493346pt;height:26.794713pt;mso-position-horizontal-relative:page;mso-position-vertical-relative:page;z-index:-1180624" type="#_x0000_t75" stroked="false">
            <v:imagedata r:id="rId16" o:title=""/>
          </v:shape>
        </w:pict>
      </w:r>
    </w:p>
    <w:tbl>
      <w:tblPr>
        <w:tblW w:w="0" w:type="auto"/>
        <w:jc w:val="left"/>
        <w:tblInd w:w="153" w:type="dxa"/>
        <w:tblLayout w:type="fixed"/>
        <w:tblCellMar>
          <w:top w:w="0" w:type="dxa"/>
          <w:left w:w="0" w:type="dxa"/>
          <w:bottom w:w="0" w:type="dxa"/>
          <w:right w:w="0" w:type="dxa"/>
        </w:tblCellMar>
        <w:tblLook w:val="01E0"/>
      </w:tblPr>
      <w:tblGrid>
        <w:gridCol w:w="1561"/>
        <w:gridCol w:w="1133"/>
        <w:gridCol w:w="1417"/>
        <w:gridCol w:w="2322"/>
        <w:gridCol w:w="1083"/>
        <w:gridCol w:w="951"/>
        <w:gridCol w:w="1104"/>
      </w:tblGrid>
      <w:tr>
        <w:trPr>
          <w:trHeight w:val="338" w:hRule="exact"/>
        </w:trPr>
        <w:tc>
          <w:tcPr>
            <w:tcW w:w="1561"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single" w:sz="4" w:space="0" w:color="000000"/>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
        </w:tc>
        <w:tc>
          <w:tcPr>
            <w:tcW w:w="2322" w:type="dxa"/>
            <w:tcBorders>
              <w:top w:val="nil" w:sz="6" w:space="0" w:color="auto"/>
              <w:left w:val="nil" w:sz="6" w:space="0" w:color="auto"/>
              <w:bottom w:val="single" w:sz="4" w:space="0" w:color="000000"/>
              <w:right w:val="nil" w:sz="6" w:space="0" w:color="auto"/>
            </w:tcBorders>
          </w:tcPr>
          <w:p>
            <w:pPr/>
          </w:p>
        </w:tc>
        <w:tc>
          <w:tcPr>
            <w:tcW w:w="1083" w:type="dxa"/>
            <w:tcBorders>
              <w:top w:val="nil" w:sz="6" w:space="0" w:color="auto"/>
              <w:left w:val="nil" w:sz="6" w:space="0" w:color="auto"/>
              <w:bottom w:val="single" w:sz="4" w:space="0" w:color="000000"/>
              <w:right w:val="nil" w:sz="6" w:space="0" w:color="auto"/>
            </w:tcBorders>
          </w:tcPr>
          <w:p>
            <w:pPr/>
          </w:p>
        </w:tc>
        <w:tc>
          <w:tcPr>
            <w:tcW w:w="951" w:type="dxa"/>
            <w:tcBorders>
              <w:top w:val="nil" w:sz="6" w:space="0" w:color="auto"/>
              <w:left w:val="nil" w:sz="6" w:space="0" w:color="auto"/>
              <w:bottom w:val="single" w:sz="4" w:space="0" w:color="000000"/>
              <w:right w:val="nil" w:sz="6" w:space="0" w:color="auto"/>
            </w:tcBorders>
          </w:tcPr>
          <w:p>
            <w:pPr/>
          </w:p>
        </w:tc>
        <w:tc>
          <w:tcPr>
            <w:tcW w:w="1104" w:type="dxa"/>
            <w:tcBorders>
              <w:top w:val="nil" w:sz="6" w:space="0" w:color="auto"/>
              <w:left w:val="nil" w:sz="6" w:space="0" w:color="auto"/>
              <w:bottom w:val="single" w:sz="4" w:space="0" w:color="000000"/>
              <w:right w:val="nil" w:sz="6" w:space="0" w:color="auto"/>
            </w:tcBorders>
          </w:tcPr>
          <w:p>
            <w:pPr/>
          </w:p>
        </w:tc>
      </w:tr>
      <w:tr>
        <w:trPr>
          <w:trHeight w:val="15388" w:hRule="exact"/>
        </w:trPr>
        <w:tc>
          <w:tcPr>
            <w:tcW w:w="1561"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5"/>
              <w:ind w:left="23" w:right="89"/>
              <w:jc w:val="left"/>
              <w:rPr>
                <w:rFonts w:ascii="宋体" w:hAnsi="宋体" w:cs="宋体" w:eastAsia="宋体" w:hint="default"/>
                <w:sz w:val="18"/>
                <w:szCs w:val="18"/>
              </w:rPr>
            </w:pPr>
            <w:r>
              <w:rPr>
                <w:rFonts w:ascii="宋体" w:hAnsi="宋体" w:cs="宋体" w:eastAsia="宋体" w:hint="default"/>
                <w:spacing w:val="-2"/>
                <w:sz w:val="18"/>
                <w:szCs w:val="18"/>
              </w:rPr>
              <w:t>首次公开发行或再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融资时所作承诺</w:t>
            </w:r>
          </w:p>
        </w:tc>
        <w:tc>
          <w:tcPr>
            <w:tcW w:w="1133"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33" w:right="7"/>
              <w:jc w:val="left"/>
              <w:rPr>
                <w:rFonts w:ascii="宋体" w:hAnsi="宋体" w:cs="宋体" w:eastAsia="宋体" w:hint="default"/>
                <w:sz w:val="18"/>
                <w:szCs w:val="18"/>
              </w:rPr>
            </w:pPr>
            <w:r>
              <w:rPr>
                <w:rFonts w:ascii="宋体" w:hAnsi="宋体" w:cs="宋体" w:eastAsia="宋体" w:hint="default"/>
                <w:sz w:val="18"/>
                <w:szCs w:val="18"/>
              </w:rPr>
              <w:t>公司控股股</w:t>
            </w:r>
            <w:r>
              <w:rPr>
                <w:rFonts w:ascii="宋体" w:hAnsi="宋体" w:cs="宋体" w:eastAsia="宋体" w:hint="default"/>
                <w:w w:val="101"/>
                <w:sz w:val="18"/>
                <w:szCs w:val="18"/>
              </w:rPr>
              <w:t> </w:t>
            </w:r>
            <w:r>
              <w:rPr>
                <w:rFonts w:ascii="宋体" w:hAnsi="宋体" w:cs="宋体" w:eastAsia="宋体" w:hint="default"/>
                <w:sz w:val="18"/>
                <w:szCs w:val="18"/>
              </w:rPr>
              <w:t>东及实际控</w:t>
            </w:r>
            <w:r>
              <w:rPr>
                <w:rFonts w:ascii="宋体" w:hAnsi="宋体" w:cs="宋体" w:eastAsia="宋体" w:hint="default"/>
                <w:w w:val="101"/>
                <w:sz w:val="18"/>
                <w:szCs w:val="18"/>
              </w:rPr>
              <w:t> </w:t>
            </w:r>
            <w:r>
              <w:rPr>
                <w:rFonts w:ascii="宋体" w:hAnsi="宋体" w:cs="宋体" w:eastAsia="宋体" w:hint="default"/>
                <w:spacing w:val="-2"/>
                <w:sz w:val="18"/>
                <w:szCs w:val="18"/>
              </w:rPr>
              <w:t>制人孙屹峥、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张菀</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23"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 </w:t>
            </w:r>
            <w:r>
              <w:rPr>
                <w:rFonts w:ascii="宋体" w:hAnsi="宋体" w:cs="宋体" w:eastAsia="宋体" w:hint="default"/>
                <w:sz w:val="18"/>
                <w:szCs w:val="18"/>
              </w:rPr>
              <w:t>时放弃竞争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与利益冲突承诺</w:t>
            </w:r>
          </w:p>
        </w:tc>
        <w:tc>
          <w:tcPr>
            <w:tcW w:w="2322" w:type="dxa"/>
            <w:tcBorders>
              <w:top w:val="single" w:sz="4" w:space="0" w:color="000000"/>
              <w:left w:val="single" w:sz="4" w:space="0" w:color="000000"/>
              <w:bottom w:val="nil" w:sz="6" w:space="0" w:color="auto"/>
              <w:right w:val="nil" w:sz="6" w:space="0" w:color="auto"/>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放弃竞争与利益冲突承诺：</w:t>
            </w:r>
          </w:p>
          <w:p>
            <w:pPr>
              <w:pStyle w:val="TableParagraph"/>
              <w:spacing w:line="316" w:lineRule="auto" w:before="71"/>
              <w:ind w:left="28" w:right="6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）本人及本人控股或参股</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的子公司（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附属公司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）目</w:t>
            </w:r>
            <w:r>
              <w:rPr>
                <w:rFonts w:ascii="宋体" w:hAnsi="宋体" w:cs="宋体" w:eastAsia="宋体" w:hint="default"/>
                <w:spacing w:val="-54"/>
                <w:sz w:val="18"/>
                <w:szCs w:val="18"/>
              </w:rPr>
              <w:t> </w:t>
            </w:r>
            <w:r>
              <w:rPr>
                <w:rFonts w:ascii="宋体" w:hAnsi="宋体" w:cs="宋体" w:eastAsia="宋体" w:hint="default"/>
                <w:spacing w:val="-3"/>
                <w:sz w:val="18"/>
                <w:szCs w:val="18"/>
              </w:rPr>
              <w:t>前并没有直接或间接地从事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任何与股份公司营业执照上</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所列明经营范围内的业务存</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2"/>
                <w:w w:val="101"/>
                <w:sz w:val="18"/>
                <w:szCs w:val="18"/>
              </w:rPr>
              <w:t>在竞争的任何业务活动；（</w:t>
            </w:r>
            <w:r>
              <w:rPr>
                <w:rFonts w:ascii="Times New Roman" w:hAnsi="Times New Roman" w:cs="Times New Roman" w:eastAsia="Times New Roman" w:hint="default"/>
                <w:spacing w:val="-12"/>
                <w:w w:val="101"/>
                <w:sz w:val="18"/>
                <w:szCs w:val="18"/>
              </w:rPr>
              <w:t>2</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本人及附属公司在今后的任</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何时间不会直接或间接地以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任何方式（包括但不限于自</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营、合资或联营）参与或进</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行与股份公司营业执照上所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列明经营范围内的业务存在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直接或间接竞争的任何业务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活动。凡本人及附属公司有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任何商业机会可从事、参与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或入股任何可能会与股份公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司生产经营构成竞争的业</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务，本人会安排将上述商业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9"/>
                <w:w w:val="101"/>
                <w:sz w:val="18"/>
                <w:szCs w:val="18"/>
              </w:rPr>
              <w:t>机会让予股份公司；（</w:t>
            </w:r>
            <w:r>
              <w:rPr>
                <w:rFonts w:ascii="Times New Roman" w:hAnsi="Times New Roman" w:cs="Times New Roman" w:eastAsia="Times New Roman" w:hint="default"/>
                <w:spacing w:val="-9"/>
                <w:w w:val="101"/>
                <w:sz w:val="18"/>
                <w:szCs w:val="18"/>
              </w:rPr>
              <w:t>3</w:t>
            </w:r>
            <w:r>
              <w:rPr>
                <w:rFonts w:ascii="宋体" w:hAnsi="宋体" w:cs="宋体" w:eastAsia="宋体" w:hint="default"/>
                <w:spacing w:val="-9"/>
                <w:w w:val="101"/>
                <w:sz w:val="18"/>
                <w:szCs w:val="18"/>
              </w:rPr>
              <w:t>）本</w:t>
            </w:r>
            <w:r>
              <w:rPr>
                <w:rFonts w:ascii="宋体" w:hAnsi="宋体" w:cs="宋体" w:eastAsia="宋体" w:hint="default"/>
                <w:w w:val="101"/>
                <w:sz w:val="18"/>
                <w:szCs w:val="18"/>
              </w:rPr>
              <w:t> </w:t>
            </w:r>
            <w:r>
              <w:rPr>
                <w:rFonts w:ascii="宋体" w:hAnsi="宋体" w:cs="宋体" w:eastAsia="宋体" w:hint="default"/>
                <w:spacing w:val="-3"/>
                <w:sz w:val="18"/>
                <w:szCs w:val="18"/>
              </w:rPr>
              <w:t>人将充分尊重股份公司的独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立法人地位，严格遵守股份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公司的公司章程，保证股份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公司独立经营、自主决策。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本人将严格按照《公司法》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6"/>
                <w:sz w:val="18"/>
                <w:szCs w:val="18"/>
              </w:rPr>
              <w:t>以及股份公司的《公司章程</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规定，促使经本人提名的股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份公司董事依法履行其应尽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9"/>
                <w:w w:val="101"/>
                <w:sz w:val="18"/>
                <w:szCs w:val="18"/>
              </w:rPr>
              <w:t>的诚信和勤勉责任；（</w:t>
            </w:r>
            <w:r>
              <w:rPr>
                <w:rFonts w:ascii="Times New Roman" w:hAnsi="Times New Roman" w:cs="Times New Roman" w:eastAsia="Times New Roman" w:hint="default"/>
                <w:spacing w:val="-9"/>
                <w:w w:val="101"/>
                <w:sz w:val="18"/>
                <w:szCs w:val="18"/>
              </w:rPr>
              <w:t>4</w:t>
            </w:r>
            <w:r>
              <w:rPr>
                <w:rFonts w:ascii="宋体" w:hAnsi="宋体" w:cs="宋体" w:eastAsia="宋体" w:hint="default"/>
                <w:spacing w:val="-9"/>
                <w:w w:val="101"/>
                <w:sz w:val="18"/>
                <w:szCs w:val="18"/>
              </w:rPr>
              <w:t>）本</w:t>
            </w:r>
            <w:r>
              <w:rPr>
                <w:rFonts w:ascii="宋体" w:hAnsi="宋体" w:cs="宋体" w:eastAsia="宋体" w:hint="default"/>
                <w:w w:val="101"/>
                <w:sz w:val="18"/>
                <w:szCs w:val="18"/>
              </w:rPr>
              <w:t> </w:t>
            </w:r>
            <w:r>
              <w:rPr>
                <w:rFonts w:ascii="宋体" w:hAnsi="宋体" w:cs="宋体" w:eastAsia="宋体" w:hint="default"/>
                <w:spacing w:val="-3"/>
                <w:sz w:val="18"/>
                <w:szCs w:val="18"/>
              </w:rPr>
              <w:t>人将善意履行作为股份公司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大股东的义务，不利用该股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东地位，就股份公司与本人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或附属公司相关的任何关联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交易采取任何行动，故意促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使股份公司的股东大会或董</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事会作出侵犯其他股东合法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权益的决议。如果股份公司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必须与本人或附属公司发生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任何关联交易，则本人承诺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将促使上述交易按照公平合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理的和正常商业交易条件进</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行。本人及附属公司将不会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要求或接受股份公司给予比</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在任何一项市场公平交易中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9"/>
                <w:w w:val="101"/>
                <w:sz w:val="18"/>
                <w:szCs w:val="18"/>
              </w:rPr>
              <w:t>第三者更优惠的条件；（</w:t>
            </w:r>
            <w:r>
              <w:rPr>
                <w:rFonts w:ascii="Times New Roman" w:hAnsi="Times New Roman" w:cs="Times New Roman" w:eastAsia="Times New Roman" w:hint="default"/>
                <w:spacing w:val="-9"/>
                <w:w w:val="101"/>
                <w:sz w:val="18"/>
                <w:szCs w:val="18"/>
              </w:rPr>
              <w:t>5</w:t>
            </w:r>
            <w:r>
              <w:rPr>
                <w:rFonts w:ascii="宋体" w:hAnsi="宋体" w:cs="宋体" w:eastAsia="宋体" w:hint="default"/>
                <w:spacing w:val="-9"/>
                <w:w w:val="101"/>
                <w:sz w:val="18"/>
                <w:szCs w:val="18"/>
              </w:rPr>
              <w:t>）</w:t>
            </w:r>
            <w:r>
              <w:rPr>
                <w:rFonts w:ascii="宋体" w:hAnsi="宋体" w:cs="宋体" w:eastAsia="宋体" w:hint="default"/>
                <w:w w:val="101"/>
                <w:sz w:val="18"/>
                <w:szCs w:val="18"/>
              </w:rPr>
              <w:t> </w:t>
            </w:r>
            <w:r>
              <w:rPr>
                <w:rFonts w:ascii="宋体" w:hAnsi="宋体" w:cs="宋体" w:eastAsia="宋体" w:hint="default"/>
                <w:spacing w:val="-3"/>
                <w:sz w:val="18"/>
                <w:szCs w:val="18"/>
              </w:rPr>
              <w:t>本人及附属公司将严格和善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意地履行与股份公司签订的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各种关联交易协议。本人承</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诺将不会向股份公司谋求任</w:t>
            </w:r>
          </w:p>
        </w:tc>
        <w:tc>
          <w:tcPr>
            <w:tcW w:w="1083" w:type="dxa"/>
            <w:tcBorders>
              <w:top w:val="single" w:sz="4" w:space="0" w:color="000000"/>
              <w:left w:val="nil" w:sz="6" w:space="0" w:color="auto"/>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9" w:lineRule="auto"/>
              <w:ind w:left="23" w:right="-15"/>
              <w:jc w:val="left"/>
              <w:rPr>
                <w:rFonts w:ascii="宋体" w:hAnsi="宋体" w:cs="宋体" w:eastAsia="宋体" w:hint="default"/>
                <w:sz w:val="18"/>
                <w:szCs w:val="18"/>
              </w:rPr>
            </w:pPr>
            <w:r>
              <w:rPr>
                <w:rFonts w:ascii="宋体" w:hAnsi="宋体" w:cs="宋体" w:eastAsia="宋体" w:hint="default"/>
                <w:spacing w:val="-2"/>
                <w:sz w:val="18"/>
                <w:szCs w:val="18"/>
              </w:rPr>
              <w:t>正常履行中，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未发生违反</w:t>
            </w:r>
            <w:r>
              <w:rPr>
                <w:rFonts w:ascii="宋体" w:hAnsi="宋体" w:cs="宋体" w:eastAsia="宋体" w:hint="default"/>
                <w:w w:val="101"/>
                <w:sz w:val="18"/>
                <w:szCs w:val="18"/>
              </w:rPr>
              <w:t> </w:t>
            </w:r>
            <w:r>
              <w:rPr>
                <w:rFonts w:ascii="宋体" w:hAnsi="宋体" w:cs="宋体" w:eastAsia="宋体" w:hint="default"/>
                <w:spacing w:val="-2"/>
                <w:sz w:val="18"/>
                <w:szCs w:val="18"/>
              </w:rPr>
              <w:t>承诺的情况。</w:t>
            </w:r>
          </w:p>
        </w:tc>
      </w:tr>
    </w:tbl>
    <w:p>
      <w:pPr>
        <w:spacing w:after="0" w:line="319" w:lineRule="auto"/>
        <w:jc w:val="left"/>
        <w:rPr>
          <w:rFonts w:ascii="宋体" w:hAnsi="宋体" w:cs="宋体" w:eastAsia="宋体" w:hint="default"/>
          <w:sz w:val="18"/>
          <w:szCs w:val="18"/>
        </w:rPr>
        <w:sectPr>
          <w:footerReference w:type="default" r:id="rId18"/>
          <w:pgSz w:w="11910" w:h="16840"/>
          <w:pgMar w:footer="0" w:header="863" w:top="1060" w:bottom="0" w:left="980" w:right="0"/>
        </w:sectPr>
      </w:pPr>
    </w:p>
    <w:p>
      <w:pPr>
        <w:spacing w:line="240" w:lineRule="auto" w:before="7"/>
        <w:rPr>
          <w:rFonts w:ascii="Times New Roman" w:hAnsi="Times New Roman" w:cs="Times New Roman" w:eastAsia="Times New Roman" w:hint="default"/>
          <w:sz w:val="3"/>
          <w:szCs w:val="3"/>
        </w:rPr>
      </w:pPr>
    </w:p>
    <w:p>
      <w:pPr>
        <w:spacing w:line="20" w:lineRule="exact"/>
        <w:ind w:left="11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561"/>
        <w:gridCol w:w="1133"/>
        <w:gridCol w:w="1417"/>
        <w:gridCol w:w="2271"/>
        <w:gridCol w:w="1133"/>
        <w:gridCol w:w="951"/>
        <w:gridCol w:w="1109"/>
      </w:tblGrid>
      <w:tr>
        <w:trPr>
          <w:trHeight w:val="477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7"/>
              <w:ind w:left="24" w:right="12"/>
              <w:jc w:val="left"/>
              <w:rPr>
                <w:rFonts w:ascii="宋体" w:hAnsi="宋体" w:cs="宋体" w:eastAsia="宋体" w:hint="default"/>
                <w:sz w:val="18"/>
                <w:szCs w:val="18"/>
              </w:rPr>
            </w:pPr>
            <w:r>
              <w:rPr>
                <w:rFonts w:ascii="宋体" w:hAnsi="宋体" w:cs="宋体" w:eastAsia="宋体" w:hint="default"/>
                <w:sz w:val="18"/>
                <w:szCs w:val="18"/>
              </w:rPr>
              <w:t>公司控股股</w:t>
            </w:r>
            <w:r>
              <w:rPr>
                <w:rFonts w:ascii="宋体" w:hAnsi="宋体" w:cs="宋体" w:eastAsia="宋体" w:hint="default"/>
                <w:w w:val="101"/>
                <w:sz w:val="18"/>
                <w:szCs w:val="18"/>
              </w:rPr>
              <w:t> </w:t>
            </w:r>
            <w:r>
              <w:rPr>
                <w:rFonts w:ascii="宋体" w:hAnsi="宋体" w:cs="宋体" w:eastAsia="宋体" w:hint="default"/>
                <w:sz w:val="18"/>
                <w:szCs w:val="18"/>
              </w:rPr>
              <w:t>东及实际控</w:t>
            </w:r>
            <w:r>
              <w:rPr>
                <w:rFonts w:ascii="宋体" w:hAnsi="宋体" w:cs="宋体" w:eastAsia="宋体" w:hint="default"/>
                <w:w w:val="101"/>
                <w:sz w:val="18"/>
                <w:szCs w:val="18"/>
              </w:rPr>
              <w:t> </w:t>
            </w:r>
            <w:r>
              <w:rPr>
                <w:rFonts w:ascii="宋体" w:hAnsi="宋体" w:cs="宋体" w:eastAsia="宋体" w:hint="default"/>
                <w:spacing w:val="-2"/>
                <w:sz w:val="18"/>
                <w:szCs w:val="18"/>
              </w:rPr>
              <w:t>制人孙屹峥、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张菀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00" w:lineRule="auto"/>
              <w:ind w:left="23"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 </w:t>
            </w:r>
            <w:r>
              <w:rPr>
                <w:rFonts w:ascii="宋体" w:hAnsi="宋体" w:cs="宋体" w:eastAsia="宋体" w:hint="default"/>
                <w:sz w:val="18"/>
                <w:szCs w:val="18"/>
              </w:rPr>
              <w:t>时住房公积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金缴纳事项承诺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65"/>
              <w:jc w:val="both"/>
              <w:rPr>
                <w:rFonts w:ascii="宋体" w:hAnsi="宋体" w:cs="宋体" w:eastAsia="宋体" w:hint="default"/>
                <w:sz w:val="18"/>
                <w:szCs w:val="18"/>
              </w:rPr>
            </w:pPr>
            <w:r>
              <w:rPr>
                <w:rFonts w:ascii="宋体" w:hAnsi="宋体" w:cs="宋体" w:eastAsia="宋体" w:hint="default"/>
                <w:spacing w:val="-3"/>
                <w:sz w:val="18"/>
                <w:szCs w:val="18"/>
              </w:rPr>
              <w:t>住房公积金缴纳事项承诺：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若经有关主管部门认定公司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及其全资子公司需为其员工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补缴住房公积金或受到处罚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或被任何利益相关方以任何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方式提出权利要求时，本人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将无条件全额承担经有关主</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管部门认定并要求公司补缴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的全部住房公积金款项、处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罚款项，全额承担被任何利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益相关方以任何方式提出权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利要求的赔偿、补偿款项，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以及由上述事项产生的应由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公司负担的其他所有相关费</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9" w:lineRule="auto"/>
              <w:ind w:left="23" w:right="-10"/>
              <w:jc w:val="left"/>
              <w:rPr>
                <w:rFonts w:ascii="宋体" w:hAnsi="宋体" w:cs="宋体" w:eastAsia="宋体" w:hint="default"/>
                <w:sz w:val="18"/>
                <w:szCs w:val="18"/>
              </w:rPr>
            </w:pPr>
            <w:r>
              <w:rPr>
                <w:rFonts w:ascii="宋体" w:hAnsi="宋体" w:cs="宋体" w:eastAsia="宋体" w:hint="default"/>
                <w:spacing w:val="-2"/>
                <w:sz w:val="18"/>
                <w:szCs w:val="18"/>
              </w:rPr>
              <w:t>正常履行中，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未发生违反</w:t>
            </w:r>
            <w:r>
              <w:rPr>
                <w:rFonts w:ascii="宋体" w:hAnsi="宋体" w:cs="宋体" w:eastAsia="宋体" w:hint="default"/>
                <w:w w:val="101"/>
                <w:sz w:val="18"/>
                <w:szCs w:val="18"/>
              </w:rPr>
              <w:t> </w:t>
            </w:r>
            <w:r>
              <w:rPr>
                <w:rFonts w:ascii="宋体" w:hAnsi="宋体" w:cs="宋体" w:eastAsia="宋体" w:hint="default"/>
                <w:spacing w:val="-2"/>
                <w:sz w:val="18"/>
                <w:szCs w:val="18"/>
              </w:rPr>
              <w:t>承诺的情况。</w:t>
            </w:r>
          </w:p>
        </w:tc>
      </w:tr>
    </w:tbl>
    <w:p>
      <w:pPr>
        <w:spacing w:after="0" w:line="319" w:lineRule="auto"/>
        <w:jc w:val="left"/>
        <w:rPr>
          <w:rFonts w:ascii="宋体" w:hAnsi="宋体" w:cs="宋体" w:eastAsia="宋体" w:hint="default"/>
          <w:sz w:val="18"/>
          <w:szCs w:val="18"/>
        </w:rPr>
        <w:sectPr>
          <w:footerReference w:type="default" r:id="rId19"/>
          <w:pgSz w:w="11910" w:h="16840"/>
          <w:pgMar w:footer="979" w:header="863" w:top="1060" w:bottom="1160" w:left="980" w:right="0"/>
          <w:pgNumType w:start="61"/>
        </w:sectPr>
      </w:pPr>
    </w:p>
    <w:p>
      <w:pPr>
        <w:spacing w:line="240" w:lineRule="auto" w:before="0"/>
        <w:rPr>
          <w:rFonts w:ascii="Times New Roman" w:hAnsi="Times New Roman" w:cs="Times New Roman" w:eastAsia="Times New Roman" w:hint="default"/>
          <w:sz w:val="20"/>
          <w:szCs w:val="20"/>
        </w:rPr>
      </w:pPr>
      <w:r>
        <w:rPr/>
        <w:pict>
          <v:shape style="position:absolute;margin-left:370.190094pt;margin-top:341.859985pt;width:62pt;height:234.1pt;mso-position-horizontal-relative:page;mso-position-vertical-relative:page;z-index:-1180552" type="#_x0000_t202" filled="false" stroked="false">
            <v:textbox inset="0,0,0,0">
              <w:txbxContent>
                <w:p>
                  <w:pPr>
                    <w:spacing w:line="240" w:lineRule="auto" w:before="3"/>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1"/>
        <w:gridCol w:w="1133"/>
        <w:gridCol w:w="1417"/>
        <w:gridCol w:w="2271"/>
        <w:gridCol w:w="1133"/>
        <w:gridCol w:w="951"/>
        <w:gridCol w:w="1104"/>
      </w:tblGrid>
      <w:tr>
        <w:trPr>
          <w:trHeight w:val="10078"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6" w:lineRule="auto"/>
              <w:ind w:left="23" w:right="195"/>
              <w:jc w:val="both"/>
              <w:rPr>
                <w:rFonts w:ascii="宋体" w:hAnsi="宋体" w:cs="宋体" w:eastAsia="宋体" w:hint="default"/>
                <w:sz w:val="18"/>
                <w:szCs w:val="18"/>
              </w:rPr>
            </w:pPr>
            <w:r>
              <w:rPr>
                <w:rFonts w:ascii="宋体" w:hAnsi="宋体" w:cs="宋体" w:eastAsia="宋体" w:hint="default"/>
                <w:spacing w:val="-2"/>
                <w:sz w:val="18"/>
                <w:szCs w:val="18"/>
              </w:rPr>
              <w:t>上海亨升投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资管理有限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00" w:lineRule="auto"/>
              <w:ind w:left="23"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IPO </w:t>
            </w:r>
            <w:r>
              <w:rPr>
                <w:rFonts w:ascii="宋体" w:hAnsi="宋体" w:cs="宋体" w:eastAsia="宋体" w:hint="default"/>
                <w:sz w:val="18"/>
                <w:szCs w:val="18"/>
              </w:rPr>
              <w:t>时放弃竞争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与利益冲突承诺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放弃竞争与利益冲突承诺：</w:t>
            </w:r>
          </w:p>
          <w:p>
            <w:pPr>
              <w:pStyle w:val="TableParagraph"/>
              <w:spacing w:line="314" w:lineRule="auto" w:before="71"/>
              <w:ind w:left="28" w:right="14"/>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）本公司目前不存在直接</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或间接从事与股份公司及其</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控股企业相同或相似的业务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的企业投资，且不直接或间</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接从事、参与或进行与股份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公司及其控股企业生产、经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9"/>
                <w:w w:val="101"/>
                <w:sz w:val="18"/>
                <w:szCs w:val="18"/>
              </w:rPr>
              <w:t>营相竞争的任何活动；（</w:t>
            </w:r>
            <w:r>
              <w:rPr>
                <w:rFonts w:ascii="Times New Roman" w:hAnsi="Times New Roman" w:cs="Times New Roman" w:eastAsia="Times New Roman" w:hint="default"/>
                <w:spacing w:val="-9"/>
                <w:w w:val="101"/>
                <w:sz w:val="18"/>
                <w:szCs w:val="18"/>
              </w:rPr>
              <w:t>2</w:t>
            </w:r>
            <w:r>
              <w:rPr>
                <w:rFonts w:ascii="宋体" w:hAnsi="宋体" w:cs="宋体" w:eastAsia="宋体" w:hint="default"/>
                <w:spacing w:val="-9"/>
                <w:w w:val="101"/>
                <w:sz w:val="18"/>
                <w:szCs w:val="18"/>
              </w:rPr>
              <w:t>）</w:t>
            </w:r>
            <w:r>
              <w:rPr>
                <w:rFonts w:ascii="宋体" w:hAnsi="宋体" w:cs="宋体" w:eastAsia="宋体" w:hint="default"/>
                <w:w w:val="101"/>
                <w:sz w:val="18"/>
                <w:szCs w:val="18"/>
              </w:rPr>
              <w:t> </w:t>
            </w:r>
            <w:r>
              <w:rPr>
                <w:rFonts w:ascii="宋体" w:hAnsi="宋体" w:cs="宋体" w:eastAsia="宋体" w:hint="default"/>
                <w:spacing w:val="-3"/>
                <w:sz w:val="18"/>
                <w:szCs w:val="18"/>
              </w:rPr>
              <w:t>在本公司持有股份公司股份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期间亦不将直接、间接从事</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或者为他人从事与股份公司</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及控股企业的经营业务相同</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或相似的经营活动，也不将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向与股份公司及其控股企业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经营业务相同或相似的企业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9"/>
                <w:w w:val="101"/>
                <w:sz w:val="18"/>
                <w:szCs w:val="18"/>
              </w:rPr>
              <w:t>投资；（</w:t>
            </w:r>
            <w:r>
              <w:rPr>
                <w:rFonts w:ascii="Times New Roman" w:hAnsi="Times New Roman" w:cs="Times New Roman" w:eastAsia="Times New Roman" w:hint="default"/>
                <w:spacing w:val="-9"/>
                <w:w w:val="101"/>
                <w:sz w:val="18"/>
                <w:szCs w:val="18"/>
              </w:rPr>
              <w:t>3</w:t>
            </w:r>
            <w:r>
              <w:rPr>
                <w:rFonts w:ascii="宋体" w:hAnsi="宋体" w:cs="宋体" w:eastAsia="宋体" w:hint="default"/>
                <w:spacing w:val="-9"/>
                <w:w w:val="101"/>
                <w:sz w:val="18"/>
                <w:szCs w:val="18"/>
              </w:rPr>
              <w:t>）本人将充分尊重</w:t>
            </w:r>
            <w:r>
              <w:rPr>
                <w:rFonts w:ascii="宋体" w:hAnsi="宋体" w:cs="宋体" w:eastAsia="宋体" w:hint="default"/>
                <w:w w:val="101"/>
                <w:sz w:val="18"/>
                <w:szCs w:val="18"/>
              </w:rPr>
              <w:t> </w:t>
            </w:r>
            <w:r>
              <w:rPr>
                <w:rFonts w:ascii="宋体" w:hAnsi="宋体" w:cs="宋体" w:eastAsia="宋体" w:hint="default"/>
                <w:spacing w:val="-3"/>
                <w:sz w:val="18"/>
                <w:szCs w:val="18"/>
              </w:rPr>
              <w:t>股份公司的独立法人地位，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严格遵守股份公司的公司章</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6"/>
                <w:sz w:val="18"/>
                <w:szCs w:val="18"/>
              </w:rPr>
              <w:t>程，保证股份公司独立经营</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3"/>
                <w:sz w:val="18"/>
                <w:szCs w:val="18"/>
              </w:rPr>
              <w:t>自主决策。本人将严格按照</w:t>
            </w:r>
          </w:p>
          <w:p>
            <w:pPr>
              <w:pStyle w:val="TableParagraph"/>
              <w:spacing w:line="240" w:lineRule="auto" w:before="20"/>
              <w:ind w:left="28" w:right="0"/>
              <w:jc w:val="left"/>
              <w:rPr>
                <w:rFonts w:ascii="宋体" w:hAnsi="宋体" w:cs="宋体" w:eastAsia="宋体" w:hint="default"/>
                <w:sz w:val="18"/>
                <w:szCs w:val="18"/>
              </w:rPr>
            </w:pPr>
            <w:r>
              <w:rPr>
                <w:rFonts w:ascii="宋体" w:hAnsi="宋体" w:cs="宋体" w:eastAsia="宋体" w:hint="default"/>
                <w:spacing w:val="-3"/>
                <w:sz w:val="18"/>
                <w:szCs w:val="18"/>
              </w:rPr>
              <w:t>《公司法》以及股份公司的</w:t>
            </w:r>
          </w:p>
          <w:p>
            <w:pPr>
              <w:pStyle w:val="TableParagraph"/>
              <w:spacing w:line="314" w:lineRule="auto" w:before="76"/>
              <w:ind w:left="28" w:right="65"/>
              <w:jc w:val="both"/>
              <w:rPr>
                <w:rFonts w:ascii="宋体" w:hAnsi="宋体" w:cs="宋体" w:eastAsia="宋体" w:hint="default"/>
                <w:sz w:val="18"/>
                <w:szCs w:val="18"/>
              </w:rPr>
            </w:pPr>
            <w:r>
              <w:rPr>
                <w:rFonts w:ascii="宋体" w:hAnsi="宋体" w:cs="宋体" w:eastAsia="宋体" w:hint="default"/>
                <w:spacing w:val="-3"/>
                <w:sz w:val="18"/>
                <w:szCs w:val="18"/>
              </w:rPr>
              <w:t>《公司章程》规定，促使经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本人提名的股份公司董事依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法履行其应尽的诚信和勤勉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9"/>
                <w:w w:val="101"/>
                <w:sz w:val="18"/>
                <w:szCs w:val="18"/>
              </w:rPr>
              <w:t>责任；（</w:t>
            </w:r>
            <w:r>
              <w:rPr>
                <w:rFonts w:ascii="Times New Roman" w:hAnsi="Times New Roman" w:cs="Times New Roman" w:eastAsia="Times New Roman" w:hint="default"/>
                <w:spacing w:val="-9"/>
                <w:w w:val="101"/>
                <w:sz w:val="18"/>
                <w:szCs w:val="18"/>
              </w:rPr>
              <w:t>4</w:t>
            </w:r>
            <w:r>
              <w:rPr>
                <w:rFonts w:ascii="宋体" w:hAnsi="宋体" w:cs="宋体" w:eastAsia="宋体" w:hint="default"/>
                <w:spacing w:val="-9"/>
                <w:w w:val="101"/>
                <w:sz w:val="18"/>
                <w:szCs w:val="18"/>
              </w:rPr>
              <w:t>）本声明、承诺与</w:t>
            </w:r>
            <w:r>
              <w:rPr>
                <w:rFonts w:ascii="宋体" w:hAnsi="宋体" w:cs="宋体" w:eastAsia="宋体" w:hint="default"/>
                <w:w w:val="101"/>
                <w:sz w:val="18"/>
                <w:szCs w:val="18"/>
              </w:rPr>
              <w:t> </w:t>
            </w:r>
            <w:r>
              <w:rPr>
                <w:rFonts w:ascii="宋体" w:hAnsi="宋体" w:cs="宋体" w:eastAsia="宋体" w:hint="default"/>
                <w:spacing w:val="-3"/>
                <w:sz w:val="18"/>
                <w:szCs w:val="18"/>
              </w:rPr>
              <w:t>保证将持续有效，直至本公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司不再持有股份公司</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w:t>
            </w:r>
            <w:r>
              <w:rPr>
                <w:rFonts w:ascii="宋体" w:hAnsi="宋体" w:cs="宋体" w:eastAsia="宋体" w:hint="default"/>
                <w:spacing w:val="-81"/>
                <w:sz w:val="18"/>
                <w:szCs w:val="18"/>
              </w:rPr>
              <w:t> </w:t>
            </w:r>
            <w:r>
              <w:rPr>
                <w:rFonts w:ascii="宋体" w:hAnsi="宋体" w:cs="宋体" w:eastAsia="宋体" w:hint="default"/>
                <w:spacing w:val="-23"/>
                <w:w w:val="101"/>
                <w:sz w:val="18"/>
                <w:szCs w:val="18"/>
              </w:rPr>
              <w:t>上（含</w:t>
            </w:r>
            <w:r>
              <w:rPr>
                <w:rFonts w:ascii="宋体" w:hAnsi="宋体" w:cs="宋体" w:eastAsia="宋体" w:hint="default"/>
                <w:spacing w:val="1"/>
                <w:w w:val="101"/>
                <w:sz w:val="18"/>
                <w:szCs w:val="18"/>
              </w:rPr>
              <w:t> </w:t>
            </w:r>
            <w:r>
              <w:rPr>
                <w:rFonts w:ascii="Times New Roman" w:hAnsi="Times New Roman" w:cs="Times New Roman" w:eastAsia="Times New Roman" w:hint="default"/>
                <w:spacing w:val="-22"/>
                <w:w w:val="101"/>
                <w:sz w:val="18"/>
                <w:szCs w:val="18"/>
              </w:rPr>
              <w:t>5%</w:t>
            </w:r>
            <w:r>
              <w:rPr>
                <w:rFonts w:ascii="宋体" w:hAnsi="宋体" w:cs="宋体" w:eastAsia="宋体" w:hint="default"/>
                <w:spacing w:val="-22"/>
                <w:w w:val="101"/>
                <w:sz w:val="18"/>
                <w:szCs w:val="18"/>
              </w:rPr>
              <w:t>）的股份为止；（</w:t>
            </w:r>
            <w:r>
              <w:rPr>
                <w:rFonts w:ascii="Times New Roman" w:hAnsi="Times New Roman" w:cs="Times New Roman" w:eastAsia="Times New Roman" w:hint="default"/>
                <w:spacing w:val="-22"/>
                <w:w w:val="101"/>
                <w:sz w:val="18"/>
                <w:szCs w:val="18"/>
              </w:rPr>
              <w:t>5</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本声明、承诺与保证可被视</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为对股份公司及其他股东共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同和分别作出的声明、承诺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和保证。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468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3"/>
                <w:sz w:val="20"/>
                <w:szCs w:val="20"/>
              </w:rPr>
              <w:pict>
                <v:group style="width:56.2pt;height:234.1pt;mso-position-horizontal-relative:char;mso-position-vertical-relative:line" coordorigin="0,0" coordsize="1124,4682">
                  <v:group style="position:absolute;left:0;top:0;width:1124;height:4682" coordorigin="0,0" coordsize="1124,4682">
                    <v:shape style="position:absolute;left:0;top:0;width:1124;height:4682" coordorigin="0,0" coordsize="1124,4682" path="m0,4681l1124,4681,1124,0,0,0,0,4681xe" filled="true" fillcolor="#ffffff" stroked="false">
                      <v:path arrowok="t"/>
                      <v:fill type="solid"/>
                    </v:shape>
                  </v:group>
                </v:group>
              </w:pict>
            </w:r>
            <w:r>
              <w:rPr>
                <w:rFonts w:ascii="Times New Roman" w:hAnsi="Times New Roman" w:cs="Times New Roman" w:eastAsia="Times New Roman" w:hint="default"/>
                <w:position w:val="-93"/>
                <w:sz w:val="20"/>
                <w:szCs w:val="20"/>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自作出承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诺至不再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持有公司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13"/>
                <w:w w:val="101"/>
                <w:sz w:val="18"/>
                <w:szCs w:val="18"/>
              </w:rPr>
              <w:t>5%</w:t>
            </w:r>
            <w:r>
              <w:rPr>
                <w:rFonts w:ascii="宋体" w:hAnsi="宋体" w:cs="宋体" w:eastAsia="宋体" w:hint="default"/>
                <w:spacing w:val="-13"/>
                <w:w w:val="101"/>
                <w:sz w:val="18"/>
                <w:szCs w:val="18"/>
              </w:rPr>
              <w:t>以上（含</w:t>
            </w:r>
            <w:r>
              <w:rPr>
                <w:rFonts w:ascii="宋体" w:hAnsi="宋体" w:cs="宋体" w:eastAsia="宋体" w:hint="default"/>
                <w:spacing w:val="-13"/>
                <w:sz w:val="18"/>
                <w:szCs w:val="18"/>
              </w:rPr>
            </w:r>
          </w:p>
          <w:p>
            <w:pPr>
              <w:pStyle w:val="TableParagraph"/>
              <w:spacing w:line="304" w:lineRule="auto"/>
              <w:ind w:left="23" w:right="17"/>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）的股份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为止。</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316" w:lineRule="auto"/>
              <w:ind w:left="23" w:right="-15"/>
              <w:jc w:val="left"/>
              <w:rPr>
                <w:rFonts w:ascii="宋体" w:hAnsi="宋体" w:cs="宋体" w:eastAsia="宋体" w:hint="default"/>
                <w:sz w:val="18"/>
                <w:szCs w:val="18"/>
              </w:rPr>
            </w:pPr>
            <w:r>
              <w:rPr>
                <w:rFonts w:ascii="宋体" w:hAnsi="宋体" w:cs="宋体" w:eastAsia="宋体" w:hint="default"/>
                <w:spacing w:val="-2"/>
                <w:sz w:val="18"/>
                <w:szCs w:val="18"/>
              </w:rPr>
              <w:t>正常履行中，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未发生违反</w:t>
            </w:r>
            <w:r>
              <w:rPr>
                <w:rFonts w:ascii="宋体" w:hAnsi="宋体" w:cs="宋体" w:eastAsia="宋体" w:hint="default"/>
                <w:w w:val="101"/>
                <w:sz w:val="18"/>
                <w:szCs w:val="18"/>
              </w:rPr>
              <w:t> </w:t>
            </w:r>
            <w:r>
              <w:rPr>
                <w:rFonts w:ascii="宋体" w:hAnsi="宋体" w:cs="宋体" w:eastAsia="宋体" w:hint="default"/>
                <w:spacing w:val="-2"/>
                <w:sz w:val="18"/>
                <w:szCs w:val="18"/>
              </w:rPr>
              <w:t>承诺的情况。</w:t>
            </w:r>
          </w:p>
        </w:tc>
      </w:tr>
      <w:tr>
        <w:trPr>
          <w:trHeight w:val="1652"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依米康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65"/>
              <w:jc w:val="both"/>
              <w:rPr>
                <w:rFonts w:ascii="宋体" w:hAnsi="宋体" w:cs="宋体" w:eastAsia="宋体" w:hint="default"/>
                <w:sz w:val="18"/>
                <w:szCs w:val="18"/>
              </w:rPr>
            </w:pPr>
            <w:r>
              <w:rPr>
                <w:rFonts w:ascii="宋体" w:hAnsi="宋体" w:cs="宋体" w:eastAsia="宋体" w:hint="default"/>
                <w:spacing w:val="-3"/>
                <w:sz w:val="18"/>
                <w:szCs w:val="18"/>
              </w:rPr>
              <w:t>公司承诺不为激励对象依本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激励计划获取有关限制性股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票提供贷款以及其他任何形</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式的财务资助，包括为其贷</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款提供担保。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90"/>
              <w:jc w:val="both"/>
              <w:rPr>
                <w:rFonts w:ascii="宋体" w:hAnsi="宋体" w:cs="宋体" w:eastAsia="宋体" w:hint="default"/>
                <w:sz w:val="18"/>
                <w:szCs w:val="18"/>
              </w:rPr>
            </w:pP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票激励计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划实施完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毕或终止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实施为止</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23" w:right="-15"/>
              <w:jc w:val="left"/>
              <w:rPr>
                <w:rFonts w:ascii="宋体" w:hAnsi="宋体" w:cs="宋体" w:eastAsia="宋体" w:hint="default"/>
                <w:sz w:val="18"/>
                <w:szCs w:val="18"/>
              </w:rPr>
            </w:pPr>
            <w:r>
              <w:rPr>
                <w:rFonts w:ascii="宋体" w:hAnsi="宋体" w:cs="宋体" w:eastAsia="宋体" w:hint="default"/>
                <w:spacing w:val="-2"/>
                <w:sz w:val="18"/>
                <w:szCs w:val="18"/>
              </w:rPr>
              <w:t>已履行完毕，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未发生违反</w:t>
            </w:r>
            <w:r>
              <w:rPr>
                <w:rFonts w:ascii="宋体" w:hAnsi="宋体" w:cs="宋体" w:eastAsia="宋体" w:hint="default"/>
                <w:w w:val="101"/>
                <w:sz w:val="18"/>
                <w:szCs w:val="18"/>
              </w:rPr>
              <w:t> </w:t>
            </w:r>
            <w:r>
              <w:rPr>
                <w:rFonts w:ascii="宋体" w:hAnsi="宋体" w:cs="宋体" w:eastAsia="宋体" w:hint="default"/>
                <w:spacing w:val="-2"/>
                <w:sz w:val="18"/>
                <w:szCs w:val="18"/>
              </w:rPr>
              <w:t>承诺的情况。</w:t>
            </w:r>
          </w:p>
        </w:tc>
      </w:tr>
    </w:tbl>
    <w:p>
      <w:pPr>
        <w:spacing w:after="0" w:line="319"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1"/>
        <w:gridCol w:w="1133"/>
        <w:gridCol w:w="1417"/>
        <w:gridCol w:w="2271"/>
        <w:gridCol w:w="1133"/>
        <w:gridCol w:w="951"/>
        <w:gridCol w:w="1104"/>
      </w:tblGrid>
      <w:tr>
        <w:trPr>
          <w:trHeight w:val="2900" w:hRule="exact"/>
        </w:trPr>
        <w:tc>
          <w:tcPr>
            <w:tcW w:w="1561" w:type="dxa"/>
            <w:vMerge w:val="restart"/>
            <w:tcBorders>
              <w:top w:val="single" w:sz="4" w:space="0" w:color="000000"/>
              <w:left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09" w:lineRule="auto"/>
              <w:ind w:left="2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制性股票激</w:t>
            </w:r>
            <w:r>
              <w:rPr>
                <w:rFonts w:ascii="宋体" w:hAnsi="宋体" w:cs="宋体" w:eastAsia="宋体" w:hint="default"/>
                <w:w w:val="101"/>
                <w:sz w:val="18"/>
                <w:szCs w:val="18"/>
              </w:rPr>
              <w:t> </w:t>
            </w:r>
            <w:r>
              <w:rPr>
                <w:rFonts w:ascii="宋体" w:hAnsi="宋体" w:cs="宋体" w:eastAsia="宋体" w:hint="default"/>
                <w:sz w:val="18"/>
                <w:szCs w:val="18"/>
              </w:rPr>
              <w:t>励对象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65"/>
              <w:jc w:val="both"/>
              <w:rPr>
                <w:rFonts w:ascii="宋体" w:hAnsi="宋体" w:cs="宋体" w:eastAsia="宋体" w:hint="default"/>
                <w:sz w:val="18"/>
                <w:szCs w:val="18"/>
              </w:rPr>
            </w:pPr>
            <w:r>
              <w:rPr>
                <w:rFonts w:ascii="宋体" w:hAnsi="宋体" w:cs="宋体" w:eastAsia="宋体" w:hint="default"/>
                <w:spacing w:val="-3"/>
                <w:sz w:val="18"/>
                <w:szCs w:val="18"/>
              </w:rPr>
              <w:t>公司因信息披露文件中有虚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假记载、误导性陈述或者重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大遗漏，导致不符合授予权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益或行使权益安排的，激励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对象应当自相关信息披露文</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件被确认存在虚假记载、误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导性陈述或者重大遗漏后，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将由股权激励计划所获得的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全部利益返还公司。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票激励计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划实施完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毕或终止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实施为止</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3" w:right="-15"/>
              <w:jc w:val="left"/>
              <w:rPr>
                <w:rFonts w:ascii="宋体" w:hAnsi="宋体" w:cs="宋体" w:eastAsia="宋体" w:hint="default"/>
                <w:sz w:val="18"/>
                <w:szCs w:val="18"/>
              </w:rPr>
            </w:pPr>
            <w:r>
              <w:rPr>
                <w:rFonts w:ascii="宋体" w:hAnsi="宋体" w:cs="宋体" w:eastAsia="宋体" w:hint="default"/>
                <w:spacing w:val="-2"/>
                <w:sz w:val="18"/>
                <w:szCs w:val="18"/>
              </w:rPr>
              <w:t>已履行完毕，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未发生违反</w:t>
            </w:r>
            <w:r>
              <w:rPr>
                <w:rFonts w:ascii="宋体" w:hAnsi="宋体" w:cs="宋体" w:eastAsia="宋体" w:hint="default"/>
                <w:w w:val="101"/>
                <w:sz w:val="18"/>
                <w:szCs w:val="18"/>
              </w:rPr>
              <w:t> </w:t>
            </w:r>
            <w:r>
              <w:rPr>
                <w:rFonts w:ascii="宋体" w:hAnsi="宋体" w:cs="宋体" w:eastAsia="宋体" w:hint="default"/>
                <w:spacing w:val="-2"/>
                <w:sz w:val="18"/>
                <w:szCs w:val="18"/>
              </w:rPr>
              <w:t>承诺的情况。</w:t>
            </w:r>
          </w:p>
        </w:tc>
      </w:tr>
      <w:tr>
        <w:trPr>
          <w:trHeight w:val="2895"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3" w:right="14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年度限</w:t>
            </w:r>
            <w:r>
              <w:rPr>
                <w:rFonts w:ascii="宋体" w:hAnsi="宋体" w:cs="宋体" w:eastAsia="宋体" w:hint="default"/>
                <w:w w:val="101"/>
                <w:sz w:val="18"/>
                <w:szCs w:val="18"/>
              </w:rPr>
              <w:t> </w:t>
            </w:r>
            <w:r>
              <w:rPr>
                <w:rFonts w:ascii="宋体" w:hAnsi="宋体" w:cs="宋体" w:eastAsia="宋体" w:hint="default"/>
                <w:sz w:val="18"/>
                <w:szCs w:val="18"/>
              </w:rPr>
              <w:t>制性股票预</w:t>
            </w:r>
            <w:r>
              <w:rPr>
                <w:rFonts w:ascii="宋体" w:hAnsi="宋体" w:cs="宋体" w:eastAsia="宋体" w:hint="default"/>
                <w:w w:val="101"/>
                <w:sz w:val="18"/>
                <w:szCs w:val="18"/>
              </w:rPr>
              <w:t> </w:t>
            </w:r>
            <w:r>
              <w:rPr>
                <w:rFonts w:ascii="宋体" w:hAnsi="宋体" w:cs="宋体" w:eastAsia="宋体" w:hint="default"/>
                <w:sz w:val="18"/>
                <w:szCs w:val="18"/>
              </w:rPr>
              <w:t>留部分激励</w:t>
            </w:r>
            <w:r>
              <w:rPr>
                <w:rFonts w:ascii="宋体" w:hAnsi="宋体" w:cs="宋体" w:eastAsia="宋体" w:hint="default"/>
                <w:w w:val="101"/>
                <w:sz w:val="18"/>
                <w:szCs w:val="18"/>
              </w:rPr>
              <w:t> </w:t>
            </w:r>
            <w:r>
              <w:rPr>
                <w:rFonts w:ascii="宋体" w:hAnsi="宋体" w:cs="宋体" w:eastAsia="宋体" w:hint="default"/>
                <w:sz w:val="18"/>
                <w:szCs w:val="18"/>
              </w:rPr>
              <w:t>对象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8" w:right="65"/>
              <w:jc w:val="both"/>
              <w:rPr>
                <w:rFonts w:ascii="宋体" w:hAnsi="宋体" w:cs="宋体" w:eastAsia="宋体" w:hint="default"/>
                <w:sz w:val="18"/>
                <w:szCs w:val="18"/>
              </w:rPr>
            </w:pPr>
            <w:r>
              <w:rPr>
                <w:rFonts w:ascii="宋体" w:hAnsi="宋体" w:cs="宋体" w:eastAsia="宋体" w:hint="default"/>
                <w:spacing w:val="-3"/>
                <w:sz w:val="18"/>
                <w:szCs w:val="18"/>
              </w:rPr>
              <w:t>公司因信息披露文件中有虚</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假记载、误导性陈述或者重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大遗漏，导致不符合授予权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益或行使权益安排的，激励</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对象应当自相关信息披露文</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件被确认存在虚假记载、误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导性陈述或者重大遗漏后，</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将由股权激励计划所获得的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全部利益返还公司。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票激励计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划实施完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毕或终止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实施为止</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23" w:right="-15"/>
              <w:jc w:val="left"/>
              <w:rPr>
                <w:rFonts w:ascii="宋体" w:hAnsi="宋体" w:cs="宋体" w:eastAsia="宋体" w:hint="default"/>
                <w:sz w:val="18"/>
                <w:szCs w:val="18"/>
              </w:rPr>
            </w:pPr>
            <w:r>
              <w:rPr>
                <w:rFonts w:ascii="宋体" w:hAnsi="宋体" w:cs="宋体" w:eastAsia="宋体" w:hint="default"/>
                <w:spacing w:val="-2"/>
                <w:sz w:val="18"/>
                <w:szCs w:val="18"/>
              </w:rPr>
              <w:t>已履行完毕，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未发生违反</w:t>
            </w:r>
            <w:r>
              <w:rPr>
                <w:rFonts w:ascii="宋体" w:hAnsi="宋体" w:cs="宋体" w:eastAsia="宋体" w:hint="default"/>
                <w:w w:val="101"/>
                <w:sz w:val="18"/>
                <w:szCs w:val="18"/>
              </w:rPr>
              <w:t> </w:t>
            </w:r>
            <w:r>
              <w:rPr>
                <w:rFonts w:ascii="宋体" w:hAnsi="宋体" w:cs="宋体" w:eastAsia="宋体" w:hint="default"/>
                <w:spacing w:val="-2"/>
                <w:sz w:val="18"/>
                <w:szCs w:val="18"/>
              </w:rPr>
              <w:t>承诺的情况。</w:t>
            </w:r>
          </w:p>
        </w:tc>
      </w:tr>
      <w:tr>
        <w:trPr>
          <w:trHeight w:val="716"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79"/>
              <w:jc w:val="left"/>
              <w:rPr>
                <w:rFonts w:ascii="宋体" w:hAnsi="宋体" w:cs="宋体" w:eastAsia="宋体" w:hint="default"/>
                <w:sz w:val="18"/>
                <w:szCs w:val="18"/>
              </w:rPr>
            </w:pPr>
            <w:r>
              <w:rPr>
                <w:rFonts w:ascii="宋体" w:hAnsi="宋体" w:cs="宋体" w:eastAsia="宋体" w:hint="default"/>
                <w:spacing w:val="-2"/>
                <w:sz w:val="18"/>
                <w:szCs w:val="18"/>
              </w:rPr>
              <w:t>其他对公司中小股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东所作承诺</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3"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00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652"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79"/>
              <w:jc w:val="both"/>
              <w:rPr>
                <w:rFonts w:ascii="宋体" w:hAnsi="宋体" w:cs="宋体" w:eastAsia="宋体" w:hint="default"/>
                <w:sz w:val="18"/>
                <w:szCs w:val="18"/>
              </w:rPr>
            </w:pPr>
            <w:r>
              <w:rPr>
                <w:rFonts w:ascii="宋体" w:hAnsi="宋体" w:cs="宋体" w:eastAsia="宋体" w:hint="default"/>
                <w:spacing w:val="-2"/>
                <w:sz w:val="18"/>
                <w:szCs w:val="18"/>
              </w:rPr>
              <w:t>如承诺超期未履行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完毕的，应当详细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说明未完成履行的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具体原因及下一步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的工作计划</w:t>
            </w:r>
          </w:p>
        </w:tc>
        <w:tc>
          <w:tcPr>
            <w:tcW w:w="800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spacing w:line="256" w:lineRule="auto" w:before="36"/>
        <w:ind w:left="153"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3"/>
      <w:bookmarkEnd w:id="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1"/>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4"/>
      <w:bookmarkEnd w:id="64"/>
      <w:r>
        <w:rPr>
          <w:b w:val="0"/>
          <w:bCs w:val="0"/>
        </w:rPr>
      </w:r>
      <w:r>
        <w:rPr/>
        <w:t>三、控股股东及其关联方对上市公司的非经营性占用资金情况</w:t>
      </w:r>
      <w:r>
        <w:rPr>
          <w:b w:val="0"/>
          <w:bCs w:val="0"/>
        </w:rPr>
      </w:r>
    </w:p>
    <w:p>
      <w:pPr>
        <w:spacing w:line="240" w:lineRule="auto" w:before="8"/>
        <w:rPr>
          <w:rFonts w:ascii="宋体" w:hAnsi="宋体" w:cs="宋体" w:eastAsia="宋体" w:hint="default"/>
          <w:b/>
          <w:bCs/>
          <w:sz w:val="27"/>
          <w:szCs w:val="27"/>
        </w:rPr>
      </w:pPr>
    </w:p>
    <w:p>
      <w:pPr>
        <w:spacing w:line="338" w:lineRule="auto" w:before="0"/>
        <w:ind w:left="153" w:right="50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5"/>
      <w:bookmarkEnd w:id="6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六、董事会关于报告期会计政策、会计估计变更或重大会计差错更正的说明" w:id="67"/>
      <w:bookmarkEnd w:id="67"/>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8" w:lineRule="auto" w:before="127"/>
        <w:ind w:right="1122" w:firstLine="480"/>
        <w:jc w:val="both"/>
      </w:pPr>
      <w:r>
        <w:rPr>
          <w:rFonts w:ascii="Times New Roman" w:hAnsi="Times New Roman" w:cs="Times New Roman" w:eastAsia="Times New Roman" w:hint="default"/>
          <w:spacing w:val="4"/>
        </w:rPr>
        <w:t>2017</w:t>
      </w:r>
      <w:r>
        <w:rPr>
          <w:spacing w:val="4"/>
        </w:rPr>
        <w:t>年度，财政部修订并发布了《企业会计准则第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金融工具确认和计量》（财会 </w:t>
      </w:r>
      <w:r>
        <w:rPr>
          <w:rFonts w:ascii="Times New Roman" w:hAnsi="Times New Roman" w:cs="Times New Roman" w:eastAsia="Times New Roman" w:hint="default"/>
          <w:spacing w:val="2"/>
        </w:rPr>
        <w:t>[2017]7</w:t>
      </w:r>
      <w:r>
        <w:rPr>
          <w:spacing w:val="2"/>
        </w:rPr>
        <w:t>号）、《企业会计准则第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金融资产转移》（财会</w:t>
      </w:r>
      <w:r>
        <w:rPr>
          <w:rFonts w:ascii="Times New Roman" w:hAnsi="Times New Roman" w:cs="Times New Roman" w:eastAsia="Times New Roman" w:hint="default"/>
          <w:spacing w:val="2"/>
        </w:rPr>
        <w:t>[2017]8</w:t>
      </w:r>
      <w:r>
        <w:rPr>
          <w:spacing w:val="2"/>
        </w:rPr>
        <w:t>号）、《企业会计准则</w:t>
      </w:r>
      <w:r>
        <w:rPr>
          <w:spacing w:val="-115"/>
        </w:rPr>
        <w:t> </w:t>
      </w:r>
      <w:r>
        <w:rPr>
          <w:spacing w:val="-115"/>
        </w:rPr>
      </w:r>
      <w:r>
        <w:rPr>
          <w:spacing w:val="-11"/>
        </w:rPr>
        <w:t>第</w:t>
      </w:r>
      <w:r>
        <w:rPr>
          <w:rFonts w:ascii="Times New Roman" w:hAnsi="Times New Roman" w:cs="Times New Roman" w:eastAsia="Times New Roman" w:hint="default"/>
          <w:spacing w:val="-11"/>
        </w:rPr>
        <w:t>24</w:t>
      </w:r>
      <w:r>
        <w:rPr>
          <w:spacing w:val="-11"/>
        </w:rPr>
        <w:t>号</w:t>
      </w:r>
      <w:r>
        <w:rPr>
          <w:rFonts w:ascii="Times New Roman" w:hAnsi="Times New Roman" w:cs="Times New Roman" w:eastAsia="Times New Roman" w:hint="default"/>
          <w:spacing w:val="-11"/>
        </w:rPr>
        <w:t>-</w:t>
      </w:r>
      <w:r>
        <w:rPr>
          <w:spacing w:val="-11"/>
        </w:rPr>
        <w:t>套期保值》（财会</w:t>
      </w:r>
      <w:r>
        <w:rPr>
          <w:rFonts w:ascii="Times New Roman" w:hAnsi="Times New Roman" w:cs="Times New Roman" w:eastAsia="Times New Roman" w:hint="default"/>
          <w:spacing w:val="-11"/>
        </w:rPr>
        <w:t>[2017]9</w:t>
      </w:r>
      <w:r>
        <w:rPr>
          <w:spacing w:val="-11"/>
        </w:rPr>
        <w:t>号）以及《企业会计准则第</w:t>
      </w:r>
      <w:r>
        <w:rPr>
          <w:rFonts w:ascii="Times New Roman" w:hAnsi="Times New Roman" w:cs="Times New Roman" w:eastAsia="Times New Roman" w:hint="default"/>
          <w:spacing w:val="-11"/>
        </w:rPr>
        <w:t>37</w:t>
      </w:r>
      <w:r>
        <w:rPr>
          <w:spacing w:val="-11"/>
        </w:rPr>
        <w:t>号</w:t>
      </w:r>
      <w:r>
        <w:rPr>
          <w:rFonts w:ascii="Times New Roman" w:hAnsi="Times New Roman" w:cs="Times New Roman" w:eastAsia="Times New Roman" w:hint="default"/>
          <w:spacing w:val="-11"/>
        </w:rPr>
        <w:t>-</w:t>
      </w:r>
      <w:r>
        <w:rPr>
          <w:spacing w:val="-11"/>
        </w:rPr>
        <w:t>金融工具列报》（财会</w:t>
      </w:r>
      <w:r>
        <w:rPr>
          <w:rFonts w:ascii="Times New Roman" w:hAnsi="Times New Roman" w:cs="Times New Roman" w:eastAsia="Times New Roman" w:hint="default"/>
          <w:spacing w:val="-11"/>
        </w:rPr>
        <w:t>[2017]14</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27"/>
        </w:rPr>
      </w:r>
      <w:r>
        <w:rPr>
          <w:spacing w:val="-2"/>
        </w:rPr>
        <w:t>号）（以上四项简称</w:t>
      </w:r>
      <w:r>
        <w:rPr>
          <w:rFonts w:ascii="Times New Roman" w:hAnsi="Times New Roman" w:cs="Times New Roman" w:eastAsia="Times New Roman" w:hint="default"/>
          <w:spacing w:val="-2"/>
        </w:rPr>
        <w:t>“</w:t>
      </w:r>
      <w:r>
        <w:rPr>
          <w:spacing w:val="-2"/>
        </w:rPr>
        <w:t>新金融工具准则</w:t>
      </w:r>
      <w:r>
        <w:rPr>
          <w:rFonts w:ascii="Times New Roman" w:hAnsi="Times New Roman" w:cs="Times New Roman" w:eastAsia="Times New Roman" w:hint="default"/>
          <w:spacing w:val="-2"/>
        </w:rPr>
        <w:t>”</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日召开第四届董事会第三次会</w:t>
      </w:r>
      <w:r>
        <w:rPr>
          <w:spacing w:val="-87"/>
        </w:rPr>
        <w:t> </w:t>
      </w:r>
      <w:r>
        <w:rPr/>
        <w:t>议审议通过了《关于会计政策修订和完善的议案》，公司自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日起施行新金融工具</w:t>
      </w:r>
      <w:r>
        <w:rPr>
          <w:spacing w:val="-90"/>
        </w:rPr>
        <w:t> </w:t>
      </w:r>
      <w:r>
        <w:rPr>
          <w:spacing w:val="-90"/>
        </w:rPr>
      </w:r>
      <w:r>
        <w:rPr/>
        <w:t>准则。</w:t>
      </w:r>
    </w:p>
    <w:p>
      <w:pPr>
        <w:pStyle w:val="BodyText"/>
        <w:spacing w:line="345" w:lineRule="auto" w:before="53"/>
        <w:ind w:right="1128"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月，财政部发布了《关于修订印发</w:t>
      </w:r>
      <w:r>
        <w:rPr>
          <w:rFonts w:ascii="Times New Roman" w:hAnsi="Times New Roman" w:cs="Times New Roman" w:eastAsia="Times New Roman" w:hint="default"/>
          <w:spacing w:val="-2"/>
        </w:rPr>
        <w:t>2019</w:t>
      </w:r>
      <w:r>
        <w:rPr>
          <w:spacing w:val="-2"/>
        </w:rPr>
        <w:t>年度一般企业财务报表格式的通知》（财</w:t>
      </w:r>
      <w:r>
        <w:rPr/>
        <w:t> </w:t>
      </w:r>
      <w:r>
        <w:rPr>
          <w:spacing w:val="2"/>
        </w:rPr>
        <w:t>会</w:t>
      </w:r>
      <w:r>
        <w:rPr>
          <w:rFonts w:ascii="Times New Roman" w:hAnsi="Times New Roman" w:cs="Times New Roman" w:eastAsia="Times New Roman" w:hint="default"/>
          <w:spacing w:val="2"/>
        </w:rPr>
        <w:t>[2019]6</w:t>
      </w:r>
      <w:r>
        <w:rPr>
          <w:spacing w:val="2"/>
        </w:rPr>
        <w:t>号），对一般企业财务报表格式进行了修订。公司于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29</w:t>
      </w:r>
      <w:r>
        <w:rPr>
          <w:spacing w:val="2"/>
        </w:rPr>
        <w:t>日召开第四届董</w:t>
      </w:r>
      <w:r>
        <w:rPr>
          <w:spacing w:val="-110"/>
        </w:rPr>
        <w:t> </w:t>
      </w:r>
      <w:r>
        <w:rPr>
          <w:spacing w:val="-110"/>
        </w:rPr>
      </w:r>
      <w:r>
        <w:rPr/>
        <w:t>事会第六次会议审议通过了《关于会计政策变更的议案》，公司按照最新的财务报表格式编</w:t>
      </w:r>
      <w:r>
        <w:rPr>
          <w:spacing w:val="-93"/>
        </w:rPr>
        <w:t> </w:t>
      </w:r>
      <w:r>
        <w:rPr>
          <w:spacing w:val="-93"/>
        </w:rPr>
      </w:r>
      <w:r>
        <w:rPr/>
        <w:t>制定期报告。</w:t>
      </w:r>
    </w:p>
    <w:p>
      <w:pPr>
        <w:pStyle w:val="BodyText"/>
        <w:spacing w:line="352" w:lineRule="auto" w:before="46"/>
        <w:ind w:right="993" w:firstLine="480"/>
        <w:jc w:val="left"/>
      </w:pPr>
      <w:r>
        <w:rPr/>
        <w:t>除因上述原因，对公司施行的会计政策进行了修订和完善外，公司不存在会计估计变更 </w:t>
      </w:r>
      <w:r>
        <w:rPr>
          <w:spacing w:val="-2"/>
        </w:rPr>
        <w:t>或重大会计差错更正的情况。采用新金融工具准则对公司金融负债的会计政策并无重大影响，</w:t>
      </w:r>
      <w:r>
        <w:rPr/>
        <w:t> 具体内容可详见</w:t>
      </w:r>
      <w:r>
        <w:rPr>
          <w:rFonts w:ascii="Times New Roman" w:hAnsi="Times New Roman" w:cs="Times New Roman" w:eastAsia="Times New Roman" w:hint="default"/>
        </w:rPr>
        <w:t>“</w:t>
      </w:r>
      <w:r>
        <w:rPr/>
        <w:t>第十二节</w:t>
      </w:r>
      <w:r>
        <w:rPr>
          <w:spacing w:val="-15"/>
        </w:rPr>
        <w:t> </w:t>
      </w:r>
      <w:r>
        <w:rPr>
          <w:spacing w:val="-4"/>
        </w:rPr>
        <w:t>财务报告</w:t>
      </w:r>
      <w:r>
        <w:rPr>
          <w:rFonts w:ascii="Times New Roman" w:hAnsi="Times New Roman" w:cs="Times New Roman" w:eastAsia="Times New Roman" w:hint="default"/>
          <w:spacing w:val="-4"/>
        </w:rPr>
        <w:t>”</w:t>
      </w:r>
      <w:r>
        <w:rPr>
          <w:spacing w:val="-4"/>
        </w:rPr>
        <w:t>之</w:t>
      </w:r>
      <w:r>
        <w:rPr>
          <w:rFonts w:ascii="Times New Roman" w:hAnsi="Times New Roman" w:cs="Times New Roman" w:eastAsia="Times New Roman" w:hint="default"/>
          <w:spacing w:val="-4"/>
        </w:rPr>
        <w:t>“</w:t>
      </w:r>
      <w:r>
        <w:rPr>
          <w:spacing w:val="-4"/>
        </w:rPr>
        <w:t>五、重要会计政策与会计估计</w:t>
      </w:r>
      <w:r>
        <w:rPr>
          <w:rFonts w:ascii="Times New Roman" w:hAnsi="Times New Roman" w:cs="Times New Roman" w:eastAsia="Times New Roman" w:hint="default"/>
          <w:spacing w:val="-4"/>
        </w:rPr>
        <w:t>”</w:t>
      </w:r>
      <w:r>
        <w:rPr>
          <w:spacing w:val="-4"/>
        </w:rPr>
        <w:t>之</w:t>
      </w:r>
      <w:r>
        <w:rPr>
          <w:rFonts w:ascii="Times New Roman" w:hAnsi="Times New Roman" w:cs="Times New Roman" w:eastAsia="Times New Roman" w:hint="default"/>
          <w:spacing w:val="-4"/>
        </w:rPr>
        <w:t>“44</w:t>
      </w:r>
      <w:r>
        <w:rPr>
          <w:spacing w:val="-4"/>
        </w:rPr>
        <w:t>、重要会计政策</w:t>
      </w:r>
      <w:r>
        <w:rPr>
          <w:spacing w:val="-115"/>
        </w:rPr>
        <w:t> </w:t>
      </w:r>
      <w:r>
        <w:rPr>
          <w:spacing w:val="-115"/>
        </w:rPr>
      </w:r>
      <w:r>
        <w:rPr/>
        <w:t>和会计估计变更</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17"/>
          <w:szCs w:val="17"/>
        </w:rPr>
      </w:pPr>
    </w:p>
    <w:p>
      <w:pPr>
        <w:pStyle w:val="Heading2"/>
        <w:spacing w:line="240" w:lineRule="auto"/>
        <w:ind w:right="0"/>
        <w:jc w:val="left"/>
        <w:rPr>
          <w:b w:val="0"/>
          <w:bCs w:val="0"/>
        </w:rPr>
      </w:pPr>
      <w:bookmarkStart w:name="七、与上年度财务报告相比，合并报表范围发生变化的情况说明" w:id="68"/>
      <w:bookmarkEnd w:id="68"/>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6" w:lineRule="auto" w:before="127"/>
        <w:ind w:right="1131" w:firstLine="480"/>
        <w:jc w:val="both"/>
      </w:pPr>
      <w:r>
        <w:rPr/>
        <w:t>参见本年度报告全文</w:t>
      </w:r>
      <w:r>
        <w:rPr>
          <w:rFonts w:ascii="Times New Roman" w:hAnsi="Times New Roman" w:cs="Times New Roman" w:eastAsia="Times New Roman" w:hint="default"/>
        </w:rPr>
        <w:t>“</w:t>
      </w:r>
      <w:r>
        <w:rPr/>
        <w:t>第四节</w:t>
      </w:r>
      <w:r>
        <w:rPr>
          <w:spacing w:val="-21"/>
        </w:rPr>
        <w:t> </w:t>
      </w:r>
      <w:r>
        <w:rPr/>
        <w:t>经营情况讨论与分析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二、主营业务分析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“2</w:t>
      </w:r>
      <w:r>
        <w:rPr/>
        <w:t>、收入与 成本</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w:t>
      </w:r>
      <w:r>
        <w:rPr>
          <w:rFonts w:ascii="Times New Roman" w:hAnsi="Times New Roman" w:cs="Times New Roman" w:eastAsia="Times New Roman" w:hint="default"/>
        </w:rPr>
        <w:t>6</w:t>
      </w:r>
      <w:r>
        <w:rPr/>
        <w:t>）报告期内合并范围是否发生变动</w:t>
      </w:r>
      <w:r>
        <w:rPr>
          <w:rFonts w:ascii="Times New Roman" w:hAnsi="Times New Roman" w:cs="Times New Roman" w:eastAsia="Times New Roman" w:hint="default"/>
        </w:rPr>
        <w:t>”</w:t>
      </w:r>
      <w:r>
        <w:rPr/>
        <w:t>相关内容。</w:t>
      </w:r>
    </w:p>
    <w:p>
      <w:pPr>
        <w:spacing w:line="240" w:lineRule="auto" w:before="13"/>
        <w:rPr>
          <w:rFonts w:ascii="宋体" w:hAnsi="宋体" w:cs="宋体" w:eastAsia="宋体" w:hint="default"/>
          <w:sz w:val="18"/>
          <w:szCs w:val="18"/>
        </w:rPr>
      </w:pPr>
    </w:p>
    <w:p>
      <w:pPr>
        <w:pStyle w:val="Heading2"/>
        <w:spacing w:line="240" w:lineRule="auto"/>
        <w:ind w:right="0"/>
        <w:jc w:val="left"/>
        <w:rPr>
          <w:b w:val="0"/>
          <w:bCs w:val="0"/>
        </w:rPr>
      </w:pPr>
      <w:bookmarkStart w:name="八、聘任、解聘会计师事务所情况" w:id="69"/>
      <w:bookmarkEnd w:id="69"/>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信永中和会计师事务所（特殊普通合伙）</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78</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何勇、夏翠琼</w:t>
            </w:r>
          </w:p>
        </w:tc>
      </w:tr>
    </w:tbl>
    <w:p>
      <w:pPr>
        <w:spacing w:after="0" w:line="240"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648"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1"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w w:val="101"/>
                <w:sz w:val="18"/>
                <w:szCs w:val="18"/>
              </w:rPr>
              <w:t>境</w:t>
            </w:r>
            <w:r>
              <w:rPr>
                <w:rFonts w:ascii="宋体" w:hAnsi="宋体" w:cs="宋体" w:eastAsia="宋体" w:hint="default"/>
                <w:spacing w:val="-5"/>
                <w:w w:val="101"/>
                <w:sz w:val="18"/>
                <w:szCs w:val="18"/>
              </w:rPr>
              <w:t>外</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师</w:t>
            </w:r>
            <w:r>
              <w:rPr>
                <w:rFonts w:ascii="宋体" w:hAnsi="宋体" w:cs="宋体" w:eastAsia="宋体" w:hint="default"/>
                <w:spacing w:val="-5"/>
                <w:w w:val="101"/>
                <w:sz w:val="18"/>
                <w:szCs w:val="18"/>
              </w:rPr>
              <w:t>事</w:t>
            </w:r>
            <w:r>
              <w:rPr>
                <w:rFonts w:ascii="宋体" w:hAnsi="宋体" w:cs="宋体" w:eastAsia="宋体" w:hint="default"/>
                <w:w w:val="101"/>
                <w:sz w:val="18"/>
                <w:szCs w:val="18"/>
              </w:rPr>
              <w:t>务</w:t>
            </w:r>
            <w:r>
              <w:rPr>
                <w:rFonts w:ascii="宋体" w:hAnsi="宋体" w:cs="宋体" w:eastAsia="宋体" w:hint="default"/>
                <w:spacing w:val="-5"/>
                <w:w w:val="101"/>
                <w:sz w:val="18"/>
                <w:szCs w:val="18"/>
              </w:rPr>
              <w:t>所</w:t>
            </w:r>
            <w:r>
              <w:rPr>
                <w:rFonts w:ascii="宋体" w:hAnsi="宋体" w:cs="宋体" w:eastAsia="宋体" w:hint="default"/>
                <w:w w:val="101"/>
                <w:sz w:val="18"/>
                <w:szCs w:val="18"/>
              </w:rPr>
              <w:t>报</w:t>
            </w:r>
            <w:r>
              <w:rPr>
                <w:rFonts w:ascii="宋体" w:hAnsi="宋体" w:cs="宋体" w:eastAsia="宋体" w:hint="default"/>
                <w:spacing w:val="-5"/>
                <w:w w:val="101"/>
                <w:sz w:val="18"/>
                <w:szCs w:val="18"/>
              </w:rPr>
              <w:t>酬</w:t>
            </w:r>
            <w:r>
              <w:rPr>
                <w:rFonts w:ascii="宋体" w:hAnsi="宋体" w:cs="宋体" w:eastAsia="宋体" w:hint="default"/>
                <w:w w:val="101"/>
                <w:sz w:val="18"/>
                <w:szCs w:val="18"/>
              </w:rPr>
              <w:t>（</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如</w:t>
            </w:r>
            <w:r>
              <w:rPr>
                <w:rFonts w:ascii="宋体" w:hAnsi="宋体" w:cs="宋体" w:eastAsia="宋体" w:hint="default"/>
                <w:spacing w:val="-5"/>
                <w:w w:val="101"/>
                <w:sz w:val="18"/>
                <w:szCs w:val="18"/>
              </w:rPr>
              <w:t>有</w:t>
            </w:r>
            <w:r>
              <w:rPr>
                <w:rFonts w:ascii="宋体" w:hAnsi="宋体" w:cs="宋体" w:eastAsia="宋体" w:hint="default"/>
                <w:w w:val="101"/>
                <w:sz w:val="18"/>
                <w:szCs w:val="18"/>
              </w:rPr>
              <w:t>）</w:t>
            </w:r>
            <w:r>
              <w:rPr>
                <w:rFonts w:ascii="宋体" w:hAnsi="宋体" w:cs="宋体" w:eastAsia="宋体" w:hint="default"/>
                <w:sz w:val="18"/>
                <w:szCs w:val="18"/>
              </w:rPr>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653" w:right="5579"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3" w:lineRule="auto" w:before="115"/>
        <w:ind w:left="653" w:right="55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聘请内部控制审计会计师事务所、财务顾问或保荐人情况</w:t>
      </w:r>
    </w:p>
    <w:p>
      <w:pPr>
        <w:spacing w:before="37"/>
        <w:ind w:left="653" w:right="55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left="653" w:right="0"/>
        <w:jc w:val="left"/>
        <w:rPr>
          <w:b w:val="0"/>
          <w:bCs w:val="0"/>
        </w:rPr>
      </w:pPr>
      <w:bookmarkStart w:name="九、年度报告披露后面临暂停上市和终止上市情况" w:id="70"/>
      <w:bookmarkEnd w:id="70"/>
      <w:r>
        <w:rPr>
          <w:b w:val="0"/>
          <w:bCs w:val="0"/>
        </w:rPr>
      </w:r>
      <w:r>
        <w:rPr/>
        <w:t>九、年度报告披露后面临暂停上市和终止上市情况</w:t>
      </w:r>
      <w:r>
        <w:rPr>
          <w:b w:val="0"/>
          <w:bCs w:val="0"/>
        </w:rPr>
      </w:r>
    </w:p>
    <w:p>
      <w:pPr>
        <w:spacing w:line="240" w:lineRule="auto" w:before="8"/>
        <w:rPr>
          <w:rFonts w:ascii="宋体" w:hAnsi="宋体" w:cs="宋体" w:eastAsia="宋体" w:hint="default"/>
          <w:b/>
          <w:bCs/>
          <w:sz w:val="27"/>
          <w:szCs w:val="27"/>
        </w:rPr>
      </w:pPr>
    </w:p>
    <w:p>
      <w:pPr>
        <w:spacing w:before="0"/>
        <w:ind w:left="653" w:right="55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left="653" w:right="5579"/>
        <w:jc w:val="left"/>
        <w:rPr>
          <w:b w:val="0"/>
          <w:bCs w:val="0"/>
        </w:rPr>
      </w:pPr>
      <w:bookmarkStart w:name="十、破产重整相关事项" w:id="71"/>
      <w:bookmarkEnd w:id="71"/>
      <w:r>
        <w:rPr>
          <w:b w:val="0"/>
          <w:bCs w:val="0"/>
        </w:rPr>
      </w:r>
      <w:r>
        <w:rPr/>
        <w:t>十、破产重整相关事项</w:t>
      </w:r>
      <w:r>
        <w:rPr>
          <w:b w:val="0"/>
          <w:bCs w:val="0"/>
        </w:rPr>
      </w:r>
    </w:p>
    <w:p>
      <w:pPr>
        <w:spacing w:line="240" w:lineRule="auto" w:before="3"/>
        <w:rPr>
          <w:rFonts w:ascii="宋体" w:hAnsi="宋体" w:cs="宋体" w:eastAsia="宋体" w:hint="default"/>
          <w:b/>
          <w:bCs/>
          <w:sz w:val="27"/>
          <w:szCs w:val="27"/>
        </w:rPr>
      </w:pPr>
    </w:p>
    <w:p>
      <w:pPr>
        <w:spacing w:line="343" w:lineRule="auto" w:before="0"/>
        <w:ind w:left="653" w:right="650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公司报告期未发生破产重整相关事项。</w:t>
      </w:r>
    </w:p>
    <w:p>
      <w:pPr>
        <w:spacing w:line="240" w:lineRule="auto" w:before="1"/>
        <w:rPr>
          <w:rFonts w:ascii="宋体" w:hAnsi="宋体" w:cs="宋体" w:eastAsia="宋体" w:hint="default"/>
          <w:sz w:val="18"/>
          <w:szCs w:val="18"/>
        </w:rPr>
      </w:pPr>
    </w:p>
    <w:p>
      <w:pPr>
        <w:pStyle w:val="Heading2"/>
        <w:spacing w:line="240" w:lineRule="auto"/>
        <w:ind w:left="653" w:right="5579"/>
        <w:jc w:val="left"/>
        <w:rPr>
          <w:b w:val="0"/>
          <w:bCs w:val="0"/>
        </w:rPr>
      </w:pPr>
      <w:bookmarkStart w:name="十一、重大诉讼、仲裁事项" w:id="72"/>
      <w:bookmarkEnd w:id="72"/>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spacing w:before="0"/>
        <w:ind w:left="653" w:right="55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18"/>
          <w:szCs w:val="18"/>
        </w:rPr>
      </w:pPr>
    </w:p>
    <w:p>
      <w:pPr>
        <w:pStyle w:val="Heading2"/>
        <w:spacing w:line="240" w:lineRule="auto"/>
        <w:ind w:left="1133" w:right="5579"/>
        <w:jc w:val="left"/>
        <w:rPr>
          <w:b w:val="0"/>
          <w:bCs w:val="0"/>
        </w:rPr>
      </w:pPr>
      <w:r>
        <w:rPr/>
        <w:t>（一）已披露的累计诉讼进展情况</w:t>
      </w:r>
      <w:r>
        <w:rPr>
          <w:b w:val="0"/>
          <w:bCs w:val="0"/>
        </w:rPr>
      </w:r>
    </w:p>
    <w:p>
      <w:pPr>
        <w:pStyle w:val="BodyText"/>
        <w:spacing w:line="240" w:lineRule="auto" w:before="194"/>
        <w:ind w:left="1133" w:right="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17</w:t>
      </w:r>
      <w:r>
        <w:rPr>
          <w:spacing w:val="3"/>
        </w:rPr>
        <w:t>日，公司在巨潮资讯网披露了《关于累计诉讼情况的公告》（公告编号：</w:t>
      </w:r>
      <w:r>
        <w:rPr/>
      </w:r>
    </w:p>
    <w:p>
      <w:pPr>
        <w:pStyle w:val="BodyText"/>
        <w:spacing w:line="240" w:lineRule="auto" w:before="138"/>
        <w:ind w:left="653" w:right="0"/>
        <w:jc w:val="left"/>
      </w:pPr>
      <w:r>
        <w:rPr>
          <w:rFonts w:ascii="Times New Roman" w:hAnsi="Times New Roman" w:cs="Times New Roman" w:eastAsia="Times New Roman" w:hint="default"/>
          <w:spacing w:val="12"/>
        </w:rPr>
        <w:t>2019-003</w:t>
      </w:r>
      <w:r>
        <w:rPr>
          <w:spacing w:val="12"/>
        </w:rPr>
        <w:t>），其中涉及的公司及子公司连续十二个月内累计诉讼、仲裁事项金额合计为</w:t>
      </w:r>
    </w:p>
    <w:p>
      <w:pPr>
        <w:pStyle w:val="BodyText"/>
        <w:spacing w:line="340" w:lineRule="auto" w:before="134"/>
        <w:ind w:left="653" w:right="0"/>
        <w:jc w:val="left"/>
      </w:pPr>
      <w:r>
        <w:rPr>
          <w:rFonts w:ascii="Times New Roman" w:hAnsi="Times New Roman" w:cs="Times New Roman" w:eastAsia="Times New Roman" w:hint="default"/>
        </w:rPr>
        <w:t>10,131.42</w:t>
      </w:r>
      <w:r>
        <w:rPr>
          <w:rFonts w:ascii="Times New Roman" w:hAnsi="Times New Roman" w:cs="Times New Roman" w:eastAsia="Times New Roman" w:hint="default"/>
          <w:spacing w:val="26"/>
        </w:rPr>
        <w:t> </w:t>
      </w:r>
      <w:r>
        <w:rPr/>
        <w:t>万元。截至目前，尚未结案（含已起诉待开庭、已开庭待判决、已判决待执行等）</w:t>
      </w:r>
      <w:r>
        <w:rPr>
          <w:spacing w:val="-118"/>
        </w:rPr>
        <w:t> </w:t>
      </w:r>
      <w:r>
        <w:rPr>
          <w:spacing w:val="-118"/>
        </w:rPr>
      </w:r>
      <w:r>
        <w:rPr/>
        <w:t>的诉讼金额约为</w:t>
      </w:r>
      <w:r>
        <w:rPr>
          <w:rFonts w:ascii="Times New Roman" w:hAnsi="Times New Roman" w:cs="Times New Roman" w:eastAsia="Times New Roman" w:hint="default"/>
        </w:rPr>
        <w:t>1,493.31</w:t>
      </w:r>
      <w:r>
        <w:rPr/>
        <w:t>万元，不存在形成预计负债的情况。具体情况如下：</w:t>
      </w:r>
    </w:p>
    <w:tbl>
      <w:tblPr>
        <w:tblW w:w="0" w:type="auto"/>
        <w:jc w:val="left"/>
        <w:tblInd w:w="105" w:type="dxa"/>
        <w:tblLayout w:type="fixed"/>
        <w:tblCellMar>
          <w:top w:w="0" w:type="dxa"/>
          <w:left w:w="0" w:type="dxa"/>
          <w:bottom w:w="0" w:type="dxa"/>
          <w:right w:w="0" w:type="dxa"/>
        </w:tblCellMar>
        <w:tblLook w:val="01E0"/>
      </w:tblPr>
      <w:tblGrid>
        <w:gridCol w:w="480"/>
        <w:gridCol w:w="1081"/>
        <w:gridCol w:w="1080"/>
        <w:gridCol w:w="1080"/>
        <w:gridCol w:w="1081"/>
        <w:gridCol w:w="1080"/>
        <w:gridCol w:w="1080"/>
        <w:gridCol w:w="1081"/>
        <w:gridCol w:w="2684"/>
      </w:tblGrid>
      <w:tr>
        <w:trPr>
          <w:trHeight w:val="734" w:hRule="exact"/>
        </w:trPr>
        <w:tc>
          <w:tcPr>
            <w:tcW w:w="4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1" w:lineRule="auto" w:before="63"/>
              <w:ind w:left="149" w:right="137"/>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88"/>
                <w:sz w:val="18"/>
                <w:szCs w:val="18"/>
              </w:rPr>
              <w:t> </w:t>
            </w:r>
            <w:r>
              <w:rPr>
                <w:rFonts w:ascii="宋体" w:hAnsi="宋体" w:cs="宋体" w:eastAsia="宋体" w:hint="default"/>
                <w:sz w:val="18"/>
                <w:szCs w:val="18"/>
              </w:rPr>
              <w:t>号</w:t>
            </w:r>
          </w:p>
        </w:tc>
        <w:tc>
          <w:tcPr>
            <w:tcW w:w="10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案号</w:t>
            </w:r>
          </w:p>
        </w:tc>
        <w:tc>
          <w:tcPr>
            <w:tcW w:w="10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起诉方</w:t>
            </w:r>
          </w:p>
        </w:tc>
        <w:tc>
          <w:tcPr>
            <w:tcW w:w="10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被起诉方</w:t>
            </w:r>
          </w:p>
        </w:tc>
        <w:tc>
          <w:tcPr>
            <w:tcW w:w="10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10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3"/>
              <w:ind w:left="17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81"/>
              <w:ind w:left="17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8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1" w:lineRule="auto" w:before="63"/>
              <w:ind w:left="177" w:right="166"/>
              <w:jc w:val="left"/>
              <w:rPr>
                <w:rFonts w:ascii="宋体" w:hAnsi="宋体" w:cs="宋体" w:eastAsia="宋体" w:hint="default"/>
                <w:sz w:val="18"/>
                <w:szCs w:val="18"/>
              </w:rPr>
            </w:pPr>
            <w:r>
              <w:rPr>
                <w:rFonts w:ascii="宋体" w:hAnsi="宋体" w:cs="宋体" w:eastAsia="宋体" w:hint="default"/>
                <w:sz w:val="18"/>
                <w:szCs w:val="18"/>
              </w:rPr>
              <w:t>是否形成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预计负债</w:t>
            </w:r>
          </w:p>
        </w:tc>
        <w:tc>
          <w:tcPr>
            <w:tcW w:w="108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当前状态</w:t>
            </w:r>
          </w:p>
        </w:tc>
        <w:tc>
          <w:tcPr>
            <w:tcW w:w="268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pacing w:val="-3"/>
                <w:sz w:val="18"/>
                <w:szCs w:val="18"/>
              </w:rPr>
              <w:t>截至本公告披露日最新进展</w:t>
            </w:r>
          </w:p>
        </w:tc>
      </w:tr>
      <w:tr>
        <w:trPr>
          <w:trHeight w:val="1652" w:hRule="exact"/>
        </w:trPr>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5"/>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2018</w:t>
            </w:r>
            <w:r>
              <w:rPr>
                <w:rFonts w:ascii="宋体" w:hAnsi="宋体" w:cs="宋体" w:eastAsia="宋体" w:hint="default"/>
                <w:spacing w:val="-12"/>
                <w:sz w:val="18"/>
                <w:szCs w:val="18"/>
              </w:rPr>
              <w:t>）京</w:t>
            </w:r>
            <w:r>
              <w:rPr>
                <w:rFonts w:ascii="宋体" w:hAnsi="宋体" w:cs="宋体" w:eastAsia="宋体" w:hint="default"/>
                <w:sz w:val="18"/>
                <w:szCs w:val="18"/>
              </w:rPr>
            </w:r>
          </w:p>
          <w:p>
            <w:pPr>
              <w:pStyle w:val="TableParagraph"/>
              <w:spacing w:line="240" w:lineRule="auto" w:before="58"/>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0105</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民初</w:t>
            </w:r>
            <w:r>
              <w:rPr>
                <w:rFonts w:ascii="宋体" w:hAnsi="宋体" w:cs="宋体" w:eastAsia="宋体" w:hint="default"/>
                <w:sz w:val="18"/>
                <w:szCs w:val="18"/>
              </w:rPr>
            </w:r>
          </w:p>
          <w:p>
            <w:pPr>
              <w:pStyle w:val="TableParagraph"/>
              <w:spacing w:line="240" w:lineRule="auto" w:before="67"/>
              <w:ind w:left="1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59947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依米康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37"/>
              <w:jc w:val="both"/>
              <w:rPr>
                <w:rFonts w:ascii="宋体" w:hAnsi="宋体" w:cs="宋体" w:eastAsia="宋体" w:hint="default"/>
                <w:sz w:val="18"/>
                <w:szCs w:val="18"/>
              </w:rPr>
            </w:pPr>
            <w:r>
              <w:rPr>
                <w:rFonts w:ascii="宋体" w:hAnsi="宋体" w:cs="宋体" w:eastAsia="宋体" w:hint="default"/>
                <w:sz w:val="18"/>
                <w:szCs w:val="18"/>
              </w:rPr>
              <w:t>北京中交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网通信息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6" w:right="237"/>
              <w:jc w:val="both"/>
              <w:rPr>
                <w:rFonts w:ascii="宋体" w:hAnsi="宋体" w:cs="宋体" w:eastAsia="宋体" w:hint="default"/>
                <w:sz w:val="18"/>
                <w:szCs w:val="18"/>
              </w:rPr>
            </w:pPr>
            <w:r>
              <w:rPr>
                <w:rFonts w:ascii="宋体" w:hAnsi="宋体" w:cs="宋体" w:eastAsia="宋体" w:hint="default"/>
                <w:sz w:val="18"/>
                <w:szCs w:val="18"/>
              </w:rPr>
              <w:t>与项目投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标及实施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有关的咨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询服务合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同纠纷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441"/>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未结案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105" w:right="99"/>
              <w:jc w:val="left"/>
              <w:rPr>
                <w:rFonts w:ascii="宋体" w:hAnsi="宋体" w:cs="宋体" w:eastAsia="宋体" w:hint="default"/>
                <w:sz w:val="18"/>
                <w:szCs w:val="18"/>
              </w:rPr>
            </w:pPr>
            <w:r>
              <w:rPr>
                <w:rFonts w:ascii="宋体" w:hAnsi="宋体" w:cs="宋体" w:eastAsia="宋体" w:hint="default"/>
                <w:spacing w:val="5"/>
                <w:sz w:val="18"/>
                <w:szCs w:val="18"/>
              </w:rPr>
              <w:t>因被执行人暂无可供执行的财</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7"/>
                <w:sz w:val="18"/>
                <w:szCs w:val="18"/>
              </w:rPr>
              <w:t>产，北京市平谷区人民法院作出</w:t>
            </w:r>
          </w:p>
          <w:p>
            <w:pPr>
              <w:pStyle w:val="TableParagraph"/>
              <w:spacing w:line="304" w:lineRule="auto" w:before="22"/>
              <w:ind w:left="105" w:right="4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）执</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542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号执行裁定书，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裁定终结本次执行。</w:t>
            </w:r>
          </w:p>
        </w:tc>
      </w:tr>
      <w:tr>
        <w:trPr>
          <w:trHeight w:val="1076" w:hRule="exact"/>
        </w:trPr>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85"/>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center"/>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2018</w:t>
            </w:r>
            <w:r>
              <w:rPr>
                <w:rFonts w:ascii="宋体" w:hAnsi="宋体" w:cs="宋体" w:eastAsia="宋体" w:hint="default"/>
                <w:spacing w:val="-12"/>
                <w:sz w:val="18"/>
                <w:szCs w:val="18"/>
              </w:rPr>
              <w:t>）鲁</w:t>
            </w:r>
            <w:r>
              <w:rPr>
                <w:rFonts w:ascii="宋体" w:hAnsi="宋体" w:cs="宋体" w:eastAsia="宋体" w:hint="default"/>
                <w:sz w:val="18"/>
                <w:szCs w:val="18"/>
              </w:rPr>
            </w:r>
          </w:p>
          <w:p>
            <w:pPr>
              <w:pStyle w:val="TableParagraph"/>
              <w:spacing w:line="240" w:lineRule="auto" w:before="6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0306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民初</w:t>
            </w:r>
            <w:r>
              <w:rPr>
                <w:rFonts w:ascii="宋体" w:hAnsi="宋体" w:cs="宋体" w:eastAsia="宋体" w:hint="default"/>
                <w:sz w:val="18"/>
                <w:szCs w:val="18"/>
              </w:rPr>
            </w:r>
          </w:p>
          <w:p>
            <w:pPr>
              <w:pStyle w:val="TableParagraph"/>
              <w:spacing w:line="240" w:lineRule="auto" w:before="6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649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 w:right="0"/>
              <w:jc w:val="center"/>
              <w:rPr>
                <w:rFonts w:ascii="宋体" w:hAnsi="宋体" w:cs="宋体" w:eastAsia="宋体" w:hint="default"/>
                <w:sz w:val="18"/>
                <w:szCs w:val="18"/>
              </w:rPr>
            </w:pPr>
            <w:r>
              <w:rPr>
                <w:rFonts w:ascii="宋体" w:hAnsi="宋体" w:cs="宋体" w:eastAsia="宋体" w:hint="default"/>
                <w:sz w:val="18"/>
                <w:szCs w:val="18"/>
              </w:rPr>
              <w:t>智能工程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2"/>
              <w:ind w:left="105" w:right="237"/>
              <w:jc w:val="both"/>
              <w:rPr>
                <w:rFonts w:ascii="宋体" w:hAnsi="宋体" w:cs="宋体" w:eastAsia="宋体" w:hint="default"/>
                <w:sz w:val="18"/>
                <w:szCs w:val="18"/>
              </w:rPr>
            </w:pPr>
            <w:r>
              <w:rPr>
                <w:rFonts w:ascii="宋体" w:hAnsi="宋体" w:cs="宋体" w:eastAsia="宋体" w:hint="default"/>
                <w:sz w:val="18"/>
                <w:szCs w:val="18"/>
              </w:rPr>
              <w:t>北京德生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尚誉健康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科技产业</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2"/>
              <w:ind w:left="106" w:right="237"/>
              <w:jc w:val="both"/>
              <w:rPr>
                <w:rFonts w:ascii="宋体" w:hAnsi="宋体" w:cs="宋体" w:eastAsia="宋体" w:hint="default"/>
                <w:sz w:val="18"/>
                <w:szCs w:val="18"/>
              </w:rPr>
            </w:pPr>
            <w:r>
              <w:rPr>
                <w:rFonts w:ascii="宋体" w:hAnsi="宋体" w:cs="宋体" w:eastAsia="宋体" w:hint="default"/>
                <w:sz w:val="18"/>
                <w:szCs w:val="18"/>
              </w:rPr>
              <w:t>与投标保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证金逾期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未退还有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430.08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441"/>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 w:right="0"/>
              <w:jc w:val="center"/>
              <w:rPr>
                <w:rFonts w:ascii="宋体" w:hAnsi="宋体" w:cs="宋体" w:eastAsia="宋体" w:hint="default"/>
                <w:sz w:val="18"/>
                <w:szCs w:val="18"/>
              </w:rPr>
            </w:pPr>
            <w:r>
              <w:rPr>
                <w:rFonts w:ascii="宋体" w:hAnsi="宋体" w:cs="宋体" w:eastAsia="宋体" w:hint="default"/>
                <w:sz w:val="18"/>
                <w:szCs w:val="18"/>
              </w:rPr>
              <w:t>未结案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2"/>
              <w:ind w:left="105"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3"/>
                <w:sz w:val="18"/>
                <w:szCs w:val="18"/>
              </w:rPr>
              <w:t> </w:t>
            </w:r>
            <w:r>
              <w:rPr>
                <w:rFonts w:ascii="宋体" w:hAnsi="宋体" w:cs="宋体" w:eastAsia="宋体" w:hint="default"/>
                <w:spacing w:val="-3"/>
                <w:sz w:val="18"/>
                <w:szCs w:val="18"/>
              </w:rPr>
              <w:t>月法院作出判决，我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方胜诉，判决被告退还保证金</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万元，支付设计费 </w:t>
            </w:r>
            <w:r>
              <w:rPr>
                <w:rFonts w:ascii="Times New Roman" w:hAnsi="Times New Roman" w:cs="Times New Roman" w:eastAsia="Times New Roman" w:hint="default"/>
                <w:sz w:val="18"/>
                <w:szCs w:val="18"/>
              </w:rPr>
              <w:t>152.4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w:t>
            </w:r>
          </w:p>
        </w:tc>
      </w:tr>
    </w:tbl>
    <w:p>
      <w:pPr>
        <w:spacing w:after="0" w:line="307" w:lineRule="auto"/>
        <w:jc w:val="both"/>
        <w:rPr>
          <w:rFonts w:ascii="宋体" w:hAnsi="宋体" w:cs="宋体" w:eastAsia="宋体" w:hint="default"/>
          <w:sz w:val="18"/>
          <w:szCs w:val="18"/>
        </w:rPr>
        <w:sectPr>
          <w:pgSz w:w="11910" w:h="16840"/>
          <w:pgMar w:header="863" w:footer="979" w:top="1060" w:bottom="1160" w:left="480" w:right="0"/>
        </w:sectPr>
      </w:pPr>
    </w:p>
    <w:p>
      <w:pPr>
        <w:spacing w:line="240" w:lineRule="auto" w:before="11"/>
        <w:rPr>
          <w:rFonts w:ascii="宋体" w:hAnsi="宋体" w:cs="宋体" w:eastAsia="宋体" w:hint="default"/>
          <w:sz w:val="28"/>
          <w:szCs w:val="28"/>
        </w:rPr>
      </w:pPr>
    </w:p>
    <w:tbl>
      <w:tblPr>
        <w:tblW w:w="0" w:type="auto"/>
        <w:jc w:val="left"/>
        <w:tblInd w:w="125" w:type="dxa"/>
        <w:tblLayout w:type="fixed"/>
        <w:tblCellMar>
          <w:top w:w="0" w:type="dxa"/>
          <w:left w:w="0" w:type="dxa"/>
          <w:bottom w:w="0" w:type="dxa"/>
          <w:right w:w="0" w:type="dxa"/>
        </w:tblCellMar>
        <w:tblLook w:val="01E0"/>
      </w:tblPr>
      <w:tblGrid>
        <w:gridCol w:w="480"/>
        <w:gridCol w:w="1081"/>
        <w:gridCol w:w="1080"/>
        <w:gridCol w:w="1080"/>
        <w:gridCol w:w="1081"/>
        <w:gridCol w:w="1080"/>
        <w:gridCol w:w="1080"/>
        <w:gridCol w:w="1081"/>
        <w:gridCol w:w="2684"/>
      </w:tblGrid>
      <w:tr>
        <w:trPr>
          <w:trHeight w:val="1609" w:hRule="exact"/>
        </w:trPr>
        <w:tc>
          <w:tcPr>
            <w:tcW w:w="4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146"/>
              <w:jc w:val="left"/>
              <w:rPr>
                <w:rFonts w:ascii="宋体" w:hAnsi="宋体" w:cs="宋体" w:eastAsia="宋体" w:hint="default"/>
                <w:sz w:val="18"/>
                <w:szCs w:val="18"/>
              </w:rPr>
            </w:pPr>
            <w:r>
              <w:rPr>
                <w:rFonts w:ascii="宋体" w:hAnsi="宋体" w:cs="宋体" w:eastAsia="宋体" w:hint="default"/>
                <w:sz w:val="18"/>
                <w:szCs w:val="18"/>
              </w:rPr>
              <w:t>集团有限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r>
              <w:rPr>
                <w:rFonts w:ascii="宋体" w:hAnsi="宋体" w:cs="宋体" w:eastAsia="宋体" w:hint="default"/>
                <w:spacing w:val="4"/>
                <w:sz w:val="18"/>
                <w:szCs w:val="18"/>
              </w:rPr>
              <w:t> </w:t>
            </w:r>
            <w:r>
              <w:rPr>
                <w:rFonts w:ascii="宋体" w:hAnsi="宋体" w:cs="宋体" w:eastAsia="宋体" w:hint="default"/>
                <w:sz w:val="18"/>
                <w:szCs w:val="18"/>
              </w:rPr>
              <w:t>、淄</w:t>
            </w:r>
            <w:r>
              <w:rPr>
                <w:rFonts w:ascii="宋体" w:hAnsi="宋体" w:cs="宋体" w:eastAsia="宋体" w:hint="default"/>
                <w:w w:val="101"/>
                <w:sz w:val="18"/>
                <w:szCs w:val="18"/>
              </w:rPr>
              <w:t> </w:t>
            </w:r>
            <w:r>
              <w:rPr>
                <w:rFonts w:ascii="宋体" w:hAnsi="宋体" w:cs="宋体" w:eastAsia="宋体" w:hint="default"/>
                <w:sz w:val="18"/>
                <w:szCs w:val="18"/>
              </w:rPr>
              <w:t>博德生医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院管理有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6" w:right="237"/>
              <w:jc w:val="both"/>
              <w:rPr>
                <w:rFonts w:ascii="宋体" w:hAnsi="宋体" w:cs="宋体" w:eastAsia="宋体" w:hint="default"/>
                <w:sz w:val="18"/>
                <w:szCs w:val="18"/>
              </w:rPr>
            </w:pPr>
            <w:r>
              <w:rPr>
                <w:rFonts w:ascii="宋体" w:hAnsi="宋体" w:cs="宋体" w:eastAsia="宋体" w:hint="default"/>
                <w:sz w:val="18"/>
                <w:szCs w:val="18"/>
              </w:rPr>
              <w:t>关的建设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工程合同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纠纷</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5" w:right="7"/>
              <w:jc w:val="left"/>
              <w:rPr>
                <w:rFonts w:ascii="宋体" w:hAnsi="宋体" w:cs="宋体" w:eastAsia="宋体" w:hint="default"/>
                <w:sz w:val="18"/>
                <w:szCs w:val="18"/>
              </w:rPr>
            </w:pP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日向法院申请强制执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行，因被执行人名下无可执行的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19"/>
                <w:w w:val="101"/>
                <w:sz w:val="18"/>
                <w:szCs w:val="18"/>
              </w:rPr>
              <w:t>财产，</w:t>
            </w:r>
            <w:r>
              <w:rPr>
                <w:rFonts w:ascii="Times New Roman" w:hAnsi="Times New Roman" w:cs="Times New Roman" w:eastAsia="Times New Roman" w:hint="default"/>
                <w:spacing w:val="-19"/>
                <w:w w:val="101"/>
                <w:sz w:val="18"/>
                <w:szCs w:val="18"/>
              </w:rPr>
              <w:t>12</w:t>
            </w:r>
            <w:r>
              <w:rPr>
                <w:rFonts w:ascii="Times New Roman" w:hAnsi="Times New Roman" w:cs="Times New Roman" w:eastAsia="Times New Roman" w:hint="default"/>
                <w:spacing w:val="-7"/>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spacing w:val="-3"/>
                <w:w w:val="101"/>
                <w:sz w:val="18"/>
                <w:szCs w:val="18"/>
              </w:rPr>
              <w:t>18</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3"/>
                <w:w w:val="101"/>
                <w:sz w:val="18"/>
                <w:szCs w:val="18"/>
              </w:rPr>
              <w:t>日终止本次执行，</w:t>
            </w:r>
            <w:r>
              <w:rPr>
                <w:rFonts w:ascii="宋体" w:hAnsi="宋体" w:cs="宋体" w:eastAsia="宋体" w:hint="default"/>
                <w:w w:val="101"/>
                <w:sz w:val="18"/>
                <w:szCs w:val="18"/>
              </w:rPr>
              <w:t> </w:t>
            </w:r>
            <w:r>
              <w:rPr>
                <w:rFonts w:ascii="宋体" w:hAnsi="宋体" w:cs="宋体" w:eastAsia="宋体" w:hint="default"/>
                <w:spacing w:val="5"/>
                <w:sz w:val="18"/>
                <w:szCs w:val="18"/>
              </w:rPr>
              <w:t>正在向法院申请追加其他股东</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为被执行人。</w:t>
            </w:r>
          </w:p>
        </w:tc>
      </w:tr>
      <w:tr>
        <w:trPr>
          <w:trHeight w:val="1964" w:hRule="exact"/>
        </w:trPr>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5"/>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2018</w:t>
            </w:r>
            <w:r>
              <w:rPr>
                <w:rFonts w:ascii="宋体" w:hAnsi="宋体" w:cs="宋体" w:eastAsia="宋体" w:hint="default"/>
                <w:spacing w:val="-12"/>
                <w:sz w:val="18"/>
                <w:szCs w:val="18"/>
              </w:rPr>
              <w:t>）桂</w:t>
            </w:r>
            <w:r>
              <w:rPr>
                <w:rFonts w:ascii="宋体" w:hAnsi="宋体" w:cs="宋体" w:eastAsia="宋体" w:hint="default"/>
                <w:sz w:val="18"/>
                <w:szCs w:val="18"/>
              </w:rPr>
            </w:r>
          </w:p>
          <w:p>
            <w:pPr>
              <w:pStyle w:val="TableParagraph"/>
              <w:spacing w:line="240" w:lineRule="auto" w:before="58"/>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0105</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民初</w:t>
            </w:r>
            <w:r>
              <w:rPr>
                <w:rFonts w:ascii="宋体" w:hAnsi="宋体" w:cs="宋体" w:eastAsia="宋体" w:hint="default"/>
                <w:sz w:val="18"/>
                <w:szCs w:val="18"/>
              </w:rPr>
            </w:r>
          </w:p>
          <w:p>
            <w:pPr>
              <w:pStyle w:val="TableParagraph"/>
              <w:spacing w:line="240" w:lineRule="auto" w:before="6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3697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9" w:right="0"/>
              <w:jc w:val="center"/>
              <w:rPr>
                <w:rFonts w:ascii="宋体" w:hAnsi="宋体" w:cs="宋体" w:eastAsia="宋体" w:hint="default"/>
                <w:sz w:val="18"/>
                <w:szCs w:val="18"/>
              </w:rPr>
            </w:pPr>
            <w:r>
              <w:rPr>
                <w:rFonts w:ascii="宋体" w:hAnsi="宋体" w:cs="宋体" w:eastAsia="宋体" w:hint="default"/>
                <w:sz w:val="18"/>
                <w:szCs w:val="18"/>
              </w:rPr>
              <w:t>智能工程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237"/>
              <w:jc w:val="both"/>
              <w:rPr>
                <w:rFonts w:ascii="宋体" w:hAnsi="宋体" w:cs="宋体" w:eastAsia="宋体" w:hint="default"/>
                <w:sz w:val="18"/>
                <w:szCs w:val="18"/>
              </w:rPr>
            </w:pPr>
            <w:r>
              <w:rPr>
                <w:rFonts w:ascii="宋体" w:hAnsi="宋体" w:cs="宋体" w:eastAsia="宋体" w:hint="default"/>
                <w:sz w:val="18"/>
                <w:szCs w:val="18"/>
              </w:rPr>
              <w:t>南宁海王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健康生物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6" w:right="237"/>
              <w:jc w:val="both"/>
              <w:rPr>
                <w:rFonts w:ascii="宋体" w:hAnsi="宋体" w:cs="宋体" w:eastAsia="宋体" w:hint="default"/>
                <w:sz w:val="18"/>
                <w:szCs w:val="18"/>
              </w:rPr>
            </w:pPr>
            <w:r>
              <w:rPr>
                <w:rFonts w:ascii="宋体" w:hAnsi="宋体" w:cs="宋体" w:eastAsia="宋体" w:hint="default"/>
                <w:sz w:val="18"/>
                <w:szCs w:val="18"/>
              </w:rPr>
              <w:t>与工程完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工结算有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关的建筑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工程施工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合同纠纷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280.45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41"/>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57"/>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105" w:right="99"/>
              <w:jc w:val="both"/>
              <w:rPr>
                <w:rFonts w:ascii="宋体" w:hAnsi="宋体" w:cs="宋体" w:eastAsia="宋体" w:hint="default"/>
                <w:sz w:val="18"/>
                <w:szCs w:val="18"/>
              </w:rPr>
            </w:pPr>
            <w:r>
              <w:rPr>
                <w:rFonts w:ascii="宋体" w:hAnsi="宋体" w:cs="宋体" w:eastAsia="宋体" w:hint="default"/>
                <w:sz w:val="18"/>
                <w:szCs w:val="18"/>
              </w:rPr>
              <w:t>一审判决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日作</w:t>
            </w:r>
            <w:r>
              <w:rPr>
                <w:rFonts w:ascii="宋体" w:hAnsi="宋体" w:cs="宋体" w:eastAsia="宋体" w:hint="default"/>
                <w:spacing w:val="-86"/>
                <w:sz w:val="18"/>
                <w:szCs w:val="18"/>
              </w:rPr>
              <w:t> </w:t>
            </w:r>
            <w:r>
              <w:rPr>
                <w:rFonts w:ascii="宋体" w:hAnsi="宋体" w:cs="宋体" w:eastAsia="宋体" w:hint="default"/>
                <w:spacing w:val="-7"/>
                <w:sz w:val="18"/>
                <w:szCs w:val="18"/>
              </w:rPr>
              <w:t>出，我方胜诉，被告应支付工程</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款</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1,650,260.97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元及违约金</w:t>
            </w:r>
          </w:p>
          <w:p>
            <w:pPr>
              <w:pStyle w:val="TableParagraph"/>
              <w:spacing w:line="240" w:lineRule="auto" w:before="5"/>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754,287.1 </w:t>
            </w:r>
            <w:r>
              <w:rPr>
                <w:rFonts w:ascii="宋体" w:hAnsi="宋体" w:cs="宋体" w:eastAsia="宋体" w:hint="default"/>
                <w:spacing w:val="-5"/>
                <w:sz w:val="18"/>
                <w:szCs w:val="18"/>
              </w:rPr>
              <w:t>元。南宁海王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304" w:lineRule="auto" w:before="63"/>
              <w:ind w:left="105" w:right="17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日提起上诉，等待二审</w:t>
            </w:r>
            <w:r>
              <w:rPr>
                <w:rFonts w:ascii="宋体" w:hAnsi="宋体" w:cs="宋体" w:eastAsia="宋体" w:hint="default"/>
                <w:w w:val="101"/>
                <w:sz w:val="18"/>
                <w:szCs w:val="18"/>
              </w:rPr>
              <w:t> </w:t>
            </w:r>
            <w:r>
              <w:rPr>
                <w:rFonts w:ascii="宋体" w:hAnsi="宋体" w:cs="宋体" w:eastAsia="宋体" w:hint="default"/>
                <w:sz w:val="18"/>
                <w:szCs w:val="18"/>
              </w:rPr>
              <w:t>开庭。</w:t>
            </w:r>
          </w:p>
        </w:tc>
      </w:tr>
      <w:tr>
        <w:trPr>
          <w:trHeight w:val="2588" w:hRule="exact"/>
        </w:trPr>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5"/>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center"/>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2018</w:t>
            </w:r>
            <w:r>
              <w:rPr>
                <w:rFonts w:ascii="宋体" w:hAnsi="宋体" w:cs="宋体" w:eastAsia="宋体" w:hint="default"/>
                <w:spacing w:val="-12"/>
                <w:sz w:val="18"/>
                <w:szCs w:val="18"/>
              </w:rPr>
              <w:t>）吉</w:t>
            </w:r>
            <w:r>
              <w:rPr>
                <w:rFonts w:ascii="宋体" w:hAnsi="宋体" w:cs="宋体" w:eastAsia="宋体" w:hint="default"/>
                <w:sz w:val="18"/>
                <w:szCs w:val="18"/>
              </w:rPr>
            </w:r>
          </w:p>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0221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民初</w:t>
            </w:r>
            <w:r>
              <w:rPr>
                <w:rFonts w:ascii="宋体" w:hAnsi="宋体" w:cs="宋体" w:eastAsia="宋体" w:hint="default"/>
                <w:sz w:val="18"/>
                <w:szCs w:val="18"/>
              </w:rPr>
            </w:r>
          </w:p>
          <w:p>
            <w:pPr>
              <w:pStyle w:val="TableParagraph"/>
              <w:spacing w:line="240" w:lineRule="auto" w:before="6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757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智能工程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237"/>
              <w:jc w:val="both"/>
              <w:rPr>
                <w:rFonts w:ascii="宋体" w:hAnsi="宋体" w:cs="宋体" w:eastAsia="宋体" w:hint="default"/>
                <w:sz w:val="18"/>
                <w:szCs w:val="18"/>
              </w:rPr>
            </w:pPr>
            <w:r>
              <w:rPr>
                <w:rFonts w:ascii="宋体" w:hAnsi="宋体" w:cs="宋体" w:eastAsia="宋体" w:hint="default"/>
                <w:sz w:val="18"/>
                <w:szCs w:val="18"/>
              </w:rPr>
              <w:t>吉林海王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健康生物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科技有限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06" w:right="237"/>
              <w:jc w:val="both"/>
              <w:rPr>
                <w:rFonts w:ascii="宋体" w:hAnsi="宋体" w:cs="宋体" w:eastAsia="宋体" w:hint="default"/>
                <w:sz w:val="18"/>
                <w:szCs w:val="18"/>
              </w:rPr>
            </w:pPr>
            <w:r>
              <w:rPr>
                <w:rFonts w:ascii="宋体" w:hAnsi="宋体" w:cs="宋体" w:eastAsia="宋体" w:hint="default"/>
                <w:sz w:val="18"/>
                <w:szCs w:val="18"/>
              </w:rPr>
              <w:t>与工程完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工结算有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关的建设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工程施工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合同纠纷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404.78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41"/>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41"/>
              <w:jc w:val="both"/>
              <w:rPr>
                <w:rFonts w:ascii="宋体" w:hAnsi="宋体" w:cs="宋体" w:eastAsia="宋体" w:hint="default"/>
                <w:sz w:val="18"/>
                <w:szCs w:val="18"/>
              </w:rPr>
            </w:pPr>
            <w:r>
              <w:rPr>
                <w:rFonts w:ascii="宋体" w:hAnsi="宋体" w:cs="宋体" w:eastAsia="宋体" w:hint="default"/>
                <w:sz w:val="18"/>
                <w:szCs w:val="18"/>
              </w:rPr>
              <w:t>法院于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日作出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判决，判决被告支付工程款保修</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977,353.5</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元，我方需要先提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7"/>
                <w:sz w:val="18"/>
                <w:szCs w:val="18"/>
              </w:rPr>
              <w:t>交钥匙、密码、检测报告。我方</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日提起上诉，请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求二审法院改判支持我方诉请，</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7"/>
                <w:sz w:val="18"/>
                <w:szCs w:val="18"/>
              </w:rPr>
              <w:t>驳回被告反诉诉请，等待二审开</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庭。</w:t>
            </w:r>
          </w:p>
        </w:tc>
      </w:tr>
      <w:tr>
        <w:trPr>
          <w:trHeight w:val="1964" w:hRule="exact"/>
        </w:trPr>
        <w:tc>
          <w:tcPr>
            <w:tcW w:w="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5"/>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2018</w:t>
            </w:r>
            <w:r>
              <w:rPr>
                <w:rFonts w:ascii="宋体" w:hAnsi="宋体" w:cs="宋体" w:eastAsia="宋体" w:hint="default"/>
                <w:spacing w:val="-12"/>
                <w:sz w:val="18"/>
                <w:szCs w:val="18"/>
              </w:rPr>
              <w:t>）云</w:t>
            </w:r>
            <w:r>
              <w:rPr>
                <w:rFonts w:ascii="宋体" w:hAnsi="宋体" w:cs="宋体" w:eastAsia="宋体" w:hint="default"/>
                <w:sz w:val="18"/>
                <w:szCs w:val="18"/>
              </w:rPr>
            </w:r>
          </w:p>
          <w:p>
            <w:pPr>
              <w:pStyle w:val="TableParagraph"/>
              <w:spacing w:line="240" w:lineRule="auto" w:before="63"/>
              <w:ind w:left="1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0402</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民初</w:t>
            </w:r>
            <w:r>
              <w:rPr>
                <w:rFonts w:ascii="宋体" w:hAnsi="宋体" w:cs="宋体" w:eastAsia="宋体" w:hint="default"/>
                <w:sz w:val="18"/>
                <w:szCs w:val="18"/>
              </w:rPr>
            </w:r>
          </w:p>
          <w:p>
            <w:pPr>
              <w:pStyle w:val="TableParagraph"/>
              <w:spacing w:line="240" w:lineRule="auto" w:before="67"/>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3969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 w:right="0"/>
              <w:jc w:val="center"/>
              <w:rPr>
                <w:rFonts w:ascii="宋体" w:hAnsi="宋体" w:cs="宋体" w:eastAsia="宋体" w:hint="default"/>
                <w:sz w:val="18"/>
                <w:szCs w:val="18"/>
              </w:rPr>
            </w:pPr>
            <w:r>
              <w:rPr>
                <w:rFonts w:ascii="宋体" w:hAnsi="宋体" w:cs="宋体" w:eastAsia="宋体" w:hint="default"/>
                <w:sz w:val="18"/>
                <w:szCs w:val="18"/>
              </w:rPr>
              <w:t>智能工程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姚东</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6" w:right="237"/>
              <w:jc w:val="both"/>
              <w:rPr>
                <w:rFonts w:ascii="宋体" w:hAnsi="宋体" w:cs="宋体" w:eastAsia="宋体" w:hint="default"/>
                <w:sz w:val="18"/>
                <w:szCs w:val="18"/>
              </w:rPr>
            </w:pPr>
            <w:r>
              <w:rPr>
                <w:rFonts w:ascii="宋体" w:hAnsi="宋体" w:cs="宋体" w:eastAsia="宋体" w:hint="default"/>
                <w:sz w:val="18"/>
                <w:szCs w:val="18"/>
              </w:rPr>
              <w:t>因住房建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设项目装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饰装修工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程形成的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民间借贷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纠纷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328.00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441"/>
              <w:jc w:val="righ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57"/>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法院于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日开庭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7"/>
                <w:sz w:val="18"/>
                <w:szCs w:val="18"/>
              </w:rPr>
              <w:t>审理，调解结案，双方已签署和</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7"/>
                <w:sz w:val="18"/>
                <w:szCs w:val="18"/>
              </w:rPr>
              <w:t>解协议，被告自愿偿还我方欠款</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Times New Roman" w:hAnsi="Times New Roman" w:cs="Times New Roman" w:eastAsia="Times New Roman" w:hint="default"/>
                <w:sz w:val="18"/>
                <w:szCs w:val="18"/>
              </w:rPr>
              <w:t>328</w:t>
            </w:r>
            <w:r>
              <w:rPr>
                <w:rFonts w:ascii="Times New Roman" w:hAnsi="Times New Roman" w:cs="Times New Roman" w:eastAsia="Times New Roman" w:hint="default"/>
                <w:spacing w:val="28"/>
                <w:sz w:val="18"/>
                <w:szCs w:val="18"/>
              </w:rPr>
              <w:t> </w:t>
            </w:r>
            <w:r>
              <w:rPr>
                <w:rFonts w:ascii="宋体" w:hAnsi="宋体" w:cs="宋体" w:eastAsia="宋体" w:hint="default"/>
                <w:spacing w:val="-4"/>
                <w:sz w:val="18"/>
                <w:szCs w:val="18"/>
              </w:rPr>
              <w:t>万元，我方申请法院强制执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行，因对方名下无可执行的财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产，已终止本次执行。</w:t>
            </w:r>
          </w:p>
        </w:tc>
      </w:tr>
    </w:tbl>
    <w:p>
      <w:pPr>
        <w:spacing w:line="240" w:lineRule="auto" w:before="4"/>
        <w:rPr>
          <w:rFonts w:ascii="宋体" w:hAnsi="宋体" w:cs="宋体" w:eastAsia="宋体" w:hint="default"/>
          <w:sz w:val="13"/>
          <w:szCs w:val="13"/>
        </w:rPr>
      </w:pPr>
    </w:p>
    <w:p>
      <w:pPr>
        <w:pStyle w:val="Heading2"/>
        <w:spacing w:line="240" w:lineRule="auto" w:before="26"/>
        <w:ind w:left="1153" w:right="0"/>
        <w:jc w:val="left"/>
        <w:rPr>
          <w:b w:val="0"/>
          <w:bCs w:val="0"/>
        </w:rPr>
      </w:pPr>
      <w:r>
        <w:rPr/>
        <w:t>（二）上一年度定期报告已披露的诉讼进展情况</w:t>
      </w:r>
      <w:r>
        <w:rPr>
          <w:b w:val="0"/>
          <w:bCs w:val="0"/>
        </w:rPr>
      </w:r>
    </w:p>
    <w:p>
      <w:pPr>
        <w:spacing w:line="240" w:lineRule="auto" w:before="5"/>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437"/>
        <w:gridCol w:w="1018"/>
        <w:gridCol w:w="830"/>
        <w:gridCol w:w="840"/>
        <w:gridCol w:w="807"/>
        <w:gridCol w:w="1018"/>
        <w:gridCol w:w="970"/>
        <w:gridCol w:w="994"/>
        <w:gridCol w:w="3827"/>
      </w:tblGrid>
      <w:tr>
        <w:trPr>
          <w:trHeight w:val="913" w:hRule="exact"/>
        </w:trPr>
        <w:tc>
          <w:tcPr>
            <w:tcW w:w="43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196" w:lineRule="exact"/>
              <w:ind w:left="125" w:right="119"/>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88"/>
                <w:sz w:val="18"/>
                <w:szCs w:val="18"/>
              </w:rPr>
              <w:t> </w:t>
            </w:r>
            <w:r>
              <w:rPr>
                <w:rFonts w:ascii="宋体" w:hAnsi="宋体" w:cs="宋体" w:eastAsia="宋体" w:hint="default"/>
                <w:sz w:val="18"/>
                <w:szCs w:val="18"/>
              </w:rPr>
              <w:t>号</w:t>
            </w:r>
          </w:p>
        </w:tc>
        <w:tc>
          <w:tcPr>
            <w:tcW w:w="10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326" w:right="0"/>
              <w:jc w:val="left"/>
              <w:rPr>
                <w:rFonts w:ascii="宋体" w:hAnsi="宋体" w:cs="宋体" w:eastAsia="宋体" w:hint="default"/>
                <w:sz w:val="18"/>
                <w:szCs w:val="18"/>
              </w:rPr>
            </w:pPr>
            <w:r>
              <w:rPr>
                <w:rFonts w:ascii="宋体" w:hAnsi="宋体" w:cs="宋体" w:eastAsia="宋体" w:hint="default"/>
                <w:sz w:val="18"/>
                <w:szCs w:val="18"/>
              </w:rPr>
              <w:t>案号</w:t>
            </w:r>
          </w:p>
        </w:tc>
        <w:tc>
          <w:tcPr>
            <w:tcW w:w="83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9" w:right="0"/>
              <w:jc w:val="center"/>
              <w:rPr>
                <w:rFonts w:ascii="宋体" w:hAnsi="宋体" w:cs="宋体" w:eastAsia="宋体" w:hint="default"/>
                <w:sz w:val="18"/>
                <w:szCs w:val="18"/>
              </w:rPr>
            </w:pPr>
            <w:r>
              <w:rPr>
                <w:rFonts w:ascii="宋体" w:hAnsi="宋体" w:cs="宋体" w:eastAsia="宋体" w:hint="default"/>
                <w:sz w:val="18"/>
                <w:szCs w:val="18"/>
              </w:rPr>
              <w:t>起诉方</w:t>
            </w:r>
          </w:p>
        </w:tc>
        <w:tc>
          <w:tcPr>
            <w:tcW w:w="84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196" w:lineRule="exact"/>
              <w:ind w:left="326" w:right="142" w:hanging="183"/>
              <w:jc w:val="left"/>
              <w:rPr>
                <w:rFonts w:ascii="宋体" w:hAnsi="宋体" w:cs="宋体" w:eastAsia="宋体" w:hint="default"/>
                <w:sz w:val="18"/>
                <w:szCs w:val="18"/>
              </w:rPr>
            </w:pPr>
            <w:r>
              <w:rPr>
                <w:rFonts w:ascii="宋体" w:hAnsi="宋体" w:cs="宋体" w:eastAsia="宋体" w:hint="default"/>
                <w:sz w:val="18"/>
                <w:szCs w:val="18"/>
              </w:rPr>
              <w:t>被起诉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80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220"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10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16" w:lineRule="exact"/>
              <w:ind w:left="143"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16" w:lineRule="exact"/>
              <w:ind w:left="14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196" w:lineRule="exact"/>
              <w:ind w:left="119" w:right="113"/>
              <w:jc w:val="left"/>
              <w:rPr>
                <w:rFonts w:ascii="宋体" w:hAnsi="宋体" w:cs="宋体" w:eastAsia="宋体" w:hint="default"/>
                <w:sz w:val="18"/>
                <w:szCs w:val="18"/>
              </w:rPr>
            </w:pPr>
            <w:r>
              <w:rPr>
                <w:rFonts w:ascii="宋体" w:hAnsi="宋体" w:cs="宋体" w:eastAsia="宋体" w:hint="default"/>
                <w:sz w:val="18"/>
                <w:szCs w:val="18"/>
              </w:rPr>
              <w:t>是否形成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预计负债</w:t>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9" w:right="0"/>
              <w:jc w:val="center"/>
              <w:rPr>
                <w:rFonts w:ascii="宋体" w:hAnsi="宋体" w:cs="宋体" w:eastAsia="宋体" w:hint="default"/>
                <w:sz w:val="18"/>
                <w:szCs w:val="18"/>
              </w:rPr>
            </w:pPr>
            <w:r>
              <w:rPr>
                <w:rFonts w:ascii="宋体" w:hAnsi="宋体" w:cs="宋体" w:eastAsia="宋体" w:hint="default"/>
                <w:sz w:val="18"/>
                <w:szCs w:val="18"/>
              </w:rPr>
              <w:t>当前状态</w:t>
            </w:r>
          </w:p>
        </w:tc>
        <w:tc>
          <w:tcPr>
            <w:tcW w:w="382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4"/>
              <w:ind w:left="830" w:right="0"/>
              <w:jc w:val="left"/>
              <w:rPr>
                <w:rFonts w:ascii="宋体" w:hAnsi="宋体" w:cs="宋体" w:eastAsia="宋体" w:hint="default"/>
                <w:sz w:val="18"/>
                <w:szCs w:val="18"/>
              </w:rPr>
            </w:pPr>
            <w:r>
              <w:rPr>
                <w:rFonts w:ascii="宋体" w:hAnsi="宋体" w:cs="宋体" w:eastAsia="宋体" w:hint="default"/>
                <w:spacing w:val="-3"/>
                <w:sz w:val="18"/>
                <w:szCs w:val="18"/>
              </w:rPr>
              <w:t>截至本公告披露日最新进展</w:t>
            </w:r>
          </w:p>
        </w:tc>
      </w:tr>
      <w:tr>
        <w:trPr>
          <w:trHeight w:val="2160"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exact"/>
              <w:ind w:left="144"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沪</w:t>
            </w:r>
            <w:r>
              <w:rPr>
                <w:rFonts w:ascii="Times New Roman" w:hAnsi="Times New Roman" w:cs="Times New Roman" w:eastAsia="Times New Roman" w:hint="default"/>
                <w:sz w:val="18"/>
                <w:szCs w:val="18"/>
              </w:rPr>
              <w:t>0117</w:t>
            </w:r>
            <w:r>
              <w:rPr>
                <w:rFonts w:ascii="宋体" w:hAnsi="宋体" w:cs="宋体" w:eastAsia="宋体" w:hint="default"/>
                <w:sz w:val="18"/>
                <w:szCs w:val="18"/>
              </w:rPr>
              <w:t>民</w:t>
            </w:r>
            <w:r>
              <w:rPr>
                <w:rFonts w:ascii="宋体" w:hAnsi="宋体" w:cs="宋体" w:eastAsia="宋体" w:hint="default"/>
                <w:spacing w:val="-87"/>
                <w:sz w:val="18"/>
                <w:szCs w:val="18"/>
              </w:rPr>
              <w:t> </w:t>
            </w:r>
            <w:r>
              <w:rPr>
                <w:rFonts w:ascii="宋体" w:hAnsi="宋体" w:cs="宋体" w:eastAsia="宋体" w:hint="default"/>
                <w:sz w:val="18"/>
                <w:szCs w:val="18"/>
              </w:rPr>
              <w:t>初</w:t>
            </w:r>
            <w:r>
              <w:rPr>
                <w:rFonts w:ascii="Times New Roman" w:hAnsi="Times New Roman" w:cs="Times New Roman" w:eastAsia="Times New Roman" w:hint="default"/>
                <w:sz w:val="18"/>
                <w:szCs w:val="18"/>
              </w:rPr>
              <w:t>1715</w:t>
            </w:r>
          </w:p>
          <w:p>
            <w:pPr>
              <w:pStyle w:val="TableParagraph"/>
              <w:spacing w:line="217" w:lineRule="exact"/>
              <w:ind w:left="326"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28" w:lineRule="auto" w:before="15"/>
              <w:ind w:left="144" w:right="13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沪</w:t>
            </w:r>
            <w:r>
              <w:rPr>
                <w:rFonts w:ascii="Times New Roman" w:hAnsi="Times New Roman" w:cs="Times New Roman" w:eastAsia="Times New Roman" w:hint="default"/>
                <w:sz w:val="18"/>
                <w:szCs w:val="18"/>
              </w:rPr>
              <w:t>0117</w:t>
            </w:r>
            <w:r>
              <w:rPr>
                <w:rFonts w:ascii="宋体" w:hAnsi="宋体" w:cs="宋体" w:eastAsia="宋体" w:hint="default"/>
                <w:sz w:val="18"/>
                <w:szCs w:val="18"/>
              </w:rPr>
              <w:t>民</w:t>
            </w:r>
            <w:r>
              <w:rPr>
                <w:rFonts w:ascii="宋体" w:hAnsi="宋体" w:cs="宋体" w:eastAsia="宋体" w:hint="default"/>
                <w:spacing w:val="-87"/>
                <w:sz w:val="18"/>
                <w:szCs w:val="18"/>
              </w:rPr>
              <w:t> </w:t>
            </w:r>
            <w:r>
              <w:rPr>
                <w:rFonts w:ascii="宋体" w:hAnsi="宋体" w:cs="宋体" w:eastAsia="宋体" w:hint="default"/>
                <w:sz w:val="18"/>
                <w:szCs w:val="18"/>
              </w:rPr>
              <w:t>初</w:t>
            </w:r>
            <w:r>
              <w:rPr>
                <w:rFonts w:ascii="Times New Roman" w:hAnsi="Times New Roman" w:cs="Times New Roman" w:eastAsia="Times New Roman" w:hint="default"/>
                <w:sz w:val="18"/>
                <w:szCs w:val="18"/>
              </w:rPr>
              <w:t>1663</w:t>
            </w:r>
            <w:r>
              <w:rPr>
                <w:rFonts w:ascii="宋体" w:hAnsi="宋体" w:cs="宋体" w:eastAsia="宋体" w:hint="default"/>
                <w:sz w:val="18"/>
                <w:szCs w:val="18"/>
              </w:rPr>
              <w:t>号</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65"/>
              <w:jc w:val="center"/>
              <w:rPr>
                <w:rFonts w:ascii="宋体" w:hAnsi="宋体" w:cs="宋体" w:eastAsia="宋体" w:hint="default"/>
                <w:sz w:val="18"/>
                <w:szCs w:val="18"/>
              </w:rPr>
            </w:pPr>
            <w:r>
              <w:rPr>
                <w:rFonts w:ascii="宋体" w:hAnsi="宋体" w:cs="宋体" w:eastAsia="宋体" w:hint="default"/>
                <w:sz w:val="18"/>
                <w:szCs w:val="18"/>
              </w:rPr>
              <w:t>桑瑞思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2" w:lineRule="auto"/>
              <w:ind w:left="100" w:right="185"/>
              <w:jc w:val="both"/>
              <w:rPr>
                <w:rFonts w:ascii="宋体" w:hAnsi="宋体" w:cs="宋体" w:eastAsia="宋体" w:hint="default"/>
                <w:sz w:val="18"/>
                <w:szCs w:val="18"/>
              </w:rPr>
            </w:pPr>
            <w:r>
              <w:rPr>
                <w:rFonts w:ascii="宋体" w:hAnsi="宋体" w:cs="宋体" w:eastAsia="宋体" w:hint="default"/>
                <w:sz w:val="18"/>
                <w:szCs w:val="18"/>
              </w:rPr>
              <w:t>上海斐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讯数据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通信技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2" w:lineRule="auto"/>
              <w:ind w:left="105" w:right="147"/>
              <w:jc w:val="both"/>
              <w:rPr>
                <w:rFonts w:ascii="宋体" w:hAnsi="宋体" w:cs="宋体" w:eastAsia="宋体" w:hint="default"/>
                <w:sz w:val="18"/>
                <w:szCs w:val="18"/>
              </w:rPr>
            </w:pPr>
            <w:r>
              <w:rPr>
                <w:rFonts w:ascii="宋体" w:hAnsi="宋体" w:cs="宋体" w:eastAsia="宋体" w:hint="default"/>
                <w:sz w:val="18"/>
                <w:szCs w:val="18"/>
              </w:rPr>
              <w:t>建设工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1,595.22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未结案</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32" w:lineRule="auto"/>
              <w:ind w:left="105" w:right="95"/>
              <w:jc w:val="both"/>
              <w:rPr>
                <w:rFonts w:ascii="宋体" w:hAnsi="宋体" w:cs="宋体" w:eastAsia="宋体" w:hint="default"/>
                <w:sz w:val="18"/>
                <w:szCs w:val="18"/>
              </w:rPr>
            </w:pPr>
            <w:r>
              <w:rPr>
                <w:rFonts w:ascii="宋体" w:hAnsi="宋体" w:cs="宋体" w:eastAsia="宋体" w:hint="default"/>
                <w:spacing w:val="-4"/>
                <w:sz w:val="18"/>
                <w:szCs w:val="18"/>
              </w:rPr>
              <w:t>法院</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日受理，</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月</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日开庭审理，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3"/>
                <w:sz w:val="18"/>
                <w:szCs w:val="18"/>
              </w:rPr>
              <w:t> </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23</w:t>
            </w:r>
            <w:r>
              <w:rPr>
                <w:rFonts w:ascii="宋体" w:hAnsi="宋体" w:cs="宋体" w:eastAsia="宋体" w:hint="default"/>
                <w:spacing w:val="-6"/>
                <w:sz w:val="18"/>
                <w:szCs w:val="18"/>
              </w:rPr>
              <w:t>日二次开庭，</w:t>
            </w:r>
            <w:r>
              <w:rPr>
                <w:rFonts w:ascii="Times New Roman" w:hAnsi="Times New Roman" w:cs="Times New Roman" w:eastAsia="Times New Roman" w:hint="default"/>
                <w:spacing w:val="-6"/>
                <w:sz w:val="18"/>
                <w:szCs w:val="18"/>
              </w:rPr>
              <w:t>9</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19</w:t>
            </w:r>
            <w:r>
              <w:rPr>
                <w:rFonts w:ascii="宋体" w:hAnsi="宋体" w:cs="宋体" w:eastAsia="宋体" w:hint="default"/>
                <w:spacing w:val="-6"/>
                <w:sz w:val="18"/>
                <w:szCs w:val="18"/>
              </w:rPr>
              <w:t>日法院进行了询问。桑</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6"/>
                <w:w w:val="101"/>
                <w:sz w:val="18"/>
                <w:szCs w:val="18"/>
              </w:rPr>
              <w:t>瑞思于</w:t>
            </w:r>
            <w:r>
              <w:rPr>
                <w:rFonts w:ascii="Times New Roman" w:hAnsi="Times New Roman" w:cs="Times New Roman" w:eastAsia="Times New Roman" w:hint="default"/>
                <w:spacing w:val="-6"/>
                <w:w w:val="101"/>
                <w:sz w:val="18"/>
                <w:szCs w:val="18"/>
              </w:rPr>
              <w:t>2020</w:t>
            </w:r>
            <w:r>
              <w:rPr>
                <w:rFonts w:ascii="宋体" w:hAnsi="宋体" w:cs="宋体" w:eastAsia="宋体" w:hint="default"/>
                <w:spacing w:val="-6"/>
                <w:w w:val="101"/>
                <w:sz w:val="18"/>
                <w:szCs w:val="18"/>
              </w:rPr>
              <w:t>年</w:t>
            </w: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月撤诉后重新起诉（增加诉请为</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pacing w:val="-3"/>
                <w:sz w:val="18"/>
                <w:szCs w:val="18"/>
              </w:rPr>
              <w:t>解除施工合同），松江区法院已经重新立案，</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案号：（</w:t>
            </w:r>
            <w:r>
              <w:rPr>
                <w:rFonts w:ascii="Times New Roman" w:hAnsi="Times New Roman" w:cs="Times New Roman" w:eastAsia="Times New Roman" w:hint="default"/>
                <w:sz w:val="18"/>
                <w:szCs w:val="18"/>
              </w:rPr>
              <w:t>2020</w:t>
            </w:r>
            <w:r>
              <w:rPr>
                <w:rFonts w:ascii="宋体" w:hAnsi="宋体" w:cs="宋体" w:eastAsia="宋体" w:hint="default"/>
                <w:sz w:val="18"/>
                <w:szCs w:val="18"/>
              </w:rPr>
              <w:t>）沪</w:t>
            </w:r>
            <w:r>
              <w:rPr>
                <w:rFonts w:ascii="Times New Roman" w:hAnsi="Times New Roman" w:cs="Times New Roman" w:eastAsia="Times New Roman" w:hint="default"/>
                <w:sz w:val="18"/>
                <w:szCs w:val="18"/>
              </w:rPr>
              <w:t>0117</w:t>
            </w:r>
            <w:r>
              <w:rPr>
                <w:rFonts w:ascii="宋体" w:hAnsi="宋体" w:cs="宋体" w:eastAsia="宋体" w:hint="default"/>
                <w:sz w:val="18"/>
                <w:szCs w:val="18"/>
              </w:rPr>
              <w:t>民初</w:t>
            </w:r>
            <w:r>
              <w:rPr>
                <w:rFonts w:ascii="Times New Roman" w:hAnsi="Times New Roman" w:cs="Times New Roman" w:eastAsia="Times New Roman" w:hint="default"/>
                <w:sz w:val="18"/>
                <w:szCs w:val="18"/>
              </w:rPr>
              <w:t>1663</w:t>
            </w:r>
            <w:r>
              <w:rPr>
                <w:rFonts w:ascii="宋体" w:hAnsi="宋体" w:cs="宋体" w:eastAsia="宋体" w:hint="default"/>
                <w:sz w:val="18"/>
                <w:szCs w:val="18"/>
              </w:rPr>
              <w:t>号。</w:t>
            </w:r>
          </w:p>
        </w:tc>
      </w:tr>
    </w:tbl>
    <w:p>
      <w:pPr>
        <w:spacing w:after="0" w:line="232" w:lineRule="auto"/>
        <w:jc w:val="both"/>
        <w:rPr>
          <w:rFonts w:ascii="宋体" w:hAnsi="宋体" w:cs="宋体" w:eastAsia="宋体" w:hint="default"/>
          <w:sz w:val="18"/>
          <w:szCs w:val="18"/>
        </w:rPr>
        <w:sectPr>
          <w:pgSz w:w="11910" w:h="16840"/>
          <w:pgMar w:header="863" w:footer="979" w:top="1060" w:bottom="1160" w:left="460" w:right="0"/>
        </w:sectPr>
      </w:pPr>
    </w:p>
    <w:p>
      <w:pPr>
        <w:spacing w:line="240" w:lineRule="auto" w:before="11"/>
        <w:rPr>
          <w:rFonts w:ascii="宋体" w:hAnsi="宋体" w:cs="宋体" w:eastAsia="宋体" w:hint="default"/>
          <w:b/>
          <w:bCs/>
          <w:sz w:val="28"/>
          <w:szCs w:val="28"/>
        </w:rPr>
      </w:pPr>
    </w:p>
    <w:tbl>
      <w:tblPr>
        <w:tblW w:w="0" w:type="auto"/>
        <w:jc w:val="left"/>
        <w:tblInd w:w="116" w:type="dxa"/>
        <w:tblLayout w:type="fixed"/>
        <w:tblCellMar>
          <w:top w:w="0" w:type="dxa"/>
          <w:left w:w="0" w:type="dxa"/>
          <w:bottom w:w="0" w:type="dxa"/>
          <w:right w:w="0" w:type="dxa"/>
        </w:tblCellMar>
        <w:tblLook w:val="01E0"/>
      </w:tblPr>
      <w:tblGrid>
        <w:gridCol w:w="437"/>
        <w:gridCol w:w="1018"/>
        <w:gridCol w:w="830"/>
        <w:gridCol w:w="840"/>
        <w:gridCol w:w="807"/>
        <w:gridCol w:w="1018"/>
        <w:gridCol w:w="970"/>
        <w:gridCol w:w="994"/>
        <w:gridCol w:w="3827"/>
      </w:tblGrid>
      <w:tr>
        <w:trPr>
          <w:trHeight w:val="2401"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28" w:lineRule="auto"/>
              <w:ind w:left="144" w:right="13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京</w:t>
            </w:r>
            <w:r>
              <w:rPr>
                <w:rFonts w:ascii="Times New Roman" w:hAnsi="Times New Roman" w:cs="Times New Roman" w:eastAsia="Times New Roman" w:hint="default"/>
                <w:sz w:val="18"/>
                <w:szCs w:val="18"/>
              </w:rPr>
              <w:t>0113</w:t>
            </w:r>
            <w:r>
              <w:rPr>
                <w:rFonts w:ascii="宋体" w:hAnsi="宋体" w:cs="宋体" w:eastAsia="宋体" w:hint="default"/>
                <w:sz w:val="18"/>
                <w:szCs w:val="18"/>
              </w:rPr>
              <w:t>民</w:t>
            </w:r>
            <w:r>
              <w:rPr>
                <w:rFonts w:ascii="宋体" w:hAnsi="宋体" w:cs="宋体" w:eastAsia="宋体" w:hint="default"/>
                <w:spacing w:val="-87"/>
                <w:sz w:val="18"/>
                <w:szCs w:val="18"/>
              </w:rPr>
              <w:t> </w:t>
            </w:r>
            <w:r>
              <w:rPr>
                <w:rFonts w:ascii="宋体" w:hAnsi="宋体" w:cs="宋体" w:eastAsia="宋体" w:hint="default"/>
                <w:sz w:val="18"/>
                <w:szCs w:val="18"/>
              </w:rPr>
              <w:t>初</w:t>
            </w:r>
            <w:r>
              <w:rPr>
                <w:rFonts w:ascii="Times New Roman" w:hAnsi="Times New Roman" w:cs="Times New Roman" w:eastAsia="Times New Roman" w:hint="default"/>
                <w:sz w:val="18"/>
                <w:szCs w:val="18"/>
              </w:rPr>
              <w:t>8538</w:t>
            </w:r>
            <w:r>
              <w:rPr>
                <w:rFonts w:ascii="宋体" w:hAnsi="宋体" w:cs="宋体" w:eastAsia="宋体" w:hint="default"/>
                <w:sz w:val="18"/>
                <w:szCs w:val="18"/>
              </w:rPr>
              <w:t>号</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2" w:lineRule="auto"/>
              <w:ind w:left="100" w:right="185"/>
              <w:jc w:val="both"/>
              <w:rPr>
                <w:rFonts w:ascii="宋体" w:hAnsi="宋体" w:cs="宋体" w:eastAsia="宋体" w:hint="default"/>
                <w:sz w:val="18"/>
                <w:szCs w:val="18"/>
              </w:rPr>
            </w:pPr>
            <w:r>
              <w:rPr>
                <w:rFonts w:ascii="宋体" w:hAnsi="宋体" w:cs="宋体" w:eastAsia="宋体" w:hint="default"/>
                <w:sz w:val="18"/>
                <w:szCs w:val="18"/>
              </w:rPr>
              <w:t>北京斐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瑞康通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信技术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2" w:lineRule="auto"/>
              <w:ind w:left="105" w:right="147"/>
              <w:jc w:val="both"/>
              <w:rPr>
                <w:rFonts w:ascii="宋体" w:hAnsi="宋体" w:cs="宋体" w:eastAsia="宋体" w:hint="default"/>
                <w:sz w:val="18"/>
                <w:szCs w:val="18"/>
              </w:rPr>
            </w:pPr>
            <w:r>
              <w:rPr>
                <w:rFonts w:ascii="宋体" w:hAnsi="宋体" w:cs="宋体" w:eastAsia="宋体" w:hint="default"/>
                <w:sz w:val="18"/>
                <w:szCs w:val="18"/>
              </w:rPr>
              <w:t>建设工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453.09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未结案</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35" w:lineRule="auto"/>
              <w:ind w:left="105" w:right="60"/>
              <w:jc w:val="both"/>
              <w:rPr>
                <w:rFonts w:ascii="宋体" w:hAnsi="宋体" w:cs="宋体" w:eastAsia="宋体" w:hint="default"/>
                <w:sz w:val="18"/>
                <w:szCs w:val="18"/>
              </w:rPr>
            </w:pPr>
            <w:r>
              <w:rPr>
                <w:rFonts w:ascii="宋体" w:hAnsi="宋体" w:cs="宋体" w:eastAsia="宋体" w:hint="default"/>
                <w:spacing w:val="-6"/>
                <w:sz w:val="18"/>
                <w:szCs w:val="18"/>
              </w:rPr>
              <w:t>一审判决</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日作出，我方胜诉，判决</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2"/>
                <w:sz w:val="18"/>
                <w:szCs w:val="18"/>
              </w:rPr>
              <w:t>被告支付桑瑞思工程款</w:t>
            </w:r>
            <w:r>
              <w:rPr>
                <w:rFonts w:ascii="Times New Roman" w:hAnsi="Times New Roman" w:cs="Times New Roman" w:eastAsia="Times New Roman" w:hint="default"/>
                <w:spacing w:val="-2"/>
                <w:sz w:val="18"/>
                <w:szCs w:val="18"/>
              </w:rPr>
              <w:t>2,535,889.85</w:t>
            </w:r>
            <w:r>
              <w:rPr>
                <w:rFonts w:ascii="宋体" w:hAnsi="宋体" w:cs="宋体" w:eastAsia="宋体" w:hint="default"/>
                <w:spacing w:val="-2"/>
                <w:sz w:val="18"/>
                <w:szCs w:val="18"/>
              </w:rPr>
              <w:t>元及利息。</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6"/>
                <w:w w:val="101"/>
                <w:sz w:val="18"/>
                <w:szCs w:val="18"/>
              </w:rPr>
              <w:t>于</w:t>
            </w:r>
            <w:r>
              <w:rPr>
                <w:rFonts w:ascii="Times New Roman" w:hAnsi="Times New Roman" w:cs="Times New Roman" w:eastAsia="Times New Roman" w:hint="default"/>
                <w:spacing w:val="-6"/>
                <w:w w:val="101"/>
                <w:sz w:val="18"/>
                <w:szCs w:val="18"/>
              </w:rPr>
              <w:t>8</w:t>
            </w:r>
            <w:r>
              <w:rPr>
                <w:rFonts w:ascii="宋体" w:hAnsi="宋体" w:cs="宋体" w:eastAsia="宋体" w:hint="default"/>
                <w:spacing w:val="-6"/>
                <w:w w:val="101"/>
                <w:sz w:val="18"/>
                <w:szCs w:val="18"/>
              </w:rPr>
              <w:t>月</w:t>
            </w:r>
            <w:r>
              <w:rPr>
                <w:rFonts w:ascii="Times New Roman" w:hAnsi="Times New Roman" w:cs="Times New Roman" w:eastAsia="Times New Roman" w:hint="default"/>
                <w:spacing w:val="-6"/>
                <w:w w:val="101"/>
                <w:sz w:val="18"/>
                <w:szCs w:val="18"/>
              </w:rPr>
              <w:t>19</w:t>
            </w:r>
            <w:r>
              <w:rPr>
                <w:rFonts w:ascii="宋体" w:hAnsi="宋体" w:cs="宋体" w:eastAsia="宋体" w:hint="default"/>
                <w:spacing w:val="-6"/>
                <w:w w:val="101"/>
                <w:sz w:val="18"/>
                <w:szCs w:val="18"/>
              </w:rPr>
              <w:t>日向法院申请强制执行，目前通过强制</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执行轮候查封了北京斐瑞康通信技术有限公司</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6"/>
                <w:w w:val="101"/>
                <w:sz w:val="18"/>
                <w:szCs w:val="18"/>
              </w:rPr>
              <w:t>名下位于北京市顺义区竺园路</w:t>
            </w:r>
            <w:r>
              <w:rPr>
                <w:rFonts w:ascii="Times New Roman" w:hAnsi="Times New Roman" w:cs="Times New Roman" w:eastAsia="Times New Roman" w:hint="default"/>
                <w:spacing w:val="-6"/>
                <w:w w:val="101"/>
                <w:sz w:val="18"/>
                <w:szCs w:val="18"/>
              </w:rPr>
              <w:t>6</w:t>
            </w:r>
            <w:r>
              <w:rPr>
                <w:rFonts w:ascii="宋体" w:hAnsi="宋体" w:cs="宋体" w:eastAsia="宋体" w:hint="default"/>
                <w:spacing w:val="-6"/>
                <w:w w:val="101"/>
                <w:sz w:val="18"/>
                <w:szCs w:val="18"/>
              </w:rPr>
              <w:t>号</w:t>
            </w: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幢</w:t>
            </w: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至</w:t>
            </w:r>
            <w:r>
              <w:rPr>
                <w:rFonts w:ascii="Times New Roman" w:hAnsi="Times New Roman" w:cs="Times New Roman" w:eastAsia="Times New Roman" w:hint="default"/>
                <w:spacing w:val="-6"/>
                <w:w w:val="101"/>
                <w:sz w:val="18"/>
                <w:szCs w:val="18"/>
              </w:rPr>
              <w:t>4</w:t>
            </w:r>
            <w:r>
              <w:rPr>
                <w:rFonts w:ascii="宋体" w:hAnsi="宋体" w:cs="宋体" w:eastAsia="宋体" w:hint="default"/>
                <w:spacing w:val="-6"/>
                <w:w w:val="101"/>
                <w:sz w:val="18"/>
                <w:szCs w:val="18"/>
              </w:rPr>
              <w:t>层、</w:t>
            </w:r>
            <w:r>
              <w:rPr>
                <w:rFonts w:ascii="Times New Roman" w:hAnsi="Times New Roman" w:cs="Times New Roman" w:eastAsia="Times New Roman" w:hint="default"/>
                <w:spacing w:val="-6"/>
                <w:w w:val="101"/>
                <w:sz w:val="18"/>
                <w:szCs w:val="18"/>
              </w:rPr>
              <w:t>2</w:t>
            </w:r>
            <w:r>
              <w:rPr>
                <w:rFonts w:ascii="Times New Roman" w:hAnsi="Times New Roman" w:cs="Times New Roman" w:eastAsia="Times New Roman" w:hint="default"/>
                <w:spacing w:val="-35"/>
                <w:w w:val="101"/>
                <w:sz w:val="18"/>
                <w:szCs w:val="18"/>
              </w:rPr>
              <w:t> </w:t>
            </w:r>
            <w:r>
              <w:rPr>
                <w:rFonts w:ascii="宋体" w:hAnsi="宋体" w:cs="宋体" w:eastAsia="宋体" w:hint="default"/>
                <w:spacing w:val="-6"/>
                <w:sz w:val="18"/>
                <w:szCs w:val="18"/>
              </w:rPr>
              <w:t>幢</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至</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层、</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幢</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至</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层的房屋。因房屋先涉及其</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3"/>
                <w:sz w:val="18"/>
                <w:szCs w:val="18"/>
              </w:rPr>
              <w:t>他民事案件，本案进行了轮候查封。终结本次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执行，等待处置分配。</w:t>
            </w:r>
          </w:p>
        </w:tc>
      </w:tr>
      <w:tr>
        <w:trPr>
          <w:trHeight w:val="1676" w:hRule="exact"/>
        </w:trPr>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28" w:lineRule="auto"/>
              <w:ind w:left="144" w:right="137"/>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沪</w:t>
            </w:r>
            <w:r>
              <w:rPr>
                <w:rFonts w:ascii="Times New Roman" w:hAnsi="Times New Roman" w:cs="Times New Roman" w:eastAsia="Times New Roman" w:hint="default"/>
                <w:sz w:val="18"/>
                <w:szCs w:val="18"/>
              </w:rPr>
              <w:t>0117</w:t>
            </w:r>
            <w:r>
              <w:rPr>
                <w:rFonts w:ascii="宋体" w:hAnsi="宋体" w:cs="宋体" w:eastAsia="宋体" w:hint="default"/>
                <w:sz w:val="18"/>
                <w:szCs w:val="18"/>
              </w:rPr>
              <w:t>民</w:t>
            </w:r>
            <w:r>
              <w:rPr>
                <w:rFonts w:ascii="宋体" w:hAnsi="宋体" w:cs="宋体" w:eastAsia="宋体" w:hint="default"/>
                <w:spacing w:val="-87"/>
                <w:sz w:val="18"/>
                <w:szCs w:val="18"/>
              </w:rPr>
              <w:t> </w:t>
            </w:r>
            <w:r>
              <w:rPr>
                <w:rFonts w:ascii="宋体" w:hAnsi="宋体" w:cs="宋体" w:eastAsia="宋体" w:hint="default"/>
                <w:sz w:val="18"/>
                <w:szCs w:val="18"/>
              </w:rPr>
              <w:t>初</w:t>
            </w:r>
            <w:r>
              <w:rPr>
                <w:rFonts w:ascii="Times New Roman" w:hAnsi="Times New Roman" w:cs="Times New Roman" w:eastAsia="Times New Roman" w:hint="default"/>
                <w:sz w:val="18"/>
                <w:szCs w:val="18"/>
              </w:rPr>
              <w:t>1713</w:t>
            </w:r>
            <w:r>
              <w:rPr>
                <w:rFonts w:ascii="宋体" w:hAnsi="宋体" w:cs="宋体" w:eastAsia="宋体" w:hint="default"/>
                <w:sz w:val="18"/>
                <w:szCs w:val="18"/>
              </w:rPr>
              <w:t>号</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05" w:right="170"/>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2" w:lineRule="auto"/>
              <w:ind w:left="100" w:right="185"/>
              <w:jc w:val="both"/>
              <w:rPr>
                <w:rFonts w:ascii="宋体" w:hAnsi="宋体" w:cs="宋体" w:eastAsia="宋体" w:hint="default"/>
                <w:sz w:val="18"/>
                <w:szCs w:val="18"/>
              </w:rPr>
            </w:pPr>
            <w:r>
              <w:rPr>
                <w:rFonts w:ascii="宋体" w:hAnsi="宋体" w:cs="宋体" w:eastAsia="宋体" w:hint="default"/>
                <w:sz w:val="18"/>
                <w:szCs w:val="18"/>
              </w:rPr>
              <w:t>上海斐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讯数据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通信技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2" w:lineRule="auto"/>
              <w:ind w:left="105" w:right="147"/>
              <w:jc w:val="both"/>
              <w:rPr>
                <w:rFonts w:ascii="宋体" w:hAnsi="宋体" w:cs="宋体" w:eastAsia="宋体" w:hint="default"/>
                <w:sz w:val="18"/>
                <w:szCs w:val="18"/>
              </w:rPr>
            </w:pPr>
            <w:r>
              <w:rPr>
                <w:rFonts w:ascii="宋体" w:hAnsi="宋体" w:cs="宋体" w:eastAsia="宋体" w:hint="default"/>
                <w:sz w:val="18"/>
                <w:szCs w:val="18"/>
              </w:rPr>
              <w:t>建设工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2,825.34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未结案</w:t>
            </w:r>
          </w:p>
        </w:tc>
        <w:tc>
          <w:tcPr>
            <w:tcW w:w="3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3"/>
                <w:szCs w:val="23"/>
              </w:rPr>
            </w:pPr>
          </w:p>
          <w:p>
            <w:pPr>
              <w:pStyle w:val="TableParagraph"/>
              <w:spacing w:line="228" w:lineRule="auto"/>
              <w:ind w:left="105" w:right="103"/>
              <w:jc w:val="both"/>
              <w:rPr>
                <w:rFonts w:ascii="宋体" w:hAnsi="宋体" w:cs="宋体" w:eastAsia="宋体" w:hint="default"/>
                <w:sz w:val="18"/>
                <w:szCs w:val="18"/>
              </w:rPr>
            </w:pPr>
            <w:r>
              <w:rPr>
                <w:rFonts w:ascii="宋体" w:hAnsi="宋体" w:cs="宋体" w:eastAsia="宋体" w:hint="default"/>
                <w:spacing w:val="-2"/>
                <w:sz w:val="18"/>
                <w:szCs w:val="18"/>
              </w:rPr>
              <w:t>法院</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日受理，</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日开庭审理，</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23</w:t>
            </w:r>
            <w:r>
              <w:rPr>
                <w:rFonts w:ascii="宋体" w:hAnsi="宋体" w:cs="宋体" w:eastAsia="宋体" w:hint="default"/>
                <w:spacing w:val="-3"/>
                <w:sz w:val="18"/>
                <w:szCs w:val="18"/>
              </w:rPr>
              <w:t>日二次开庭，尚需第三次开庭，复庭日期</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尚未确定，目前尚在进行造价鉴定。</w:t>
            </w:r>
          </w:p>
        </w:tc>
      </w:tr>
    </w:tbl>
    <w:p>
      <w:pPr>
        <w:spacing w:line="240" w:lineRule="auto" w:before="4"/>
        <w:rPr>
          <w:rFonts w:ascii="宋体" w:hAnsi="宋体" w:cs="宋体" w:eastAsia="宋体" w:hint="default"/>
          <w:b/>
          <w:bCs/>
          <w:sz w:val="13"/>
          <w:szCs w:val="13"/>
        </w:rPr>
      </w:pPr>
    </w:p>
    <w:p>
      <w:pPr>
        <w:spacing w:line="309" w:lineRule="auto" w:before="26"/>
        <w:ind w:left="1153" w:right="0" w:firstLine="0"/>
        <w:jc w:val="left"/>
        <w:rPr>
          <w:rFonts w:ascii="宋体" w:hAnsi="宋体" w:cs="宋体" w:eastAsia="宋体" w:hint="default"/>
          <w:sz w:val="24"/>
          <w:szCs w:val="24"/>
        </w:rPr>
      </w:pPr>
      <w:r>
        <w:rPr>
          <w:rFonts w:ascii="宋体" w:hAnsi="宋体" w:cs="宋体" w:eastAsia="宋体" w:hint="default"/>
          <w:b/>
          <w:bCs/>
          <w:sz w:val="24"/>
          <w:szCs w:val="24"/>
        </w:rPr>
        <w:t>（三）其他未达到重大诉讼</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仲裁披露标准的诉讼</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仲裁情况</w:t>
      </w:r>
      <w:r>
        <w:rPr>
          <w:rFonts w:ascii="宋体" w:hAnsi="宋体" w:cs="宋体" w:eastAsia="宋体" w:hint="default"/>
          <w:b/>
          <w:bCs/>
          <w:w w:val="99"/>
          <w:sz w:val="24"/>
          <w:szCs w:val="24"/>
        </w:rPr>
        <w:t> </w:t>
      </w:r>
      <w:r>
        <w:rPr>
          <w:rFonts w:ascii="宋体" w:hAnsi="宋体" w:cs="宋体" w:eastAsia="宋体" w:hint="default"/>
          <w:sz w:val="24"/>
          <w:szCs w:val="24"/>
        </w:rPr>
        <w:t>截至年报披露日，除上述</w:t>
      </w:r>
      <w:r>
        <w:rPr>
          <w:rFonts w:ascii="Times New Roman" w:hAnsi="Times New Roman" w:cs="Times New Roman" w:eastAsia="Times New Roman" w:hint="default"/>
          <w:sz w:val="24"/>
          <w:szCs w:val="24"/>
        </w:rPr>
        <w:t>“</w:t>
      </w:r>
      <w:r>
        <w:rPr>
          <w:rFonts w:ascii="宋体" w:hAnsi="宋体" w:cs="宋体" w:eastAsia="宋体" w:hint="default"/>
          <w:sz w:val="24"/>
          <w:szCs w:val="24"/>
        </w:rPr>
        <w:t>（一）、（二）</w:t>
      </w:r>
      <w:r>
        <w:rPr>
          <w:rFonts w:ascii="Times New Roman" w:hAnsi="Times New Roman" w:cs="Times New Roman" w:eastAsia="Times New Roman" w:hint="default"/>
          <w:sz w:val="24"/>
          <w:szCs w:val="24"/>
        </w:rPr>
        <w:t>”</w:t>
      </w:r>
      <w:r>
        <w:rPr>
          <w:rFonts w:ascii="宋体" w:hAnsi="宋体" w:cs="宋体" w:eastAsia="宋体" w:hint="default"/>
          <w:sz w:val="24"/>
          <w:szCs w:val="24"/>
        </w:rPr>
        <w:t>已披露的诉讼外，公司及子公司所涉及的其</w:t>
      </w:r>
    </w:p>
    <w:p>
      <w:pPr>
        <w:pStyle w:val="BodyText"/>
        <w:spacing w:line="240" w:lineRule="auto" w:before="56"/>
        <w:ind w:left="673" w:right="0"/>
        <w:jc w:val="left"/>
      </w:pPr>
      <w:r>
        <w:rPr/>
        <w:t>他未结案诉讼</w:t>
      </w:r>
      <w:r>
        <w:rPr>
          <w:rFonts w:ascii="Times New Roman" w:hAnsi="Times New Roman" w:cs="Times New Roman" w:eastAsia="Times New Roman" w:hint="default"/>
        </w:rPr>
        <w:t>/</w:t>
      </w:r>
      <w:r>
        <w:rPr/>
        <w:t>仲裁情况如下：</w:t>
      </w:r>
    </w:p>
    <w:p>
      <w:pPr>
        <w:spacing w:line="240" w:lineRule="auto" w:before="5"/>
        <w:rPr>
          <w:rFonts w:ascii="宋体" w:hAnsi="宋体" w:cs="宋体" w:eastAsia="宋体" w:hint="default"/>
          <w:sz w:val="16"/>
          <w:szCs w:val="16"/>
        </w:rPr>
      </w:pPr>
    </w:p>
    <w:tbl>
      <w:tblPr>
        <w:tblW w:w="0" w:type="auto"/>
        <w:jc w:val="left"/>
        <w:tblInd w:w="116" w:type="dxa"/>
        <w:tblLayout w:type="fixed"/>
        <w:tblCellMar>
          <w:top w:w="0" w:type="dxa"/>
          <w:left w:w="0" w:type="dxa"/>
          <w:bottom w:w="0" w:type="dxa"/>
          <w:right w:w="0" w:type="dxa"/>
        </w:tblCellMar>
        <w:tblLook w:val="01E0"/>
      </w:tblPr>
      <w:tblGrid>
        <w:gridCol w:w="461"/>
        <w:gridCol w:w="1018"/>
        <w:gridCol w:w="754"/>
        <w:gridCol w:w="855"/>
        <w:gridCol w:w="850"/>
        <w:gridCol w:w="989"/>
        <w:gridCol w:w="994"/>
        <w:gridCol w:w="951"/>
        <w:gridCol w:w="3870"/>
      </w:tblGrid>
      <w:tr>
        <w:trPr>
          <w:trHeight w:val="713" w:hRule="exact"/>
        </w:trPr>
        <w:tc>
          <w:tcPr>
            <w:tcW w:w="46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6"/>
              <w:ind w:left="134" w:right="132"/>
              <w:jc w:val="left"/>
              <w:rPr>
                <w:rFonts w:ascii="宋体" w:hAnsi="宋体" w:cs="宋体" w:eastAsia="宋体" w:hint="default"/>
                <w:sz w:val="18"/>
                <w:szCs w:val="18"/>
              </w:rPr>
            </w:pPr>
            <w:r>
              <w:rPr>
                <w:rFonts w:ascii="宋体" w:hAnsi="宋体" w:cs="宋体" w:eastAsia="宋体" w:hint="default"/>
                <w:sz w:val="18"/>
                <w:szCs w:val="18"/>
              </w:rPr>
              <w:t>序</w:t>
            </w:r>
            <w:r>
              <w:rPr>
                <w:rFonts w:ascii="宋体" w:hAnsi="宋体" w:cs="宋体" w:eastAsia="宋体" w:hint="default"/>
                <w:spacing w:val="-88"/>
                <w:sz w:val="18"/>
                <w:szCs w:val="18"/>
              </w:rPr>
              <w:t> </w:t>
            </w:r>
            <w:r>
              <w:rPr>
                <w:rFonts w:ascii="宋体" w:hAnsi="宋体" w:cs="宋体" w:eastAsia="宋体" w:hint="default"/>
                <w:sz w:val="18"/>
                <w:szCs w:val="18"/>
              </w:rPr>
              <w:t>号</w:t>
            </w:r>
          </w:p>
        </w:tc>
        <w:tc>
          <w:tcPr>
            <w:tcW w:w="101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案号</w:t>
            </w:r>
          </w:p>
        </w:tc>
        <w:tc>
          <w:tcPr>
            <w:tcW w:w="7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起诉方</w:t>
            </w:r>
          </w:p>
        </w:tc>
        <w:tc>
          <w:tcPr>
            <w:tcW w:w="8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6"/>
              <w:ind w:left="331" w:right="147" w:hanging="178"/>
              <w:jc w:val="left"/>
              <w:rPr>
                <w:rFonts w:ascii="宋体" w:hAnsi="宋体" w:cs="宋体" w:eastAsia="宋体" w:hint="default"/>
                <w:sz w:val="18"/>
                <w:szCs w:val="18"/>
              </w:rPr>
            </w:pPr>
            <w:r>
              <w:rPr>
                <w:rFonts w:ascii="宋体" w:hAnsi="宋体" w:cs="宋体" w:eastAsia="宋体" w:hint="default"/>
                <w:sz w:val="18"/>
                <w:szCs w:val="18"/>
              </w:rPr>
              <w:t>被起诉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w:t>
            </w:r>
          </w:p>
        </w:tc>
        <w:tc>
          <w:tcPr>
            <w:tcW w:w="85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事由</w:t>
            </w:r>
          </w:p>
        </w:tc>
        <w:tc>
          <w:tcPr>
            <w:tcW w:w="9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6"/>
              <w:ind w:left="134"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7"/>
              <w:ind w:left="13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9" w:lineRule="auto" w:before="56"/>
              <w:ind w:left="134" w:right="123"/>
              <w:jc w:val="left"/>
              <w:rPr>
                <w:rFonts w:ascii="宋体" w:hAnsi="宋体" w:cs="宋体" w:eastAsia="宋体" w:hint="default"/>
                <w:sz w:val="18"/>
                <w:szCs w:val="18"/>
              </w:rPr>
            </w:pPr>
            <w:r>
              <w:rPr>
                <w:rFonts w:ascii="宋体" w:hAnsi="宋体" w:cs="宋体" w:eastAsia="宋体" w:hint="default"/>
                <w:sz w:val="18"/>
                <w:szCs w:val="18"/>
              </w:rPr>
              <w:t>是否形成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预计负债</w:t>
            </w:r>
          </w:p>
        </w:tc>
        <w:tc>
          <w:tcPr>
            <w:tcW w:w="95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当前状态</w:t>
            </w:r>
          </w:p>
        </w:tc>
        <w:tc>
          <w:tcPr>
            <w:tcW w:w="387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850" w:right="0"/>
              <w:jc w:val="left"/>
              <w:rPr>
                <w:rFonts w:ascii="宋体" w:hAnsi="宋体" w:cs="宋体" w:eastAsia="宋体" w:hint="default"/>
                <w:sz w:val="18"/>
                <w:szCs w:val="18"/>
              </w:rPr>
            </w:pPr>
            <w:r>
              <w:rPr>
                <w:rFonts w:ascii="宋体" w:hAnsi="宋体" w:cs="宋体" w:eastAsia="宋体" w:hint="default"/>
                <w:spacing w:val="-3"/>
                <w:sz w:val="18"/>
                <w:szCs w:val="18"/>
              </w:rPr>
              <w:t>截至本公告披露日最新进展</w:t>
            </w:r>
          </w:p>
        </w:tc>
      </w:tr>
      <w:tr>
        <w:trPr>
          <w:trHeight w:val="566" w:hRule="exact"/>
        </w:trPr>
        <w:tc>
          <w:tcPr>
            <w:tcW w:w="10742" w:type="dxa"/>
            <w:gridSpan w:val="9"/>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35"/>
              <w:ind w:left="4"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一、公司及子公司作为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原告</w:t>
            </w:r>
            <w:r>
              <w:rPr>
                <w:rFonts w:ascii="Times New Roman" w:hAnsi="Times New Roman" w:cs="Times New Roman" w:eastAsia="Times New Roman" w:hint="default"/>
                <w:spacing w:val="-3"/>
                <w:sz w:val="18"/>
                <w:szCs w:val="18"/>
              </w:rPr>
              <w:t>”</w:t>
            </w:r>
          </w:p>
        </w:tc>
      </w:tr>
      <w:tr>
        <w:trPr>
          <w:trHeight w:val="3836"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80"/>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95" w:lineRule="auto"/>
              <w:ind w:left="105" w:right="94" w:hanging="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7"/>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初</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2088</w:t>
            </w:r>
          </w:p>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300" w:lineRule="auto" w:before="76"/>
              <w:ind w:left="105" w:right="94" w:hanging="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3"/>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16100</w:t>
            </w:r>
          </w:p>
          <w:p>
            <w:pPr>
              <w:pStyle w:val="TableParagraph"/>
              <w:spacing w:line="240" w:lineRule="auto" w:before="67"/>
              <w:ind w:left="9" w:right="0"/>
              <w:jc w:val="center"/>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桑瑞思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99"/>
              <w:jc w:val="left"/>
              <w:rPr>
                <w:rFonts w:ascii="宋体" w:hAnsi="宋体" w:cs="宋体" w:eastAsia="宋体" w:hint="default"/>
                <w:sz w:val="18"/>
                <w:szCs w:val="18"/>
              </w:rPr>
            </w:pPr>
            <w:r>
              <w:rPr>
                <w:rFonts w:ascii="宋体" w:hAnsi="宋体" w:cs="宋体" w:eastAsia="宋体" w:hint="default"/>
                <w:sz w:val="18"/>
                <w:szCs w:val="18"/>
              </w:rPr>
              <w:t>中国第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四冶金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建设有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限责任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3"/>
                <w:w w:val="101"/>
                <w:sz w:val="18"/>
                <w:szCs w:val="18"/>
              </w:rPr>
              <w:t>公司、四</w:t>
            </w:r>
            <w:r>
              <w:rPr>
                <w:rFonts w:ascii="宋体" w:hAnsi="宋体" w:cs="宋体" w:eastAsia="宋体" w:hint="default"/>
                <w:w w:val="101"/>
                <w:sz w:val="18"/>
                <w:szCs w:val="18"/>
              </w:rPr>
              <w:t> </w:t>
            </w:r>
            <w:r>
              <w:rPr>
                <w:rFonts w:ascii="宋体" w:hAnsi="宋体" w:cs="宋体" w:eastAsia="宋体" w:hint="default"/>
                <w:sz w:val="18"/>
                <w:szCs w:val="18"/>
              </w:rPr>
              <w:t>川省妇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幼保健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3"/>
                <w:w w:val="101"/>
                <w:sz w:val="18"/>
                <w:szCs w:val="18"/>
              </w:rPr>
              <w:t>院；郫县</w:t>
            </w:r>
            <w:r>
              <w:rPr>
                <w:rFonts w:ascii="宋体" w:hAnsi="宋体" w:cs="宋体" w:eastAsia="宋体" w:hint="default"/>
                <w:w w:val="101"/>
                <w:sz w:val="18"/>
                <w:szCs w:val="18"/>
              </w:rPr>
              <w:t> </w:t>
            </w:r>
            <w:r>
              <w:rPr>
                <w:rFonts w:ascii="宋体" w:hAnsi="宋体" w:cs="宋体" w:eastAsia="宋体" w:hint="default"/>
                <w:sz w:val="18"/>
                <w:szCs w:val="18"/>
              </w:rPr>
              <w:t>嘉恒建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材经营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3"/>
                <w:w w:val="101"/>
                <w:sz w:val="18"/>
                <w:szCs w:val="18"/>
              </w:rPr>
              <w:t>部、陈涛</w:t>
            </w:r>
            <w:r>
              <w:rPr>
                <w:rFonts w:ascii="宋体" w:hAnsi="宋体" w:cs="宋体" w:eastAsia="宋体" w:hint="default"/>
                <w:spacing w:val="-23"/>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00" w:right="99"/>
              <w:jc w:val="left"/>
              <w:rPr>
                <w:rFonts w:ascii="宋体" w:hAnsi="宋体" w:cs="宋体" w:eastAsia="宋体" w:hint="default"/>
                <w:sz w:val="18"/>
                <w:szCs w:val="18"/>
              </w:rPr>
            </w:pPr>
            <w:r>
              <w:rPr>
                <w:rFonts w:ascii="宋体" w:hAnsi="宋体" w:cs="宋体" w:eastAsia="宋体" w:hint="default"/>
                <w:sz w:val="18"/>
                <w:szCs w:val="18"/>
              </w:rPr>
              <w:t>建筑工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3"/>
                <w:w w:val="101"/>
                <w:sz w:val="18"/>
                <w:szCs w:val="18"/>
              </w:rPr>
              <w:t>纷、案外</w:t>
            </w:r>
            <w:r>
              <w:rPr>
                <w:rFonts w:ascii="宋体" w:hAnsi="宋体" w:cs="宋体" w:eastAsia="宋体" w:hint="default"/>
                <w:w w:val="101"/>
                <w:sz w:val="18"/>
                <w:szCs w:val="18"/>
              </w:rPr>
              <w:t> </w:t>
            </w:r>
            <w:r>
              <w:rPr>
                <w:rFonts w:ascii="宋体" w:hAnsi="宋体" w:cs="宋体" w:eastAsia="宋体" w:hint="default"/>
                <w:sz w:val="18"/>
                <w:szCs w:val="18"/>
              </w:rPr>
              <w:t>人执行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异议之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3"/>
              <w:jc w:val="right"/>
              <w:rPr>
                <w:rFonts w:ascii="Times New Roman" w:hAnsi="Times New Roman" w:cs="Times New Roman" w:eastAsia="Times New Roman" w:hint="default"/>
                <w:sz w:val="18"/>
                <w:szCs w:val="18"/>
              </w:rPr>
            </w:pPr>
            <w:r>
              <w:rPr>
                <w:rFonts w:ascii="Times New Roman"/>
                <w:spacing w:val="-1"/>
                <w:sz w:val="18"/>
              </w:rPr>
              <w:t>191.24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 w:right="0"/>
              <w:jc w:val="center"/>
              <w:rPr>
                <w:rFonts w:ascii="宋体" w:hAnsi="宋体" w:cs="宋体" w:eastAsia="宋体" w:hint="default"/>
                <w:sz w:val="18"/>
                <w:szCs w:val="18"/>
              </w:rPr>
            </w:pPr>
            <w:r>
              <w:rPr>
                <w:rFonts w:ascii="宋体" w:hAnsi="宋体" w:cs="宋体" w:eastAsia="宋体" w:hint="default"/>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日收到一审判决，我方胜诉，判</w:t>
            </w:r>
          </w:p>
          <w:p>
            <w:pPr>
              <w:pStyle w:val="TableParagraph"/>
              <w:spacing w:line="309" w:lineRule="auto" w:before="58"/>
              <w:ind w:left="105"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决被告四冶支付桑瑞思工程款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1,912,402.13</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元，</w:t>
            </w:r>
            <w:r>
              <w:rPr>
                <w:rFonts w:ascii="宋体" w:hAnsi="宋体" w:cs="宋体" w:eastAsia="宋体" w:hint="default"/>
                <w:spacing w:val="-5"/>
                <w:w w:val="101"/>
                <w:sz w:val="18"/>
                <w:szCs w:val="18"/>
              </w:rPr>
              <w:t> </w:t>
            </w:r>
            <w:r>
              <w:rPr>
                <w:rFonts w:ascii="宋体" w:hAnsi="宋体" w:cs="宋体" w:eastAsia="宋体" w:hint="default"/>
                <w:sz w:val="18"/>
                <w:szCs w:val="18"/>
              </w:rPr>
              <w:t>省妇幼保健院承担付款义务。</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日武侯区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人民法院受理了我司强制执行申请，执行过程</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中因被告四冶存在其他诉讼纠纷，成都市金牛</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区法院将应支付我方的工程款进行了扣划，我</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方认为该工程款应当属于我方所有，所以起诉</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郫县嘉恒建材经营部、陈涛要求排除执行，</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日金牛区法院一审开庭，</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日判决驳回我方请求。我方不服，已提起上诉</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至成都市中级人民法院，并于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日缴纳了上诉费，等待</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日二审开庭。</w:t>
            </w:r>
          </w:p>
        </w:tc>
      </w:tr>
      <w:tr>
        <w:trPr>
          <w:trHeight w:val="1661"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5"/>
              <w:ind w:left="105" w:right="94" w:firstLine="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桑瑞思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05" w:right="195"/>
              <w:jc w:val="both"/>
              <w:rPr>
                <w:rFonts w:ascii="宋体" w:hAnsi="宋体" w:cs="宋体" w:eastAsia="宋体" w:hint="default"/>
                <w:sz w:val="18"/>
                <w:szCs w:val="18"/>
              </w:rPr>
            </w:pPr>
            <w:r>
              <w:rPr>
                <w:rFonts w:ascii="宋体" w:hAnsi="宋体" w:cs="宋体" w:eastAsia="宋体" w:hint="default"/>
                <w:sz w:val="18"/>
                <w:szCs w:val="18"/>
              </w:rPr>
              <w:t>唐山助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00" w:right="195"/>
              <w:jc w:val="both"/>
              <w:rPr>
                <w:rFonts w:ascii="宋体" w:hAnsi="宋体" w:cs="宋体" w:eastAsia="宋体" w:hint="default"/>
                <w:sz w:val="18"/>
                <w:szCs w:val="18"/>
              </w:rPr>
            </w:pPr>
            <w:r>
              <w:rPr>
                <w:rFonts w:ascii="宋体" w:hAnsi="宋体" w:cs="宋体" w:eastAsia="宋体" w:hint="default"/>
                <w:sz w:val="18"/>
                <w:szCs w:val="18"/>
              </w:rPr>
              <w:t>建筑工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233"/>
              <w:jc w:val="right"/>
              <w:rPr>
                <w:rFonts w:ascii="Times New Roman" w:hAnsi="Times New Roman" w:cs="Times New Roman" w:eastAsia="Times New Roman" w:hint="default"/>
                <w:sz w:val="18"/>
                <w:szCs w:val="18"/>
              </w:rPr>
            </w:pPr>
            <w:r>
              <w:rPr>
                <w:rFonts w:ascii="Times New Roman"/>
                <w:spacing w:val="-1"/>
                <w:sz w:val="18"/>
              </w:rPr>
              <w:t>621.77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日双方达成和解，被告分期支付</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桑瑞思工程款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6,181,297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元。桑瑞思于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日</w:t>
            </w:r>
            <w:r>
              <w:rPr>
                <w:rFonts w:ascii="宋体" w:hAnsi="宋体" w:cs="宋体" w:eastAsia="宋体" w:hint="default"/>
                <w:spacing w:val="-5"/>
                <w:w w:val="101"/>
                <w:sz w:val="18"/>
                <w:szCs w:val="18"/>
              </w:rPr>
              <w:t>收</w:t>
            </w:r>
            <w:r>
              <w:rPr>
                <w:rFonts w:ascii="宋体" w:hAnsi="宋体" w:cs="宋体" w:eastAsia="宋体" w:hint="default"/>
                <w:w w:val="101"/>
                <w:sz w:val="18"/>
                <w:szCs w:val="18"/>
              </w:rPr>
              <w:t>到</w:t>
            </w:r>
            <w:r>
              <w:rPr>
                <w:rFonts w:ascii="宋体" w:hAnsi="宋体" w:cs="宋体" w:eastAsia="宋体" w:hint="default"/>
                <w:spacing w:val="-5"/>
                <w:w w:val="101"/>
                <w:sz w:val="18"/>
                <w:szCs w:val="18"/>
              </w:rPr>
              <w:t>第</w:t>
            </w:r>
            <w:r>
              <w:rPr>
                <w:rFonts w:ascii="宋体" w:hAnsi="宋体" w:cs="宋体" w:eastAsia="宋体" w:hint="default"/>
                <w:w w:val="101"/>
                <w:sz w:val="18"/>
                <w:szCs w:val="18"/>
              </w:rPr>
              <w:t>一</w:t>
            </w:r>
            <w:r>
              <w:rPr>
                <w:rFonts w:ascii="宋体" w:hAnsi="宋体" w:cs="宋体" w:eastAsia="宋体" w:hint="default"/>
                <w:spacing w:val="-5"/>
                <w:w w:val="101"/>
                <w:sz w:val="18"/>
                <w:szCs w:val="18"/>
              </w:rPr>
              <w:t>笔</w:t>
            </w:r>
            <w:r>
              <w:rPr>
                <w:rFonts w:ascii="宋体" w:hAnsi="宋体" w:cs="宋体" w:eastAsia="宋体" w:hint="default"/>
                <w:w w:val="101"/>
                <w:sz w:val="18"/>
                <w:szCs w:val="18"/>
              </w:rPr>
              <w:t>付款</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280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spacing w:val="-82"/>
                <w:w w:val="101"/>
                <w:sz w:val="18"/>
                <w:szCs w:val="18"/>
              </w:rPr>
              <w:t>，</w:t>
            </w:r>
            <w:r>
              <w:rPr>
                <w:rFonts w:ascii="宋体" w:hAnsi="宋体" w:cs="宋体" w:eastAsia="宋体" w:hint="default"/>
                <w:w w:val="101"/>
                <w:sz w:val="18"/>
                <w:szCs w:val="18"/>
              </w:rPr>
              <w:t>于</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17</w:t>
            </w:r>
            <w:r>
              <w:rPr>
                <w:rFonts w:ascii="Times New Roman" w:hAnsi="Times New Roman" w:cs="Times New Roman" w:eastAsia="Times New Roman" w:hint="default"/>
                <w:sz w:val="18"/>
                <w:szCs w:val="18"/>
              </w:rPr>
            </w:r>
          </w:p>
          <w:p>
            <w:pPr>
              <w:pStyle w:val="TableParagraph"/>
              <w:spacing w:line="304" w:lineRule="auto" w:before="63"/>
              <w:ind w:left="105" w:right="147"/>
              <w:jc w:val="left"/>
              <w:rPr>
                <w:rFonts w:ascii="宋体" w:hAnsi="宋体" w:cs="宋体" w:eastAsia="宋体" w:hint="default"/>
                <w:sz w:val="18"/>
                <w:szCs w:val="18"/>
              </w:rPr>
            </w:pPr>
            <w:r>
              <w:rPr>
                <w:rFonts w:ascii="宋体" w:hAnsi="宋体" w:cs="宋体" w:eastAsia="宋体" w:hint="default"/>
                <w:sz w:val="18"/>
                <w:szCs w:val="18"/>
              </w:rPr>
              <w:t>日收到第二笔付款</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万元，剩余款项暂未收</w:t>
            </w:r>
            <w:r>
              <w:rPr>
                <w:rFonts w:ascii="宋体" w:hAnsi="宋体" w:cs="宋体" w:eastAsia="宋体" w:hint="default"/>
                <w:w w:val="101"/>
                <w:sz w:val="18"/>
                <w:szCs w:val="18"/>
              </w:rPr>
              <w:t> </w:t>
            </w:r>
            <w:r>
              <w:rPr>
                <w:rFonts w:ascii="宋体" w:hAnsi="宋体" w:cs="宋体" w:eastAsia="宋体" w:hint="default"/>
                <w:sz w:val="18"/>
                <w:szCs w:val="18"/>
              </w:rPr>
              <w:t>到。</w:t>
            </w:r>
          </w:p>
        </w:tc>
      </w:tr>
      <w:tr>
        <w:trPr>
          <w:trHeight w:val="1421"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80"/>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300" w:lineRule="auto"/>
              <w:ind w:left="105" w:right="94" w:firstLine="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桑瑞思</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6"/>
              <w:ind w:left="105" w:right="195"/>
              <w:jc w:val="both"/>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宁河区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卫生健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康委员</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97"/>
              <w:ind w:left="100" w:right="195"/>
              <w:jc w:val="both"/>
              <w:rPr>
                <w:rFonts w:ascii="宋体" w:hAnsi="宋体" w:cs="宋体" w:eastAsia="宋体" w:hint="default"/>
                <w:sz w:val="18"/>
                <w:szCs w:val="18"/>
              </w:rPr>
            </w:pPr>
            <w:r>
              <w:rPr>
                <w:rFonts w:ascii="宋体" w:hAnsi="宋体" w:cs="宋体" w:eastAsia="宋体" w:hint="default"/>
                <w:sz w:val="18"/>
                <w:szCs w:val="18"/>
              </w:rPr>
              <w:t>建筑工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233"/>
              <w:jc w:val="right"/>
              <w:rPr>
                <w:rFonts w:ascii="Times New Roman" w:hAnsi="Times New Roman" w:cs="Times New Roman" w:eastAsia="Times New Roman" w:hint="default"/>
                <w:sz w:val="18"/>
                <w:szCs w:val="18"/>
              </w:rPr>
            </w:pPr>
            <w:r>
              <w:rPr>
                <w:rFonts w:ascii="Times New Roman"/>
                <w:spacing w:val="-1"/>
                <w:sz w:val="18"/>
              </w:rPr>
              <w:t>271.47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00" w:lineRule="auto"/>
              <w:ind w:left="105" w:right="94"/>
              <w:jc w:val="left"/>
              <w:rPr>
                <w:rFonts w:ascii="宋体" w:hAnsi="宋体" w:cs="宋体" w:eastAsia="宋体" w:hint="default"/>
                <w:sz w:val="18"/>
                <w:szCs w:val="18"/>
              </w:rPr>
            </w:pPr>
            <w:r>
              <w:rPr>
                <w:rFonts w:ascii="宋体" w:hAnsi="宋体" w:cs="宋体" w:eastAsia="宋体" w:hint="default"/>
                <w:sz w:val="18"/>
                <w:szCs w:val="18"/>
              </w:rPr>
              <w:t>一审于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日开庭，等待第二次庭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审。</w:t>
            </w:r>
          </w:p>
        </w:tc>
      </w:tr>
    </w:tbl>
    <w:p>
      <w:pPr>
        <w:spacing w:after="0" w:line="300" w:lineRule="auto"/>
        <w:jc w:val="left"/>
        <w:rPr>
          <w:rFonts w:ascii="宋体" w:hAnsi="宋体" w:cs="宋体" w:eastAsia="宋体" w:hint="default"/>
          <w:sz w:val="18"/>
          <w:szCs w:val="18"/>
        </w:rPr>
        <w:sectPr>
          <w:pgSz w:w="11910" w:h="16840"/>
          <w:pgMar w:header="863" w:footer="979"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61"/>
        <w:gridCol w:w="1018"/>
        <w:gridCol w:w="754"/>
        <w:gridCol w:w="855"/>
        <w:gridCol w:w="850"/>
        <w:gridCol w:w="989"/>
        <w:gridCol w:w="994"/>
        <w:gridCol w:w="951"/>
        <w:gridCol w:w="3870"/>
      </w:tblGrid>
      <w:tr>
        <w:trPr>
          <w:trHeight w:val="1421" w:hRule="exact"/>
        </w:trPr>
        <w:tc>
          <w:tcPr>
            <w:tcW w:w="461"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754"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5" w:right="0"/>
              <w:jc w:val="left"/>
              <w:rPr>
                <w:rFonts w:ascii="宋体" w:hAnsi="宋体" w:cs="宋体" w:eastAsia="宋体" w:hint="default"/>
                <w:sz w:val="18"/>
                <w:szCs w:val="18"/>
              </w:rPr>
            </w:pPr>
            <w:r>
              <w:rPr>
                <w:rFonts w:ascii="宋体" w:hAnsi="宋体" w:cs="宋体" w:eastAsia="宋体" w:hint="default"/>
                <w:w w:val="101"/>
                <w:sz w:val="18"/>
                <w:szCs w:val="18"/>
              </w:rPr>
              <w:t>会</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
        </w:tc>
      </w:tr>
      <w:tr>
        <w:trPr>
          <w:trHeight w:val="2583"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0"/>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95" w:lineRule="auto"/>
              <w:ind w:left="105" w:right="94" w:hanging="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7"/>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10931</w:t>
            </w:r>
          </w:p>
          <w:p>
            <w:pPr>
              <w:pStyle w:val="TableParagraph"/>
              <w:spacing w:line="240" w:lineRule="auto" w:before="67"/>
              <w:ind w:left="9" w:right="0"/>
              <w:jc w:val="center"/>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2"/>
              <w:ind w:left="100" w:right="98"/>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2"/>
              <w:jc w:val="left"/>
              <w:rPr>
                <w:rFonts w:ascii="宋体" w:hAnsi="宋体" w:cs="宋体" w:eastAsia="宋体" w:hint="default"/>
                <w:sz w:val="18"/>
                <w:szCs w:val="18"/>
              </w:rPr>
            </w:pPr>
            <w:r>
              <w:rPr>
                <w:rFonts w:ascii="宋体" w:hAnsi="宋体" w:cs="宋体" w:eastAsia="宋体" w:hint="default"/>
                <w:sz w:val="18"/>
                <w:szCs w:val="18"/>
              </w:rPr>
              <w:t>徐州嘉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安健康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江苏北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松健康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产业有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9" w:lineRule="auto"/>
              <w:ind w:left="100" w:right="195"/>
              <w:jc w:val="both"/>
              <w:rPr>
                <w:rFonts w:ascii="宋体" w:hAnsi="宋体" w:cs="宋体" w:eastAsia="宋体" w:hint="default"/>
                <w:sz w:val="18"/>
                <w:szCs w:val="18"/>
              </w:rPr>
            </w:pPr>
            <w:r>
              <w:rPr>
                <w:rFonts w:ascii="宋体" w:hAnsi="宋体" w:cs="宋体" w:eastAsia="宋体" w:hint="default"/>
                <w:sz w:val="18"/>
                <w:szCs w:val="18"/>
              </w:rPr>
              <w:t>建筑工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9" w:right="0"/>
              <w:jc w:val="center"/>
              <w:rPr>
                <w:rFonts w:ascii="Times New Roman" w:hAnsi="Times New Roman" w:cs="Times New Roman" w:eastAsia="Times New Roman" w:hint="default"/>
                <w:sz w:val="18"/>
                <w:szCs w:val="18"/>
              </w:rPr>
            </w:pPr>
            <w:r>
              <w:rPr>
                <w:rFonts w:ascii="Times New Roman"/>
                <w:sz w:val="18"/>
              </w:rPr>
              <w:t>555.72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2" w:lineRule="auto"/>
              <w:ind w:left="105" w:right="94"/>
              <w:jc w:val="both"/>
              <w:rPr>
                <w:rFonts w:ascii="宋体" w:hAnsi="宋体" w:cs="宋体" w:eastAsia="宋体" w:hint="default"/>
                <w:sz w:val="18"/>
                <w:szCs w:val="18"/>
              </w:rPr>
            </w:pPr>
            <w:r>
              <w:rPr>
                <w:rFonts w:ascii="宋体" w:hAnsi="宋体" w:cs="宋体" w:eastAsia="宋体" w:hint="default"/>
                <w:sz w:val="18"/>
                <w:szCs w:val="18"/>
              </w:rPr>
              <w:t>法院于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日对我司财产保全申请作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出裁定，对方名下一块宗地被查封，宗地号：</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Times New Roman" w:hAnsi="Times New Roman" w:cs="Times New Roman" w:eastAsia="Times New Roman" w:hint="default"/>
                <w:sz w:val="18"/>
                <w:szCs w:val="18"/>
              </w:rPr>
              <w:t>2017-23</w:t>
            </w:r>
            <w:r>
              <w:rPr>
                <w:rFonts w:ascii="Times New Roman" w:hAnsi="Times New Roman" w:cs="Times New Roman" w:eastAsia="Times New Roman" w:hint="default"/>
                <w:spacing w:val="36"/>
                <w:sz w:val="18"/>
                <w:szCs w:val="18"/>
              </w:rPr>
              <w:t> </w:t>
            </w:r>
            <w:r>
              <w:rPr>
                <w:rFonts w:ascii="宋体" w:hAnsi="宋体" w:cs="宋体" w:eastAsia="宋体" w:hint="default"/>
                <w:spacing w:val="-3"/>
                <w:sz w:val="18"/>
                <w:szCs w:val="18"/>
              </w:rPr>
              <w:t>号。一审开庭尚未通知。</w:t>
            </w:r>
          </w:p>
        </w:tc>
      </w:tr>
      <w:tr>
        <w:trPr>
          <w:trHeight w:val="1652"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9"/>
              <w:ind w:left="105" w:right="94" w:firstLine="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7"/>
              <w:ind w:left="144"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100" w:right="98"/>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95"/>
              <w:jc w:val="both"/>
              <w:rPr>
                <w:rFonts w:ascii="宋体" w:hAnsi="宋体" w:cs="宋体" w:eastAsia="宋体" w:hint="default"/>
                <w:sz w:val="18"/>
                <w:szCs w:val="18"/>
              </w:rPr>
            </w:pPr>
            <w:r>
              <w:rPr>
                <w:rFonts w:ascii="宋体" w:hAnsi="宋体" w:cs="宋体" w:eastAsia="宋体" w:hint="default"/>
                <w:sz w:val="18"/>
                <w:szCs w:val="18"/>
              </w:rPr>
              <w:t>郑州市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景安网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络科技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0" w:right="195"/>
              <w:jc w:val="both"/>
              <w:rPr>
                <w:rFonts w:ascii="宋体" w:hAnsi="宋体" w:cs="宋体" w:eastAsia="宋体" w:hint="default"/>
                <w:sz w:val="18"/>
                <w:szCs w:val="18"/>
              </w:rPr>
            </w:pPr>
            <w:r>
              <w:rPr>
                <w:rFonts w:ascii="宋体" w:hAnsi="宋体" w:cs="宋体" w:eastAsia="宋体" w:hint="default"/>
                <w:sz w:val="18"/>
                <w:szCs w:val="18"/>
              </w:rPr>
              <w:t>建筑工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348.05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97" w:lineRule="auto"/>
              <w:ind w:left="105" w:right="146"/>
              <w:jc w:val="left"/>
              <w:rPr>
                <w:rFonts w:ascii="宋体" w:hAnsi="宋体" w:cs="宋体" w:eastAsia="宋体" w:hint="default"/>
                <w:sz w:val="18"/>
                <w:szCs w:val="18"/>
              </w:rPr>
            </w:pPr>
            <w:r>
              <w:rPr>
                <w:rFonts w:ascii="宋体" w:hAnsi="宋体" w:cs="宋体" w:eastAsia="宋体" w:hint="default"/>
                <w:sz w:val="18"/>
                <w:szCs w:val="18"/>
              </w:rPr>
              <w:t>法院于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日受理，于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日对</w:t>
            </w:r>
            <w:r>
              <w:rPr>
                <w:rFonts w:ascii="宋体" w:hAnsi="宋体" w:cs="宋体" w:eastAsia="宋体" w:hint="default"/>
                <w:w w:val="101"/>
                <w:sz w:val="18"/>
                <w:szCs w:val="18"/>
              </w:rPr>
              <w:t> </w:t>
            </w:r>
            <w:r>
              <w:rPr>
                <w:rFonts w:ascii="宋体" w:hAnsi="宋体" w:cs="宋体" w:eastAsia="宋体" w:hint="default"/>
                <w:spacing w:val="-3"/>
                <w:sz w:val="18"/>
                <w:szCs w:val="18"/>
              </w:rPr>
              <w:t>我司财产保全申请作出裁定，对方名下房产：</w:t>
            </w:r>
          </w:p>
          <w:p>
            <w:pPr>
              <w:pStyle w:val="TableParagraph"/>
              <w:spacing w:line="240" w:lineRule="auto" w:before="33"/>
              <w:ind w:left="10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2018</w:t>
            </w:r>
            <w:r>
              <w:rPr>
                <w:rFonts w:ascii="宋体" w:hAnsi="宋体" w:cs="宋体" w:eastAsia="宋体" w:hint="default"/>
                <w:spacing w:val="-5"/>
                <w:sz w:val="18"/>
                <w:szCs w:val="18"/>
              </w:rPr>
              <w:t>）郑州市不动产权第 </w:t>
            </w:r>
            <w:r>
              <w:rPr>
                <w:rFonts w:ascii="Times New Roman" w:hAnsi="Times New Roman" w:cs="Times New Roman" w:eastAsia="Times New Roman" w:hint="default"/>
                <w:sz w:val="18"/>
                <w:szCs w:val="18"/>
              </w:rPr>
              <w:t>0322313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号被查封，</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冻结银行存款 </w:t>
            </w:r>
            <w:r>
              <w:rPr>
                <w:rFonts w:ascii="Times New Roman" w:hAnsi="Times New Roman" w:cs="Times New Roman" w:eastAsia="Times New Roman" w:hint="default"/>
                <w:sz w:val="18"/>
                <w:szCs w:val="18"/>
              </w:rPr>
              <w:t>4,980.18</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元。一审开庭尚未通知。</w:t>
            </w:r>
          </w:p>
        </w:tc>
      </w:tr>
      <w:tr>
        <w:trPr>
          <w:trHeight w:val="1340"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80"/>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95" w:lineRule="auto"/>
              <w:ind w:left="105" w:right="94" w:firstLine="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100" w:right="98"/>
              <w:jc w:val="left"/>
              <w:rPr>
                <w:rFonts w:ascii="宋体" w:hAnsi="宋体" w:cs="宋体" w:eastAsia="宋体" w:hint="default"/>
                <w:sz w:val="18"/>
                <w:szCs w:val="18"/>
              </w:rPr>
            </w:pPr>
            <w:r>
              <w:rPr>
                <w:rFonts w:ascii="宋体" w:hAnsi="宋体" w:cs="宋体" w:eastAsia="宋体" w:hint="default"/>
                <w:sz w:val="18"/>
                <w:szCs w:val="18"/>
              </w:rPr>
              <w:t>深圳龙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95"/>
              <w:jc w:val="both"/>
              <w:rPr>
                <w:rFonts w:ascii="宋体" w:hAnsi="宋体" w:cs="宋体" w:eastAsia="宋体" w:hint="default"/>
                <w:sz w:val="18"/>
                <w:szCs w:val="18"/>
              </w:rPr>
            </w:pPr>
            <w:r>
              <w:rPr>
                <w:rFonts w:ascii="宋体" w:hAnsi="宋体" w:cs="宋体" w:eastAsia="宋体" w:hint="default"/>
                <w:sz w:val="18"/>
                <w:szCs w:val="18"/>
              </w:rPr>
              <w:t>上海慧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腾信息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100" w:right="195"/>
              <w:jc w:val="left"/>
              <w:rPr>
                <w:rFonts w:ascii="宋体" w:hAnsi="宋体" w:cs="宋体" w:eastAsia="宋体" w:hint="default"/>
                <w:sz w:val="18"/>
                <w:szCs w:val="18"/>
              </w:rPr>
            </w:pP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 w:right="0"/>
              <w:jc w:val="center"/>
              <w:rPr>
                <w:rFonts w:ascii="Times New Roman" w:hAnsi="Times New Roman" w:cs="Times New Roman" w:eastAsia="Times New Roman" w:hint="default"/>
                <w:sz w:val="18"/>
                <w:szCs w:val="18"/>
              </w:rPr>
            </w:pPr>
            <w:r>
              <w:rPr>
                <w:rFonts w:ascii="Times New Roman"/>
                <w:sz w:val="18"/>
              </w:rPr>
              <w:t>27.04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我司于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日起诉并缴款，一审将于</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日开庭。</w:t>
            </w:r>
          </w:p>
        </w:tc>
      </w:tr>
      <w:tr>
        <w:trPr>
          <w:trHeight w:val="1340"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0"/>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5" w:right="94" w:firstLine="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8"/>
              <w:ind w:left="105"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5044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0" w:right="98"/>
              <w:jc w:val="left"/>
              <w:rPr>
                <w:rFonts w:ascii="宋体" w:hAnsi="宋体" w:cs="宋体" w:eastAsia="宋体" w:hint="default"/>
                <w:sz w:val="18"/>
                <w:szCs w:val="18"/>
              </w:rPr>
            </w:pPr>
            <w:r>
              <w:rPr>
                <w:rFonts w:ascii="宋体" w:hAnsi="宋体" w:cs="宋体" w:eastAsia="宋体" w:hint="default"/>
                <w:sz w:val="18"/>
                <w:szCs w:val="18"/>
              </w:rPr>
              <w:t>江苏亿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95"/>
              <w:jc w:val="both"/>
              <w:rPr>
                <w:rFonts w:ascii="宋体" w:hAnsi="宋体" w:cs="宋体" w:eastAsia="宋体" w:hint="default"/>
                <w:sz w:val="18"/>
                <w:szCs w:val="18"/>
              </w:rPr>
            </w:pPr>
            <w:r>
              <w:rPr>
                <w:rFonts w:ascii="宋体" w:hAnsi="宋体" w:cs="宋体" w:eastAsia="宋体" w:hint="default"/>
                <w:sz w:val="18"/>
                <w:szCs w:val="18"/>
              </w:rPr>
              <w:t>杭州双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良中荷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环保有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0" w:right="195"/>
              <w:jc w:val="left"/>
              <w:rPr>
                <w:rFonts w:ascii="宋体" w:hAnsi="宋体" w:cs="宋体" w:eastAsia="宋体" w:hint="default"/>
                <w:sz w:val="18"/>
                <w:szCs w:val="18"/>
              </w:rPr>
            </w:pPr>
            <w:r>
              <w:rPr>
                <w:rFonts w:ascii="宋体" w:hAnsi="宋体" w:cs="宋体" w:eastAsia="宋体" w:hint="default"/>
                <w:sz w:val="18"/>
                <w:szCs w:val="18"/>
              </w:rPr>
              <w:t>买卖合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同纠纷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 w:right="0"/>
              <w:jc w:val="center"/>
              <w:rPr>
                <w:rFonts w:ascii="Times New Roman" w:hAnsi="Times New Roman" w:cs="Times New Roman" w:eastAsia="Times New Roman" w:hint="default"/>
                <w:sz w:val="18"/>
                <w:szCs w:val="18"/>
              </w:rPr>
            </w:pPr>
            <w:r>
              <w:rPr>
                <w:rFonts w:ascii="Times New Roman"/>
                <w:sz w:val="18"/>
              </w:rPr>
              <w:t>353.60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105" w:right="239"/>
              <w:jc w:val="left"/>
              <w:rPr>
                <w:rFonts w:ascii="宋体" w:hAnsi="宋体" w:cs="宋体" w:eastAsia="宋体" w:hint="default"/>
                <w:sz w:val="18"/>
                <w:szCs w:val="18"/>
              </w:rPr>
            </w:pPr>
            <w:r>
              <w:rPr>
                <w:rFonts w:ascii="宋体" w:hAnsi="宋体" w:cs="宋体" w:eastAsia="宋体" w:hint="default"/>
                <w:spacing w:val="-3"/>
                <w:sz w:val="18"/>
                <w:szCs w:val="18"/>
              </w:rPr>
              <w:t>因管辖权异议重新在拱墅区人民法院递交诉</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状，已进行开庭，暂未判决，</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日申请了诉前保全。</w:t>
            </w:r>
          </w:p>
        </w:tc>
      </w:tr>
      <w:tr>
        <w:trPr>
          <w:trHeight w:val="1335"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0"/>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5" w:right="94" w:firstLine="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5388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0" w:right="98"/>
              <w:jc w:val="left"/>
              <w:rPr>
                <w:rFonts w:ascii="宋体" w:hAnsi="宋体" w:cs="宋体" w:eastAsia="宋体" w:hint="default"/>
                <w:sz w:val="18"/>
                <w:szCs w:val="18"/>
              </w:rPr>
            </w:pPr>
            <w:r>
              <w:rPr>
                <w:rFonts w:ascii="宋体" w:hAnsi="宋体" w:cs="宋体" w:eastAsia="宋体" w:hint="default"/>
                <w:sz w:val="18"/>
                <w:szCs w:val="18"/>
              </w:rPr>
              <w:t>江苏亿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95"/>
              <w:jc w:val="both"/>
              <w:rPr>
                <w:rFonts w:ascii="宋体" w:hAnsi="宋体" w:cs="宋体" w:eastAsia="宋体" w:hint="default"/>
                <w:sz w:val="18"/>
                <w:szCs w:val="18"/>
              </w:rPr>
            </w:pPr>
            <w:r>
              <w:rPr>
                <w:rFonts w:ascii="宋体" w:hAnsi="宋体" w:cs="宋体" w:eastAsia="宋体" w:hint="default"/>
                <w:sz w:val="18"/>
                <w:szCs w:val="18"/>
              </w:rPr>
              <w:t>福建三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宝钢铁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0" w:right="195"/>
              <w:jc w:val="left"/>
              <w:rPr>
                <w:rFonts w:ascii="宋体" w:hAnsi="宋体" w:cs="宋体" w:eastAsia="宋体" w:hint="default"/>
                <w:sz w:val="18"/>
                <w:szCs w:val="18"/>
              </w:rPr>
            </w:pPr>
            <w:r>
              <w:rPr>
                <w:rFonts w:ascii="宋体" w:hAnsi="宋体" w:cs="宋体" w:eastAsia="宋体" w:hint="default"/>
                <w:sz w:val="18"/>
                <w:szCs w:val="18"/>
              </w:rPr>
              <w:t>买卖合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同纠纷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 w:right="0"/>
              <w:jc w:val="center"/>
              <w:rPr>
                <w:rFonts w:ascii="Times New Roman" w:hAnsi="Times New Roman" w:cs="Times New Roman" w:eastAsia="Times New Roman" w:hint="default"/>
                <w:sz w:val="18"/>
                <w:szCs w:val="18"/>
              </w:rPr>
            </w:pPr>
            <w:r>
              <w:rPr>
                <w:rFonts w:ascii="Times New Roman"/>
                <w:sz w:val="18"/>
              </w:rPr>
              <w:t>574.92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8"/>
              <w:ind w:left="105" w:right="147"/>
              <w:jc w:val="left"/>
              <w:rPr>
                <w:rFonts w:ascii="宋体" w:hAnsi="宋体" w:cs="宋体" w:eastAsia="宋体" w:hint="default"/>
                <w:sz w:val="18"/>
                <w:szCs w:val="18"/>
              </w:rPr>
            </w:pPr>
            <w:r>
              <w:rPr>
                <w:rFonts w:ascii="宋体" w:hAnsi="宋体" w:cs="宋体" w:eastAsia="宋体" w:hint="default"/>
                <w:sz w:val="18"/>
                <w:szCs w:val="18"/>
              </w:rPr>
              <w:t>法院于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日受理，已进行第一次</w:t>
            </w:r>
            <w:r>
              <w:rPr>
                <w:rFonts w:ascii="宋体" w:hAnsi="宋体" w:cs="宋体" w:eastAsia="宋体" w:hint="default"/>
                <w:w w:val="101"/>
                <w:sz w:val="18"/>
                <w:szCs w:val="18"/>
              </w:rPr>
              <w:t> </w:t>
            </w:r>
            <w:r>
              <w:rPr>
                <w:rFonts w:ascii="宋体" w:hAnsi="宋体" w:cs="宋体" w:eastAsia="宋体" w:hint="default"/>
                <w:spacing w:val="-3"/>
                <w:sz w:val="18"/>
                <w:szCs w:val="18"/>
              </w:rPr>
              <w:t>开庭，第二次开庭，等待判决。</w:t>
            </w:r>
          </w:p>
        </w:tc>
      </w:tr>
      <w:tr>
        <w:trPr>
          <w:trHeight w:val="403" w:hRule="exact"/>
        </w:trPr>
        <w:tc>
          <w:tcPr>
            <w:tcW w:w="39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2,943.81</w:t>
            </w:r>
          </w:p>
        </w:tc>
        <w:tc>
          <w:tcPr>
            <w:tcW w:w="994"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742" w:type="dxa"/>
            <w:gridSpan w:val="9"/>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53"/>
              <w:ind w:left="4"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二、公司及子公司作为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被告</w:t>
            </w:r>
            <w:r>
              <w:rPr>
                <w:rFonts w:ascii="Times New Roman" w:hAnsi="Times New Roman" w:cs="Times New Roman" w:eastAsia="Times New Roman" w:hint="default"/>
                <w:spacing w:val="-3"/>
                <w:sz w:val="18"/>
                <w:szCs w:val="18"/>
              </w:rPr>
              <w:t>”</w:t>
            </w:r>
          </w:p>
        </w:tc>
      </w:tr>
      <w:tr>
        <w:trPr>
          <w:trHeight w:val="1340"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0"/>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105" w:right="94" w:firstLine="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7"/>
              <w:ind w:left="144"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上海盟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程建筑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5" w:right="195"/>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95"/>
              <w:jc w:val="both"/>
              <w:rPr>
                <w:rFonts w:ascii="宋体" w:hAnsi="宋体" w:cs="宋体" w:eastAsia="宋体" w:hint="default"/>
                <w:sz w:val="18"/>
                <w:szCs w:val="18"/>
              </w:rPr>
            </w:pPr>
            <w:r>
              <w:rPr>
                <w:rFonts w:ascii="宋体" w:hAnsi="宋体" w:cs="宋体" w:eastAsia="宋体" w:hint="default"/>
                <w:sz w:val="18"/>
                <w:szCs w:val="18"/>
              </w:rPr>
              <w:t>建筑工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9" w:right="0"/>
              <w:jc w:val="center"/>
              <w:rPr>
                <w:rFonts w:ascii="Times New Roman" w:hAnsi="Times New Roman" w:cs="Times New Roman" w:eastAsia="Times New Roman" w:hint="default"/>
                <w:sz w:val="18"/>
                <w:szCs w:val="18"/>
              </w:rPr>
            </w:pPr>
            <w:r>
              <w:rPr>
                <w:rFonts w:ascii="Times New Roman"/>
                <w:sz w:val="18"/>
              </w:rPr>
              <w:t>237.73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月已受理，已开庭，造价鉴定终稿于</w:t>
            </w:r>
          </w:p>
          <w:p>
            <w:pPr>
              <w:pStyle w:val="TableParagraph"/>
              <w:spacing w:line="304" w:lineRule="auto" w:before="63"/>
              <w:ind w:left="105" w:right="94"/>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2020</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年</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月</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13</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16"/>
                <w:w w:val="101"/>
                <w:sz w:val="18"/>
                <w:szCs w:val="18"/>
              </w:rPr>
              <w:t>日做出，将于</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3"/>
                <w:w w:val="101"/>
                <w:sz w:val="18"/>
                <w:szCs w:val="18"/>
              </w:rPr>
              <w:t> </w:t>
            </w:r>
            <w:r>
              <w:rPr>
                <w:rFonts w:ascii="宋体" w:hAnsi="宋体" w:cs="宋体" w:eastAsia="宋体" w:hint="default"/>
                <w:w w:val="101"/>
                <w:sz w:val="18"/>
                <w:szCs w:val="18"/>
              </w:rPr>
              <w:t>月</w:t>
            </w:r>
            <w:r>
              <w:rPr>
                <w:rFonts w:ascii="宋体" w:hAnsi="宋体" w:cs="宋体" w:eastAsia="宋体" w:hint="default"/>
                <w:spacing w:val="-49"/>
                <w:w w:val="101"/>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3"/>
                <w:w w:val="101"/>
                <w:sz w:val="18"/>
                <w:szCs w:val="18"/>
              </w:rPr>
              <w:t> </w:t>
            </w:r>
            <w:r>
              <w:rPr>
                <w:rFonts w:ascii="宋体" w:hAnsi="宋体" w:cs="宋体" w:eastAsia="宋体" w:hint="default"/>
                <w:spacing w:val="-2"/>
                <w:w w:val="101"/>
                <w:sz w:val="18"/>
                <w:szCs w:val="18"/>
              </w:rPr>
              <w:t>日对鉴定结</w:t>
            </w:r>
            <w:r>
              <w:rPr>
                <w:rFonts w:ascii="宋体" w:hAnsi="宋体" w:cs="宋体" w:eastAsia="宋体" w:hint="default"/>
                <w:w w:val="101"/>
                <w:sz w:val="18"/>
                <w:szCs w:val="18"/>
              </w:rPr>
              <w:t> </w:t>
            </w:r>
            <w:r>
              <w:rPr>
                <w:rFonts w:ascii="宋体" w:hAnsi="宋体" w:cs="宋体" w:eastAsia="宋体" w:hint="default"/>
                <w:sz w:val="18"/>
                <w:szCs w:val="18"/>
              </w:rPr>
              <w:t>论进行开庭质证。</w:t>
            </w:r>
          </w:p>
        </w:tc>
      </w:tr>
      <w:tr>
        <w:trPr>
          <w:trHeight w:val="1647"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沪</w:t>
            </w:r>
          </w:p>
          <w:p>
            <w:pPr>
              <w:pStyle w:val="TableParagraph"/>
              <w:spacing w:line="240" w:lineRule="auto" w:before="58"/>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民初</w:t>
            </w:r>
            <w:r>
              <w:rPr>
                <w:rFonts w:ascii="宋体" w:hAnsi="宋体" w:cs="宋体" w:eastAsia="宋体" w:hint="default"/>
                <w:sz w:val="18"/>
                <w:szCs w:val="18"/>
              </w:rPr>
            </w:r>
          </w:p>
          <w:p>
            <w:pPr>
              <w:pStyle w:val="TableParagraph"/>
              <w:spacing w:line="240" w:lineRule="auto" w:before="68"/>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8484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常州华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一防静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电活动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地板有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05"/>
              <w:ind w:left="105" w:right="195"/>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05"/>
              <w:ind w:left="100" w:right="195"/>
              <w:jc w:val="left"/>
              <w:rPr>
                <w:rFonts w:ascii="宋体" w:hAnsi="宋体" w:cs="宋体" w:eastAsia="宋体" w:hint="default"/>
                <w:sz w:val="18"/>
                <w:szCs w:val="18"/>
              </w:rPr>
            </w:pPr>
            <w:r>
              <w:rPr>
                <w:rFonts w:ascii="宋体" w:hAnsi="宋体" w:cs="宋体" w:eastAsia="宋体" w:hint="default"/>
                <w:sz w:val="18"/>
                <w:szCs w:val="18"/>
              </w:rPr>
              <w:t>买卖合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同纠纷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273.92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05"/>
              <w:ind w:left="10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日法院作出判决，我方败诉，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已提起上诉，待二审开庭。</w:t>
            </w:r>
          </w:p>
        </w:tc>
      </w:tr>
    </w:tbl>
    <w:p>
      <w:pPr>
        <w:spacing w:after="0" w:line="304" w:lineRule="auto"/>
        <w:jc w:val="left"/>
        <w:rPr>
          <w:rFonts w:ascii="宋体" w:hAnsi="宋体" w:cs="宋体" w:eastAsia="宋体" w:hint="default"/>
          <w:sz w:val="18"/>
          <w:szCs w:val="18"/>
        </w:rPr>
        <w:sectPr>
          <w:pgSz w:w="11910" w:h="16840"/>
          <w:pgMar w:header="863" w:footer="979"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61"/>
        <w:gridCol w:w="1018"/>
        <w:gridCol w:w="754"/>
        <w:gridCol w:w="855"/>
        <w:gridCol w:w="850"/>
        <w:gridCol w:w="989"/>
        <w:gridCol w:w="994"/>
        <w:gridCol w:w="951"/>
        <w:gridCol w:w="3870"/>
      </w:tblGrid>
      <w:tr>
        <w:trPr>
          <w:trHeight w:val="1652"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4"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云</w:t>
            </w:r>
          </w:p>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0114</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民初</w:t>
            </w:r>
            <w:r>
              <w:rPr>
                <w:rFonts w:ascii="宋体" w:hAnsi="宋体" w:cs="宋体" w:eastAsia="宋体" w:hint="default"/>
                <w:sz w:val="18"/>
                <w:szCs w:val="18"/>
              </w:rPr>
            </w:r>
          </w:p>
          <w:p>
            <w:pPr>
              <w:pStyle w:val="TableParagraph"/>
              <w:spacing w:line="240" w:lineRule="auto" w:before="68"/>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0" w:right="98"/>
              <w:jc w:val="both"/>
              <w:rPr>
                <w:rFonts w:ascii="宋体" w:hAnsi="宋体" w:cs="宋体" w:eastAsia="宋体" w:hint="default"/>
                <w:sz w:val="18"/>
                <w:szCs w:val="18"/>
              </w:rPr>
            </w:pPr>
            <w:r>
              <w:rPr>
                <w:rFonts w:ascii="宋体" w:hAnsi="宋体" w:cs="宋体" w:eastAsia="宋体" w:hint="default"/>
                <w:sz w:val="18"/>
                <w:szCs w:val="18"/>
              </w:rPr>
              <w:t>广州力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辉恒宇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展览有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195"/>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0" w:right="195"/>
              <w:jc w:val="left"/>
              <w:rPr>
                <w:rFonts w:ascii="宋体" w:hAnsi="宋体" w:cs="宋体" w:eastAsia="宋体" w:hint="default"/>
                <w:sz w:val="18"/>
                <w:szCs w:val="18"/>
              </w:rPr>
            </w:pPr>
            <w:r>
              <w:rPr>
                <w:rFonts w:ascii="宋体" w:hAnsi="宋体" w:cs="宋体" w:eastAsia="宋体" w:hint="default"/>
                <w:sz w:val="18"/>
                <w:szCs w:val="18"/>
              </w:rPr>
              <w:t>买卖合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同纠纷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221.42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收</w:t>
            </w:r>
            <w:r>
              <w:rPr>
                <w:rFonts w:ascii="宋体" w:hAnsi="宋体" w:cs="宋体" w:eastAsia="宋体" w:hint="default"/>
                <w:w w:val="101"/>
                <w:sz w:val="18"/>
                <w:szCs w:val="18"/>
              </w:rPr>
              <w:t>到</w:t>
            </w:r>
            <w:r>
              <w:rPr>
                <w:rFonts w:ascii="宋体" w:hAnsi="宋体" w:cs="宋体" w:eastAsia="宋体" w:hint="default"/>
                <w:spacing w:val="-5"/>
                <w:w w:val="101"/>
                <w:sz w:val="18"/>
                <w:szCs w:val="18"/>
              </w:rPr>
              <w:t>一</w:t>
            </w:r>
            <w:r>
              <w:rPr>
                <w:rFonts w:ascii="宋体" w:hAnsi="宋体" w:cs="宋体" w:eastAsia="宋体" w:hint="default"/>
                <w:w w:val="101"/>
                <w:sz w:val="18"/>
                <w:szCs w:val="18"/>
              </w:rPr>
              <w:t>审</w:t>
            </w:r>
            <w:r>
              <w:rPr>
                <w:rFonts w:ascii="宋体" w:hAnsi="宋体" w:cs="宋体" w:eastAsia="宋体" w:hint="default"/>
                <w:spacing w:val="-5"/>
                <w:w w:val="101"/>
                <w:sz w:val="18"/>
                <w:szCs w:val="18"/>
              </w:rPr>
              <w:t>判</w:t>
            </w:r>
            <w:r>
              <w:rPr>
                <w:rFonts w:ascii="宋体" w:hAnsi="宋体" w:cs="宋体" w:eastAsia="宋体" w:hint="default"/>
                <w:w w:val="101"/>
                <w:sz w:val="18"/>
                <w:szCs w:val="18"/>
              </w:rPr>
              <w:t>决</w:t>
            </w:r>
            <w:r>
              <w:rPr>
                <w:rFonts w:ascii="宋体" w:hAnsi="宋体" w:cs="宋体" w:eastAsia="宋体" w:hint="default"/>
                <w:spacing w:val="-5"/>
                <w:w w:val="101"/>
                <w:sz w:val="18"/>
                <w:szCs w:val="18"/>
              </w:rPr>
              <w:t>书</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我</w:t>
            </w:r>
            <w:r>
              <w:rPr>
                <w:rFonts w:ascii="宋体" w:hAnsi="宋体" w:cs="宋体" w:eastAsia="宋体" w:hint="default"/>
                <w:w w:val="101"/>
                <w:sz w:val="18"/>
                <w:szCs w:val="18"/>
              </w:rPr>
              <w:t>方</w:t>
            </w:r>
            <w:r>
              <w:rPr>
                <w:rFonts w:ascii="宋体" w:hAnsi="宋体" w:cs="宋体" w:eastAsia="宋体" w:hint="default"/>
                <w:spacing w:val="-5"/>
                <w:w w:val="101"/>
                <w:sz w:val="18"/>
                <w:szCs w:val="18"/>
              </w:rPr>
              <w:t>胜</w:t>
            </w:r>
            <w:r>
              <w:rPr>
                <w:rFonts w:ascii="宋体" w:hAnsi="宋体" w:cs="宋体" w:eastAsia="宋体" w:hint="default"/>
                <w:w w:val="101"/>
                <w:sz w:val="18"/>
                <w:szCs w:val="18"/>
              </w:rPr>
              <w:t>诉，</w:t>
            </w:r>
            <w:r>
              <w:rPr>
                <w:rFonts w:ascii="宋体" w:hAnsi="宋体" w:cs="宋体" w:eastAsia="宋体" w:hint="default"/>
                <w:sz w:val="18"/>
                <w:szCs w:val="18"/>
              </w:rPr>
            </w:r>
          </w:p>
          <w:p>
            <w:pPr>
              <w:pStyle w:val="TableParagraph"/>
              <w:spacing w:line="307" w:lineRule="auto" w:before="58"/>
              <w:ind w:left="105" w:right="94"/>
              <w:jc w:val="both"/>
              <w:rPr>
                <w:rFonts w:ascii="宋体" w:hAnsi="宋体" w:cs="宋体" w:eastAsia="宋体" w:hint="default"/>
                <w:sz w:val="18"/>
                <w:szCs w:val="18"/>
              </w:rPr>
            </w:pPr>
            <w:r>
              <w:rPr>
                <w:rFonts w:ascii="宋体" w:hAnsi="宋体" w:cs="宋体" w:eastAsia="宋体" w:hint="default"/>
                <w:spacing w:val="-3"/>
                <w:sz w:val="18"/>
                <w:szCs w:val="18"/>
              </w:rPr>
              <w:t>按照合同约定我方支付进度款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78,928.12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元及利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息，驳回力辉其他诉求。力辉不服上诉，公司</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日已收到上诉状，待二审法院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审理。</w:t>
            </w:r>
          </w:p>
        </w:tc>
      </w:tr>
      <w:tr>
        <w:trPr>
          <w:trHeight w:val="1335"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95" w:lineRule="auto" w:before="53"/>
              <w:ind w:left="105" w:right="94" w:hanging="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陕</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7"/>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10036</w:t>
            </w:r>
          </w:p>
          <w:p>
            <w:pPr>
              <w:pStyle w:val="TableParagraph"/>
              <w:spacing w:line="240" w:lineRule="auto" w:before="68"/>
              <w:ind w:left="9" w:right="0"/>
              <w:jc w:val="center"/>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上海大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华电气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设备有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195"/>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0" w:right="195"/>
              <w:jc w:val="left"/>
              <w:rPr>
                <w:rFonts w:ascii="宋体" w:hAnsi="宋体" w:cs="宋体" w:eastAsia="宋体" w:hint="default"/>
                <w:sz w:val="18"/>
                <w:szCs w:val="18"/>
              </w:rPr>
            </w:pPr>
            <w:r>
              <w:rPr>
                <w:rFonts w:ascii="宋体" w:hAnsi="宋体" w:cs="宋体" w:eastAsia="宋体" w:hint="default"/>
                <w:sz w:val="18"/>
                <w:szCs w:val="18"/>
              </w:rPr>
              <w:t>买卖合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同纠纷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9" w:right="0"/>
              <w:jc w:val="center"/>
              <w:rPr>
                <w:rFonts w:ascii="Times New Roman" w:hAnsi="Times New Roman" w:cs="Times New Roman" w:eastAsia="Times New Roman" w:hint="default"/>
                <w:sz w:val="18"/>
                <w:szCs w:val="18"/>
              </w:rPr>
            </w:pPr>
            <w:r>
              <w:rPr>
                <w:rFonts w:ascii="Times New Roman"/>
                <w:sz w:val="18"/>
              </w:rPr>
              <w:t>405.66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8"/>
              <w:ind w:left="105"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月一审开庭，</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月收到一审判决书，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目前已签署和解协议，和解结案，待履行支付。</w:t>
            </w:r>
          </w:p>
        </w:tc>
      </w:tr>
      <w:tr>
        <w:trPr>
          <w:trHeight w:val="1652"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2"/>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95" w:lineRule="auto"/>
              <w:ind w:left="105" w:right="94" w:hanging="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陕</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初</w:t>
            </w:r>
          </w:p>
          <w:p>
            <w:pPr>
              <w:pStyle w:val="TableParagraph"/>
              <w:spacing w:line="240" w:lineRule="auto" w:before="17"/>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字第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6601</w:t>
            </w:r>
          </w:p>
          <w:p>
            <w:pPr>
              <w:pStyle w:val="TableParagraph"/>
              <w:spacing w:line="240" w:lineRule="auto" w:before="67"/>
              <w:ind w:left="9" w:right="0"/>
              <w:jc w:val="center"/>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0" w:right="98"/>
              <w:jc w:val="both"/>
              <w:rPr>
                <w:rFonts w:ascii="宋体" w:hAnsi="宋体" w:cs="宋体" w:eastAsia="宋体" w:hint="default"/>
                <w:sz w:val="18"/>
                <w:szCs w:val="18"/>
              </w:rPr>
            </w:pPr>
            <w:r>
              <w:rPr>
                <w:rFonts w:ascii="宋体" w:hAnsi="宋体" w:cs="宋体" w:eastAsia="宋体" w:hint="default"/>
                <w:sz w:val="18"/>
                <w:szCs w:val="18"/>
              </w:rPr>
              <w:t>苏州裕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弘源电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气设备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195"/>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0" w:right="195"/>
              <w:jc w:val="left"/>
              <w:rPr>
                <w:rFonts w:ascii="宋体" w:hAnsi="宋体" w:cs="宋体" w:eastAsia="宋体" w:hint="default"/>
                <w:sz w:val="18"/>
                <w:szCs w:val="18"/>
              </w:rPr>
            </w:pPr>
            <w:r>
              <w:rPr>
                <w:rFonts w:ascii="宋体" w:hAnsi="宋体" w:cs="宋体" w:eastAsia="宋体" w:hint="default"/>
                <w:sz w:val="18"/>
                <w:szCs w:val="18"/>
              </w:rPr>
              <w:t>买卖合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同纠纷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 w:right="0"/>
              <w:jc w:val="center"/>
              <w:rPr>
                <w:rFonts w:ascii="Times New Roman" w:hAnsi="Times New Roman" w:cs="Times New Roman" w:eastAsia="Times New Roman" w:hint="default"/>
                <w:sz w:val="18"/>
                <w:szCs w:val="18"/>
              </w:rPr>
            </w:pPr>
            <w:r>
              <w:rPr>
                <w:rFonts w:ascii="Times New Roman"/>
                <w:sz w:val="18"/>
              </w:rPr>
              <w:t>332.64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0"/>
              <w:ind w:left="105"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日一审开庭，</w:t>
            </w:r>
            <w:r>
              <w:rPr>
                <w:rFonts w:ascii="Times New Roman" w:hAnsi="Times New Roman" w:cs="Times New Roman" w:eastAsia="Times New Roman" w:hint="default"/>
                <w:spacing w:val="-7"/>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日二次开</w:t>
            </w:r>
            <w:r>
              <w:rPr>
                <w:rFonts w:ascii="宋体" w:hAnsi="宋体" w:cs="宋体" w:eastAsia="宋体" w:hint="default"/>
                <w:w w:val="101"/>
                <w:sz w:val="18"/>
                <w:szCs w:val="18"/>
              </w:rPr>
              <w:t> </w:t>
            </w:r>
            <w:r>
              <w:rPr>
                <w:rFonts w:ascii="宋体" w:hAnsi="宋体" w:cs="宋体" w:eastAsia="宋体" w:hint="default"/>
                <w:spacing w:val="-3"/>
                <w:sz w:val="18"/>
                <w:szCs w:val="18"/>
              </w:rPr>
              <w:t>庭，已完成司法鉴定，等待开庭或判决。</w:t>
            </w:r>
          </w:p>
        </w:tc>
      </w:tr>
      <w:tr>
        <w:trPr>
          <w:trHeight w:val="1339"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95" w:lineRule="auto"/>
              <w:ind w:left="105" w:right="94" w:firstLine="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陕</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8952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上海盟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程建筑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195"/>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0" w:right="195"/>
              <w:jc w:val="left"/>
              <w:rPr>
                <w:rFonts w:ascii="宋体" w:hAnsi="宋体" w:cs="宋体" w:eastAsia="宋体" w:hint="default"/>
                <w:sz w:val="18"/>
                <w:szCs w:val="18"/>
              </w:rPr>
            </w:pPr>
            <w:r>
              <w:rPr>
                <w:rFonts w:ascii="宋体" w:hAnsi="宋体" w:cs="宋体" w:eastAsia="宋体" w:hint="default"/>
                <w:sz w:val="18"/>
                <w:szCs w:val="18"/>
              </w:rPr>
              <w:t>买卖合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同纠纷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 w:right="0"/>
              <w:jc w:val="center"/>
              <w:rPr>
                <w:rFonts w:ascii="Times New Roman" w:hAnsi="Times New Roman" w:cs="Times New Roman" w:eastAsia="Times New Roman" w:hint="default"/>
                <w:sz w:val="18"/>
                <w:szCs w:val="18"/>
              </w:rPr>
            </w:pPr>
            <w:r>
              <w:rPr>
                <w:rFonts w:ascii="Times New Roman"/>
                <w:sz w:val="18"/>
              </w:rPr>
              <w:t>40.60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8"/>
              <w:ind w:left="105" w:right="94"/>
              <w:jc w:val="left"/>
              <w:rPr>
                <w:rFonts w:ascii="宋体" w:hAnsi="宋体" w:cs="宋体" w:eastAsia="宋体" w:hint="default"/>
                <w:sz w:val="18"/>
                <w:szCs w:val="18"/>
              </w:rPr>
            </w:pPr>
            <w:r>
              <w:rPr>
                <w:rFonts w:ascii="宋体" w:hAnsi="宋体" w:cs="宋体" w:eastAsia="宋体" w:hint="default"/>
                <w:sz w:val="18"/>
                <w:szCs w:val="18"/>
              </w:rPr>
              <w:t>法院于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月受理，目前处于管辖权异议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上诉中，一审开庭日期未定。</w:t>
            </w:r>
          </w:p>
        </w:tc>
      </w:tr>
      <w:tr>
        <w:trPr>
          <w:trHeight w:val="1652"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5" w:lineRule="auto" w:before="159"/>
              <w:ind w:left="105" w:right="94" w:firstLine="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陕</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8981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98"/>
              <w:jc w:val="both"/>
              <w:rPr>
                <w:rFonts w:ascii="宋体" w:hAnsi="宋体" w:cs="宋体" w:eastAsia="宋体" w:hint="default"/>
                <w:sz w:val="18"/>
                <w:szCs w:val="18"/>
              </w:rPr>
            </w:pPr>
            <w:r>
              <w:rPr>
                <w:rFonts w:ascii="宋体" w:hAnsi="宋体" w:cs="宋体" w:eastAsia="宋体" w:hint="default"/>
                <w:sz w:val="18"/>
                <w:szCs w:val="18"/>
              </w:rPr>
              <w:t>苏州拜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尔德机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电工程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195"/>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0" w:right="195"/>
              <w:jc w:val="left"/>
              <w:rPr>
                <w:rFonts w:ascii="宋体" w:hAnsi="宋体" w:cs="宋体" w:eastAsia="宋体" w:hint="default"/>
                <w:sz w:val="18"/>
                <w:szCs w:val="18"/>
              </w:rPr>
            </w:pPr>
            <w:r>
              <w:rPr>
                <w:rFonts w:ascii="宋体" w:hAnsi="宋体" w:cs="宋体" w:eastAsia="宋体" w:hint="default"/>
                <w:sz w:val="18"/>
                <w:szCs w:val="18"/>
              </w:rPr>
              <w:t>买卖合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同纠纷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245.74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9"/>
              <w:ind w:left="105"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日法院受理，原定于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34"/>
                <w:sz w:val="18"/>
                <w:szCs w:val="18"/>
              </w:rPr>
              <w:t> </w:t>
            </w:r>
            <w:r>
              <w:rPr>
                <w:rFonts w:ascii="宋体" w:hAnsi="宋体" w:cs="宋体" w:eastAsia="宋体" w:hint="default"/>
                <w:spacing w:val="-3"/>
                <w:sz w:val="18"/>
                <w:szCs w:val="18"/>
              </w:rPr>
              <w:t>日开庭。我方提出管辖权异议被驳回，我方已</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提出反诉，等待法院受理反诉。</w:t>
            </w:r>
          </w:p>
        </w:tc>
      </w:tr>
      <w:tr>
        <w:trPr>
          <w:trHeight w:val="1959"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5" w:lineRule="auto" w:before="159"/>
              <w:ind w:left="105" w:right="94" w:hanging="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陕</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7"/>
              <w:ind w:left="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13064</w:t>
            </w:r>
          </w:p>
          <w:p>
            <w:pPr>
              <w:pStyle w:val="TableParagraph"/>
              <w:spacing w:line="240" w:lineRule="auto" w:before="67"/>
              <w:ind w:left="9" w:right="0"/>
              <w:jc w:val="center"/>
              <w:rPr>
                <w:rFonts w:ascii="宋体" w:hAnsi="宋体" w:cs="宋体" w:eastAsia="宋体" w:hint="default"/>
                <w:sz w:val="18"/>
                <w:szCs w:val="18"/>
              </w:rPr>
            </w:pPr>
            <w:r>
              <w:rPr>
                <w:rFonts w:ascii="宋体" w:hAnsi="宋体" w:cs="宋体" w:eastAsia="宋体" w:hint="default"/>
                <w:w w:val="101"/>
                <w:sz w:val="18"/>
                <w:szCs w:val="18"/>
              </w:rPr>
              <w:t>号</w:t>
            </w:r>
            <w:r>
              <w:rPr>
                <w:rFonts w:ascii="宋体" w:hAnsi="宋体" w:cs="宋体" w:eastAsia="宋体" w:hint="default"/>
                <w:sz w:val="18"/>
                <w:szCs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98"/>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力达唯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机电设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备工程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5" w:right="195"/>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100" w:right="195"/>
              <w:jc w:val="left"/>
              <w:rPr>
                <w:rFonts w:ascii="宋体" w:hAnsi="宋体" w:cs="宋体" w:eastAsia="宋体" w:hint="default"/>
                <w:sz w:val="18"/>
                <w:szCs w:val="18"/>
              </w:rPr>
            </w:pPr>
            <w:r>
              <w:rPr>
                <w:rFonts w:ascii="宋体" w:hAnsi="宋体" w:cs="宋体" w:eastAsia="宋体" w:hint="default"/>
                <w:sz w:val="18"/>
                <w:szCs w:val="18"/>
              </w:rPr>
              <w:t>买卖合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同纠纷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161.00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6"/>
              <w:ind w:left="105" w:right="94"/>
              <w:jc w:val="both"/>
              <w:rPr>
                <w:rFonts w:ascii="宋体" w:hAnsi="宋体" w:cs="宋体" w:eastAsia="宋体"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11</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月</w:t>
            </w:r>
            <w:r>
              <w:rPr>
                <w:rFonts w:ascii="宋体" w:hAnsi="宋体" w:cs="宋体" w:eastAsia="宋体" w:hint="default"/>
                <w:spacing w:val="-47"/>
                <w:w w:val="101"/>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9"/>
                <w:w w:val="101"/>
                <w:sz w:val="18"/>
                <w:szCs w:val="18"/>
              </w:rPr>
              <w:t>日法院受理，我方提出管辖权异</w:t>
            </w:r>
            <w:r>
              <w:rPr>
                <w:rFonts w:ascii="宋体" w:hAnsi="宋体" w:cs="宋体" w:eastAsia="宋体" w:hint="default"/>
                <w:w w:val="101"/>
                <w:sz w:val="18"/>
                <w:szCs w:val="18"/>
              </w:rPr>
              <w:t> </w:t>
            </w:r>
            <w:r>
              <w:rPr>
                <w:rFonts w:ascii="宋体" w:hAnsi="宋体" w:cs="宋体" w:eastAsia="宋体" w:hint="default"/>
                <w:spacing w:val="-3"/>
                <w:sz w:val="18"/>
                <w:szCs w:val="18"/>
              </w:rPr>
              <w:t>议被驳回，我方已提出反诉，等待法院受理反</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诉。</w:t>
            </w:r>
          </w:p>
        </w:tc>
      </w:tr>
      <w:tr>
        <w:trPr>
          <w:trHeight w:val="1339"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8"/>
              <w:ind w:left="124" w:right="118" w:firstLine="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西仲字第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3543</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号、</w:t>
            </w:r>
            <w:r>
              <w:rPr>
                <w:rFonts w:ascii="宋体" w:hAnsi="宋体" w:cs="宋体" w:eastAsia="宋体" w:hint="default"/>
                <w:sz w:val="18"/>
                <w:szCs w:val="18"/>
              </w:rPr>
            </w:r>
          </w:p>
          <w:p>
            <w:pPr>
              <w:pStyle w:val="TableParagraph"/>
              <w:spacing w:line="240" w:lineRule="auto" w:before="12"/>
              <w:ind w:left="21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3544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0" w:right="98"/>
              <w:jc w:val="left"/>
              <w:rPr>
                <w:rFonts w:ascii="宋体" w:hAnsi="宋体" w:cs="宋体" w:eastAsia="宋体" w:hint="default"/>
                <w:sz w:val="18"/>
                <w:szCs w:val="18"/>
              </w:rPr>
            </w:pPr>
            <w:r>
              <w:rPr>
                <w:rFonts w:ascii="宋体" w:hAnsi="宋体" w:cs="宋体" w:eastAsia="宋体" w:hint="default"/>
                <w:sz w:val="18"/>
                <w:szCs w:val="18"/>
              </w:rPr>
              <w:t>杨亚</w:t>
            </w:r>
            <w:r>
              <w:rPr>
                <w:rFonts w:ascii="宋体" w:hAnsi="宋体" w:cs="宋体" w:eastAsia="宋体" w:hint="default"/>
                <w:spacing w:val="-86"/>
                <w:sz w:val="18"/>
                <w:szCs w:val="18"/>
              </w:rPr>
              <w:t> </w:t>
            </w:r>
            <w:r>
              <w:rPr>
                <w:rFonts w:ascii="宋体" w:hAnsi="宋体" w:cs="宋体" w:eastAsia="宋体" w:hint="default"/>
                <w:sz w:val="18"/>
                <w:szCs w:val="18"/>
              </w:rPr>
              <w:t>亚、卢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红涛</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195"/>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95"/>
              <w:jc w:val="left"/>
              <w:rPr>
                <w:rFonts w:ascii="宋体" w:hAnsi="宋体" w:cs="宋体" w:eastAsia="宋体" w:hint="default"/>
                <w:sz w:val="18"/>
                <w:szCs w:val="18"/>
              </w:rPr>
            </w:pP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 w:right="0"/>
              <w:jc w:val="center"/>
              <w:rPr>
                <w:rFonts w:ascii="Times New Roman" w:hAnsi="Times New Roman" w:cs="Times New Roman" w:eastAsia="Times New Roman" w:hint="default"/>
                <w:sz w:val="18"/>
                <w:szCs w:val="18"/>
              </w:rPr>
            </w:pPr>
            <w:r>
              <w:rPr>
                <w:rFonts w:ascii="Times New Roman"/>
                <w:sz w:val="18"/>
              </w:rPr>
              <w:t>56.57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105" w:right="3"/>
              <w:jc w:val="left"/>
              <w:rPr>
                <w:rFonts w:ascii="宋体" w:hAnsi="宋体" w:cs="宋体" w:eastAsia="宋体" w:hint="default"/>
                <w:sz w:val="18"/>
                <w:szCs w:val="18"/>
              </w:rPr>
            </w:pPr>
            <w:r>
              <w:rPr>
                <w:rFonts w:ascii="宋体" w:hAnsi="宋体" w:cs="宋体" w:eastAsia="宋体" w:hint="default"/>
                <w:w w:val="101"/>
                <w:sz w:val="18"/>
                <w:szCs w:val="18"/>
              </w:rPr>
              <w:t>仲裁委</w:t>
            </w:r>
            <w:r>
              <w:rPr>
                <w:rFonts w:ascii="宋体" w:hAnsi="宋体" w:cs="宋体" w:eastAsia="宋体" w:hint="default"/>
                <w:spacing w:val="-57"/>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11"/>
                <w:w w:val="101"/>
                <w:sz w:val="18"/>
                <w:szCs w:val="18"/>
              </w:rPr>
              <w:t> </w:t>
            </w:r>
            <w:r>
              <w:rPr>
                <w:rFonts w:ascii="宋体" w:hAnsi="宋体" w:cs="宋体" w:eastAsia="宋体" w:hint="default"/>
                <w:w w:val="101"/>
                <w:sz w:val="18"/>
                <w:szCs w:val="18"/>
              </w:rPr>
              <w:t>年</w:t>
            </w:r>
            <w:r>
              <w:rPr>
                <w:rFonts w:ascii="宋体" w:hAnsi="宋体" w:cs="宋体" w:eastAsia="宋体" w:hint="default"/>
                <w:spacing w:val="-52"/>
                <w:w w:val="101"/>
                <w:sz w:val="18"/>
                <w:szCs w:val="18"/>
              </w:rPr>
              <w:t> </w:t>
            </w:r>
            <w:r>
              <w:rPr>
                <w:rFonts w:ascii="Times New Roman" w:hAnsi="Times New Roman" w:cs="Times New Roman" w:eastAsia="Times New Roman" w:hint="default"/>
                <w:w w:val="101"/>
                <w:sz w:val="18"/>
                <w:szCs w:val="18"/>
              </w:rPr>
              <w:t>11</w:t>
            </w:r>
            <w:r>
              <w:rPr>
                <w:rFonts w:ascii="Times New Roman" w:hAnsi="Times New Roman" w:cs="Times New Roman" w:eastAsia="Times New Roman" w:hint="default"/>
                <w:spacing w:val="-12"/>
                <w:w w:val="101"/>
                <w:sz w:val="18"/>
                <w:szCs w:val="18"/>
              </w:rPr>
              <w:t> </w:t>
            </w:r>
            <w:r>
              <w:rPr>
                <w:rFonts w:ascii="宋体" w:hAnsi="宋体" w:cs="宋体" w:eastAsia="宋体" w:hint="default"/>
                <w:w w:val="101"/>
                <w:sz w:val="18"/>
                <w:szCs w:val="18"/>
              </w:rPr>
              <w:t>月</w:t>
            </w:r>
            <w:r>
              <w:rPr>
                <w:rFonts w:ascii="宋体" w:hAnsi="宋体" w:cs="宋体" w:eastAsia="宋体" w:hint="default"/>
                <w:spacing w:val="-52"/>
                <w:w w:val="101"/>
                <w:sz w:val="18"/>
                <w:szCs w:val="18"/>
              </w:rPr>
              <w:t> </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12"/>
                <w:w w:val="101"/>
                <w:sz w:val="18"/>
                <w:szCs w:val="18"/>
              </w:rPr>
              <w:t> </w:t>
            </w:r>
            <w:r>
              <w:rPr>
                <w:rFonts w:ascii="宋体" w:hAnsi="宋体" w:cs="宋体" w:eastAsia="宋体" w:hint="default"/>
                <w:spacing w:val="-11"/>
                <w:w w:val="101"/>
                <w:sz w:val="18"/>
                <w:szCs w:val="18"/>
              </w:rPr>
              <w:t>日受理，开庭日期未定，</w:t>
            </w:r>
            <w:r>
              <w:rPr>
                <w:rFonts w:ascii="宋体" w:hAnsi="宋体" w:cs="宋体" w:eastAsia="宋体" w:hint="default"/>
                <w:w w:val="101"/>
                <w:sz w:val="18"/>
                <w:szCs w:val="18"/>
              </w:rPr>
              <w:t> </w:t>
            </w:r>
            <w:r>
              <w:rPr>
                <w:rFonts w:ascii="宋体" w:hAnsi="宋体" w:cs="宋体" w:eastAsia="宋体" w:hint="default"/>
                <w:sz w:val="18"/>
                <w:szCs w:val="18"/>
              </w:rPr>
              <w:t>等待仲裁。</w:t>
            </w:r>
          </w:p>
        </w:tc>
      </w:tr>
      <w:tr>
        <w:trPr>
          <w:trHeight w:val="1340"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10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0" w:lineRule="auto"/>
              <w:ind w:left="105" w:right="94" w:hanging="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r>
              <w:rPr>
                <w:rFonts w:ascii="宋体" w:hAnsi="宋体" w:cs="宋体" w:eastAsia="宋体" w:hint="default"/>
                <w:w w:val="101"/>
                <w:sz w:val="18"/>
                <w:szCs w:val="18"/>
              </w:rPr>
              <w:t> </w:t>
            </w:r>
            <w:r>
              <w:rPr>
                <w:rFonts w:ascii="宋体" w:hAnsi="宋体" w:cs="宋体" w:eastAsia="宋体" w:hint="default"/>
                <w:sz w:val="18"/>
                <w:szCs w:val="18"/>
              </w:rPr>
              <w:t>初</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0" w:right="98"/>
              <w:jc w:val="both"/>
              <w:rPr>
                <w:rFonts w:ascii="宋体" w:hAnsi="宋体" w:cs="宋体" w:eastAsia="宋体" w:hint="default"/>
                <w:sz w:val="18"/>
                <w:szCs w:val="18"/>
              </w:rPr>
            </w:pPr>
            <w:r>
              <w:rPr>
                <w:rFonts w:ascii="宋体" w:hAnsi="宋体" w:cs="宋体" w:eastAsia="宋体" w:hint="default"/>
                <w:sz w:val="18"/>
                <w:szCs w:val="18"/>
              </w:rPr>
              <w:t>上海华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东电脑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105" w:right="195"/>
              <w:jc w:val="left"/>
              <w:rPr>
                <w:rFonts w:ascii="宋体" w:hAnsi="宋体" w:cs="宋体" w:eastAsia="宋体" w:hint="default"/>
                <w:sz w:val="18"/>
                <w:szCs w:val="18"/>
              </w:rPr>
            </w:pP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0" w:right="195"/>
              <w:jc w:val="both"/>
              <w:rPr>
                <w:rFonts w:ascii="宋体" w:hAnsi="宋体" w:cs="宋体" w:eastAsia="宋体" w:hint="default"/>
                <w:sz w:val="18"/>
                <w:szCs w:val="18"/>
              </w:rPr>
            </w:pPr>
            <w:r>
              <w:rPr>
                <w:rFonts w:ascii="宋体" w:hAnsi="宋体" w:cs="宋体" w:eastAsia="宋体" w:hint="default"/>
                <w:sz w:val="18"/>
                <w:szCs w:val="18"/>
              </w:rPr>
              <w:t>建设工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9" w:right="0"/>
              <w:jc w:val="center"/>
              <w:rPr>
                <w:rFonts w:ascii="Times New Roman" w:hAnsi="Times New Roman" w:cs="Times New Roman" w:eastAsia="Times New Roman" w:hint="default"/>
                <w:sz w:val="18"/>
                <w:szCs w:val="18"/>
              </w:rPr>
            </w:pPr>
            <w:r>
              <w:rPr>
                <w:rFonts w:ascii="Times New Roman"/>
                <w:sz w:val="18"/>
              </w:rPr>
              <w:t>480.53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9"/>
              <w:ind w:left="105" w:right="147"/>
              <w:jc w:val="left"/>
              <w:rPr>
                <w:rFonts w:ascii="宋体" w:hAnsi="宋体" w:cs="宋体" w:eastAsia="宋体" w:hint="default"/>
                <w:sz w:val="18"/>
                <w:szCs w:val="18"/>
              </w:rPr>
            </w:pPr>
            <w:r>
              <w:rPr>
                <w:rFonts w:ascii="宋体" w:hAnsi="宋体" w:cs="宋体" w:eastAsia="宋体" w:hint="default"/>
                <w:sz w:val="18"/>
                <w:szCs w:val="18"/>
              </w:rPr>
              <w:t>原定</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日开庭，目前处于管辖权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异议上诉中，待法院通知。</w:t>
            </w:r>
          </w:p>
        </w:tc>
      </w:tr>
      <w:tr>
        <w:trPr>
          <w:trHeight w:val="1340"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97" w:lineRule="auto"/>
              <w:ind w:left="105" w:right="94" w:firstLine="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冀</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19"/>
              <w:ind w:left="144"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8"/>
              <w:jc w:val="both"/>
              <w:rPr>
                <w:rFonts w:ascii="宋体" w:hAnsi="宋体" w:cs="宋体" w:eastAsia="宋体" w:hint="default"/>
                <w:sz w:val="18"/>
                <w:szCs w:val="18"/>
              </w:rPr>
            </w:pPr>
            <w:r>
              <w:rPr>
                <w:rFonts w:ascii="宋体" w:hAnsi="宋体" w:cs="宋体" w:eastAsia="宋体" w:hint="default"/>
                <w:sz w:val="18"/>
                <w:szCs w:val="18"/>
              </w:rPr>
              <w:t>江苏元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泰环保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工程有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5" w:right="195"/>
              <w:jc w:val="left"/>
              <w:rPr>
                <w:rFonts w:ascii="宋体" w:hAnsi="宋体" w:cs="宋体" w:eastAsia="宋体" w:hint="default"/>
                <w:sz w:val="18"/>
                <w:szCs w:val="18"/>
              </w:rPr>
            </w:pPr>
            <w:r>
              <w:rPr>
                <w:rFonts w:ascii="宋体" w:hAnsi="宋体" w:cs="宋体" w:eastAsia="宋体" w:hint="default"/>
                <w:sz w:val="18"/>
                <w:szCs w:val="18"/>
              </w:rPr>
              <w:t>江苏亿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0" w:right="195"/>
              <w:jc w:val="left"/>
              <w:rPr>
                <w:rFonts w:ascii="宋体" w:hAnsi="宋体" w:cs="宋体" w:eastAsia="宋体" w:hint="default"/>
                <w:sz w:val="18"/>
                <w:szCs w:val="18"/>
              </w:rPr>
            </w:pPr>
            <w:r>
              <w:rPr>
                <w:rFonts w:ascii="宋体" w:hAnsi="宋体" w:cs="宋体" w:eastAsia="宋体" w:hint="default"/>
                <w:sz w:val="18"/>
                <w:szCs w:val="18"/>
              </w:rPr>
              <w:t>买卖合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同纠纷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9" w:right="0"/>
              <w:jc w:val="center"/>
              <w:rPr>
                <w:rFonts w:ascii="Times New Roman" w:hAnsi="Times New Roman" w:cs="Times New Roman" w:eastAsia="Times New Roman" w:hint="default"/>
                <w:sz w:val="18"/>
                <w:szCs w:val="18"/>
              </w:rPr>
            </w:pPr>
            <w:r>
              <w:rPr>
                <w:rFonts w:ascii="Times New Roman"/>
                <w:sz w:val="18"/>
              </w:rPr>
              <w:t>162.79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日收到一审判决，我方败诉。江</w:t>
            </w:r>
          </w:p>
          <w:p>
            <w:pPr>
              <w:pStyle w:val="TableParagraph"/>
              <w:spacing w:line="304" w:lineRule="auto" w:before="58"/>
              <w:ind w:left="105" w:right="3"/>
              <w:jc w:val="left"/>
              <w:rPr>
                <w:rFonts w:ascii="宋体" w:hAnsi="宋体" w:cs="宋体" w:eastAsia="宋体" w:hint="default"/>
                <w:sz w:val="18"/>
                <w:szCs w:val="18"/>
              </w:rPr>
            </w:pPr>
            <w:r>
              <w:rPr>
                <w:rFonts w:ascii="宋体" w:hAnsi="宋体" w:cs="宋体" w:eastAsia="宋体" w:hint="default"/>
                <w:spacing w:val="-1"/>
                <w:w w:val="101"/>
                <w:sz w:val="18"/>
                <w:szCs w:val="18"/>
              </w:rPr>
              <w:t>苏亿金已于</w:t>
            </w:r>
            <w:r>
              <w:rPr>
                <w:rFonts w:ascii="宋体" w:hAnsi="宋体" w:cs="宋体" w:eastAsia="宋体" w:hint="default"/>
                <w:spacing w:val="-58"/>
                <w:w w:val="101"/>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13"/>
                <w:w w:val="101"/>
                <w:sz w:val="18"/>
                <w:szCs w:val="18"/>
              </w:rPr>
              <w:t> </w:t>
            </w:r>
            <w:r>
              <w:rPr>
                <w:rFonts w:ascii="宋体" w:hAnsi="宋体" w:cs="宋体" w:eastAsia="宋体" w:hint="default"/>
                <w:w w:val="101"/>
                <w:sz w:val="18"/>
                <w:szCs w:val="18"/>
              </w:rPr>
              <w:t>月</w:t>
            </w:r>
            <w:r>
              <w:rPr>
                <w:rFonts w:ascii="宋体" w:hAnsi="宋体" w:cs="宋体" w:eastAsia="宋体" w:hint="default"/>
                <w:spacing w:val="-59"/>
                <w:w w:val="101"/>
                <w:sz w:val="18"/>
                <w:szCs w:val="18"/>
              </w:rPr>
              <w:t> </w:t>
            </w:r>
            <w:r>
              <w:rPr>
                <w:rFonts w:ascii="Times New Roman" w:hAnsi="Times New Roman" w:cs="Times New Roman" w:eastAsia="Times New Roman" w:hint="default"/>
                <w:w w:val="101"/>
                <w:sz w:val="18"/>
                <w:szCs w:val="18"/>
              </w:rPr>
              <w:t>30</w:t>
            </w:r>
            <w:r>
              <w:rPr>
                <w:rFonts w:ascii="Times New Roman" w:hAnsi="Times New Roman" w:cs="Times New Roman" w:eastAsia="Times New Roman" w:hint="default"/>
                <w:spacing w:val="-18"/>
                <w:w w:val="101"/>
                <w:sz w:val="18"/>
                <w:szCs w:val="18"/>
              </w:rPr>
              <w:t> </w:t>
            </w:r>
            <w:r>
              <w:rPr>
                <w:rFonts w:ascii="宋体" w:hAnsi="宋体" w:cs="宋体" w:eastAsia="宋体" w:hint="default"/>
                <w:spacing w:val="-9"/>
                <w:w w:val="101"/>
                <w:sz w:val="18"/>
                <w:szCs w:val="18"/>
              </w:rPr>
              <w:t>日提起上诉，由于疫情影响，</w:t>
            </w:r>
            <w:r>
              <w:rPr>
                <w:rFonts w:ascii="宋体" w:hAnsi="宋体" w:cs="宋体" w:eastAsia="宋体" w:hint="default"/>
                <w:w w:val="101"/>
                <w:sz w:val="18"/>
                <w:szCs w:val="18"/>
              </w:rPr>
              <w:t> </w:t>
            </w:r>
            <w:r>
              <w:rPr>
                <w:rFonts w:ascii="宋体" w:hAnsi="宋体" w:cs="宋体" w:eastAsia="宋体" w:hint="default"/>
                <w:sz w:val="18"/>
                <w:szCs w:val="18"/>
              </w:rPr>
              <w:t>延期审理。</w:t>
            </w:r>
          </w:p>
        </w:tc>
      </w:tr>
    </w:tbl>
    <w:p>
      <w:pPr>
        <w:spacing w:after="0" w:line="304" w:lineRule="auto"/>
        <w:jc w:val="left"/>
        <w:rPr>
          <w:rFonts w:ascii="宋体" w:hAnsi="宋体" w:cs="宋体" w:eastAsia="宋体" w:hint="default"/>
          <w:sz w:val="18"/>
          <w:szCs w:val="18"/>
        </w:rPr>
        <w:sectPr>
          <w:pgSz w:w="11910" w:h="16840"/>
          <w:pgMar w:header="863" w:footer="979" w:top="1060" w:bottom="1160" w:left="4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461"/>
        <w:gridCol w:w="1018"/>
        <w:gridCol w:w="754"/>
        <w:gridCol w:w="855"/>
        <w:gridCol w:w="850"/>
        <w:gridCol w:w="989"/>
        <w:gridCol w:w="994"/>
        <w:gridCol w:w="951"/>
        <w:gridCol w:w="3870"/>
      </w:tblGrid>
      <w:tr>
        <w:trPr>
          <w:trHeight w:val="1652"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5" w:lineRule="auto" w:before="158"/>
              <w:ind w:left="105" w:right="94" w:firstLine="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民</w:t>
            </w:r>
          </w:p>
          <w:p>
            <w:pPr>
              <w:pStyle w:val="TableParagraph"/>
              <w:spacing w:line="240" w:lineRule="auto" w:before="22"/>
              <w:ind w:left="105" w:right="0"/>
              <w:jc w:val="left"/>
              <w:rPr>
                <w:rFonts w:ascii="宋体" w:hAnsi="宋体" w:cs="宋体" w:eastAsia="宋体" w:hint="default"/>
                <w:sz w:val="18"/>
                <w:szCs w:val="18"/>
              </w:rPr>
            </w:pPr>
            <w:r>
              <w:rPr>
                <w:rFonts w:ascii="宋体" w:hAnsi="宋体" w:cs="宋体" w:eastAsia="宋体" w:hint="default"/>
                <w:sz w:val="18"/>
                <w:szCs w:val="18"/>
              </w:rPr>
              <w:t>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1139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曹刚</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95"/>
              <w:jc w:val="both"/>
              <w:rPr>
                <w:rFonts w:ascii="宋体" w:hAnsi="宋体" w:cs="宋体" w:eastAsia="宋体" w:hint="default"/>
                <w:sz w:val="18"/>
                <w:szCs w:val="18"/>
              </w:rPr>
            </w:pPr>
            <w:r>
              <w:rPr>
                <w:rFonts w:ascii="宋体" w:hAnsi="宋体" w:cs="宋体" w:eastAsia="宋体" w:hint="default"/>
                <w:sz w:val="18"/>
                <w:szCs w:val="18"/>
              </w:rPr>
              <w:t>临沧亿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金再生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能源科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0" w:right="195"/>
              <w:jc w:val="left"/>
              <w:rPr>
                <w:rFonts w:ascii="宋体" w:hAnsi="宋体" w:cs="宋体" w:eastAsia="宋体" w:hint="default"/>
                <w:sz w:val="18"/>
                <w:szCs w:val="18"/>
              </w:rPr>
            </w:pP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399.87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147"/>
              <w:jc w:val="left"/>
              <w:rPr>
                <w:rFonts w:ascii="宋体" w:hAnsi="宋体" w:cs="宋体" w:eastAsia="宋体" w:hint="default"/>
                <w:sz w:val="18"/>
                <w:szCs w:val="18"/>
              </w:rPr>
            </w:pPr>
            <w:r>
              <w:rPr>
                <w:rFonts w:ascii="宋体" w:hAnsi="宋体" w:cs="宋体" w:eastAsia="宋体" w:hint="default"/>
                <w:spacing w:val="-3"/>
                <w:sz w:val="18"/>
                <w:szCs w:val="18"/>
              </w:rPr>
              <w:t>因涉及合同诈骗，临沧亿金已报案，目前等待</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法院决定是否移送公安处理中。</w:t>
            </w:r>
          </w:p>
        </w:tc>
      </w:tr>
      <w:tr>
        <w:trPr>
          <w:trHeight w:val="1647"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浙</w:t>
            </w:r>
          </w:p>
          <w:p>
            <w:pPr>
              <w:pStyle w:val="TableParagraph"/>
              <w:spacing w:line="240" w:lineRule="auto" w:before="58"/>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0108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民初</w:t>
            </w:r>
            <w:r>
              <w:rPr>
                <w:rFonts w:ascii="宋体" w:hAnsi="宋体" w:cs="宋体" w:eastAsia="宋体" w:hint="default"/>
                <w:sz w:val="18"/>
                <w:szCs w:val="18"/>
              </w:rPr>
            </w:r>
          </w:p>
          <w:p>
            <w:pPr>
              <w:pStyle w:val="TableParagraph"/>
              <w:spacing w:line="240" w:lineRule="auto" w:before="68"/>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0" w:right="98"/>
              <w:jc w:val="both"/>
              <w:rPr>
                <w:rFonts w:ascii="宋体" w:hAnsi="宋体" w:cs="宋体" w:eastAsia="宋体" w:hint="default"/>
                <w:sz w:val="18"/>
                <w:szCs w:val="18"/>
              </w:rPr>
            </w:pPr>
            <w:r>
              <w:rPr>
                <w:rFonts w:ascii="宋体" w:hAnsi="宋体" w:cs="宋体" w:eastAsia="宋体" w:hint="default"/>
                <w:sz w:val="18"/>
                <w:szCs w:val="18"/>
              </w:rPr>
              <w:t>浙江菲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达科技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95"/>
              <w:jc w:val="both"/>
              <w:rPr>
                <w:rFonts w:ascii="宋体" w:hAnsi="宋体" w:cs="宋体" w:eastAsia="宋体" w:hint="default"/>
                <w:sz w:val="18"/>
                <w:szCs w:val="18"/>
              </w:rPr>
            </w:pPr>
            <w:r>
              <w:rPr>
                <w:rFonts w:ascii="宋体" w:hAnsi="宋体" w:cs="宋体" w:eastAsia="宋体" w:hint="default"/>
                <w:sz w:val="18"/>
                <w:szCs w:val="18"/>
              </w:rPr>
              <w:t>杭州亿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金洁源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环境工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5"/>
              <w:ind w:left="100" w:right="195"/>
              <w:jc w:val="left"/>
              <w:rPr>
                <w:rFonts w:ascii="宋体" w:hAnsi="宋体" w:cs="宋体" w:eastAsia="宋体" w:hint="default"/>
                <w:sz w:val="18"/>
                <w:szCs w:val="18"/>
              </w:rPr>
            </w:pP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70.00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日一审开庭，法院于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作</w:t>
            </w:r>
            <w:r>
              <w:rPr>
                <w:rFonts w:ascii="宋体" w:hAnsi="宋体" w:cs="宋体" w:eastAsia="宋体" w:hint="default"/>
                <w:w w:val="101"/>
                <w:sz w:val="18"/>
                <w:szCs w:val="18"/>
              </w:rPr>
              <w:t>出</w:t>
            </w:r>
            <w:r>
              <w:rPr>
                <w:rFonts w:ascii="宋体" w:hAnsi="宋体" w:cs="宋体" w:eastAsia="宋体" w:hint="default"/>
                <w:spacing w:val="-5"/>
                <w:w w:val="101"/>
                <w:sz w:val="18"/>
                <w:szCs w:val="18"/>
              </w:rPr>
              <w:t>判</w:t>
            </w:r>
            <w:r>
              <w:rPr>
                <w:rFonts w:ascii="宋体" w:hAnsi="宋体" w:cs="宋体" w:eastAsia="宋体" w:hint="default"/>
                <w:w w:val="101"/>
                <w:sz w:val="18"/>
                <w:szCs w:val="18"/>
              </w:rPr>
              <w:t>决</w:t>
            </w:r>
            <w:r>
              <w:rPr>
                <w:rFonts w:ascii="宋体" w:hAnsi="宋体" w:cs="宋体" w:eastAsia="宋体" w:hint="default"/>
                <w:spacing w:val="-87"/>
                <w:w w:val="101"/>
                <w:sz w:val="18"/>
                <w:szCs w:val="18"/>
              </w:rPr>
              <w:t>，</w:t>
            </w:r>
            <w:r>
              <w:rPr>
                <w:rFonts w:ascii="宋体" w:hAnsi="宋体" w:cs="宋体" w:eastAsia="宋体" w:hint="default"/>
                <w:w w:val="101"/>
                <w:sz w:val="18"/>
                <w:szCs w:val="18"/>
              </w:rPr>
              <w:t>判</w:t>
            </w:r>
            <w:r>
              <w:rPr>
                <w:rFonts w:ascii="宋体" w:hAnsi="宋体" w:cs="宋体" w:eastAsia="宋体" w:hint="default"/>
                <w:spacing w:val="-5"/>
                <w:w w:val="101"/>
                <w:sz w:val="18"/>
                <w:szCs w:val="18"/>
              </w:rPr>
              <w:t>决</w:t>
            </w:r>
            <w:r>
              <w:rPr>
                <w:rFonts w:ascii="宋体" w:hAnsi="宋体" w:cs="宋体" w:eastAsia="宋体" w:hint="default"/>
                <w:w w:val="101"/>
                <w:sz w:val="18"/>
                <w:szCs w:val="18"/>
              </w:rPr>
              <w:t>我</w:t>
            </w:r>
            <w:r>
              <w:rPr>
                <w:rFonts w:ascii="宋体" w:hAnsi="宋体" w:cs="宋体" w:eastAsia="宋体" w:hint="default"/>
                <w:spacing w:val="-5"/>
                <w:w w:val="101"/>
                <w:sz w:val="18"/>
                <w:szCs w:val="18"/>
              </w:rPr>
              <w:t>方</w:t>
            </w:r>
            <w:r>
              <w:rPr>
                <w:rFonts w:ascii="宋体" w:hAnsi="宋体" w:cs="宋体" w:eastAsia="宋体" w:hint="default"/>
                <w:w w:val="101"/>
                <w:sz w:val="18"/>
                <w:szCs w:val="18"/>
              </w:rPr>
              <w:t>支</w:t>
            </w:r>
            <w:r>
              <w:rPr>
                <w:rFonts w:ascii="宋体" w:hAnsi="宋体" w:cs="宋体" w:eastAsia="宋体" w:hint="default"/>
                <w:spacing w:val="-5"/>
                <w:w w:val="101"/>
                <w:sz w:val="18"/>
                <w:szCs w:val="18"/>
              </w:rPr>
              <w:t>付</w:t>
            </w:r>
            <w:r>
              <w:rPr>
                <w:rFonts w:ascii="宋体" w:hAnsi="宋体" w:cs="宋体" w:eastAsia="宋体" w:hint="default"/>
                <w:w w:val="101"/>
                <w:sz w:val="18"/>
                <w:szCs w:val="18"/>
              </w:rPr>
              <w:t>原告</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80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57</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z w:val="18"/>
                <w:szCs w:val="18"/>
              </w:rPr>
            </w:r>
          </w:p>
          <w:p>
            <w:pPr>
              <w:pStyle w:val="TableParagraph"/>
              <w:spacing w:line="304" w:lineRule="auto" w:before="63"/>
              <w:ind w:left="105" w:right="95"/>
              <w:jc w:val="left"/>
              <w:rPr>
                <w:rFonts w:ascii="宋体" w:hAnsi="宋体" w:cs="宋体" w:eastAsia="宋体" w:hint="default"/>
                <w:sz w:val="18"/>
                <w:szCs w:val="18"/>
              </w:rPr>
            </w:pPr>
            <w:r>
              <w:rPr>
                <w:rFonts w:ascii="宋体" w:hAnsi="宋体" w:cs="宋体" w:eastAsia="宋体" w:hint="default"/>
                <w:spacing w:val="-5"/>
                <w:sz w:val="18"/>
                <w:szCs w:val="18"/>
              </w:rPr>
              <w:t>元，驳回原告其他诉讼请求。我方</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日已</w:t>
            </w:r>
            <w:r>
              <w:rPr>
                <w:rFonts w:ascii="宋体" w:hAnsi="宋体" w:cs="宋体" w:eastAsia="宋体" w:hint="default"/>
                <w:spacing w:val="-86"/>
                <w:sz w:val="18"/>
                <w:szCs w:val="18"/>
              </w:rPr>
              <w:t> </w:t>
            </w:r>
            <w:r>
              <w:rPr>
                <w:rFonts w:ascii="宋体" w:hAnsi="宋体" w:cs="宋体" w:eastAsia="宋体" w:hint="default"/>
                <w:sz w:val="18"/>
                <w:szCs w:val="18"/>
              </w:rPr>
              <w:t>提请上诉。</w:t>
            </w:r>
          </w:p>
        </w:tc>
      </w:tr>
      <w:tr>
        <w:trPr>
          <w:trHeight w:val="1340" w:hRule="exact"/>
        </w:trPr>
        <w:tc>
          <w:tcPr>
            <w:tcW w:w="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0"/>
              <w:jc w:val="center"/>
              <w:rPr>
                <w:rFonts w:ascii="Times New Roman" w:hAnsi="Times New Roman" w:cs="Times New Roman" w:eastAsia="Times New Roman" w:hint="default"/>
                <w:sz w:val="18"/>
                <w:szCs w:val="18"/>
              </w:rPr>
            </w:pPr>
            <w:r>
              <w:rPr>
                <w:rFonts w:ascii="Times New Roman"/>
                <w:sz w:val="18"/>
              </w:rPr>
              <w:t>14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7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苏</w:t>
            </w:r>
          </w:p>
          <w:p>
            <w:pPr>
              <w:pStyle w:val="TableParagraph"/>
              <w:spacing w:line="240" w:lineRule="auto" w:before="58"/>
              <w:ind w:left="1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0281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民初</w:t>
            </w:r>
            <w:r>
              <w:rPr>
                <w:rFonts w:ascii="宋体" w:hAnsi="宋体" w:cs="宋体" w:eastAsia="宋体" w:hint="default"/>
                <w:sz w:val="18"/>
                <w:szCs w:val="18"/>
              </w:rPr>
            </w:r>
          </w:p>
          <w:p>
            <w:pPr>
              <w:pStyle w:val="TableParagraph"/>
              <w:spacing w:line="240" w:lineRule="auto" w:before="67"/>
              <w:ind w:left="1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16372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0" w:right="98"/>
              <w:jc w:val="both"/>
              <w:rPr>
                <w:rFonts w:ascii="宋体" w:hAnsi="宋体" w:cs="宋体" w:eastAsia="宋体" w:hint="default"/>
                <w:sz w:val="18"/>
                <w:szCs w:val="18"/>
              </w:rPr>
            </w:pPr>
            <w:r>
              <w:rPr>
                <w:rFonts w:ascii="宋体" w:hAnsi="宋体" w:cs="宋体" w:eastAsia="宋体" w:hint="default"/>
                <w:sz w:val="18"/>
                <w:szCs w:val="18"/>
              </w:rPr>
              <w:t>江苏正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泰电器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集团有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195"/>
              <w:jc w:val="left"/>
              <w:rPr>
                <w:rFonts w:ascii="宋体" w:hAnsi="宋体" w:cs="宋体" w:eastAsia="宋体" w:hint="default"/>
                <w:sz w:val="18"/>
                <w:szCs w:val="18"/>
              </w:rPr>
            </w:pPr>
            <w:r>
              <w:rPr>
                <w:rFonts w:ascii="宋体" w:hAnsi="宋体" w:cs="宋体" w:eastAsia="宋体" w:hint="default"/>
                <w:sz w:val="18"/>
                <w:szCs w:val="18"/>
              </w:rPr>
              <w:t>江苏亿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0" w:right="195"/>
              <w:jc w:val="left"/>
              <w:rPr>
                <w:rFonts w:ascii="宋体" w:hAnsi="宋体" w:cs="宋体" w:eastAsia="宋体" w:hint="default"/>
                <w:sz w:val="18"/>
                <w:szCs w:val="18"/>
              </w:rPr>
            </w:pPr>
            <w:r>
              <w:rPr>
                <w:rFonts w:ascii="宋体" w:hAnsi="宋体" w:cs="宋体" w:eastAsia="宋体" w:hint="default"/>
                <w:sz w:val="18"/>
                <w:szCs w:val="18"/>
              </w:rPr>
              <w:t>合同纠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纷</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4" w:right="0"/>
              <w:jc w:val="center"/>
              <w:rPr>
                <w:rFonts w:ascii="Times New Roman" w:hAnsi="Times New Roman" w:cs="Times New Roman" w:eastAsia="Times New Roman" w:hint="default"/>
                <w:sz w:val="18"/>
                <w:szCs w:val="18"/>
              </w:rPr>
            </w:pPr>
            <w:r>
              <w:rPr>
                <w:rFonts w:ascii="Times New Roman"/>
                <w:sz w:val="18"/>
              </w:rPr>
              <w:t>68.00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95"/>
              <w:jc w:val="right"/>
              <w:rPr>
                <w:rFonts w:ascii="宋体" w:hAnsi="宋体" w:cs="宋体" w:eastAsia="宋体" w:hint="default"/>
                <w:sz w:val="18"/>
                <w:szCs w:val="18"/>
              </w:rPr>
            </w:pPr>
            <w:r>
              <w:rPr>
                <w:rFonts w:ascii="宋体" w:hAnsi="宋体" w:cs="宋体" w:eastAsia="宋体" w:hint="default"/>
                <w:spacing w:val="-2"/>
                <w:sz w:val="18"/>
                <w:szCs w:val="18"/>
              </w:rPr>
              <w:t>未结案</w:t>
            </w:r>
          </w:p>
        </w:tc>
        <w:tc>
          <w:tcPr>
            <w:tcW w:w="3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日开庭，</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日法院出具</w:t>
            </w:r>
          </w:p>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4"/>
                <w:sz w:val="18"/>
                <w:szCs w:val="18"/>
              </w:rPr>
              <w:t>判决书，判决我方支付原告 </w:t>
            </w:r>
            <w:r>
              <w:rPr>
                <w:rFonts w:ascii="Times New Roman" w:hAnsi="Times New Roman" w:cs="Times New Roman" w:eastAsia="Times New Roman" w:hint="default"/>
                <w:sz w:val="18"/>
                <w:szCs w:val="18"/>
              </w:rPr>
              <w:t>62</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万及利息。我方</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不服，已于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日上诉并缴费。</w:t>
            </w:r>
          </w:p>
        </w:tc>
      </w:tr>
      <w:tr>
        <w:trPr>
          <w:trHeight w:val="403" w:hRule="exact"/>
        </w:trPr>
        <w:tc>
          <w:tcPr>
            <w:tcW w:w="39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3,156.47</w:t>
            </w:r>
          </w:p>
        </w:tc>
        <w:tc>
          <w:tcPr>
            <w:tcW w:w="994"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393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 w:right="0"/>
              <w:jc w:val="center"/>
              <w:rPr>
                <w:rFonts w:ascii="Times New Roman" w:hAnsi="Times New Roman" w:cs="Times New Roman" w:eastAsia="Times New Roman" w:hint="default"/>
                <w:sz w:val="18"/>
                <w:szCs w:val="18"/>
              </w:rPr>
            </w:pPr>
            <w:r>
              <w:rPr>
                <w:rFonts w:ascii="Times New Roman"/>
                <w:sz w:val="18"/>
              </w:rPr>
              <w:t>6,100.28</w:t>
            </w:r>
          </w:p>
        </w:tc>
        <w:tc>
          <w:tcPr>
            <w:tcW w:w="994" w:type="dxa"/>
            <w:tcBorders>
              <w:top w:val="single" w:sz="4" w:space="0" w:color="000000"/>
              <w:left w:val="single" w:sz="4" w:space="0" w:color="000000"/>
              <w:bottom w:val="single" w:sz="4" w:space="0" w:color="000000"/>
              <w:right w:val="single" w:sz="4" w:space="0" w:color="000000"/>
            </w:tcBorders>
          </w:tcPr>
          <w:p>
            <w:pPr/>
          </w:p>
        </w:tc>
        <w:tc>
          <w:tcPr>
            <w:tcW w:w="951" w:type="dxa"/>
            <w:tcBorders>
              <w:top w:val="single" w:sz="4" w:space="0" w:color="000000"/>
              <w:left w:val="single" w:sz="4" w:space="0" w:color="000000"/>
              <w:bottom w:val="single" w:sz="4" w:space="0" w:color="000000"/>
              <w:right w:val="single" w:sz="4" w:space="0" w:color="000000"/>
            </w:tcBorders>
          </w:tcPr>
          <w:p>
            <w:pPr/>
          </w:p>
        </w:tc>
        <w:tc>
          <w:tcPr>
            <w:tcW w:w="3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left="673" w:right="0"/>
        <w:jc w:val="left"/>
        <w:rPr>
          <w:b w:val="0"/>
          <w:bCs w:val="0"/>
        </w:rPr>
      </w:pPr>
      <w:bookmarkStart w:name="十二、处罚及整改情况" w:id="73"/>
      <w:bookmarkEnd w:id="73"/>
      <w:r>
        <w:rPr>
          <w:b w:val="0"/>
          <w:bCs w:val="0"/>
        </w:rPr>
      </w:r>
      <w:r>
        <w:rPr/>
        <w:t>十二、处罚及整改情况</w:t>
      </w:r>
      <w:r>
        <w:rPr>
          <w:b w:val="0"/>
          <w:bCs w:val="0"/>
        </w:rPr>
      </w:r>
    </w:p>
    <w:p>
      <w:pPr>
        <w:spacing w:line="240" w:lineRule="auto" w:before="3"/>
        <w:rPr>
          <w:rFonts w:ascii="宋体" w:hAnsi="宋体" w:cs="宋体" w:eastAsia="宋体" w:hint="default"/>
          <w:b/>
          <w:bCs/>
          <w:sz w:val="27"/>
          <w:szCs w:val="27"/>
        </w:rPr>
      </w:pPr>
    </w:p>
    <w:p>
      <w:pPr>
        <w:spacing w:line="343" w:lineRule="auto" w:before="0"/>
        <w:ind w:left="67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公司报告期不存在处罚及整改情况。</w:t>
      </w:r>
    </w:p>
    <w:p>
      <w:pPr>
        <w:spacing w:line="240" w:lineRule="auto" w:before="1"/>
        <w:rPr>
          <w:rFonts w:ascii="宋体" w:hAnsi="宋体" w:cs="宋体" w:eastAsia="宋体" w:hint="default"/>
          <w:sz w:val="18"/>
          <w:szCs w:val="18"/>
        </w:rPr>
      </w:pPr>
    </w:p>
    <w:p>
      <w:pPr>
        <w:pStyle w:val="Heading2"/>
        <w:spacing w:line="240" w:lineRule="auto"/>
        <w:ind w:left="673" w:right="0"/>
        <w:jc w:val="left"/>
        <w:rPr>
          <w:b w:val="0"/>
          <w:bCs w:val="0"/>
        </w:rPr>
      </w:pPr>
      <w:bookmarkStart w:name="十三、公司及其控股股东、实际控制人的诚信状况" w:id="74"/>
      <w:bookmarkEnd w:id="74"/>
      <w:r>
        <w:rPr>
          <w:b w:val="0"/>
          <w:bCs w:val="0"/>
        </w:rPr>
      </w:r>
      <w:r>
        <w:rPr/>
        <w:t>十三、公司及其控股股东、实际控制人的诚信状况</w:t>
      </w:r>
      <w:r>
        <w:rPr>
          <w:b w:val="0"/>
          <w:bCs w:val="0"/>
        </w:rPr>
      </w:r>
    </w:p>
    <w:p>
      <w:pPr>
        <w:spacing w:line="240" w:lineRule="auto" w:before="8"/>
        <w:rPr>
          <w:rFonts w:ascii="宋体" w:hAnsi="宋体" w:cs="宋体" w:eastAsia="宋体" w:hint="default"/>
          <w:b/>
          <w:bCs/>
          <w:sz w:val="27"/>
          <w:szCs w:val="27"/>
        </w:rPr>
      </w:pPr>
    </w:p>
    <w:p>
      <w:pPr>
        <w:spacing w:before="0"/>
        <w:ind w:left="6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60" w:lineRule="auto" w:before="45"/>
        <w:ind w:left="673" w:right="1141" w:firstLine="480"/>
        <w:jc w:val="both"/>
      </w:pPr>
      <w:r>
        <w:rPr/>
        <w:t>报告期内，公司及控股股东、实际控制人诚信状况良好，不存在未履行法院生效判决、 所诉数额较大的债务到期未清偿等情况。</w:t>
      </w:r>
    </w:p>
    <w:p>
      <w:pPr>
        <w:spacing w:line="240" w:lineRule="auto" w:before="3"/>
        <w:rPr>
          <w:rFonts w:ascii="宋体" w:hAnsi="宋体" w:cs="宋体" w:eastAsia="宋体" w:hint="default"/>
          <w:sz w:val="25"/>
          <w:szCs w:val="25"/>
        </w:rPr>
      </w:pPr>
    </w:p>
    <w:p>
      <w:pPr>
        <w:pStyle w:val="Heading2"/>
        <w:spacing w:line="240" w:lineRule="auto"/>
        <w:ind w:left="673" w:right="0"/>
        <w:jc w:val="left"/>
        <w:rPr>
          <w:b w:val="0"/>
          <w:bCs w:val="0"/>
        </w:rPr>
      </w:pPr>
      <w:bookmarkStart w:name="十四、公司股权激励计划、员工持股计划或其他员工激励措施的实施情况" w:id="75"/>
      <w:bookmarkEnd w:id="75"/>
      <w:r>
        <w:rPr>
          <w:b w:val="0"/>
          <w:bCs w:val="0"/>
        </w:rPr>
      </w:r>
      <w:r>
        <w:rPr/>
        <w:t>十四、公司股权激励计划、员工持股计划或其他员工激励措施的实施情况</w:t>
      </w:r>
      <w:r>
        <w:rPr>
          <w:b w:val="0"/>
          <w:bCs w:val="0"/>
        </w:rPr>
      </w:r>
    </w:p>
    <w:p>
      <w:pPr>
        <w:spacing w:line="240" w:lineRule="auto" w:before="3"/>
        <w:rPr>
          <w:rFonts w:ascii="宋体" w:hAnsi="宋体" w:cs="宋体" w:eastAsia="宋体" w:hint="default"/>
          <w:b/>
          <w:bCs/>
          <w:sz w:val="27"/>
          <w:szCs w:val="27"/>
        </w:rPr>
      </w:pPr>
    </w:p>
    <w:p>
      <w:pPr>
        <w:spacing w:before="0"/>
        <w:ind w:left="6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Heading2"/>
        <w:spacing w:line="240" w:lineRule="auto" w:before="127"/>
        <w:ind w:left="1153" w:right="0"/>
        <w:jc w:val="left"/>
        <w:rPr>
          <w:b w:val="0"/>
          <w:bCs w:val="0"/>
        </w:rPr>
      </w:pPr>
      <w:r>
        <w:rPr/>
        <w:t>（一）限制性股票激励计划</w:t>
      </w:r>
      <w:r>
        <w:rPr>
          <w:b w:val="0"/>
          <w:bCs w:val="0"/>
        </w:rPr>
      </w:r>
    </w:p>
    <w:p>
      <w:pPr>
        <w:pStyle w:val="BodyText"/>
        <w:spacing w:line="340" w:lineRule="auto" w:before="156"/>
        <w:ind w:left="673" w:right="1125" w:firstLine="48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25</w:t>
      </w:r>
      <w:r>
        <w:rPr>
          <w:spacing w:val="-3"/>
        </w:rPr>
        <w:t>日，公司召开第四届董事会第二次会议、第四届监事会第二次会议审议通过</w:t>
      </w:r>
      <w:r>
        <w:rPr/>
        <w:t> 了《关于回购注销已离职激励对象已授予但尚未解除限售的限制性股票的议案》、《关于调</w:t>
      </w:r>
      <w:r>
        <w:rPr>
          <w:spacing w:val="-93"/>
        </w:rPr>
        <w:t> </w:t>
      </w:r>
      <w:r>
        <w:rPr>
          <w:spacing w:val="-93"/>
        </w:rPr>
      </w:r>
      <w:r>
        <w:rPr/>
        <w:t>整公司</w:t>
      </w:r>
      <w:r>
        <w:rPr>
          <w:rFonts w:ascii="Times New Roman" w:hAnsi="Times New Roman" w:cs="Times New Roman" w:eastAsia="Times New Roman" w:hint="default"/>
        </w:rPr>
        <w:t>2017</w:t>
      </w:r>
      <w:r>
        <w:rPr/>
        <w:t>年限制性股票激励计划预留授予部分限制性股票回购价格的议案》及《关于回购</w:t>
      </w:r>
      <w:r>
        <w:rPr>
          <w:spacing w:val="-93"/>
        </w:rPr>
        <w:t> </w:t>
      </w:r>
      <w:r>
        <w:rPr>
          <w:spacing w:val="-93"/>
        </w:rPr>
      </w:r>
      <w:r>
        <w:rPr/>
        <w:t>注销及终止实施公司</w:t>
      </w:r>
      <w:r>
        <w:rPr>
          <w:rFonts w:ascii="Times New Roman" w:hAnsi="Times New Roman" w:cs="Times New Roman" w:eastAsia="Times New Roman" w:hint="default"/>
        </w:rPr>
        <w:t>2017</w:t>
      </w:r>
      <w:r>
        <w:rPr/>
        <w:t>年限制性股票激励计划的议案》等议案，公司拟对</w:t>
      </w:r>
      <w:r>
        <w:rPr>
          <w:rFonts w:ascii="Times New Roman" w:hAnsi="Times New Roman" w:cs="Times New Roman" w:eastAsia="Times New Roman" w:hint="default"/>
        </w:rPr>
        <w:t>10</w:t>
      </w:r>
      <w:r>
        <w:rPr/>
        <w:t>名离职激励对</w:t>
      </w:r>
      <w:r>
        <w:rPr>
          <w:spacing w:val="-89"/>
        </w:rPr>
        <w:t> </w:t>
      </w:r>
      <w:r>
        <w:rPr>
          <w:spacing w:val="-89"/>
        </w:rPr>
      </w:r>
      <w:r>
        <w:rPr>
          <w:spacing w:val="2"/>
        </w:rPr>
        <w:t>象所持</w:t>
      </w:r>
      <w:r>
        <w:rPr>
          <w:rFonts w:ascii="Times New Roman" w:hAnsi="Times New Roman" w:cs="Times New Roman" w:eastAsia="Times New Roman" w:hint="default"/>
          <w:spacing w:val="2"/>
        </w:rPr>
        <w:t>32.9</w:t>
      </w:r>
      <w:r>
        <w:rPr>
          <w:spacing w:val="2"/>
        </w:rPr>
        <w:t>万股、因公司层面业绩考核结果未能满足</w:t>
      </w:r>
      <w:r>
        <w:rPr>
          <w:rFonts w:ascii="Times New Roman" w:hAnsi="Times New Roman" w:cs="Times New Roman" w:eastAsia="Times New Roman" w:hint="default"/>
          <w:spacing w:val="2"/>
        </w:rPr>
        <w:t>2017</w:t>
      </w:r>
      <w:r>
        <w:rPr>
          <w:spacing w:val="2"/>
        </w:rPr>
        <w:t>年限制性股票激励计划解除限售条</w:t>
      </w:r>
      <w:r>
        <w:rPr/>
        <w:t> </w:t>
      </w:r>
      <w:r>
        <w:rPr>
          <w:spacing w:val="-1"/>
        </w:rPr>
        <w:t>件所涉</w:t>
      </w:r>
      <w:r>
        <w:rPr>
          <w:rFonts w:ascii="Times New Roman" w:hAnsi="Times New Roman" w:cs="Times New Roman" w:eastAsia="Times New Roman" w:hint="default"/>
          <w:spacing w:val="-1"/>
        </w:rPr>
        <w:t>131</w:t>
      </w:r>
      <w:r>
        <w:rPr>
          <w:spacing w:val="-1"/>
        </w:rPr>
        <w:t>名激励对象合计所持</w:t>
      </w:r>
      <w:r>
        <w:rPr>
          <w:rFonts w:ascii="Times New Roman" w:hAnsi="Times New Roman" w:cs="Times New Roman" w:eastAsia="Times New Roman" w:hint="default"/>
          <w:spacing w:val="-1"/>
        </w:rPr>
        <w:t>359.36</w:t>
      </w:r>
      <w:r>
        <w:rPr>
          <w:spacing w:val="-1"/>
        </w:rPr>
        <w:t>万股予以回购注销；同时，终止实施公司本激励计划并</w:t>
      </w:r>
    </w:p>
    <w:p>
      <w:pPr>
        <w:spacing w:after="0" w:line="340" w:lineRule="auto"/>
        <w:jc w:val="both"/>
        <w:sectPr>
          <w:pgSz w:w="11910" w:h="16840"/>
          <w:pgMar w:header="863" w:footer="979" w:top="1060" w:bottom="1160" w:left="460" w:right="0"/>
        </w:sectPr>
      </w:pPr>
    </w:p>
    <w:p>
      <w:pPr>
        <w:spacing w:line="240" w:lineRule="auto" w:before="13"/>
        <w:rPr>
          <w:rFonts w:ascii="宋体" w:hAnsi="宋体" w:cs="宋体" w:eastAsia="宋体" w:hint="default"/>
          <w:sz w:val="29"/>
          <w:szCs w:val="29"/>
        </w:rPr>
      </w:pPr>
    </w:p>
    <w:p>
      <w:pPr>
        <w:pStyle w:val="BodyText"/>
        <w:spacing w:line="338" w:lineRule="auto"/>
        <w:ind w:right="1007"/>
        <w:jc w:val="left"/>
      </w:pPr>
      <w:r>
        <w:rPr>
          <w:spacing w:val="2"/>
        </w:rPr>
        <w:t>回购注销剩余涉及</w:t>
      </w:r>
      <w:r>
        <w:rPr>
          <w:rFonts w:ascii="Times New Roman" w:hAnsi="Times New Roman" w:cs="Times New Roman" w:eastAsia="Times New Roman" w:hint="default"/>
          <w:spacing w:val="2"/>
        </w:rPr>
        <w:t>131</w:t>
      </w:r>
      <w:r>
        <w:rPr>
          <w:spacing w:val="2"/>
        </w:rPr>
        <w:t>名激励对象已授予但尚未解除限售的全部限制性股票共计</w:t>
      </w:r>
      <w:r>
        <w:rPr>
          <w:rFonts w:ascii="Times New Roman" w:hAnsi="Times New Roman" w:cs="Times New Roman" w:eastAsia="Times New Roman" w:hint="default"/>
          <w:spacing w:val="2"/>
        </w:rPr>
        <w:t>459.48</w:t>
      </w:r>
      <w:r>
        <w:rPr>
          <w:spacing w:val="2"/>
        </w:rPr>
        <w:t>万股；</w:t>
      </w:r>
      <w:r>
        <w:rPr/>
        <w:t> 合计拟回购注销已授予但尚未解除限售的</w:t>
      </w:r>
      <w:r>
        <w:rPr>
          <w:rFonts w:ascii="Times New Roman" w:hAnsi="Times New Roman" w:cs="Times New Roman" w:eastAsia="Times New Roman" w:hint="default"/>
        </w:rPr>
        <w:t>851.74</w:t>
      </w:r>
      <w:r>
        <w:rPr/>
        <w:t>万股限制性股票。公司独立董事发表了同意</w:t>
      </w:r>
      <w:r>
        <w:rPr>
          <w:spacing w:val="-36"/>
        </w:rPr>
        <w:t> </w:t>
      </w:r>
      <w:r>
        <w:rPr>
          <w:spacing w:val="-36"/>
        </w:rPr>
      </w:r>
      <w:r>
        <w:rPr/>
        <w:t>的独立意见。具体内容详见公司于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日在巨潮资讯网披露的相关公告（公告编号：</w:t>
      </w:r>
      <w:r>
        <w:rPr>
          <w:spacing w:val="-91"/>
        </w:rPr>
        <w:t> </w:t>
      </w:r>
      <w:r>
        <w:rPr>
          <w:spacing w:val="-91"/>
        </w:rPr>
      </w:r>
      <w:r>
        <w:rPr>
          <w:rFonts w:ascii="Times New Roman" w:hAnsi="Times New Roman" w:cs="Times New Roman" w:eastAsia="Times New Roman" w:hint="default"/>
        </w:rPr>
        <w:t>2019-006</w:t>
      </w:r>
      <w:r>
        <w:rPr/>
        <w:t>、</w:t>
      </w:r>
      <w:r>
        <w:rPr>
          <w:rFonts w:ascii="Times New Roman" w:hAnsi="Times New Roman" w:cs="Times New Roman" w:eastAsia="Times New Roman" w:hint="default"/>
        </w:rPr>
        <w:t>2019-007</w:t>
      </w:r>
      <w:r>
        <w:rPr/>
        <w:t>、</w:t>
      </w:r>
      <w:r>
        <w:rPr>
          <w:rFonts w:ascii="Times New Roman" w:hAnsi="Times New Roman" w:cs="Times New Roman" w:eastAsia="Times New Roman" w:hint="default"/>
        </w:rPr>
        <w:t>2019-008</w:t>
      </w:r>
      <w:r>
        <w:rPr/>
        <w:t>、</w:t>
      </w:r>
      <w:r>
        <w:rPr>
          <w:rFonts w:ascii="Times New Roman" w:hAnsi="Times New Roman" w:cs="Times New Roman" w:eastAsia="Times New Roman" w:hint="default"/>
        </w:rPr>
        <w:t>2019-009</w:t>
      </w:r>
      <w:r>
        <w:rPr/>
        <w:t>）。</w:t>
      </w:r>
    </w:p>
    <w:p>
      <w:pPr>
        <w:pStyle w:val="BodyText"/>
        <w:spacing w:line="338" w:lineRule="auto" w:before="29"/>
        <w:ind w:right="888" w:firstLine="48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11</w:t>
      </w:r>
      <w:r>
        <w:rPr>
          <w:spacing w:val="-2"/>
        </w:rPr>
        <w:t>日，公司召开</w:t>
      </w:r>
      <w:r>
        <w:rPr>
          <w:rFonts w:ascii="Times New Roman" w:hAnsi="Times New Roman" w:cs="Times New Roman" w:eastAsia="Times New Roman" w:hint="default"/>
          <w:spacing w:val="-2"/>
        </w:rPr>
        <w:t>2019</w:t>
      </w:r>
      <w:r>
        <w:rPr>
          <w:spacing w:val="-2"/>
        </w:rPr>
        <w:t>年第一次临时股东大会审议通过了上述股权激励有关议案，</w:t>
      </w:r>
      <w:r>
        <w:rPr/>
        <w:t> </w:t>
      </w:r>
      <w:r>
        <w:rPr>
          <w:spacing w:val="-3"/>
        </w:rPr>
        <w:t>并于</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12</w:t>
      </w:r>
      <w:r>
        <w:rPr>
          <w:spacing w:val="-3"/>
        </w:rPr>
        <w:t>日在巨潮资讯网及公司指定报刊《中国证券报》、《证券时报》上刊登了《关于回</w:t>
      </w:r>
      <w:r>
        <w:rPr>
          <w:spacing w:val="-83"/>
        </w:rPr>
        <w:t> </w:t>
      </w:r>
      <w:r>
        <w:rPr>
          <w:spacing w:val="-83"/>
        </w:rPr>
      </w:r>
      <w:r>
        <w:rPr/>
        <w:t>购注销限制性股票的减资公告》（公告编号：</w:t>
      </w:r>
      <w:r>
        <w:rPr>
          <w:rFonts w:ascii="Times New Roman" w:hAnsi="Times New Roman" w:cs="Times New Roman" w:eastAsia="Times New Roman" w:hint="default"/>
        </w:rPr>
        <w:t>2019-013</w:t>
      </w:r>
      <w:r>
        <w:rPr/>
        <w:t>）。</w:t>
      </w:r>
    </w:p>
    <w:p>
      <w:pPr>
        <w:pStyle w:val="BodyText"/>
        <w:spacing w:line="338" w:lineRule="auto" w:before="24"/>
        <w:ind w:right="1122" w:firstLine="480"/>
        <w:jc w:val="both"/>
      </w:pPr>
      <w:r>
        <w:rPr>
          <w:spacing w:val="2"/>
        </w:rPr>
        <w:t>经中国证券登记结算有限责任公司深圳分公司审核确认，上述合计需回购注销的</w:t>
      </w:r>
      <w:r>
        <w:rPr>
          <w:rFonts w:ascii="Times New Roman" w:hAnsi="Times New Roman" w:cs="Times New Roman" w:eastAsia="Times New Roman" w:hint="default"/>
          <w:spacing w:val="2"/>
        </w:rPr>
        <w:t>851.74</w:t>
      </w:r>
      <w:r>
        <w:rPr>
          <w:rFonts w:ascii="Times New Roman" w:hAnsi="Times New Roman" w:cs="Times New Roman" w:eastAsia="Times New Roman" w:hint="default"/>
        </w:rPr>
        <w:t> </w:t>
      </w:r>
      <w:r>
        <w:rPr>
          <w:spacing w:val="-2"/>
        </w:rPr>
        <w:t>万股限制性股票回购注销事宜已于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日办理完成，公司股份总数由</w:t>
      </w:r>
      <w:r>
        <w:rPr>
          <w:rFonts w:ascii="Times New Roman" w:hAnsi="Times New Roman" w:cs="Times New Roman" w:eastAsia="Times New Roman" w:hint="default"/>
          <w:spacing w:val="-2"/>
        </w:rPr>
        <w:t>445,987,594</w:t>
      </w:r>
      <w:r>
        <w:rPr>
          <w:spacing w:val="-2"/>
        </w:rPr>
        <w:t>股变</w:t>
      </w:r>
      <w:r>
        <w:rPr>
          <w:spacing w:val="-96"/>
        </w:rPr>
        <w:t> </w:t>
      </w:r>
      <w:r>
        <w:rPr>
          <w:spacing w:val="-2"/>
        </w:rPr>
        <w:t>更为</w:t>
      </w:r>
      <w:r>
        <w:rPr>
          <w:rFonts w:ascii="Times New Roman" w:hAnsi="Times New Roman" w:cs="Times New Roman" w:eastAsia="Times New Roman" w:hint="default"/>
          <w:spacing w:val="-2"/>
        </w:rPr>
        <w:t>437,470,194</w:t>
      </w:r>
      <w:r>
        <w:rPr>
          <w:spacing w:val="-2"/>
        </w:rPr>
        <w:t>股。具体内容详见公司于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日在巨潮资讯网披露的《关于限制性股</w:t>
      </w:r>
      <w:r>
        <w:rPr>
          <w:spacing w:val="-107"/>
        </w:rPr>
        <w:t> </w:t>
      </w:r>
      <w:r>
        <w:rPr>
          <w:spacing w:val="-107"/>
        </w:rPr>
      </w:r>
      <w:r>
        <w:rPr/>
        <w:t>票回购注销完成的公告》（公告编号：</w:t>
      </w:r>
      <w:r>
        <w:rPr>
          <w:rFonts w:ascii="Times New Roman" w:hAnsi="Times New Roman" w:cs="Times New Roman" w:eastAsia="Times New Roman" w:hint="default"/>
        </w:rPr>
        <w:t>2019-074</w:t>
      </w:r>
      <w:r>
        <w:rPr/>
        <w:t>）。</w:t>
      </w:r>
    </w:p>
    <w:p>
      <w:pPr>
        <w:pStyle w:val="Heading2"/>
        <w:spacing w:line="240" w:lineRule="auto" w:before="24"/>
        <w:ind w:left="633" w:right="0"/>
        <w:jc w:val="left"/>
        <w:rPr>
          <w:b w:val="0"/>
          <w:bCs w:val="0"/>
        </w:rPr>
      </w:pPr>
      <w:r>
        <w:rPr/>
        <w:t>（二）其他员工激励计划</w:t>
      </w:r>
      <w:r>
        <w:rPr>
          <w:b w:val="0"/>
          <w:bCs w:val="0"/>
        </w:rPr>
      </w:r>
    </w:p>
    <w:p>
      <w:pPr>
        <w:pStyle w:val="BodyText"/>
        <w:spacing w:line="338" w:lineRule="auto" w:before="156"/>
        <w:ind w:right="1128"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月，公司完成了与四川依米康企业管理有限公司（以下简称</w:t>
      </w:r>
      <w:r>
        <w:rPr>
          <w:rFonts w:ascii="Times New Roman" w:hAnsi="Times New Roman" w:cs="Times New Roman" w:eastAsia="Times New Roman" w:hint="default"/>
          <w:spacing w:val="-2"/>
        </w:rPr>
        <w:t>“</w:t>
      </w:r>
      <w:r>
        <w:rPr>
          <w:spacing w:val="-2"/>
        </w:rPr>
        <w:t>依米康管理</w:t>
      </w:r>
      <w:r>
        <w:rPr>
          <w:rFonts w:ascii="Times New Roman" w:hAnsi="Times New Roman" w:cs="Times New Roman" w:eastAsia="Times New Roman" w:hint="default"/>
          <w:spacing w:val="-2"/>
        </w:rPr>
        <w:t>”</w:t>
      </w:r>
      <w:r>
        <w:rPr>
          <w:spacing w:val="-2"/>
        </w:rPr>
        <w:t>）合资</w:t>
      </w:r>
      <w:r>
        <w:rPr/>
        <w:t> 新设两个子公司：曲水依米康智成企业管理中心（有限合伙）（以下简称</w:t>
      </w:r>
      <w:r>
        <w:rPr>
          <w:rFonts w:ascii="Times New Roman" w:hAnsi="Times New Roman" w:cs="Times New Roman" w:eastAsia="Times New Roman" w:hint="default"/>
        </w:rPr>
        <w:t>“</w:t>
      </w:r>
      <w:r>
        <w:rPr/>
        <w:t>曲水智成</w:t>
      </w:r>
      <w:r>
        <w:rPr>
          <w:rFonts w:ascii="Times New Roman" w:hAnsi="Times New Roman" w:cs="Times New Roman" w:eastAsia="Times New Roman" w:hint="default"/>
        </w:rPr>
        <w:t>”</w:t>
      </w:r>
      <w:r>
        <w:rPr/>
        <w:t>）、曲</w:t>
      </w:r>
      <w:r>
        <w:rPr>
          <w:spacing w:val="-65"/>
        </w:rPr>
        <w:t> </w:t>
      </w:r>
      <w:r>
        <w:rPr/>
        <w:t>水依米康智控企业管理中心（有限合伙）（以下简称</w:t>
      </w:r>
      <w:r>
        <w:rPr>
          <w:rFonts w:ascii="Times New Roman" w:hAnsi="Times New Roman" w:cs="Times New Roman" w:eastAsia="Times New Roman" w:hint="default"/>
        </w:rPr>
        <w:t>“</w:t>
      </w:r>
      <w:r>
        <w:rPr/>
        <w:t>曲水智控</w:t>
      </w:r>
      <w:r>
        <w:rPr>
          <w:rFonts w:ascii="Times New Roman" w:hAnsi="Times New Roman" w:cs="Times New Roman" w:eastAsia="Times New Roman" w:hint="default"/>
        </w:rPr>
        <w:t>”</w:t>
      </w:r>
      <w:r>
        <w:rPr/>
        <w:t>）作为员工持股平台实施员</w:t>
      </w:r>
      <w:r>
        <w:rPr>
          <w:spacing w:val="-67"/>
        </w:rPr>
        <w:t> </w:t>
      </w:r>
      <w:r>
        <w:rPr>
          <w:spacing w:val="-67"/>
        </w:rPr>
      </w:r>
      <w:r>
        <w:rPr>
          <w:spacing w:val="-5"/>
        </w:rPr>
        <w:t>工股权激励事项的有关设立工作。具体内容详见公司于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2</w:t>
      </w:r>
      <w:r>
        <w:rPr>
          <w:spacing w:val="-5"/>
        </w:rPr>
        <w:t>日在巨潮资讯网披露的《关</w:t>
      </w:r>
      <w:r>
        <w:rPr>
          <w:spacing w:val="-101"/>
        </w:rPr>
        <w:t> </w:t>
      </w:r>
      <w:r>
        <w:rPr>
          <w:spacing w:val="-101"/>
        </w:rPr>
      </w:r>
      <w:r>
        <w:rPr/>
        <w:t>于子公司完成工商登记的公告》（公告编号：</w:t>
      </w:r>
      <w:r>
        <w:rPr>
          <w:rFonts w:ascii="Times New Roman" w:hAnsi="Times New Roman" w:cs="Times New Roman" w:eastAsia="Times New Roman" w:hint="default"/>
        </w:rPr>
        <w:t>2018-005</w:t>
      </w:r>
      <w:r>
        <w:rPr/>
        <w:t>）。</w:t>
      </w:r>
    </w:p>
    <w:p>
      <w:pPr>
        <w:pStyle w:val="BodyText"/>
        <w:spacing w:line="343" w:lineRule="auto" w:before="25"/>
        <w:ind w:right="1123"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月，公司召开总经理办公会审议了因依米康更名需同步变更全资子公司依米康管</w:t>
      </w:r>
      <w:r>
        <w:rPr/>
        <w:t> 理、曲水智成、曲水智控的股东名称及为更好发挥子公司激励平台效用拟对曲水智控进行注</w:t>
      </w:r>
      <w:r>
        <w:rPr>
          <w:spacing w:val="-93"/>
        </w:rPr>
        <w:t> </w:t>
      </w:r>
      <w:r>
        <w:rPr>
          <w:spacing w:val="-93"/>
        </w:rPr>
      </w:r>
      <w:r>
        <w:rPr/>
        <w:t>册资本由</w:t>
      </w:r>
      <w:r>
        <w:rPr>
          <w:rFonts w:ascii="Times New Roman" w:hAnsi="Times New Roman" w:cs="Times New Roman" w:eastAsia="Times New Roman" w:hint="default"/>
        </w:rPr>
        <w:t>1,280</w:t>
      </w:r>
      <w:r>
        <w:rPr/>
        <w:t>万元减至</w:t>
      </w:r>
      <w:r>
        <w:rPr>
          <w:rFonts w:ascii="Times New Roman" w:hAnsi="Times New Roman" w:cs="Times New Roman" w:eastAsia="Times New Roman" w:hint="default"/>
        </w:rPr>
        <w:t>500</w:t>
      </w:r>
      <w:r>
        <w:rPr/>
        <w:t>万元等有关事项。依米康管理、曲水智成、曲水智控已办理完成</w:t>
      </w:r>
      <w:r>
        <w:rPr>
          <w:spacing w:val="-37"/>
        </w:rPr>
        <w:t> </w:t>
      </w:r>
      <w:r>
        <w:rPr>
          <w:spacing w:val="-37"/>
        </w:rPr>
      </w:r>
      <w:r>
        <w:rPr>
          <w:spacing w:val="2"/>
        </w:rPr>
        <w:t>上述工商变更及备案相关手续。曲水智控注册资本由</w:t>
      </w:r>
      <w:r>
        <w:rPr>
          <w:rFonts w:ascii="Times New Roman" w:hAnsi="Times New Roman" w:cs="Times New Roman" w:eastAsia="Times New Roman" w:hint="default"/>
          <w:spacing w:val="2"/>
        </w:rPr>
        <w:t>1,280</w:t>
      </w:r>
      <w:r>
        <w:rPr>
          <w:spacing w:val="2"/>
        </w:rPr>
        <w:t>万元减至</w:t>
      </w:r>
      <w:r>
        <w:rPr>
          <w:rFonts w:ascii="Times New Roman" w:hAnsi="Times New Roman" w:cs="Times New Roman" w:eastAsia="Times New Roman" w:hint="default"/>
          <w:spacing w:val="2"/>
        </w:rPr>
        <w:t>500</w:t>
      </w:r>
      <w:r>
        <w:rPr>
          <w:spacing w:val="2"/>
        </w:rPr>
        <w:t>万元，其中，公司出</w:t>
      </w:r>
      <w:r>
        <w:rPr/>
        <w:t> 资</w:t>
      </w:r>
      <w:r>
        <w:rPr>
          <w:rFonts w:ascii="Times New Roman" w:hAnsi="Times New Roman" w:cs="Times New Roman" w:eastAsia="Times New Roman" w:hint="default"/>
        </w:rPr>
        <w:t>499.5</w:t>
      </w:r>
      <w:r>
        <w:rPr/>
        <w:t>万元，持股</w:t>
      </w:r>
      <w:r>
        <w:rPr>
          <w:rFonts w:ascii="Times New Roman" w:hAnsi="Times New Roman" w:cs="Times New Roman" w:eastAsia="Times New Roman" w:hint="default"/>
        </w:rPr>
        <w:t>99.9%</w:t>
      </w:r>
      <w:r>
        <w:rPr/>
        <w:t>、依米康管理出资</w:t>
      </w:r>
      <w:r>
        <w:rPr>
          <w:rFonts w:ascii="Times New Roman" w:hAnsi="Times New Roman" w:cs="Times New Roman" w:eastAsia="Times New Roman" w:hint="default"/>
        </w:rPr>
        <w:t>0.5</w:t>
      </w:r>
      <w:r>
        <w:rPr/>
        <w:t>万元，持股</w:t>
      </w:r>
      <w:r>
        <w:rPr>
          <w:rFonts w:ascii="Times New Roman" w:hAnsi="Times New Roman" w:cs="Times New Roman" w:eastAsia="Times New Roman" w:hint="default"/>
        </w:rPr>
        <w:t>0.1%</w:t>
      </w:r>
      <w:r>
        <w:rPr/>
        <w:t>。</w:t>
      </w:r>
    </w:p>
    <w:p>
      <w:pPr>
        <w:pStyle w:val="BodyText"/>
        <w:spacing w:line="340" w:lineRule="auto" w:before="24"/>
        <w:ind w:right="0" w:firstLine="48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日，公司召开第四届董事会第三次会议审议通过《关于终止</w:t>
      </w:r>
      <w:r>
        <w:rPr>
          <w:rFonts w:ascii="Times New Roman" w:hAnsi="Times New Roman" w:cs="Times New Roman" w:eastAsia="Times New Roman" w:hint="default"/>
        </w:rPr>
        <w:t>&lt;</w:t>
      </w:r>
      <w:r>
        <w:rPr/>
        <w:t>依米康科技集 </w:t>
      </w:r>
      <w:r>
        <w:rPr>
          <w:spacing w:val="-3"/>
        </w:rPr>
        <w:t>团股份有限公司子公司员工股权激励管理办法</w:t>
      </w:r>
      <w:r>
        <w:rPr>
          <w:rFonts w:ascii="Times New Roman" w:hAnsi="Times New Roman" w:cs="Times New Roman" w:eastAsia="Times New Roman" w:hint="default"/>
          <w:spacing w:val="-3"/>
        </w:rPr>
        <w:t>&gt;</w:t>
      </w:r>
      <w:r>
        <w:rPr>
          <w:spacing w:val="-3"/>
        </w:rPr>
        <w:t>的议案》、《关于公司受让子公司曲水智成对</w:t>
      </w:r>
      <w:r>
        <w:rPr>
          <w:spacing w:val="-99"/>
        </w:rPr>
        <w:t> </w:t>
      </w:r>
      <w:r>
        <w:rPr>
          <w:spacing w:val="-99"/>
        </w:rPr>
      </w:r>
      <w:r>
        <w:rPr>
          <w:spacing w:val="2"/>
        </w:rPr>
        <w:t>智能工程</w:t>
      </w:r>
      <w:r>
        <w:rPr>
          <w:rFonts w:ascii="Times New Roman" w:hAnsi="Times New Roman" w:cs="Times New Roman" w:eastAsia="Times New Roman" w:hint="default"/>
          <w:spacing w:val="2"/>
        </w:rPr>
        <w:t>20%</w:t>
      </w:r>
      <w:r>
        <w:rPr>
          <w:spacing w:val="2"/>
        </w:rPr>
        <w:t>增资认缴权的议案》及《关于公司受让子公司曲水智控对龙控软件</w:t>
      </w:r>
      <w:r>
        <w:rPr>
          <w:rFonts w:ascii="Times New Roman" w:hAnsi="Times New Roman" w:cs="Times New Roman" w:eastAsia="Times New Roman" w:hint="default"/>
          <w:spacing w:val="2"/>
        </w:rPr>
        <w:t>25%</w:t>
      </w:r>
      <w:r>
        <w:rPr>
          <w:spacing w:val="2"/>
        </w:rPr>
        <w:t>增资认</w:t>
      </w:r>
      <w:r>
        <w:rPr>
          <w:spacing w:val="-99"/>
        </w:rPr>
        <w:t> </w:t>
      </w:r>
      <w:r>
        <w:rPr>
          <w:spacing w:val="-99"/>
        </w:rPr>
      </w:r>
      <w:r>
        <w:rPr/>
        <w:t>缴权的议案》。鉴于目前市场环境和员工需求发生变化，公司决定终止实施《依米康科技集</w:t>
      </w:r>
      <w:r>
        <w:rPr>
          <w:spacing w:val="-93"/>
        </w:rPr>
        <w:t> </w:t>
      </w:r>
      <w:r>
        <w:rPr>
          <w:spacing w:val="-93"/>
        </w:rPr>
      </w:r>
      <w:r>
        <w:rPr>
          <w:spacing w:val="3"/>
        </w:rPr>
        <w:t>团股份有限公司子公司员工股权激励管理办法》（以下简称</w:t>
      </w:r>
      <w:r>
        <w:rPr>
          <w:rFonts w:ascii="Times New Roman" w:hAnsi="Times New Roman" w:cs="Times New Roman" w:eastAsia="Times New Roman" w:hint="default"/>
          <w:spacing w:val="3"/>
        </w:rPr>
        <w:t>“</w:t>
      </w:r>
      <w:r>
        <w:rPr>
          <w:spacing w:val="3"/>
        </w:rPr>
        <w:t>《子公司员工股权激励管理办</w:t>
      </w:r>
      <w:r>
        <w:rPr>
          <w:spacing w:val="-91"/>
        </w:rPr>
        <w:t> </w:t>
      </w:r>
      <w:r>
        <w:rPr/>
        <w:t>法》</w:t>
      </w:r>
      <w:r>
        <w:rPr>
          <w:rFonts w:ascii="Times New Roman" w:hAnsi="Times New Roman" w:cs="Times New Roman" w:eastAsia="Times New Roman" w:hint="default"/>
        </w:rPr>
        <w:t>”</w:t>
      </w:r>
      <w:r>
        <w:rPr/>
        <w:t>），同时一并终止与之配套的相关文件并还原两个激励持股平台为初始状态以备他用。</w:t>
      </w:r>
      <w:r>
        <w:rPr>
          <w:spacing w:val="-82"/>
        </w:rPr>
        <w:t> </w:t>
      </w:r>
      <w:r>
        <w:rPr>
          <w:spacing w:val="-82"/>
        </w:rPr>
      </w:r>
      <w:r>
        <w:rPr/>
        <w:t>公司独立董事就关于终止《子公司员工股权激励管理办法》发表了同意的独立意见，监事会</w:t>
      </w:r>
    </w:p>
    <w:p>
      <w:pPr>
        <w:spacing w:after="0" w:line="340" w:lineRule="auto"/>
        <w:jc w:val="left"/>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38" w:lineRule="auto"/>
        <w:ind w:right="1136"/>
        <w:jc w:val="both"/>
      </w:pPr>
      <w:r>
        <w:rPr/>
        <w:t>发表了审核意见。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2018</w:t>
      </w:r>
      <w:r>
        <w:rPr/>
        <w:t>年度股东大会审议通过了《关于终止</w:t>
      </w:r>
      <w:r>
        <w:rPr>
          <w:rFonts w:ascii="Times New Roman" w:hAnsi="Times New Roman" w:cs="Times New Roman" w:eastAsia="Times New Roman" w:hint="default"/>
        </w:rPr>
        <w:t>&lt;</w:t>
      </w:r>
      <w:r>
        <w:rPr/>
        <w:t>依米</w:t>
      </w:r>
      <w:r>
        <w:rPr>
          <w:spacing w:val="-108"/>
        </w:rPr>
        <w:t> </w:t>
      </w:r>
      <w:r>
        <w:rPr/>
        <w:t>康科技集团股份有限公司子公司股权激励管理办法</w:t>
      </w:r>
      <w:r>
        <w:rPr>
          <w:rFonts w:ascii="Times New Roman" w:hAnsi="Times New Roman" w:cs="Times New Roman" w:eastAsia="Times New Roman" w:hint="default"/>
        </w:rPr>
        <w:t>&gt;</w:t>
      </w:r>
      <w:r>
        <w:rPr/>
        <w:t>的议案》。具体内容详见公司于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47"/>
        </w:rPr>
        <w:t> </w:t>
      </w:r>
      <w:r>
        <w:rPr>
          <w:spacing w:val="-9"/>
        </w:rPr>
        <w:t>月</w:t>
      </w:r>
      <w:r>
        <w:rPr>
          <w:rFonts w:ascii="Times New Roman" w:hAnsi="Times New Roman" w:cs="Times New Roman" w:eastAsia="Times New Roman" w:hint="default"/>
          <w:spacing w:val="-9"/>
        </w:rPr>
        <w:t>19</w:t>
      </w:r>
      <w:r>
        <w:rPr>
          <w:spacing w:val="-9"/>
        </w:rPr>
        <w:t>日、</w:t>
      </w:r>
      <w:r>
        <w:rPr>
          <w:rFonts w:ascii="Times New Roman" w:hAnsi="Times New Roman" w:cs="Times New Roman" w:eastAsia="Times New Roman" w:hint="default"/>
          <w:spacing w:val="-9"/>
        </w:rPr>
        <w:t>4</w:t>
      </w:r>
      <w:r>
        <w:rPr>
          <w:spacing w:val="-9"/>
        </w:rPr>
        <w:t>月</w:t>
      </w:r>
      <w:r>
        <w:rPr>
          <w:rFonts w:ascii="Times New Roman" w:hAnsi="Times New Roman" w:cs="Times New Roman" w:eastAsia="Times New Roman" w:hint="default"/>
          <w:spacing w:val="-9"/>
        </w:rPr>
        <w:t>15</w:t>
      </w:r>
      <w:r>
        <w:rPr>
          <w:spacing w:val="-9"/>
        </w:rPr>
        <w:t>日在巨潮资讯网披露的相关公告（公告编号：</w:t>
      </w:r>
      <w:r>
        <w:rPr>
          <w:rFonts w:ascii="Times New Roman" w:hAnsi="Times New Roman" w:cs="Times New Roman" w:eastAsia="Times New Roman" w:hint="default"/>
          <w:spacing w:val="-9"/>
        </w:rPr>
        <w:t>2019-017</w:t>
      </w:r>
      <w:r>
        <w:rPr>
          <w:spacing w:val="-9"/>
        </w:rPr>
        <w:t>、</w:t>
      </w:r>
      <w:r>
        <w:rPr>
          <w:rFonts w:ascii="Times New Roman" w:hAnsi="Times New Roman" w:cs="Times New Roman" w:eastAsia="Times New Roman" w:hint="default"/>
          <w:spacing w:val="-9"/>
        </w:rPr>
        <w:t>2019-018</w:t>
      </w:r>
      <w:r>
        <w:rPr>
          <w:spacing w:val="-9"/>
        </w:rPr>
        <w:t>、</w:t>
      </w:r>
      <w:r>
        <w:rPr>
          <w:rFonts w:ascii="Times New Roman" w:hAnsi="Times New Roman" w:cs="Times New Roman" w:eastAsia="Times New Roman" w:hint="default"/>
          <w:spacing w:val="-9"/>
        </w:rPr>
        <w:t>2019-039</w:t>
      </w:r>
      <w:r>
        <w:rPr>
          <w:spacing w:val="-9"/>
        </w:rPr>
        <w:t>）。</w:t>
      </w:r>
      <w:r>
        <w:rPr/>
      </w:r>
    </w:p>
    <w:p>
      <w:pPr>
        <w:pStyle w:val="BodyText"/>
        <w:spacing w:line="338" w:lineRule="auto" w:before="24"/>
        <w:ind w:right="0" w:firstLine="480"/>
        <w:jc w:val="left"/>
      </w:pPr>
      <w:r>
        <w:rPr>
          <w:rFonts w:ascii="Times New Roman" w:hAnsi="Times New Roman" w:cs="Times New Roman" w:eastAsia="Times New Roman" w:hint="default"/>
          <w:spacing w:val="-5"/>
        </w:rPr>
        <w:t>2020</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19</w:t>
      </w:r>
      <w:r>
        <w:rPr>
          <w:spacing w:val="-5"/>
        </w:rPr>
        <w:t>日，龙控软件办理完成股权变更等相关事项，变更后依米康持有龙控软件</w:t>
      </w:r>
      <w:r>
        <w:rPr>
          <w:rFonts w:ascii="Times New Roman" w:hAnsi="Times New Roman" w:cs="Times New Roman" w:eastAsia="Times New Roman" w:hint="default"/>
          <w:spacing w:val="-5"/>
        </w:rPr>
        <w:t>100%</w:t>
      </w:r>
      <w:r>
        <w:rPr>
          <w:rFonts w:ascii="Times New Roman" w:hAnsi="Times New Roman" w:cs="Times New Roman" w:eastAsia="Times New Roman" w:hint="default"/>
        </w:rPr>
        <w:t> </w:t>
      </w:r>
      <w:r>
        <w:rPr/>
        <w:t>股权，龙控软件仍为公司全资子公司。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日，智能工程办理完成股权变更等相关事 项，变更后依米康持有智能工程</w:t>
      </w:r>
      <w:r>
        <w:rPr>
          <w:rFonts w:ascii="Times New Roman" w:hAnsi="Times New Roman" w:cs="Times New Roman" w:eastAsia="Times New Roman" w:hint="default"/>
        </w:rPr>
        <w:t>100%</w:t>
      </w:r>
      <w:r>
        <w:rPr/>
        <w:t>股权，智能工程仍为公司全资子公司。</w:t>
      </w:r>
    </w:p>
    <w:p>
      <w:pPr>
        <w:pStyle w:val="BodyText"/>
        <w:spacing w:line="357" w:lineRule="auto" w:before="29"/>
        <w:ind w:right="1136" w:firstLine="480"/>
        <w:jc w:val="both"/>
      </w:pPr>
      <w:r>
        <w:rPr/>
        <w:t>上述子公司员工股权激励方案已终止实施，曲水智成及曲水智控作为激励持股平台均已 还原为初始状态。公司将继续通过优化薪酬体系、完善内部激励机制等方式充分调动公司管</w:t>
      </w:r>
      <w:r>
        <w:rPr>
          <w:spacing w:val="-93"/>
        </w:rPr>
        <w:t> </w:t>
      </w:r>
      <w:r>
        <w:rPr>
          <w:spacing w:val="-93"/>
        </w:rPr>
      </w:r>
      <w:r>
        <w:rPr/>
        <w:t>理层和业务骨干的积极性。未来公司将结合相关法律法规、资本市场情况和自身实际情况，</w:t>
      </w:r>
      <w:r>
        <w:rPr>
          <w:spacing w:val="-93"/>
        </w:rPr>
        <w:t> </w:t>
      </w:r>
      <w:r>
        <w:rPr>
          <w:spacing w:val="-93"/>
        </w:rPr>
      </w:r>
      <w:r>
        <w:rPr/>
        <w:t>继续研究、推行其他股权激励方法，促进公司的稳定发展。</w:t>
      </w:r>
    </w:p>
    <w:p>
      <w:pPr>
        <w:spacing w:line="453" w:lineRule="auto" w:before="166"/>
        <w:ind w:left="153" w:right="1838"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不适用</w:t>
      </w:r>
    </w:p>
    <w:p>
      <w:pPr>
        <w:pStyle w:val="Heading2"/>
        <w:spacing w:line="240" w:lineRule="auto" w:before="153"/>
        <w:ind w:right="0"/>
        <w:jc w:val="both"/>
        <w:rPr>
          <w:b w:val="0"/>
          <w:bCs w:val="0"/>
        </w:rPr>
      </w:pPr>
      <w:bookmarkStart w:name="十五、重大关联交易" w:id="76"/>
      <w:bookmarkEnd w:id="76"/>
      <w:r>
        <w:rPr>
          <w:b w:val="0"/>
          <w:bCs w:val="0"/>
        </w:rPr>
      </w:r>
      <w:r>
        <w:rPr/>
        <w:t>十五、重大关联交易</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1"/>
          <w:szCs w:val="21"/>
        </w:rPr>
      </w:pPr>
      <w:bookmarkStart w:name="1、与日常经营相关的关联交易" w:id="77"/>
      <w:bookmarkEnd w:id="7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公司报告期未发生与日常经营相关的关联交易。</w:t>
      </w:r>
    </w:p>
    <w:p>
      <w:pPr>
        <w:spacing w:line="240" w:lineRule="auto" w:before="0"/>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2、资产或股权收购、出售发生的关联交易" w:id="78"/>
      <w:bookmarkEnd w:id="7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9"/>
        <w:rPr>
          <w:rFonts w:ascii="宋体" w:hAnsi="宋体" w:cs="宋体" w:eastAsia="宋体" w:hint="default"/>
          <w:sz w:val="20"/>
          <w:szCs w:val="20"/>
        </w:rPr>
      </w:pPr>
    </w:p>
    <w:p>
      <w:pPr>
        <w:spacing w:before="0"/>
        <w:ind w:left="153" w:right="0" w:firstLine="0"/>
        <w:jc w:val="both"/>
        <w:rPr>
          <w:rFonts w:ascii="宋体" w:hAnsi="宋体" w:cs="宋体" w:eastAsia="宋体" w:hint="default"/>
          <w:sz w:val="21"/>
          <w:szCs w:val="21"/>
        </w:rPr>
      </w:pPr>
      <w:bookmarkStart w:name="3、共同对外投资的关联交易" w:id="79"/>
      <w:bookmarkEnd w:id="7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43" w:lineRule="auto" w:before="0"/>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公司报告期未发生共同对外投资的关联交易。</w:t>
      </w:r>
    </w:p>
    <w:p>
      <w:pPr>
        <w:spacing w:line="240" w:lineRule="auto" w:before="5"/>
        <w:rPr>
          <w:rFonts w:ascii="宋体" w:hAnsi="宋体" w:cs="宋体" w:eastAsia="宋体" w:hint="default"/>
          <w:sz w:val="20"/>
          <w:szCs w:val="20"/>
        </w:rPr>
      </w:pPr>
    </w:p>
    <w:p>
      <w:pPr>
        <w:spacing w:before="0"/>
        <w:ind w:left="153" w:right="0" w:firstLine="0"/>
        <w:jc w:val="both"/>
        <w:rPr>
          <w:rFonts w:ascii="宋体" w:hAnsi="宋体" w:cs="宋体" w:eastAsia="宋体" w:hint="default"/>
          <w:sz w:val="21"/>
          <w:szCs w:val="21"/>
        </w:rPr>
      </w:pPr>
      <w:bookmarkStart w:name="4、关联债权债务往来" w:id="80"/>
      <w:bookmarkEnd w:id="8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8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是否存在非经营性关联债权债务往来</w:t>
      </w:r>
    </w:p>
    <w:p>
      <w:pPr>
        <w:spacing w:line="343" w:lineRule="auto" w:before="41"/>
        <w:ind w:left="15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6"/>
          <w:sz w:val="18"/>
          <w:szCs w:val="18"/>
        </w:rPr>
        <w:t> </w:t>
      </w:r>
      <w:r>
        <w:rPr>
          <w:rFonts w:ascii="宋体" w:hAnsi="宋体" w:cs="宋体" w:eastAsia="宋体" w:hint="default"/>
          <w:spacing w:val="-3"/>
          <w:sz w:val="18"/>
          <w:szCs w:val="18"/>
        </w:rPr>
        <w:t>应收关联方债权</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922"/>
        <w:gridCol w:w="943"/>
        <w:gridCol w:w="958"/>
        <w:gridCol w:w="958"/>
        <w:gridCol w:w="958"/>
        <w:gridCol w:w="958"/>
        <w:gridCol w:w="956"/>
        <w:gridCol w:w="958"/>
        <w:gridCol w:w="958"/>
        <w:gridCol w:w="982"/>
      </w:tblGrid>
      <w:tr>
        <w:trPr>
          <w:trHeight w:val="384"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1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是否存在非</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本期新增金</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本期收回金</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32"/>
        <w:gridCol w:w="946"/>
        <w:gridCol w:w="956"/>
        <w:gridCol w:w="961"/>
        <w:gridCol w:w="956"/>
        <w:gridCol w:w="960"/>
        <w:gridCol w:w="956"/>
        <w:gridCol w:w="956"/>
        <w:gridCol w:w="960"/>
        <w:gridCol w:w="994"/>
      </w:tblGrid>
      <w:tr>
        <w:trPr>
          <w:trHeight w:val="672" w:hRule="exact"/>
        </w:trPr>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92" w:right="22" w:hanging="269"/>
              <w:jc w:val="left"/>
              <w:rPr>
                <w:rFonts w:ascii="宋体" w:hAnsi="宋体" w:cs="宋体" w:eastAsia="宋体" w:hint="default"/>
                <w:sz w:val="18"/>
                <w:szCs w:val="18"/>
              </w:rPr>
            </w:pPr>
            <w:r>
              <w:rPr>
                <w:rFonts w:ascii="宋体" w:hAnsi="宋体" w:cs="宋体" w:eastAsia="宋体" w:hint="default"/>
                <w:spacing w:val="-2"/>
                <w:sz w:val="18"/>
                <w:szCs w:val="18"/>
              </w:rPr>
              <w:t>经营性资金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占用</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21"/>
              <w:jc w:val="right"/>
              <w:rPr>
                <w:rFonts w:ascii="宋体" w:hAnsi="宋体" w:cs="宋体" w:eastAsia="宋体" w:hint="default"/>
                <w:sz w:val="18"/>
                <w:szCs w:val="18"/>
              </w:rPr>
            </w:pPr>
            <w:r>
              <w:rPr>
                <w:rFonts w:ascii="宋体" w:hAnsi="宋体" w:cs="宋体" w:eastAsia="宋体" w:hint="default"/>
                <w:spacing w:val="-2"/>
                <w:sz w:val="18"/>
                <w:szCs w:val="18"/>
              </w:rPr>
              <w:t>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right="17"/>
              <w:jc w:val="right"/>
              <w:rPr>
                <w:rFonts w:ascii="宋体" w:hAnsi="宋体" w:cs="宋体" w:eastAsia="宋体" w:hint="default"/>
                <w:sz w:val="18"/>
                <w:szCs w:val="18"/>
              </w:rPr>
            </w:pPr>
            <w:r>
              <w:rPr>
                <w:rFonts w:ascii="宋体" w:hAnsi="宋体" w:cs="宋体" w:eastAsia="宋体" w:hint="default"/>
                <w:spacing w:val="-2"/>
                <w:sz w:val="18"/>
                <w:szCs w:val="18"/>
              </w:rPr>
              <w:t>额（万元）</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29"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404" w:hRule="exact"/>
        </w:trPr>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1" w:right="0"/>
              <w:jc w:val="lef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36"/>
              <w:jc w:val="left"/>
              <w:rPr>
                <w:rFonts w:ascii="宋体" w:hAnsi="宋体" w:cs="宋体" w:eastAsia="宋体" w:hint="default"/>
                <w:sz w:val="18"/>
                <w:szCs w:val="18"/>
              </w:rPr>
            </w:pPr>
            <w:r>
              <w:rPr>
                <w:rFonts w:ascii="宋体" w:hAnsi="宋体" w:cs="宋体" w:eastAsia="宋体" w:hint="default"/>
                <w:spacing w:val="-2"/>
                <w:sz w:val="18"/>
                <w:szCs w:val="18"/>
              </w:rPr>
              <w:t>关联债权对公司经营成</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果及财务状况的影响</w:t>
            </w:r>
          </w:p>
        </w:tc>
        <w:tc>
          <w:tcPr>
            <w:tcW w:w="7697"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应付关联方债务</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57"/>
        <w:gridCol w:w="1042"/>
        <w:gridCol w:w="1042"/>
        <w:gridCol w:w="1047"/>
        <w:gridCol w:w="1042"/>
        <w:gridCol w:w="1047"/>
        <w:gridCol w:w="1042"/>
        <w:gridCol w:w="1047"/>
        <w:gridCol w:w="1104"/>
      </w:tblGrid>
      <w:tr>
        <w:trPr>
          <w:trHeight w:val="711"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0"/>
              <w:jc w:val="left"/>
              <w:rPr>
                <w:rFonts w:ascii="宋体" w:hAnsi="宋体" w:cs="宋体" w:eastAsia="宋体" w:hint="default"/>
                <w:sz w:val="18"/>
                <w:szCs w:val="18"/>
              </w:rPr>
            </w:pPr>
            <w:r>
              <w:rPr>
                <w:rFonts w:ascii="宋体" w:hAnsi="宋体" w:cs="宋体" w:eastAsia="宋体" w:hint="default"/>
                <w:spacing w:val="-2"/>
                <w:sz w:val="18"/>
                <w:szCs w:val="18"/>
              </w:rPr>
              <w:t>本期新增金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额（万元）</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7" w:right="65"/>
              <w:jc w:val="left"/>
              <w:rPr>
                <w:rFonts w:ascii="宋体" w:hAnsi="宋体" w:cs="宋体" w:eastAsia="宋体" w:hint="default"/>
                <w:sz w:val="18"/>
                <w:szCs w:val="18"/>
              </w:rPr>
            </w:pPr>
            <w:r>
              <w:rPr>
                <w:rFonts w:ascii="宋体" w:hAnsi="宋体" w:cs="宋体" w:eastAsia="宋体" w:hint="default"/>
                <w:spacing w:val="-2"/>
                <w:sz w:val="18"/>
                <w:szCs w:val="18"/>
              </w:rPr>
              <w:t>本期归还金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额（万元）</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7"/>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369" w:right="12" w:hanging="346"/>
              <w:jc w:val="left"/>
              <w:rPr>
                <w:rFonts w:ascii="宋体" w:hAnsi="宋体" w:cs="宋体" w:eastAsia="宋体" w:hint="default"/>
                <w:sz w:val="18"/>
                <w:szCs w:val="18"/>
              </w:rPr>
            </w:pPr>
            <w:r>
              <w:rPr>
                <w:rFonts w:ascii="宋体" w:hAnsi="宋体" w:cs="宋体" w:eastAsia="宋体" w:hint="default"/>
                <w:spacing w:val="-7"/>
                <w:sz w:val="18"/>
                <w:szCs w:val="18"/>
              </w:rPr>
              <w:t>期末余额（万</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元）</w:t>
            </w:r>
          </w:p>
        </w:tc>
      </w:tr>
      <w:tr>
        <w:trPr>
          <w:trHeight w:val="1964"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2"/>
              <w:jc w:val="center"/>
              <w:rPr>
                <w:rFonts w:ascii="宋体" w:hAnsi="宋体" w:cs="宋体" w:eastAsia="宋体" w:hint="default"/>
                <w:sz w:val="18"/>
                <w:szCs w:val="18"/>
              </w:rPr>
            </w:pPr>
            <w:r>
              <w:rPr>
                <w:rFonts w:ascii="宋体" w:hAnsi="宋体" w:cs="宋体" w:eastAsia="宋体" w:hint="default"/>
                <w:sz w:val="18"/>
                <w:szCs w:val="18"/>
              </w:rPr>
              <w:t>孙屹峥、张菀</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03"/>
              <w:jc w:val="left"/>
              <w:rPr>
                <w:rFonts w:ascii="宋体" w:hAnsi="宋体" w:cs="宋体" w:eastAsia="宋体" w:hint="default"/>
                <w:sz w:val="18"/>
                <w:szCs w:val="18"/>
              </w:rPr>
            </w:pPr>
            <w:r>
              <w:rPr>
                <w:rFonts w:ascii="宋体" w:hAnsi="宋体" w:cs="宋体" w:eastAsia="宋体" w:hint="default"/>
                <w:spacing w:val="-2"/>
                <w:sz w:val="18"/>
                <w:szCs w:val="18"/>
              </w:rPr>
              <w:t>债权方为公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司控股股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东、实际控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制人，且担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任公司董事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及高管职务</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3" w:right="103"/>
              <w:jc w:val="both"/>
              <w:rPr>
                <w:rFonts w:ascii="宋体" w:hAnsi="宋体" w:cs="宋体" w:eastAsia="宋体" w:hint="default"/>
                <w:sz w:val="18"/>
                <w:szCs w:val="18"/>
              </w:rPr>
            </w:pPr>
            <w:r>
              <w:rPr>
                <w:rFonts w:ascii="宋体" w:hAnsi="宋体" w:cs="宋体" w:eastAsia="宋体" w:hint="default"/>
                <w:spacing w:val="-2"/>
                <w:sz w:val="18"/>
                <w:szCs w:val="18"/>
              </w:rPr>
              <w:t>为了缓解公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司开展对外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投资活动的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资金需求</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3,809.69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3,809.69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7.2%</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225.65</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21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81"/>
              <w:jc w:val="left"/>
              <w:rPr>
                <w:rFonts w:ascii="宋体" w:hAnsi="宋体" w:cs="宋体" w:eastAsia="宋体" w:hint="default"/>
                <w:sz w:val="18"/>
                <w:szCs w:val="18"/>
              </w:rPr>
            </w:pPr>
            <w:r>
              <w:rPr>
                <w:rFonts w:ascii="宋体" w:hAnsi="宋体" w:cs="宋体" w:eastAsia="宋体" w:hint="default"/>
                <w:spacing w:val="-3"/>
                <w:sz w:val="18"/>
                <w:szCs w:val="18"/>
              </w:rPr>
              <w:t>关联债务对公司经营成果</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及财务状况的影响</w:t>
            </w:r>
          </w:p>
        </w:tc>
        <w:tc>
          <w:tcPr>
            <w:tcW w:w="7370"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3"/>
              <w:jc w:val="both"/>
              <w:rPr>
                <w:rFonts w:ascii="宋体" w:hAnsi="宋体" w:cs="宋体" w:eastAsia="宋体" w:hint="default"/>
                <w:sz w:val="18"/>
                <w:szCs w:val="18"/>
              </w:rPr>
            </w:pPr>
            <w:r>
              <w:rPr>
                <w:rFonts w:ascii="宋体" w:hAnsi="宋体" w:cs="宋体" w:eastAsia="宋体" w:hint="default"/>
                <w:spacing w:val="-4"/>
                <w:sz w:val="18"/>
                <w:szCs w:val="18"/>
              </w:rPr>
              <w:t>该笔股东借款为公司收购华延芯光股权借款余额，报告期内已归还完毕。公司控股股东及实际</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4"/>
                <w:sz w:val="18"/>
                <w:szCs w:val="18"/>
              </w:rPr>
              <w:t>控制人为公司开展对外投资活动提供资金支持，有利于公司缓解一定的资金压力，有利于公司</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长期经营发展。</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5、其他重大关联交易" w:id="81"/>
      <w:bookmarkEnd w:id="8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3" w:lineRule="auto" w:before="0"/>
        <w:ind w:left="153" w:right="78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公司报告期无其他重大关联交易。</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十六、重大合同及其履行情况" w:id="82"/>
      <w:bookmarkEnd w:id="82"/>
      <w:r>
        <w:rPr>
          <w:b w:val="0"/>
          <w:bCs w:val="0"/>
        </w:rPr>
      </w:r>
      <w:r>
        <w:rPr/>
        <w:t>十六、重大合同及其履行情况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托管、承包、租赁事项情况" w:id="83"/>
      <w:bookmarkEnd w:id="8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托管情况" w:id="84"/>
      <w:bookmarkEnd w:id="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line="343" w:lineRule="auto" w:before="0"/>
        <w:ind w:left="153" w:right="78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公司报告期不存在托管情况。</w:t>
      </w:r>
    </w:p>
    <w:p>
      <w:pPr>
        <w:spacing w:line="240" w:lineRule="auto" w:before="5"/>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2）承包情况" w:id="85"/>
      <w:bookmarkEnd w:id="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8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公司报告期不存在承包情况。</w:t>
      </w:r>
    </w:p>
    <w:p>
      <w:pPr>
        <w:spacing w:line="240" w:lineRule="auto" w:before="0"/>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租赁情况" w:id="86"/>
      <w:bookmarkEnd w:id="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8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公司报告期不存在租赁情况。</w:t>
      </w:r>
    </w:p>
    <w:p>
      <w:pPr>
        <w:spacing w:after="0" w:line="338"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2、重大担保" w:id="87"/>
      <w:bookmarkEnd w:id="8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担保情况" w:id="88"/>
      <w:bookmarkEnd w:id="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293"/>
        <w:gridCol w:w="956"/>
        <w:gridCol w:w="893"/>
        <w:gridCol w:w="1296"/>
        <w:gridCol w:w="1066"/>
        <w:gridCol w:w="1037"/>
        <w:gridCol w:w="135"/>
        <w:gridCol w:w="912"/>
        <w:gridCol w:w="792"/>
        <w:gridCol w:w="778"/>
      </w:tblGrid>
      <w:tr>
        <w:trPr>
          <w:trHeight w:val="403" w:hRule="exact"/>
        </w:trPr>
        <w:tc>
          <w:tcPr>
            <w:tcW w:w="95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8" w:hRule="exact"/>
        </w:trPr>
        <w:tc>
          <w:tcPr>
            <w:tcW w:w="17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0" w:right="118"/>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7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2"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5" w:hRule="exact"/>
        </w:trPr>
        <w:tc>
          <w:tcPr>
            <w:tcW w:w="1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重庆云晟数据科技有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3,360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3,360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质押</w:t>
            </w:r>
          </w:p>
        </w:tc>
        <w:tc>
          <w:tcPr>
            <w:tcW w:w="10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26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04"/>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190"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3,360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8" w:right="79"/>
              <w:jc w:val="left"/>
              <w:rPr>
                <w:rFonts w:ascii="宋体" w:hAnsi="宋体" w:cs="宋体" w:eastAsia="宋体" w:hint="default"/>
                <w:sz w:val="18"/>
                <w:szCs w:val="18"/>
              </w:rPr>
            </w:pPr>
            <w:r>
              <w:rPr>
                <w:rFonts w:ascii="宋体" w:hAnsi="宋体" w:cs="宋体" w:eastAsia="宋体" w:hint="default"/>
                <w:spacing w:val="-3"/>
                <w:sz w:val="18"/>
                <w:szCs w:val="18"/>
              </w:rPr>
              <w:t>报告期内对外担保实际发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生额合计（</w:t>
            </w:r>
            <w:r>
              <w:rPr>
                <w:rFonts w:ascii="Times New Roman" w:hAnsi="Times New Roman" w:cs="Times New Roman" w:eastAsia="Times New Roman" w:hint="default"/>
                <w:spacing w:val="-3"/>
                <w:sz w:val="18"/>
                <w:szCs w:val="18"/>
              </w:rPr>
              <w:t>A2</w:t>
            </w:r>
            <w:r>
              <w:rPr>
                <w:rFonts w:ascii="宋体" w:hAnsi="宋体" w:cs="宋体" w:eastAsia="宋体" w:hint="default"/>
                <w:spacing w:val="-3"/>
                <w:sz w:val="18"/>
                <w:szCs w:val="18"/>
              </w:rPr>
              <w:t>）</w:t>
            </w:r>
          </w:p>
        </w:tc>
        <w:tc>
          <w:tcPr>
            <w:tcW w:w="2617"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20" w:hRule="exact"/>
        </w:trPr>
        <w:tc>
          <w:tcPr>
            <w:tcW w:w="26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04"/>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合计（</w:t>
            </w:r>
            <w:r>
              <w:rPr>
                <w:rFonts w:ascii="Times New Roman" w:hAnsi="Times New Roman" w:cs="Times New Roman" w:eastAsia="Times New Roman" w:hint="default"/>
                <w:spacing w:val="-3"/>
                <w:sz w:val="18"/>
                <w:szCs w:val="18"/>
              </w:rPr>
              <w:t>A3</w:t>
            </w:r>
            <w:r>
              <w:rPr>
                <w:rFonts w:ascii="宋体" w:hAnsi="宋体" w:cs="宋体" w:eastAsia="宋体" w:hint="default"/>
                <w:spacing w:val="-3"/>
                <w:sz w:val="18"/>
                <w:szCs w:val="18"/>
              </w:rPr>
              <w:t>）</w:t>
            </w:r>
          </w:p>
        </w:tc>
        <w:tc>
          <w:tcPr>
            <w:tcW w:w="2190"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3,360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8" w:right="79"/>
              <w:jc w:val="left"/>
              <w:rPr>
                <w:rFonts w:ascii="宋体" w:hAnsi="宋体" w:cs="宋体" w:eastAsia="宋体" w:hint="default"/>
                <w:sz w:val="18"/>
                <w:szCs w:val="18"/>
              </w:rPr>
            </w:pPr>
            <w:r>
              <w:rPr>
                <w:rFonts w:ascii="宋体" w:hAnsi="宋体" w:cs="宋体" w:eastAsia="宋体" w:hint="default"/>
                <w:spacing w:val="-3"/>
                <w:sz w:val="18"/>
                <w:szCs w:val="18"/>
              </w:rPr>
              <w:t>报告期末实际对外担保余</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7"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63"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91" w:right="60"/>
              <w:jc w:val="left"/>
              <w:rPr>
                <w:rFonts w:ascii="宋体" w:hAnsi="宋体" w:cs="宋体" w:eastAsia="宋体" w:hint="default"/>
                <w:sz w:val="18"/>
                <w:szCs w:val="18"/>
              </w:rPr>
            </w:pPr>
            <w:r>
              <w:rPr>
                <w:rFonts w:ascii="宋体" w:hAnsi="宋体" w:cs="宋体" w:eastAsia="宋体" w:hint="default"/>
                <w:spacing w:val="-2"/>
                <w:sz w:val="18"/>
                <w:szCs w:val="18"/>
              </w:rPr>
              <w:t>担保额度相关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公告披露日期</w:t>
            </w: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17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06"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8"/>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248" w:type="dxa"/>
            <w:gridSpan w:val="2"/>
            <w:vMerge/>
            <w:tcBorders>
              <w:left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vMerge/>
            <w:tcBorders>
              <w:left w:val="single" w:sz="4" w:space="0" w:color="000000"/>
              <w:right w:val="single" w:sz="4" w:space="0" w:color="000000"/>
            </w:tcBorders>
            <w:shd w:val="clear" w:color="auto" w:fill="D2D2D2"/>
          </w:tcPr>
          <w:p>
            <w:pPr/>
          </w:p>
        </w:tc>
        <w:tc>
          <w:tcPr>
            <w:tcW w:w="1172"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r>
      <w:tr>
        <w:trPr>
          <w:trHeight w:val="163"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48" w:type="dxa"/>
            <w:gridSpan w:val="2"/>
            <w:vMerge/>
            <w:tcBorders>
              <w:left w:val="single" w:sz="4" w:space="0" w:color="000000"/>
              <w:bottom w:val="single" w:sz="4" w:space="0" w:color="000000"/>
              <w:right w:val="single" w:sz="4" w:space="0" w:color="000000"/>
            </w:tcBorders>
            <w:shd w:val="clear" w:color="auto" w:fill="D2D2D2"/>
          </w:tcPr>
          <w:p>
            <w:pPr/>
          </w:p>
        </w:tc>
        <w:tc>
          <w:tcPr>
            <w:tcW w:w="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17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c>
          <w:tcPr>
            <w:tcW w:w="778"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6,100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290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2,500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14</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500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900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2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 w:right="-1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17</w:t>
            </w:r>
            <w:r>
              <w:rPr>
                <w:rFonts w:ascii="Times New Roman" w:hAnsi="Times New Roman" w:cs="Times New Roman" w:eastAsia="Times New Roman"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2,600</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7"/>
        <w:gridCol w:w="1277"/>
        <w:gridCol w:w="865"/>
        <w:gridCol w:w="1296"/>
        <w:gridCol w:w="1066"/>
        <w:gridCol w:w="1172"/>
        <w:gridCol w:w="907"/>
        <w:gridCol w:w="797"/>
        <w:gridCol w:w="778"/>
      </w:tblGrid>
      <w:tr>
        <w:trPr>
          <w:trHeight w:val="360" w:hRule="exact"/>
        </w:trPr>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桑瑞思公司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19</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146.08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依米康智能公司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31</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252.59</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依米康智能公司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839.64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华延芯光公司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27</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3"/>
                <w:sz w:val="18"/>
              </w:rPr>
              <w:t>15,111.11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820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900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深圳龙控公司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5,650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05</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750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2,800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330.71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04</w:t>
            </w:r>
            <w:r>
              <w:rPr>
                <w:rFonts w:ascii="Times New Roman" w:hAnsi="Times New Roman" w:cs="Times New Roman" w:eastAsia="Times New Roman" w:hint="default"/>
                <w:sz w:val="18"/>
                <w:szCs w:val="18"/>
              </w:rPr>
            </w:r>
          </w:p>
          <w:p>
            <w:pPr>
              <w:pStyle w:val="TableParagraph"/>
              <w:spacing w:line="240" w:lineRule="auto" w:before="67"/>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09</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29</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7"/>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8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7"/>
        <w:gridCol w:w="305"/>
        <w:gridCol w:w="918"/>
        <w:gridCol w:w="911"/>
        <w:gridCol w:w="1313"/>
        <w:gridCol w:w="1041"/>
        <w:gridCol w:w="1046"/>
        <w:gridCol w:w="141"/>
        <w:gridCol w:w="913"/>
        <w:gridCol w:w="786"/>
        <w:gridCol w:w="783"/>
      </w:tblGrid>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3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500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500</w:t>
            </w:r>
          </w:p>
        </w:tc>
        <w:tc>
          <w:tcPr>
            <w:tcW w:w="1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3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15</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w:t>
            </w:r>
          </w:p>
        </w:tc>
        <w:tc>
          <w:tcPr>
            <w:tcW w:w="1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3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20</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2,000</w:t>
            </w:r>
          </w:p>
        </w:tc>
        <w:tc>
          <w:tcPr>
            <w:tcW w:w="1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3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16</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3,000</w:t>
            </w:r>
          </w:p>
        </w:tc>
        <w:tc>
          <w:tcPr>
            <w:tcW w:w="1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3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2,250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2,250</w:t>
            </w:r>
          </w:p>
        </w:tc>
        <w:tc>
          <w:tcPr>
            <w:tcW w:w="1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江苏亿金公司</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3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750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07</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750</w:t>
            </w:r>
          </w:p>
        </w:tc>
        <w:tc>
          <w:tcPr>
            <w:tcW w:w="1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依米康龙控软件</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3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2,000</w:t>
            </w:r>
          </w:p>
        </w:tc>
        <w:tc>
          <w:tcPr>
            <w:tcW w:w="1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平昌依米康</w:t>
            </w:r>
          </w:p>
        </w:tc>
        <w:tc>
          <w:tcPr>
            <w:tcW w:w="1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3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21,000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12</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7,100</w:t>
            </w:r>
          </w:p>
        </w:tc>
        <w:tc>
          <w:tcPr>
            <w:tcW w:w="11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39"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26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5" w:type="dxa"/>
            <w:gridSpan w:val="2"/>
            <w:tcBorders>
              <w:top w:val="single" w:sz="4" w:space="0" w:color="000000"/>
              <w:left w:val="single" w:sz="12" w:space="0" w:color="D2D2D2"/>
              <w:bottom w:val="single" w:sz="4" w:space="0" w:color="000000"/>
              <w:right w:val="single" w:sz="15" w:space="0" w:color="D2D2D2"/>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50,400</w:t>
            </w:r>
          </w:p>
        </w:tc>
        <w:tc>
          <w:tcPr>
            <w:tcW w:w="22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 w:right="32"/>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48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32,785.72</w:t>
            </w:r>
          </w:p>
        </w:tc>
      </w:tr>
      <w:tr>
        <w:trPr>
          <w:trHeight w:val="720" w:hRule="exact"/>
        </w:trPr>
        <w:tc>
          <w:tcPr>
            <w:tcW w:w="26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5" w:type="dxa"/>
            <w:gridSpan w:val="2"/>
            <w:tcBorders>
              <w:top w:val="single" w:sz="4" w:space="0" w:color="000000"/>
              <w:left w:val="single" w:sz="12" w:space="0" w:color="D2D2D2"/>
              <w:bottom w:val="single" w:sz="4" w:space="0" w:color="000000"/>
              <w:right w:val="single" w:sz="15"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68,400</w:t>
            </w:r>
          </w:p>
        </w:tc>
        <w:tc>
          <w:tcPr>
            <w:tcW w:w="222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 w:right="32"/>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报告期末对子公司实际担保</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482"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47,327.54</w:t>
            </w:r>
          </w:p>
        </w:tc>
      </w:tr>
      <w:tr>
        <w:trPr>
          <w:trHeight w:val="389" w:hRule="exact"/>
        </w:trPr>
        <w:tc>
          <w:tcPr>
            <w:tcW w:w="95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8" w:hRule="exact"/>
        </w:trPr>
        <w:tc>
          <w:tcPr>
            <w:tcW w:w="1721" w:type="dxa"/>
            <w:gridSpan w:val="2"/>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8"/>
              <w:ind w:left="79" w:right="102"/>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11" w:type="dxa"/>
            <w:vMerge w:val="restart"/>
            <w:tcBorders>
              <w:top w:val="single" w:sz="4" w:space="0" w:color="000000"/>
              <w:left w:val="single" w:sz="4" w:space="0" w:color="000000"/>
              <w:right w:val="single" w:sz="4" w:space="0" w:color="000000"/>
            </w:tcBorders>
            <w:shd w:val="clear" w:color="auto" w:fill="D2D2D2"/>
          </w:tcPr>
          <w:p>
            <w:pPr/>
          </w:p>
        </w:tc>
        <w:tc>
          <w:tcPr>
            <w:tcW w:w="1313" w:type="dxa"/>
            <w:vMerge w:val="restart"/>
            <w:tcBorders>
              <w:top w:val="single" w:sz="4" w:space="0" w:color="000000"/>
              <w:left w:val="single" w:sz="4" w:space="0" w:color="000000"/>
              <w:right w:val="single" w:sz="4" w:space="0" w:color="000000"/>
            </w:tcBorders>
            <w:shd w:val="clear" w:color="auto" w:fill="D2D2D2"/>
          </w:tcPr>
          <w:p>
            <w:pPr/>
          </w:p>
        </w:tc>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4"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721" w:type="dxa"/>
            <w:gridSpan w:val="2"/>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right w:val="single" w:sz="4" w:space="0" w:color="000000"/>
            </w:tcBorders>
            <w:shd w:val="clear" w:color="auto" w:fill="D2D2D2"/>
          </w:tcPr>
          <w:p>
            <w:pPr/>
          </w:p>
        </w:tc>
        <w:tc>
          <w:tcPr>
            <w:tcW w:w="911" w:type="dxa"/>
            <w:vMerge/>
            <w:tcBorders>
              <w:left w:val="single" w:sz="4" w:space="0" w:color="000000"/>
              <w:bottom w:val="nil" w:sz="6" w:space="0" w:color="auto"/>
              <w:right w:val="single" w:sz="4" w:space="0" w:color="000000"/>
            </w:tcBorders>
            <w:shd w:val="clear" w:color="auto" w:fill="D2D2D2"/>
          </w:tcPr>
          <w:p>
            <w:pPr/>
          </w:p>
        </w:tc>
        <w:tc>
          <w:tcPr>
            <w:tcW w:w="1313" w:type="dxa"/>
            <w:vMerge/>
            <w:tcBorders>
              <w:left w:val="single" w:sz="4" w:space="0" w:color="000000"/>
              <w:bottom w:val="nil" w:sz="6" w:space="0" w:color="auto"/>
              <w:right w:val="single" w:sz="4" w:space="0" w:color="000000"/>
            </w:tcBorders>
            <w:shd w:val="clear" w:color="auto" w:fill="D2D2D2"/>
          </w:tcPr>
          <w:p>
            <w:pPr/>
          </w:p>
        </w:tc>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422" w:right="64"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4"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00"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3"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2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vMerge/>
            <w:tcBorders>
              <w:left w:val="single" w:sz="4" w:space="0" w:color="000000"/>
              <w:right w:val="single" w:sz="4" w:space="0" w:color="000000"/>
            </w:tcBorders>
            <w:shd w:val="clear" w:color="auto" w:fill="D2D2D2"/>
          </w:tcPr>
          <w:p>
            <w:pPr/>
          </w:p>
        </w:tc>
        <w:tc>
          <w:tcPr>
            <w:tcW w:w="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1"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9"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5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4" w:hRule="exact"/>
        </w:trPr>
        <w:tc>
          <w:tcPr>
            <w:tcW w:w="1721" w:type="dxa"/>
            <w:gridSpan w:val="2"/>
            <w:vMerge w:val="restart"/>
            <w:tcBorders>
              <w:top w:val="nil" w:sz="6" w:space="0" w:color="auto"/>
              <w:left w:val="single" w:sz="4" w:space="0" w:color="000000"/>
              <w:right w:val="single" w:sz="4" w:space="0" w:color="000000"/>
            </w:tcBorders>
            <w:shd w:val="clear" w:color="auto" w:fill="D2D2D2"/>
          </w:tcPr>
          <w:p>
            <w:pPr/>
          </w:p>
        </w:tc>
        <w:tc>
          <w:tcPr>
            <w:tcW w:w="918" w:type="dxa"/>
            <w:vMerge/>
            <w:tcBorders>
              <w:left w:val="single" w:sz="4" w:space="0" w:color="000000"/>
              <w:right w:val="single" w:sz="4" w:space="0" w:color="000000"/>
            </w:tcBorders>
            <w:shd w:val="clear" w:color="auto" w:fill="D2D2D2"/>
          </w:tcPr>
          <w:p>
            <w:pPr/>
          </w:p>
        </w:tc>
        <w:tc>
          <w:tcPr>
            <w:tcW w:w="911" w:type="dxa"/>
            <w:vMerge w:val="restart"/>
            <w:tcBorders>
              <w:top w:val="nil" w:sz="6" w:space="0" w:color="auto"/>
              <w:left w:val="single" w:sz="4" w:space="0" w:color="000000"/>
              <w:right w:val="single" w:sz="4" w:space="0" w:color="000000"/>
            </w:tcBorders>
            <w:shd w:val="clear" w:color="auto" w:fill="D2D2D2"/>
          </w:tcPr>
          <w:p>
            <w:pPr/>
          </w:p>
        </w:tc>
        <w:tc>
          <w:tcPr>
            <w:tcW w:w="1313" w:type="dxa"/>
            <w:vMerge w:val="restart"/>
            <w:tcBorders>
              <w:top w:val="nil" w:sz="6" w:space="0" w:color="auto"/>
              <w:left w:val="single" w:sz="4" w:space="0" w:color="000000"/>
              <w:right w:val="single" w:sz="4" w:space="0" w:color="000000"/>
            </w:tcBorders>
            <w:shd w:val="clear" w:color="auto" w:fill="D2D2D2"/>
          </w:tcPr>
          <w:p>
            <w:pPr/>
          </w:p>
        </w:tc>
        <w:tc>
          <w:tcPr>
            <w:tcW w:w="1041"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4"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8" w:hRule="exact"/>
        </w:trPr>
        <w:tc>
          <w:tcPr>
            <w:tcW w:w="1721" w:type="dxa"/>
            <w:gridSpan w:val="2"/>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911" w:type="dxa"/>
            <w:vMerge/>
            <w:tcBorders>
              <w:left w:val="single" w:sz="4" w:space="0" w:color="000000"/>
              <w:bottom w:val="single" w:sz="4" w:space="0" w:color="000000"/>
              <w:right w:val="single" w:sz="4" w:space="0" w:color="000000"/>
            </w:tcBorders>
            <w:shd w:val="clear" w:color="auto" w:fill="D2D2D2"/>
          </w:tcPr>
          <w:p>
            <w:pPr/>
          </w:p>
        </w:tc>
        <w:tc>
          <w:tcPr>
            <w:tcW w:w="1313" w:type="dxa"/>
            <w:vMerge/>
            <w:tcBorders>
              <w:left w:val="single" w:sz="4" w:space="0" w:color="000000"/>
              <w:bottom w:val="single" w:sz="4" w:space="0" w:color="000000"/>
              <w:right w:val="single" w:sz="4" w:space="0" w:color="000000"/>
            </w:tcBorders>
            <w:shd w:val="clear" w:color="auto" w:fill="D2D2D2"/>
          </w:tcPr>
          <w:p>
            <w:pPr/>
          </w:p>
        </w:tc>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4"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4" w:hRule="exact"/>
        </w:trPr>
        <w:tc>
          <w:tcPr>
            <w:tcW w:w="95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18" w:hRule="exact"/>
        </w:trPr>
        <w:tc>
          <w:tcPr>
            <w:tcW w:w="26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5"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53,760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9" w:right="73"/>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3"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32,785.72</w:t>
            </w:r>
          </w:p>
        </w:tc>
      </w:tr>
      <w:tr>
        <w:trPr>
          <w:trHeight w:val="713" w:hRule="exact"/>
        </w:trPr>
        <w:tc>
          <w:tcPr>
            <w:tcW w:w="264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5"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71,760</w:t>
            </w:r>
          </w:p>
        </w:tc>
        <w:tc>
          <w:tcPr>
            <w:tcW w:w="20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9" w:right="73"/>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3"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47,327.54</w:t>
            </w:r>
          </w:p>
        </w:tc>
      </w:tr>
      <w:tr>
        <w:trPr>
          <w:trHeight w:val="408" w:hRule="exact"/>
        </w:trPr>
        <w:tc>
          <w:tcPr>
            <w:tcW w:w="486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10" w:type="dxa"/>
            <w:gridSpan w:val="6"/>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60.30%</w:t>
            </w:r>
          </w:p>
        </w:tc>
      </w:tr>
      <w:tr>
        <w:trPr>
          <w:trHeight w:val="399" w:hRule="exact"/>
        </w:trPr>
        <w:tc>
          <w:tcPr>
            <w:tcW w:w="957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pStyle w:val="BodyText"/>
        <w:spacing w:line="360" w:lineRule="auto" w:before="140"/>
        <w:ind w:right="0" w:firstLine="480"/>
        <w:jc w:val="left"/>
      </w:pPr>
      <w:r>
        <w:rPr/>
        <w:t>公司及全资子公司桑瑞思共同为华延芯光在四川天府金融租赁股份有限公司的借款提供 担保，担保额度</w:t>
      </w:r>
      <w:r>
        <w:rPr>
          <w:rFonts w:ascii="Times New Roman" w:hAnsi="Times New Roman" w:cs="Times New Roman" w:eastAsia="Times New Roman" w:hint="default"/>
        </w:rPr>
        <w:t>18,000</w:t>
      </w:r>
      <w:r>
        <w:rPr/>
        <w:t>万元。</w:t>
      </w:r>
    </w:p>
    <w:p>
      <w:pPr>
        <w:spacing w:line="240" w:lineRule="auto" w:before="12"/>
        <w:rPr>
          <w:rFonts w:ascii="宋体" w:hAnsi="宋体" w:cs="宋体" w:eastAsia="宋体" w:hint="default"/>
          <w:sz w:val="18"/>
          <w:szCs w:val="18"/>
        </w:rPr>
      </w:pPr>
    </w:p>
    <w:p>
      <w:pPr>
        <w:spacing w:before="0"/>
        <w:ind w:left="153" w:right="0" w:firstLine="0"/>
        <w:jc w:val="left"/>
        <w:rPr>
          <w:rFonts w:ascii="宋体" w:hAnsi="宋体" w:cs="宋体" w:eastAsia="宋体" w:hint="default"/>
          <w:sz w:val="21"/>
          <w:szCs w:val="21"/>
        </w:rPr>
      </w:pPr>
      <w:bookmarkStart w:name="（2）违规对外担保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公司报告期无违规对外担保情况。</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委托他人进行现金资产管理情况" w:id="90"/>
      <w:bookmarkEnd w:id="9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委托理财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8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公司报告期不存在委托理财。</w:t>
      </w:r>
    </w:p>
    <w:p>
      <w:pPr>
        <w:spacing w:line="240" w:lineRule="auto" w:before="0"/>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2）委托贷款情况" w:id="92"/>
      <w:bookmarkEnd w:id="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38" w:lineRule="auto" w:before="0"/>
        <w:ind w:left="153" w:right="78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公司报告期不存在委托贷款。</w:t>
      </w:r>
    </w:p>
    <w:p>
      <w:pPr>
        <w:spacing w:line="240" w:lineRule="auto" w:before="9"/>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4、其他重大合同" w:id="93"/>
      <w:bookmarkEnd w:id="9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638"/>
        <w:gridCol w:w="639"/>
        <w:gridCol w:w="710"/>
        <w:gridCol w:w="567"/>
        <w:gridCol w:w="638"/>
        <w:gridCol w:w="639"/>
        <w:gridCol w:w="638"/>
        <w:gridCol w:w="639"/>
        <w:gridCol w:w="638"/>
        <w:gridCol w:w="639"/>
        <w:gridCol w:w="638"/>
        <w:gridCol w:w="639"/>
        <w:gridCol w:w="638"/>
        <w:gridCol w:w="639"/>
        <w:gridCol w:w="634"/>
      </w:tblGrid>
      <w:tr>
        <w:trPr>
          <w:trHeight w:val="2271"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方名称</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立对方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4" w:hanging="178"/>
              <w:jc w:val="left"/>
              <w:rPr>
                <w:rFonts w:ascii="宋体" w:hAnsi="宋体" w:cs="宋体" w:eastAsia="宋体" w:hint="default"/>
                <w:sz w:val="18"/>
                <w:szCs w:val="18"/>
              </w:rPr>
            </w:pPr>
            <w:r>
              <w:rPr>
                <w:rFonts w:ascii="宋体" w:hAnsi="宋体" w:cs="宋体" w:eastAsia="宋体" w:hint="default"/>
                <w:sz w:val="18"/>
                <w:szCs w:val="18"/>
              </w:rPr>
              <w:t>合同标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89"/>
              <w:jc w:val="both"/>
              <w:rPr>
                <w:rFonts w:ascii="宋体" w:hAnsi="宋体" w:cs="宋体" w:eastAsia="宋体" w:hint="default"/>
                <w:sz w:val="18"/>
                <w:szCs w:val="18"/>
              </w:rPr>
            </w:pPr>
            <w:r>
              <w:rPr>
                <w:rFonts w:ascii="宋体" w:hAnsi="宋体" w:cs="宋体" w:eastAsia="宋体" w:hint="default"/>
                <w:sz w:val="18"/>
                <w:szCs w:val="18"/>
              </w:rPr>
              <w:t>合同</w:t>
            </w:r>
            <w:r>
              <w:rPr>
                <w:rFonts w:ascii="宋体" w:hAnsi="宋体" w:cs="宋体" w:eastAsia="宋体" w:hint="default"/>
                <w:spacing w:val="-86"/>
                <w:sz w:val="18"/>
                <w:szCs w:val="18"/>
              </w:rPr>
              <w:t> </w:t>
            </w:r>
            <w:r>
              <w:rPr>
                <w:rFonts w:ascii="宋体" w:hAnsi="宋体" w:cs="宋体" w:eastAsia="宋体" w:hint="default"/>
                <w:sz w:val="18"/>
                <w:szCs w:val="18"/>
              </w:rPr>
              <w:t>签订</w:t>
            </w:r>
            <w:r>
              <w:rPr>
                <w:rFonts w:ascii="宋体" w:hAnsi="宋体" w:cs="宋体" w:eastAsia="宋体" w:hint="default"/>
                <w:spacing w:val="-86"/>
                <w:sz w:val="18"/>
                <w:szCs w:val="18"/>
              </w:rPr>
              <w:t> </w:t>
            </w:r>
            <w:r>
              <w:rPr>
                <w:rFonts w:ascii="宋体" w:hAnsi="宋体" w:cs="宋体" w:eastAsia="宋体" w:hint="default"/>
                <w:sz w:val="18"/>
                <w:szCs w:val="18"/>
              </w:rPr>
              <w:t>日期</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 w:right="41"/>
              <w:jc w:val="both"/>
              <w:rPr>
                <w:rFonts w:ascii="宋体" w:hAnsi="宋体" w:cs="宋体" w:eastAsia="宋体" w:hint="default"/>
                <w:sz w:val="18"/>
                <w:szCs w:val="18"/>
              </w:rPr>
            </w:pPr>
            <w:r>
              <w:rPr>
                <w:rFonts w:ascii="宋体" w:hAnsi="宋体" w:cs="宋体" w:eastAsia="宋体" w:hint="default"/>
                <w:sz w:val="18"/>
                <w:szCs w:val="18"/>
              </w:rPr>
              <w:t>合同涉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的账面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价值</w:t>
            </w:r>
          </w:p>
          <w:p>
            <w:pPr>
              <w:pStyle w:val="TableParagraph"/>
              <w:spacing w:line="319" w:lineRule="auto" w:before="19"/>
              <w:ind w:left="24" w:right="17" w:hanging="1"/>
              <w:jc w:val="center"/>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pacing w:val="-36"/>
                <w:w w:val="101"/>
                <w:sz w:val="18"/>
                <w:szCs w:val="18"/>
              </w:rPr>
              <w:t>元）（如</w:t>
            </w:r>
            <w:r>
              <w:rPr>
                <w:rFonts w:ascii="宋体" w:hAnsi="宋体" w:cs="宋体" w:eastAsia="宋体" w:hint="default"/>
                <w:w w:val="101"/>
                <w:sz w:val="18"/>
                <w:szCs w:val="18"/>
              </w:rPr>
              <w:t> </w:t>
            </w:r>
            <w:r>
              <w:rPr>
                <w:rFonts w:ascii="宋体" w:hAnsi="宋体" w:cs="宋体" w:eastAsia="宋体" w:hint="default"/>
                <w:sz w:val="18"/>
                <w:szCs w:val="18"/>
              </w:rPr>
              <w:t>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 w:right="41"/>
              <w:jc w:val="both"/>
              <w:rPr>
                <w:rFonts w:ascii="宋体" w:hAnsi="宋体" w:cs="宋体" w:eastAsia="宋体" w:hint="default"/>
                <w:sz w:val="18"/>
                <w:szCs w:val="18"/>
              </w:rPr>
            </w:pPr>
            <w:r>
              <w:rPr>
                <w:rFonts w:ascii="宋体" w:hAnsi="宋体" w:cs="宋体" w:eastAsia="宋体" w:hint="default"/>
                <w:sz w:val="18"/>
                <w:szCs w:val="18"/>
              </w:rPr>
              <w:t>合同涉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及资产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的评估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价值</w:t>
            </w:r>
          </w:p>
          <w:p>
            <w:pPr>
              <w:pStyle w:val="TableParagraph"/>
              <w:spacing w:line="319" w:lineRule="auto" w:before="19"/>
              <w:ind w:left="23" w:right="17" w:firstLine="1"/>
              <w:jc w:val="center"/>
              <w:rPr>
                <w:rFonts w:ascii="宋体" w:hAnsi="宋体" w:cs="宋体" w:eastAsia="宋体" w:hint="default"/>
                <w:sz w:val="18"/>
                <w:szCs w:val="18"/>
              </w:rPr>
            </w:pP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pacing w:val="-36"/>
                <w:w w:val="101"/>
                <w:sz w:val="18"/>
                <w:szCs w:val="18"/>
              </w:rPr>
              <w:t>元）（如</w:t>
            </w:r>
            <w:r>
              <w:rPr>
                <w:rFonts w:ascii="宋体" w:hAnsi="宋体" w:cs="宋体" w:eastAsia="宋体" w:hint="default"/>
                <w:w w:val="101"/>
                <w:sz w:val="18"/>
                <w:szCs w:val="18"/>
              </w:rPr>
              <w:t> </w:t>
            </w:r>
            <w:r>
              <w:rPr>
                <w:rFonts w:ascii="宋体" w:hAnsi="宋体" w:cs="宋体" w:eastAsia="宋体" w:hint="default"/>
                <w:sz w:val="18"/>
                <w:szCs w:val="18"/>
              </w:rPr>
              <w:t>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43" w:right="41"/>
              <w:jc w:val="left"/>
              <w:rPr>
                <w:rFonts w:ascii="宋体" w:hAnsi="宋体" w:cs="宋体" w:eastAsia="宋体" w:hint="default"/>
                <w:sz w:val="18"/>
                <w:szCs w:val="18"/>
              </w:rPr>
            </w:pPr>
            <w:r>
              <w:rPr>
                <w:rFonts w:ascii="宋体" w:hAnsi="宋体" w:cs="宋体" w:eastAsia="宋体" w:hint="default"/>
                <w:sz w:val="18"/>
                <w:szCs w:val="18"/>
              </w:rPr>
              <w:t>评估机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构名称</w:t>
            </w:r>
          </w:p>
          <w:p>
            <w:pPr>
              <w:pStyle w:val="TableParagraph"/>
              <w:spacing w:line="321" w:lineRule="auto" w:before="20"/>
              <w:ind w:left="134" w:right="127"/>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39" w:right="36" w:hanging="92"/>
              <w:jc w:val="left"/>
              <w:rPr>
                <w:rFonts w:ascii="宋体" w:hAnsi="宋体" w:cs="宋体" w:eastAsia="宋体" w:hint="default"/>
                <w:sz w:val="18"/>
                <w:szCs w:val="18"/>
              </w:rPr>
            </w:pPr>
            <w:r>
              <w:rPr>
                <w:rFonts w:ascii="宋体" w:hAnsi="宋体" w:cs="宋体" w:eastAsia="宋体" w:hint="default"/>
                <w:sz w:val="18"/>
                <w:szCs w:val="18"/>
              </w:rPr>
              <w:t>评估基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准日</w:t>
            </w:r>
          </w:p>
          <w:p>
            <w:pPr>
              <w:pStyle w:val="TableParagraph"/>
              <w:spacing w:line="321" w:lineRule="auto" w:before="20"/>
              <w:ind w:left="139" w:right="122"/>
              <w:jc w:val="left"/>
              <w:rPr>
                <w:rFonts w:ascii="宋体" w:hAnsi="宋体" w:cs="宋体" w:eastAsia="宋体" w:hint="default"/>
                <w:sz w:val="18"/>
                <w:szCs w:val="18"/>
              </w:rPr>
            </w:pPr>
            <w:r>
              <w:rPr>
                <w:rFonts w:ascii="宋体" w:hAnsi="宋体" w:cs="宋体" w:eastAsia="宋体" w:hint="default"/>
                <w:sz w:val="18"/>
                <w:szCs w:val="18"/>
              </w:rPr>
              <w:t>（如</w:t>
            </w:r>
            <w:r>
              <w:rPr>
                <w:rFonts w:ascii="宋体" w:hAnsi="宋体" w:cs="宋体" w:eastAsia="宋体" w:hint="default"/>
                <w:spacing w:val="-86"/>
                <w:sz w:val="18"/>
                <w:szCs w:val="18"/>
              </w:rPr>
              <w:t> </w:t>
            </w:r>
            <w:r>
              <w:rPr>
                <w:rFonts w:ascii="宋体" w:hAnsi="宋体" w:cs="宋体" w:eastAsia="宋体" w:hint="default"/>
                <w:sz w:val="18"/>
                <w:szCs w:val="18"/>
              </w:rPr>
              <w:t>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1" w:hanging="183"/>
              <w:jc w:val="left"/>
              <w:rPr>
                <w:rFonts w:ascii="宋体" w:hAnsi="宋体" w:cs="宋体" w:eastAsia="宋体" w:hint="default"/>
                <w:sz w:val="18"/>
                <w:szCs w:val="18"/>
              </w:rPr>
            </w:pPr>
            <w:r>
              <w:rPr>
                <w:rFonts w:ascii="宋体" w:hAnsi="宋体" w:cs="宋体" w:eastAsia="宋体" w:hint="default"/>
                <w:sz w:val="18"/>
                <w:szCs w:val="18"/>
              </w:rPr>
              <w:t>定价原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则</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交易价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1"/>
              <w:jc w:val="left"/>
              <w:rPr>
                <w:rFonts w:ascii="宋体" w:hAnsi="宋体" w:cs="宋体" w:eastAsia="宋体" w:hint="default"/>
                <w:sz w:val="18"/>
                <w:szCs w:val="18"/>
              </w:rPr>
            </w:pPr>
            <w:r>
              <w:rPr>
                <w:rFonts w:ascii="宋体" w:hAnsi="宋体" w:cs="宋体" w:eastAsia="宋体" w:hint="default"/>
                <w:sz w:val="18"/>
                <w:szCs w:val="18"/>
              </w:rPr>
              <w:t>是否关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联交易</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6" w:right="41" w:hanging="183"/>
              <w:jc w:val="left"/>
              <w:rPr>
                <w:rFonts w:ascii="宋体" w:hAnsi="宋体" w:cs="宋体" w:eastAsia="宋体" w:hint="default"/>
                <w:sz w:val="18"/>
                <w:szCs w:val="18"/>
              </w:rPr>
            </w:pPr>
            <w:r>
              <w:rPr>
                <w:rFonts w:ascii="宋体" w:hAnsi="宋体" w:cs="宋体" w:eastAsia="宋体" w:hint="default"/>
                <w:sz w:val="18"/>
                <w:szCs w:val="18"/>
              </w:rPr>
              <w:t>关联关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3" w:right="41"/>
              <w:jc w:val="both"/>
              <w:rPr>
                <w:rFonts w:ascii="宋体" w:hAnsi="宋体" w:cs="宋体" w:eastAsia="宋体" w:hint="default"/>
                <w:sz w:val="18"/>
                <w:szCs w:val="18"/>
              </w:rPr>
            </w:pPr>
            <w:r>
              <w:rPr>
                <w:rFonts w:ascii="宋体" w:hAnsi="宋体" w:cs="宋体" w:eastAsia="宋体" w:hint="default"/>
                <w:sz w:val="18"/>
                <w:szCs w:val="18"/>
              </w:rPr>
              <w:t>截至报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的执行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情况</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6" w:right="41" w:hanging="183"/>
              <w:jc w:val="left"/>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36" w:hanging="183"/>
              <w:jc w:val="left"/>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w:t>
            </w:r>
          </w:p>
        </w:tc>
      </w:tr>
      <w:tr>
        <w:trPr>
          <w:trHeight w:val="3837"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 w:right="60"/>
              <w:jc w:val="both"/>
              <w:rPr>
                <w:rFonts w:ascii="宋体" w:hAnsi="宋体" w:cs="宋体" w:eastAsia="宋体" w:hint="default"/>
                <w:sz w:val="18"/>
                <w:szCs w:val="18"/>
              </w:rPr>
            </w:pPr>
            <w:r>
              <w:rPr>
                <w:rFonts w:ascii="宋体" w:hAnsi="宋体" w:cs="宋体" w:eastAsia="宋体" w:hint="default"/>
                <w:sz w:val="18"/>
                <w:szCs w:val="18"/>
              </w:rPr>
              <w:t>依米康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智能工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程有限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3" w:right="60"/>
              <w:jc w:val="both"/>
              <w:rPr>
                <w:rFonts w:ascii="宋体" w:hAnsi="宋体" w:cs="宋体" w:eastAsia="宋体" w:hint="default"/>
                <w:sz w:val="18"/>
                <w:szCs w:val="18"/>
              </w:rPr>
            </w:pPr>
            <w:r>
              <w:rPr>
                <w:rFonts w:ascii="宋体" w:hAnsi="宋体" w:cs="宋体" w:eastAsia="宋体" w:hint="default"/>
                <w:sz w:val="18"/>
                <w:szCs w:val="18"/>
              </w:rPr>
              <w:t>广西远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洋金象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大数据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57"/>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w w:val="101"/>
                <w:sz w:val="18"/>
                <w:szCs w:val="18"/>
              </w:rPr>
              <w:t> </w:t>
            </w:r>
            <w:r>
              <w:rPr>
                <w:rFonts w:ascii="宋体" w:hAnsi="宋体" w:cs="宋体" w:eastAsia="宋体" w:hint="default"/>
                <w:sz w:val="18"/>
                <w:szCs w:val="18"/>
              </w:rPr>
              <w:t>东盟信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息港南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宁五象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远洋大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数据产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业园</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A1</w:t>
            </w:r>
            <w:r>
              <w:rPr>
                <w:rFonts w:ascii="Times New Roman" w:hAnsi="Times New Roman" w:cs="Times New Roman" w:eastAsia="Times New Roman" w:hint="default"/>
                <w:spacing w:val="-7"/>
                <w:w w:val="101"/>
                <w:sz w:val="18"/>
                <w:szCs w:val="18"/>
              </w:rPr>
              <w:t> </w:t>
            </w:r>
            <w:r>
              <w:rPr>
                <w:rFonts w:ascii="宋体" w:hAnsi="宋体" w:cs="宋体" w:eastAsia="宋体" w:hint="default"/>
                <w:sz w:val="18"/>
                <w:szCs w:val="18"/>
              </w:rPr>
              <w:t>机房项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目设备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采购及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施工总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承包</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9"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4" w:lineRule="auto"/>
              <w:ind w:left="23" w:right="60"/>
              <w:jc w:val="left"/>
              <w:rPr>
                <w:rFonts w:ascii="宋体" w:hAnsi="宋体" w:cs="宋体" w:eastAsia="宋体" w:hint="default"/>
                <w:sz w:val="18"/>
                <w:szCs w:val="18"/>
              </w:rPr>
            </w:pPr>
            <w:r>
              <w:rPr>
                <w:rFonts w:ascii="宋体" w:hAnsi="宋体" w:cs="宋体" w:eastAsia="宋体" w:hint="default"/>
                <w:sz w:val="18"/>
                <w:szCs w:val="18"/>
              </w:rPr>
              <w:t>招标定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35,302</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3" w:right="60"/>
              <w:jc w:val="both"/>
              <w:rPr>
                <w:rFonts w:ascii="宋体" w:hAnsi="宋体" w:cs="宋体" w:eastAsia="宋体" w:hint="default"/>
                <w:sz w:val="18"/>
                <w:szCs w:val="18"/>
              </w:rPr>
            </w:pPr>
            <w:r>
              <w:rPr>
                <w:rFonts w:ascii="宋体" w:hAnsi="宋体" w:cs="宋体" w:eastAsia="宋体" w:hint="default"/>
                <w:sz w:val="18"/>
                <w:szCs w:val="18"/>
              </w:rPr>
              <w:t>项目正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常推进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中</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55"/>
              <w:jc w:val="both"/>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p>
            <w:pPr>
              <w:pStyle w:val="TableParagraph"/>
              <w:spacing w:line="340" w:lineRule="auto" w:before="19"/>
              <w:ind w:left="24"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2019-0</w:t>
            </w:r>
          </w:p>
          <w:p>
            <w:pPr>
              <w:pStyle w:val="TableParagraph"/>
              <w:spacing w:line="233"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七、社会责任情况" w:id="94"/>
      <w:bookmarkEnd w:id="94"/>
      <w:r>
        <w:rPr>
          <w:b w:val="0"/>
          <w:bCs w:val="0"/>
        </w:rPr>
      </w:r>
      <w:r>
        <w:rPr/>
        <w:t>十七、社会责任情况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履行社会责任情况" w:id="95"/>
      <w:bookmarkEnd w:id="9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spacing w:line="340" w:lineRule="auto" w:before="0"/>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）投资者及债权人权益保护</w:t>
      </w:r>
      <w:r>
        <w:rPr>
          <w:rFonts w:ascii="宋体" w:hAnsi="宋体" w:cs="宋体" w:eastAsia="宋体" w:hint="default"/>
          <w:b/>
          <w:bCs/>
          <w:w w:val="99"/>
          <w:sz w:val="24"/>
          <w:szCs w:val="24"/>
        </w:rPr>
        <w:t> </w:t>
      </w:r>
      <w:r>
        <w:rPr>
          <w:rFonts w:ascii="宋体" w:hAnsi="宋体" w:cs="宋体" w:eastAsia="宋体" w:hint="default"/>
          <w:sz w:val="24"/>
          <w:szCs w:val="24"/>
        </w:rPr>
        <w:t>报告期内，公司积极贯彻和学习有关法律法规，加强公司治理和规范运作，促进公司与</w:t>
      </w:r>
    </w:p>
    <w:p>
      <w:pPr>
        <w:spacing w:after="0" w:line="340" w:lineRule="auto"/>
        <w:jc w:val="left"/>
        <w:rPr>
          <w:rFonts w:ascii="宋体" w:hAnsi="宋体" w:cs="宋体" w:eastAsia="宋体" w:hint="default"/>
          <w:sz w:val="24"/>
          <w:szCs w:val="24"/>
        </w:rPr>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48" w:lineRule="auto"/>
        <w:ind w:left="633" w:right="1131" w:hanging="480"/>
        <w:jc w:val="left"/>
      </w:pPr>
      <w:r>
        <w:rPr/>
        <w:t>投资者之间形成良性互动的关系，以实现股东利益最大化。 </w:t>
      </w:r>
      <w:r>
        <w:rPr>
          <w:rFonts w:ascii="Times New Roman" w:hAnsi="Times New Roman" w:cs="Times New Roman" w:eastAsia="Times New Roman" w:hint="default"/>
        </w:rPr>
        <w:t>1</w:t>
      </w:r>
      <w:r>
        <w:rPr/>
        <w:t>）持续健全完善决策机制与规范运作 公司严格按照《公司法》、《证券法》、《上市公司治理准则》、《深圳证券交易所创</w:t>
      </w:r>
    </w:p>
    <w:p>
      <w:pPr>
        <w:pStyle w:val="BodyText"/>
        <w:spacing w:line="357" w:lineRule="auto" w:before="43"/>
        <w:ind w:right="1136"/>
        <w:jc w:val="both"/>
      </w:pPr>
      <w:r>
        <w:rPr/>
        <w:t>业板股票上市规则》、《深圳证券交易所创业板上市公司规范运作指引》等法律法规、规范</w:t>
      </w:r>
      <w:r>
        <w:rPr>
          <w:spacing w:val="-93"/>
        </w:rPr>
        <w:t> </w:t>
      </w:r>
      <w:r>
        <w:rPr>
          <w:spacing w:val="-93"/>
        </w:rPr>
      </w:r>
      <w:r>
        <w:rPr/>
        <w:t>性文件的要求，持续完善公司法人治理结构，建立健全公司内部管理和控制机制，公司在不</w:t>
      </w:r>
      <w:r>
        <w:rPr>
          <w:spacing w:val="-93"/>
        </w:rPr>
        <w:t> </w:t>
      </w:r>
      <w:r>
        <w:rPr>
          <w:spacing w:val="-93"/>
        </w:rPr>
      </w:r>
      <w:r>
        <w:rPr/>
        <w:t>断强化内部监督的同时，注重加强外部审计的监督，不仅在公司规范运作方面，也同时在内</w:t>
      </w:r>
      <w:r>
        <w:rPr>
          <w:spacing w:val="-93"/>
        </w:rPr>
        <w:t> </w:t>
      </w:r>
      <w:r>
        <w:rPr>
          <w:spacing w:val="-93"/>
        </w:rPr>
      </w:r>
      <w:r>
        <w:rPr/>
        <w:t>部业务方面获得了很多专业的审计意见及建议，对公司的经营起到了一定的指导、规范、控</w:t>
      </w:r>
      <w:r>
        <w:rPr>
          <w:spacing w:val="-93"/>
        </w:rPr>
        <w:t> </w:t>
      </w:r>
      <w:r>
        <w:rPr>
          <w:spacing w:val="-93"/>
        </w:rPr>
      </w:r>
      <w:r>
        <w:rPr/>
        <w:t>制和监督作用。</w:t>
      </w:r>
    </w:p>
    <w:p>
      <w:pPr>
        <w:pStyle w:val="BodyText"/>
        <w:spacing w:line="336" w:lineRule="auto" w:before="38"/>
        <w:ind w:left="633" w:right="0"/>
        <w:jc w:val="left"/>
      </w:pPr>
      <w:r>
        <w:rPr>
          <w:rFonts w:ascii="Times New Roman" w:hAnsi="Times New Roman" w:cs="Times New Roman" w:eastAsia="Times New Roman" w:hint="default"/>
        </w:rPr>
        <w:t>2</w:t>
      </w:r>
      <w:r>
        <w:rPr/>
        <w:t>）严格把关信批质量，及时履行信批职责 公司严格按照《公司法》、《证券法》、《深圳证券交易所创业板股票上市规则》等有</w:t>
      </w:r>
    </w:p>
    <w:p>
      <w:pPr>
        <w:pStyle w:val="BodyText"/>
        <w:spacing w:line="357" w:lineRule="auto" w:before="60"/>
        <w:ind w:right="1136"/>
        <w:jc w:val="both"/>
      </w:pPr>
      <w:r>
        <w:rPr/>
        <w:t>关法律法规以及《公司章程》、《信息披露管理制度》等规章制度的要求，确保公司信息披</w:t>
      </w:r>
      <w:r>
        <w:rPr>
          <w:spacing w:val="-93"/>
        </w:rPr>
        <w:t> </w:t>
      </w:r>
      <w:r>
        <w:rPr>
          <w:spacing w:val="-93"/>
        </w:rPr>
      </w:r>
      <w:r>
        <w:rPr/>
        <w:t>露的真实、准确、完整，公平的对待所有投资者，不存在选择性披露的问题。公司高度重视</w:t>
      </w:r>
      <w:r>
        <w:rPr>
          <w:spacing w:val="-93"/>
        </w:rPr>
        <w:t> </w:t>
      </w:r>
      <w:r>
        <w:rPr>
          <w:spacing w:val="-93"/>
        </w:rPr>
      </w:r>
      <w:r>
        <w:rPr/>
        <w:t>加强与监管部门的沟通、汇报，及时、准确、真实、完整进行信息披露工作。</w:t>
      </w:r>
    </w:p>
    <w:p>
      <w:pPr>
        <w:pStyle w:val="BodyText"/>
        <w:spacing w:line="340" w:lineRule="auto" w:before="34"/>
        <w:ind w:left="633" w:right="0"/>
        <w:jc w:val="left"/>
      </w:pPr>
      <w:r>
        <w:rPr>
          <w:rFonts w:ascii="Times New Roman" w:hAnsi="Times New Roman" w:cs="Times New Roman" w:eastAsia="Times New Roman" w:hint="default"/>
        </w:rPr>
        <w:t>3</w:t>
      </w:r>
      <w:r>
        <w:rPr/>
        <w:t>）积极增进投资者关系建设 公司通过现场调研、电话、电子邮箱、公司网站和投资者关系互动平台、网上业绩说明</w:t>
      </w:r>
    </w:p>
    <w:p>
      <w:pPr>
        <w:pStyle w:val="BodyText"/>
        <w:spacing w:line="357" w:lineRule="auto" w:before="50"/>
        <w:ind w:right="1130"/>
        <w:jc w:val="both"/>
      </w:pPr>
      <w:r>
        <w:rPr/>
        <w:t>会等多种方式与投资者进行沟通交流，提高公司的透明度和诚信度。报告期内公司积极接听</w:t>
      </w:r>
      <w:r>
        <w:rPr>
          <w:spacing w:val="-93"/>
        </w:rPr>
        <w:t> </w:t>
      </w:r>
      <w:r>
        <w:rPr>
          <w:spacing w:val="-93"/>
        </w:rPr>
      </w:r>
      <w:r>
        <w:rPr/>
        <w:t>和回复投资者提问，及时对投资者关心的舆情进行说明和澄清，妥善接待投资者调研，保持</w:t>
      </w:r>
      <w:r>
        <w:rPr>
          <w:spacing w:val="-92"/>
        </w:rPr>
        <w:t> </w:t>
      </w:r>
      <w:r>
        <w:rPr>
          <w:spacing w:val="-92"/>
        </w:rPr>
      </w:r>
      <w:r>
        <w:rPr/>
        <w:t>了与投资者良好的沟通交流。未来公司将更加积极的增进投资者关系建设，开展大型路演、</w:t>
      </w:r>
      <w:r>
        <w:rPr>
          <w:spacing w:val="-93"/>
        </w:rPr>
        <w:t> </w:t>
      </w:r>
      <w:r>
        <w:rPr>
          <w:spacing w:val="-93"/>
        </w:rPr>
      </w:r>
      <w:r>
        <w:rPr>
          <w:spacing w:val="-5"/>
        </w:rPr>
        <w:t>接待投资者参观等，不局限于现场调研、电话及电子邮箱、公司网站和投资者关系互动平台、</w:t>
      </w:r>
      <w:r>
        <w:rPr/>
        <w:t> 网上业绩说明会等形式。</w:t>
      </w:r>
    </w:p>
    <w:p>
      <w:pPr>
        <w:pStyle w:val="BodyText"/>
        <w:spacing w:line="336" w:lineRule="auto" w:before="39"/>
        <w:ind w:left="633" w:right="0"/>
        <w:jc w:val="left"/>
      </w:pPr>
      <w:r>
        <w:rPr>
          <w:rFonts w:ascii="Times New Roman" w:hAnsi="Times New Roman" w:cs="Times New Roman" w:eastAsia="Times New Roman" w:hint="default"/>
        </w:rPr>
        <w:t>4</w:t>
      </w:r>
      <w:r>
        <w:rPr/>
        <w:t>）重视对投资者的合理回报，积极落实分红政策 公司重视对投资者的合理回报，报告期内实施了</w:t>
      </w:r>
      <w:r>
        <w:rPr>
          <w:rFonts w:ascii="Times New Roman" w:hAnsi="Times New Roman" w:cs="Times New Roman" w:eastAsia="Times New Roman" w:hint="default"/>
        </w:rPr>
        <w:t>2018</w:t>
      </w:r>
      <w:r>
        <w:rPr/>
        <w:t>年度利润分配方案，公司本次实施</w:t>
      </w:r>
    </w:p>
    <w:p>
      <w:pPr>
        <w:pStyle w:val="BodyText"/>
        <w:spacing w:line="348" w:lineRule="auto" w:before="32"/>
        <w:ind w:right="1127"/>
        <w:jc w:val="both"/>
      </w:pPr>
      <w:r>
        <w:rPr>
          <w:spacing w:val="-1"/>
        </w:rPr>
        <w:t>的现金分红均严格按照有关法律法规以及《公司章程》、《未来三年（</w:t>
      </w:r>
      <w:r>
        <w:rPr>
          <w:rFonts w:ascii="Times New Roman" w:hAnsi="Times New Roman" w:cs="Times New Roman" w:eastAsia="Times New Roman" w:hint="default"/>
          <w:spacing w:val="-1"/>
        </w:rPr>
        <w:t>2016-2018</w:t>
      </w:r>
      <w:r>
        <w:rPr>
          <w:spacing w:val="-1"/>
        </w:rPr>
        <w:t>年）股东回</w:t>
      </w:r>
      <w:r>
        <w:rPr>
          <w:spacing w:val="-117"/>
        </w:rPr>
        <w:t> </w:t>
      </w:r>
      <w:r>
        <w:rPr>
          <w:spacing w:val="-117"/>
        </w:rPr>
      </w:r>
      <w:r>
        <w:rPr/>
        <w:t>报规划》等规章制度的要求，以相对稳定的分红政策来回报股东，及时、公开、透明的向中</w:t>
      </w:r>
      <w:r>
        <w:rPr>
          <w:spacing w:val="-90"/>
        </w:rPr>
        <w:t> </w:t>
      </w:r>
      <w:r>
        <w:rPr>
          <w:spacing w:val="-90"/>
        </w:rPr>
      </w:r>
      <w:r>
        <w:rPr>
          <w:spacing w:val="6"/>
        </w:rPr>
        <w:t>小投资者征求利润分配的意见，并积极实施利润分配方案，同时还制定了公司《未来三年</w:t>
      </w:r>
    </w:p>
    <w:p>
      <w:pPr>
        <w:pStyle w:val="BodyText"/>
        <w:spacing w:line="338" w:lineRule="auto" w:before="43"/>
        <w:ind w:left="633" w:right="0" w:hanging="480"/>
        <w:jc w:val="left"/>
      </w:pPr>
      <w:r>
        <w:rPr/>
        <w:t>（</w:t>
      </w:r>
      <w:r>
        <w:rPr>
          <w:rFonts w:ascii="Times New Roman" w:hAnsi="Times New Roman" w:cs="Times New Roman" w:eastAsia="Times New Roman" w:hint="default"/>
        </w:rPr>
        <w:t>2019-2021</w:t>
      </w:r>
      <w:r>
        <w:rPr/>
        <w:t>年）股东回报规划》，以切实维护投资者特别是中小投资者的权益。 </w:t>
      </w:r>
      <w:r>
        <w:rPr>
          <w:rFonts w:ascii="Times New Roman" w:hAnsi="Times New Roman" w:cs="Times New Roman" w:eastAsia="Times New Roman" w:hint="default"/>
        </w:rPr>
        <w:t>5</w:t>
      </w:r>
      <w:r>
        <w:rPr/>
        <w:t>）规范经营，维护债权人的合法权益 公司注重对股东权益保护的同时，高度重视对银行、供应商、经销商等债权人合法权益</w:t>
      </w:r>
    </w:p>
    <w:p>
      <w:pPr>
        <w:pStyle w:val="BodyText"/>
        <w:spacing w:line="240" w:lineRule="auto" w:before="58"/>
        <w:ind w:right="0"/>
        <w:jc w:val="both"/>
      </w:pPr>
      <w:r>
        <w:rPr/>
        <w:t>的保护。公司有良好的信誉，取得多家银行的授信，积极推进其他融资活动，并严格按照贷</w:t>
      </w:r>
    </w:p>
    <w:p>
      <w:pPr>
        <w:spacing w:after="0" w:line="240"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57" w:lineRule="auto"/>
        <w:ind w:right="1133"/>
        <w:jc w:val="both"/>
      </w:pPr>
      <w:r>
        <w:rPr/>
        <w:t>款协议的要求使用资金，确保资金使用合法，无不良信用记录；公司建立有各项合同审批制</w:t>
      </w:r>
      <w:r>
        <w:rPr>
          <w:spacing w:val="-93"/>
        </w:rPr>
        <w:t> </w:t>
      </w:r>
      <w:r>
        <w:rPr>
          <w:spacing w:val="-93"/>
        </w:rPr>
      </w:r>
      <w:r>
        <w:rPr/>
        <w:t>度和资金审批流程，公司与供应商、经销商在合法合规签订购销协议的同时，严格按照协议</w:t>
      </w:r>
      <w:r>
        <w:rPr>
          <w:spacing w:val="-90"/>
        </w:rPr>
        <w:t> </w:t>
      </w:r>
      <w:r>
        <w:rPr>
          <w:spacing w:val="-90"/>
        </w:rPr>
      </w:r>
      <w:r>
        <w:rPr/>
        <w:t>的约定，及时支付货款、按订单发货，确保资产、资金安全，有效维护公司、债权人、客户</w:t>
      </w:r>
      <w:r>
        <w:rPr>
          <w:spacing w:val="-93"/>
        </w:rPr>
        <w:t> </w:t>
      </w:r>
      <w:r>
        <w:rPr>
          <w:spacing w:val="-93"/>
        </w:rPr>
      </w:r>
      <w:r>
        <w:rPr/>
        <w:t>的利益。</w:t>
      </w:r>
    </w:p>
    <w:p>
      <w:pPr>
        <w:spacing w:line="336" w:lineRule="auto" w:before="38"/>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）职工权益保护</w:t>
      </w:r>
      <w:r>
        <w:rPr>
          <w:rFonts w:ascii="宋体" w:hAnsi="宋体" w:cs="宋体" w:eastAsia="宋体" w:hint="default"/>
          <w:b/>
          <w:bCs/>
          <w:w w:val="99"/>
          <w:sz w:val="24"/>
          <w:szCs w:val="24"/>
        </w:rPr>
        <w:t> </w:t>
      </w:r>
      <w:r>
        <w:rPr>
          <w:rFonts w:ascii="宋体" w:hAnsi="宋体" w:cs="宋体" w:eastAsia="宋体" w:hint="default"/>
          <w:sz w:val="24"/>
          <w:szCs w:val="24"/>
        </w:rPr>
        <w:t>公司始终坚持</w:t>
      </w:r>
      <w:r>
        <w:rPr>
          <w:rFonts w:ascii="Times New Roman" w:hAnsi="Times New Roman" w:cs="Times New Roman" w:eastAsia="Times New Roman" w:hint="default"/>
          <w:sz w:val="24"/>
          <w:szCs w:val="24"/>
        </w:rPr>
        <w:t>“</w:t>
      </w:r>
      <w:r>
        <w:rPr>
          <w:rFonts w:ascii="宋体" w:hAnsi="宋体" w:cs="宋体" w:eastAsia="宋体" w:hint="default"/>
          <w:sz w:val="24"/>
          <w:szCs w:val="24"/>
        </w:rPr>
        <w:t>以人为本</w:t>
      </w:r>
      <w:r>
        <w:rPr>
          <w:rFonts w:ascii="Times New Roman" w:hAnsi="Times New Roman" w:cs="Times New Roman" w:eastAsia="Times New Roman" w:hint="default"/>
          <w:sz w:val="24"/>
          <w:szCs w:val="24"/>
        </w:rPr>
        <w:t>”</w:t>
      </w:r>
      <w:r>
        <w:rPr>
          <w:rFonts w:ascii="宋体" w:hAnsi="宋体" w:cs="宋体" w:eastAsia="宋体" w:hint="default"/>
          <w:sz w:val="24"/>
          <w:szCs w:val="24"/>
        </w:rPr>
        <w:t>的核心价值观，公司发展的内部动力是建立在以人为本的基石</w:t>
      </w:r>
    </w:p>
    <w:p>
      <w:pPr>
        <w:pStyle w:val="BodyText"/>
        <w:spacing w:line="355" w:lineRule="auto" w:before="32"/>
        <w:ind w:right="1136"/>
        <w:jc w:val="both"/>
      </w:pPr>
      <w:r>
        <w:rPr/>
        <w:t>之上。公司一直关注每一位员工的发展，给予每一位员工以充分的信任和关心，通过切实的</w:t>
      </w:r>
      <w:r>
        <w:rPr>
          <w:spacing w:val="-93"/>
        </w:rPr>
        <w:t> </w:t>
      </w:r>
      <w:r>
        <w:rPr>
          <w:spacing w:val="-93"/>
        </w:rPr>
      </w:r>
      <w:r>
        <w:rPr/>
        <w:t>关怀行动获得员工尊重。</w:t>
      </w:r>
    </w:p>
    <w:p>
      <w:pPr>
        <w:pStyle w:val="BodyText"/>
        <w:spacing w:line="336" w:lineRule="auto" w:before="41"/>
        <w:ind w:left="633" w:right="0"/>
        <w:jc w:val="left"/>
      </w:pPr>
      <w:r>
        <w:rPr>
          <w:rFonts w:ascii="Times New Roman" w:hAnsi="Times New Roman" w:cs="Times New Roman" w:eastAsia="Times New Roman" w:hint="default"/>
        </w:rPr>
        <w:t>1</w:t>
      </w:r>
      <w:r>
        <w:rPr/>
        <w:t>）规范用工制度，保障员工权益 公司严格贯彻执行《劳动合同法》、《社会保险法》等各项法律法规的规定，与所有员</w:t>
      </w:r>
    </w:p>
    <w:p>
      <w:pPr>
        <w:pStyle w:val="BodyText"/>
        <w:spacing w:line="355" w:lineRule="auto" w:before="60"/>
        <w:ind w:right="1136"/>
        <w:jc w:val="both"/>
      </w:pPr>
      <w:r>
        <w:rPr/>
        <w:t>工签订《劳动合同》，为员工办理法定的社会保险和住房公积金等福利保障，并根据公司的</w:t>
      </w:r>
      <w:r>
        <w:rPr>
          <w:spacing w:val="-93"/>
        </w:rPr>
        <w:t> </w:t>
      </w:r>
      <w:r>
        <w:rPr>
          <w:spacing w:val="-93"/>
        </w:rPr>
      </w:r>
      <w:r>
        <w:rPr/>
        <w:t>实际经营情况持续完善和提升员工的福利待遇，促进劳资关系的和谐稳定。</w:t>
      </w:r>
    </w:p>
    <w:p>
      <w:pPr>
        <w:pStyle w:val="BodyText"/>
        <w:spacing w:line="336" w:lineRule="auto" w:before="41"/>
        <w:ind w:left="633" w:right="0"/>
        <w:jc w:val="left"/>
      </w:pPr>
      <w:r>
        <w:rPr>
          <w:rFonts w:ascii="Times New Roman" w:hAnsi="Times New Roman" w:cs="Times New Roman" w:eastAsia="Times New Roman" w:hint="default"/>
        </w:rPr>
        <w:t>2</w:t>
      </w:r>
      <w:r>
        <w:rPr/>
        <w:t>）建立工会组织，提高员工福利 公司严格遵守《工会法》，按照有关规定建立工会组织，支持工会依法开展工作，保障</w:t>
      </w:r>
    </w:p>
    <w:p>
      <w:pPr>
        <w:pStyle w:val="BodyText"/>
        <w:spacing w:line="357" w:lineRule="auto" w:before="60"/>
        <w:ind w:right="1130"/>
        <w:jc w:val="both"/>
      </w:pPr>
      <w:r>
        <w:rPr/>
        <w:t>员工依法行使民主管理的权利。公司尊重妇女权利，工会组织建有女工委员会，担负维护女</w:t>
      </w:r>
      <w:r>
        <w:rPr>
          <w:spacing w:val="-93"/>
        </w:rPr>
        <w:t> </w:t>
      </w:r>
      <w:r>
        <w:rPr>
          <w:spacing w:val="-93"/>
        </w:rPr>
      </w:r>
      <w:r>
        <w:rPr/>
        <w:t>工权益的职责；公司给员工提供妇女节、端午节、中秋节等各项节日福利；公司拥有户外、</w:t>
      </w:r>
      <w:r>
        <w:rPr>
          <w:spacing w:val="-93"/>
        </w:rPr>
        <w:t> </w:t>
      </w:r>
      <w:r>
        <w:rPr>
          <w:spacing w:val="-93"/>
        </w:rPr>
      </w:r>
      <w:r>
        <w:rPr>
          <w:spacing w:val="-5"/>
        </w:rPr>
        <w:t>读书、乒羽、篮球、足球等多个协会，同时新建了职工之家活动室，并配套了台球、羽毛球、</w:t>
      </w:r>
      <w:r>
        <w:rPr/>
        <w:t> 篮球、乒乓球有关娱乐设施设备以及部分健身器材，丰富了员工的业余生活。</w:t>
      </w:r>
    </w:p>
    <w:p>
      <w:pPr>
        <w:pStyle w:val="BodyText"/>
        <w:spacing w:line="336" w:lineRule="auto" w:before="38"/>
        <w:ind w:left="633" w:right="0"/>
        <w:jc w:val="left"/>
      </w:pPr>
      <w:r>
        <w:rPr>
          <w:rFonts w:ascii="Times New Roman" w:hAnsi="Times New Roman" w:cs="Times New Roman" w:eastAsia="Times New Roman" w:hint="default"/>
        </w:rPr>
        <w:t>3</w:t>
      </w:r>
      <w:r>
        <w:rPr/>
        <w:t>）完善多层次薪酬福利体系，有效激励员工 公司不断完善薪酬福利体系和绩效考核体系，按劳分配、多劳多得、提倡员工价值贡献</w:t>
      </w:r>
    </w:p>
    <w:p>
      <w:pPr>
        <w:pStyle w:val="BodyText"/>
        <w:spacing w:line="357" w:lineRule="auto" w:before="61"/>
        <w:ind w:right="1136"/>
        <w:jc w:val="both"/>
      </w:pPr>
      <w:r>
        <w:rPr/>
        <w:t>的原则，让每一位员工的价值得到最大程度的回报，增加员工对企业的认同感和归属感。报</w:t>
      </w:r>
      <w:r>
        <w:rPr>
          <w:spacing w:val="-93"/>
        </w:rPr>
        <w:t> </w:t>
      </w:r>
      <w:r>
        <w:rPr>
          <w:spacing w:val="-93"/>
        </w:rPr>
      </w:r>
      <w:r>
        <w:rPr/>
        <w:t>告期内，公司建立突出岗位价值贡献、工作业绩的薪酬制度，每月定期以现金的方式奖励价</w:t>
      </w:r>
      <w:r>
        <w:rPr>
          <w:spacing w:val="-93"/>
        </w:rPr>
        <w:t> </w:t>
      </w:r>
      <w:r>
        <w:rPr>
          <w:spacing w:val="-93"/>
        </w:rPr>
      </w:r>
      <w:r>
        <w:rPr/>
        <w:t>值突出贡献者，每年通过绩效考核和民主评议评选出优秀员工、优秀部门、各专项优秀小组</w:t>
      </w:r>
      <w:r>
        <w:rPr>
          <w:spacing w:val="-93"/>
        </w:rPr>
        <w:t> </w:t>
      </w:r>
      <w:r>
        <w:rPr>
          <w:spacing w:val="-93"/>
        </w:rPr>
      </w:r>
      <w:r>
        <w:rPr/>
        <w:t>等并进行表彰，并不断思考和尝试推出契合公司和核心员工的有效的激励方式；同时，不断</w:t>
      </w:r>
      <w:r>
        <w:rPr>
          <w:spacing w:val="-93"/>
        </w:rPr>
        <w:t> </w:t>
      </w:r>
      <w:r>
        <w:rPr>
          <w:spacing w:val="-93"/>
        </w:rPr>
      </w:r>
      <w:r>
        <w:rPr/>
        <w:t>完善员工的住宿和就餐环境，为员工的工作、生活提供了诸多的便利，更加提升了员工士气</w:t>
      </w:r>
      <w:r>
        <w:rPr>
          <w:spacing w:val="-93"/>
        </w:rPr>
        <w:t> </w:t>
      </w:r>
      <w:r>
        <w:rPr>
          <w:spacing w:val="-93"/>
        </w:rPr>
      </w:r>
      <w:r>
        <w:rPr/>
        <w:t>以及归属感。</w:t>
      </w:r>
    </w:p>
    <w:p>
      <w:pPr>
        <w:pStyle w:val="BodyText"/>
        <w:spacing w:line="336" w:lineRule="auto" w:before="38"/>
        <w:ind w:left="633" w:right="0"/>
        <w:jc w:val="left"/>
      </w:pPr>
      <w:r>
        <w:rPr>
          <w:rFonts w:ascii="Times New Roman" w:hAnsi="Times New Roman" w:cs="Times New Roman" w:eastAsia="Times New Roman" w:hint="default"/>
        </w:rPr>
        <w:t>4</w:t>
      </w:r>
      <w:r>
        <w:rPr/>
        <w:t>）创造安全健康的职业环境 公司高度关注员工的健康与安全，为员工提供安全健康的职业环境，以施展员工个人才</w:t>
      </w:r>
    </w:p>
    <w:p>
      <w:pPr>
        <w:pStyle w:val="BodyText"/>
        <w:spacing w:line="240" w:lineRule="auto" w:before="60"/>
        <w:ind w:right="0"/>
        <w:jc w:val="both"/>
      </w:pPr>
      <w:r>
        <w:rPr/>
        <w:t>华，也是公司健康可持续发展的重要举措。报告期内，公司全面贯标</w:t>
      </w:r>
      <w:r>
        <w:rPr>
          <w:rFonts w:ascii="Times New Roman" w:hAnsi="Times New Roman" w:cs="Times New Roman" w:eastAsia="Times New Roman" w:hint="default"/>
        </w:rPr>
        <w:t>OHSMS18000</w:t>
      </w:r>
      <w:r>
        <w:rPr/>
        <w:t>职业健康</w:t>
      </w:r>
    </w:p>
    <w:p>
      <w:pPr>
        <w:spacing w:after="0" w:line="240"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52" w:lineRule="auto"/>
        <w:ind w:right="1132"/>
        <w:jc w:val="both"/>
      </w:pPr>
      <w:r>
        <w:rPr/>
        <w:t>体系，不断改善员工的工作环境、工作条件，给员工提供定期医院体检，通过多种途径和渠</w:t>
      </w:r>
      <w:r>
        <w:rPr>
          <w:spacing w:val="-93"/>
        </w:rPr>
        <w:t> </w:t>
      </w:r>
      <w:r>
        <w:rPr>
          <w:spacing w:val="-93"/>
        </w:rPr>
      </w:r>
      <w:r>
        <w:rPr/>
        <w:t>道提高员工健康的职业生存环境；同时，持续深入推行</w:t>
      </w:r>
      <w:r>
        <w:rPr>
          <w:rFonts w:ascii="Times New Roman" w:hAnsi="Times New Roman" w:cs="Times New Roman" w:eastAsia="Times New Roman" w:hint="default"/>
        </w:rPr>
        <w:t>“</w:t>
      </w:r>
      <w:r>
        <w:rPr/>
        <w:t>安全生产标准化</w:t>
      </w:r>
      <w:r>
        <w:rPr>
          <w:rFonts w:ascii="Times New Roman" w:hAnsi="Times New Roman" w:cs="Times New Roman" w:eastAsia="Times New Roman" w:hint="default"/>
        </w:rPr>
        <w:t>”</w:t>
      </w:r>
      <w:r>
        <w:rPr/>
        <w:t>管理工作，健全安</w:t>
      </w:r>
      <w:r>
        <w:rPr>
          <w:spacing w:val="-66"/>
        </w:rPr>
        <w:t> </w:t>
      </w:r>
      <w:r>
        <w:rPr>
          <w:spacing w:val="-66"/>
        </w:rPr>
      </w:r>
      <w:r>
        <w:rPr/>
        <w:t>全管理制度和体系建设，全面强化现场管理，加强危险源识别与控制，建立健全事故预案和</w:t>
      </w:r>
      <w:r>
        <w:rPr>
          <w:spacing w:val="-93"/>
        </w:rPr>
        <w:t> </w:t>
      </w:r>
      <w:r>
        <w:rPr>
          <w:spacing w:val="-93"/>
        </w:rPr>
      </w:r>
      <w:r>
        <w:rPr/>
        <w:t>应急处理机制，不定期地对公司进行全面大排查，发现隐患及时落实整改，同时通过培训、</w:t>
      </w:r>
      <w:r>
        <w:rPr>
          <w:spacing w:val="-93"/>
        </w:rPr>
        <w:t> </w:t>
      </w:r>
      <w:r>
        <w:rPr>
          <w:spacing w:val="-93"/>
        </w:rPr>
      </w:r>
      <w:r>
        <w:rPr/>
        <w:t>实地演习等方式加强员工自我保护的能力，以保证安全处于可控状态。</w:t>
      </w:r>
    </w:p>
    <w:p>
      <w:pPr>
        <w:pStyle w:val="BodyText"/>
        <w:spacing w:line="340" w:lineRule="auto" w:before="38"/>
        <w:ind w:left="633" w:right="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）顾客权益保护</w:t>
      </w:r>
      <w:r>
        <w:rPr>
          <w:rFonts w:ascii="宋体" w:hAnsi="宋体" w:cs="宋体" w:eastAsia="宋体" w:hint="default"/>
          <w:b/>
          <w:bCs/>
          <w:w w:val="99"/>
        </w:rPr>
        <w:t> </w:t>
      </w:r>
      <w:r>
        <w:rPr>
          <w:spacing w:val="-2"/>
        </w:rPr>
        <w:t>公司坚持</w:t>
      </w:r>
      <w:r>
        <w:rPr>
          <w:rFonts w:ascii="Times New Roman" w:hAnsi="Times New Roman" w:cs="Times New Roman" w:eastAsia="Times New Roman" w:hint="default"/>
          <w:spacing w:val="-2"/>
        </w:rPr>
        <w:t>“</w:t>
      </w:r>
      <w:r>
        <w:rPr>
          <w:spacing w:val="-2"/>
        </w:rPr>
        <w:t>客户至上，为客户提供赖以托付的稳定服务</w:t>
      </w:r>
      <w:r>
        <w:rPr>
          <w:rFonts w:ascii="Times New Roman" w:hAnsi="Times New Roman" w:cs="Times New Roman" w:eastAsia="Times New Roman" w:hint="default"/>
          <w:spacing w:val="-2"/>
        </w:rPr>
        <w:t>”</w:t>
      </w:r>
      <w:r>
        <w:rPr>
          <w:spacing w:val="-2"/>
        </w:rPr>
        <w:t>为使命，致力于为用户提供</w:t>
      </w:r>
      <w:r>
        <w:rPr>
          <w:rFonts w:ascii="Times New Roman" w:hAnsi="Times New Roman" w:cs="Times New Roman" w:eastAsia="Times New Roman" w:hint="default"/>
          <w:spacing w:val="-2"/>
        </w:rPr>
        <w:t>“</w:t>
      </w:r>
      <w:r>
        <w:rPr>
          <w:spacing w:val="-2"/>
        </w:rPr>
        <w:t>产品</w:t>
      </w:r>
    </w:p>
    <w:p>
      <w:pPr>
        <w:pStyle w:val="BodyText"/>
        <w:spacing w:line="352" w:lineRule="auto" w:before="21"/>
        <w:ind w:right="1134"/>
        <w:jc w:val="both"/>
      </w:pPr>
      <w:r>
        <w:rPr>
          <w:spacing w:val="-2"/>
        </w:rPr>
        <w:t>全生命周期管理</w:t>
      </w:r>
      <w:r>
        <w:rPr>
          <w:rFonts w:ascii="Times New Roman" w:hAnsi="Times New Roman" w:cs="Times New Roman" w:eastAsia="Times New Roman" w:hint="default"/>
          <w:spacing w:val="-2"/>
        </w:rPr>
        <w:t>”</w:t>
      </w:r>
      <w:r>
        <w:rPr>
          <w:spacing w:val="-2"/>
        </w:rPr>
        <w:t>解决方案和构建用户服务生态平台，诚实守信、尊重客户，认真倾听客户的</w:t>
      </w:r>
      <w:r>
        <w:rPr>
          <w:spacing w:val="-111"/>
        </w:rPr>
        <w:t> </w:t>
      </w:r>
      <w:r>
        <w:rPr>
          <w:spacing w:val="-111"/>
        </w:rPr>
      </w:r>
      <w:r>
        <w:rPr/>
        <w:t>需求和反馈，多次受到客户的公开表扬。在全国主要城市均设立了营销中心，售后服务网络</w:t>
      </w:r>
      <w:r>
        <w:rPr>
          <w:spacing w:val="-93"/>
        </w:rPr>
        <w:t> </w:t>
      </w:r>
      <w:r>
        <w:rPr>
          <w:spacing w:val="-93"/>
        </w:rPr>
      </w:r>
      <w:r>
        <w:rPr/>
        <w:t>遍布全国，节假日从不打烊。这些机构在全国范围内形成了一个营销和协作网络，及时为用</w:t>
      </w:r>
      <w:r>
        <w:rPr>
          <w:spacing w:val="-93"/>
        </w:rPr>
        <w:t> </w:t>
      </w:r>
      <w:r>
        <w:rPr>
          <w:spacing w:val="-93"/>
        </w:rPr>
      </w:r>
      <w:r>
        <w:rPr/>
        <w:t>户提供高效的技术咨询、核心产品、系统集成、工程实施和运维一体化服务。</w:t>
      </w:r>
    </w:p>
    <w:p>
      <w:pPr>
        <w:spacing w:line="340" w:lineRule="auto" w:before="38"/>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）环境保护与可持续发展</w:t>
      </w:r>
      <w:r>
        <w:rPr>
          <w:rFonts w:ascii="宋体" w:hAnsi="宋体" w:cs="宋体" w:eastAsia="宋体" w:hint="default"/>
          <w:b/>
          <w:bCs/>
          <w:w w:val="99"/>
          <w:sz w:val="24"/>
          <w:szCs w:val="24"/>
        </w:rPr>
        <w:t> </w:t>
      </w:r>
      <w:r>
        <w:rPr>
          <w:rFonts w:ascii="宋体" w:hAnsi="宋体" w:cs="宋体" w:eastAsia="宋体" w:hint="default"/>
          <w:spacing w:val="-3"/>
          <w:sz w:val="24"/>
          <w:szCs w:val="24"/>
        </w:rPr>
        <w:t>公司将环境保护作为企业可持续发展战略的重要内容，践行环境友好及能源节约型发展，</w:t>
      </w:r>
    </w:p>
    <w:p>
      <w:pPr>
        <w:pStyle w:val="BodyText"/>
        <w:spacing w:line="360" w:lineRule="auto" w:before="51"/>
        <w:ind w:right="1136"/>
        <w:jc w:val="both"/>
      </w:pPr>
      <w:r>
        <w:rPr/>
        <w:t>注重履行企业环境保护的职责。公司持续改善环境，挖潜降耗、减少资源消耗和废物产生，</w:t>
      </w:r>
      <w:r>
        <w:rPr>
          <w:spacing w:val="-93"/>
        </w:rPr>
        <w:t> </w:t>
      </w:r>
      <w:r>
        <w:rPr>
          <w:spacing w:val="-93"/>
        </w:rPr>
      </w:r>
      <w:r>
        <w:rPr/>
        <w:t>实现经济、环境和社会效益同步发展，争做环境友好型企业。</w:t>
      </w:r>
    </w:p>
    <w:p>
      <w:pPr>
        <w:spacing w:line="340" w:lineRule="auto" w:before="31"/>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）公共关系与社会公益事业</w:t>
      </w:r>
      <w:r>
        <w:rPr>
          <w:rFonts w:ascii="宋体" w:hAnsi="宋体" w:cs="宋体" w:eastAsia="宋体" w:hint="default"/>
          <w:b/>
          <w:bCs/>
          <w:w w:val="99"/>
          <w:sz w:val="24"/>
          <w:szCs w:val="24"/>
        </w:rPr>
        <w:t> </w:t>
      </w:r>
      <w:r>
        <w:rPr>
          <w:rFonts w:ascii="宋体" w:hAnsi="宋体" w:cs="宋体" w:eastAsia="宋体" w:hint="default"/>
          <w:sz w:val="24"/>
          <w:szCs w:val="24"/>
        </w:rPr>
        <w:t>公共关系是企业内求团结、外求发展的沟通桥梁，社会公益事业是企业回报社会应尽的</w:t>
      </w:r>
    </w:p>
    <w:p>
      <w:pPr>
        <w:pStyle w:val="BodyText"/>
        <w:spacing w:line="352" w:lineRule="auto" w:before="51"/>
        <w:ind w:right="1136"/>
        <w:jc w:val="both"/>
      </w:pPr>
      <w:r>
        <w:rPr/>
        <w:t>责任。公司一直牢记企业的社会责任和使命，依法纳税，诚信经营；扩大就业群体为残疾人</w:t>
      </w:r>
      <w:r>
        <w:rPr>
          <w:spacing w:val="-93"/>
        </w:rPr>
        <w:t> </w:t>
      </w:r>
      <w:r>
        <w:rPr>
          <w:spacing w:val="-93"/>
        </w:rPr>
      </w:r>
      <w:r>
        <w:rPr/>
        <w:t>士提供匹配的岗位；同时积极贯彻落实国家脱贫攻坚战略，向通渭县产业路项目建设捐资人</w:t>
      </w:r>
      <w:r>
        <w:rPr>
          <w:spacing w:val="-93"/>
        </w:rPr>
        <w:t> </w:t>
      </w:r>
      <w:r>
        <w:rPr>
          <w:spacing w:val="-93"/>
        </w:rPr>
      </w:r>
      <w:r>
        <w:rPr/>
        <w:t>民币</w:t>
      </w:r>
      <w:r>
        <w:rPr>
          <w:rFonts w:ascii="Times New Roman" w:hAnsi="Times New Roman" w:cs="Times New Roman" w:eastAsia="Times New Roman" w:hint="default"/>
        </w:rPr>
        <w:t>67</w:t>
      </w:r>
      <w:r>
        <w:rPr/>
        <w:t>万元，公司以积极的态度力所能及的服务社会，践行企业社会责任，全力推动企业、</w:t>
      </w:r>
      <w:r>
        <w:rPr>
          <w:spacing w:val="-93"/>
        </w:rPr>
        <w:t> </w:t>
      </w:r>
      <w:r>
        <w:rPr>
          <w:spacing w:val="-93"/>
        </w:rPr>
      </w:r>
      <w:r>
        <w:rPr/>
        <w:t>区域经济的进度与和谐发展。</w:t>
      </w:r>
    </w:p>
    <w:p>
      <w:pPr>
        <w:pStyle w:val="BodyText"/>
        <w:spacing w:line="340" w:lineRule="auto" w:before="38"/>
        <w:ind w:right="0" w:firstLine="480"/>
        <w:jc w:val="left"/>
      </w:pPr>
      <w:r>
        <w:rPr>
          <w:rFonts w:ascii="Times New Roman" w:hAnsi="Times New Roman" w:cs="Times New Roman" w:eastAsia="Times New Roman" w:hint="default"/>
        </w:rPr>
        <w:t>2020</w:t>
      </w:r>
      <w:r>
        <w:rPr/>
        <w:t>年，公司将选择责任与担当，更多履行社会责任，为推动经济、社会和环境和谐发 展做出新的更多的贡献。</w:t>
      </w:r>
    </w:p>
    <w:p>
      <w:pPr>
        <w:spacing w:line="240" w:lineRule="auto" w:before="9"/>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履行精准扶贫社会责任情况" w:id="96"/>
      <w:bookmarkEnd w:id="9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0"/>
        <w:rPr>
          <w:rFonts w:ascii="宋体" w:hAnsi="宋体" w:cs="宋体" w:eastAsia="宋体" w:hint="default"/>
          <w:b/>
          <w:bCs/>
          <w:sz w:val="29"/>
          <w:szCs w:val="29"/>
        </w:rPr>
      </w:pPr>
    </w:p>
    <w:p>
      <w:pPr>
        <w:pStyle w:val="BodyText"/>
        <w:spacing w:line="240" w:lineRule="auto" w:before="0"/>
        <w:ind w:left="633" w:right="0"/>
        <w:jc w:val="left"/>
      </w:pPr>
      <w:r>
        <w:rPr/>
        <w:t>公司报告年度暂未开展精准扶贫工作，也暂无后续精准扶贫计划。</w:t>
      </w:r>
    </w:p>
    <w:p>
      <w:pPr>
        <w:spacing w:line="240" w:lineRule="auto" w:before="5"/>
        <w:rPr>
          <w:rFonts w:ascii="宋体" w:hAnsi="宋体" w:cs="宋体" w:eastAsia="宋体" w:hint="default"/>
          <w:sz w:val="30"/>
          <w:szCs w:val="30"/>
        </w:rPr>
      </w:pPr>
    </w:p>
    <w:p>
      <w:pPr>
        <w:spacing w:before="0"/>
        <w:ind w:left="153" w:right="0" w:firstLine="0"/>
        <w:jc w:val="both"/>
        <w:rPr>
          <w:rFonts w:ascii="宋体" w:hAnsi="宋体" w:cs="宋体" w:eastAsia="宋体" w:hint="default"/>
          <w:sz w:val="21"/>
          <w:szCs w:val="21"/>
        </w:rPr>
      </w:pPr>
      <w:bookmarkStart w:name="3、环境保护相关的情况" w:id="97"/>
      <w:bookmarkEnd w:id="9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434" w:lineRule="auto" w:before="0"/>
        <w:ind w:left="513" w:right="5655" w:hanging="36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否</w:t>
      </w:r>
    </w:p>
    <w:p>
      <w:pPr>
        <w:spacing w:after="0" w:line="434"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57" w:lineRule="auto"/>
        <w:ind w:right="1136" w:firstLine="480"/>
        <w:jc w:val="both"/>
      </w:pPr>
      <w:r>
        <w:rPr/>
        <w:t>公司及子公司均不属于环境保护部门公布的重点排污单位。公司及子公司在日常生产经 营中认真执行《中华人民共和国环境保护法》、《中华人民共和国水污染防治法》、《中华</w:t>
      </w:r>
      <w:r>
        <w:rPr>
          <w:spacing w:val="-93"/>
        </w:rPr>
        <w:t> </w:t>
      </w:r>
      <w:r>
        <w:rPr>
          <w:spacing w:val="-93"/>
        </w:rPr>
      </w:r>
      <w:r>
        <w:rPr/>
        <w:t>人民共和国大气污染防治法》、《中华人民共和国环境噪声污染防治法》及《中华人民共和</w:t>
      </w:r>
      <w:r>
        <w:rPr>
          <w:spacing w:val="-93"/>
        </w:rPr>
        <w:t> </w:t>
      </w:r>
      <w:r>
        <w:rPr>
          <w:spacing w:val="-93"/>
        </w:rPr>
      </w:r>
      <w:r>
        <w:rPr/>
        <w:t>国固体废物污染防治法》等环保方面的法律法规，报告期内未出现因违法违规而受到处罚的</w:t>
      </w:r>
      <w:r>
        <w:rPr>
          <w:spacing w:val="-93"/>
        </w:rPr>
        <w:t> </w:t>
      </w:r>
      <w:r>
        <w:rPr>
          <w:spacing w:val="-93"/>
        </w:rPr>
      </w:r>
      <w:r>
        <w:rPr/>
        <w:t>情况。</w:t>
      </w:r>
    </w:p>
    <w:p>
      <w:pPr>
        <w:pStyle w:val="BodyText"/>
        <w:spacing w:line="357" w:lineRule="auto" w:before="34"/>
        <w:ind w:right="1136" w:firstLine="480"/>
        <w:jc w:val="both"/>
      </w:pPr>
      <w:r>
        <w:rPr/>
        <w:t>公司积极承担企业社会责任，对生产过程中产生的少量烟尘进行收集，经安装设置的净 化系统统一处理后达标排放；在生产生活过程中产生的生活污水统一收集，采用处理后达标</w:t>
      </w:r>
      <w:r>
        <w:rPr>
          <w:spacing w:val="-93"/>
        </w:rPr>
        <w:t> </w:t>
      </w:r>
      <w:r>
        <w:rPr>
          <w:spacing w:val="-93"/>
        </w:rPr>
      </w:r>
      <w:r>
        <w:rPr/>
        <w:t>排放；积极主动配合上级部门以及第三方对公司相关废气、废水排放进行监督检查，废气废</w:t>
      </w:r>
      <w:r>
        <w:rPr>
          <w:spacing w:val="-93"/>
        </w:rPr>
        <w:t> </w:t>
      </w:r>
      <w:r>
        <w:rPr>
          <w:spacing w:val="-93"/>
        </w:rPr>
      </w:r>
      <w:r>
        <w:rPr/>
        <w:t>水排放均符合要求。</w:t>
      </w:r>
    </w:p>
    <w:p>
      <w:pPr>
        <w:spacing w:line="240" w:lineRule="auto" w:before="2"/>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8"/>
      <w:bookmarkEnd w:id="98"/>
      <w:r>
        <w:rPr>
          <w:b w:val="0"/>
          <w:bCs w:val="0"/>
        </w:rPr>
      </w:r>
      <w:r>
        <w:rPr/>
        <w:t>十八、其他重大事项的说明</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360" w:lineRule="auto" w:before="127"/>
        <w:ind w:left="633" w:right="1115" w:firstLine="0"/>
        <w:jc w:val="left"/>
        <w:rPr>
          <w:rFonts w:ascii="宋体" w:hAnsi="宋体" w:cs="宋体" w:eastAsia="宋体" w:hint="default"/>
          <w:sz w:val="24"/>
          <w:szCs w:val="24"/>
        </w:rPr>
      </w:pPr>
      <w:r>
        <w:rPr>
          <w:rFonts w:ascii="宋体" w:hAnsi="宋体" w:cs="宋体" w:eastAsia="宋体" w:hint="default"/>
          <w:b/>
          <w:bCs/>
          <w:sz w:val="24"/>
          <w:szCs w:val="24"/>
        </w:rPr>
        <w:t>（一）公司注册资本变更事项</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报告期内，公司完成了两次注册资本变更备案事宜：（</w:t>
      </w:r>
      <w:r>
        <w:rPr>
          <w:rFonts w:ascii="Times New Roman" w:hAnsi="Times New Roman" w:cs="Times New Roman" w:eastAsia="Times New Roman" w:hint="default"/>
          <w:spacing w:val="-2"/>
          <w:sz w:val="24"/>
          <w:szCs w:val="24"/>
        </w:rPr>
        <w:t>1</w:t>
      </w:r>
      <w:r>
        <w:rPr>
          <w:rFonts w:ascii="宋体" w:hAnsi="宋体" w:cs="宋体" w:eastAsia="宋体" w:hint="default"/>
          <w:spacing w:val="-2"/>
          <w:sz w:val="24"/>
          <w:szCs w:val="24"/>
        </w:rPr>
        <w:t>）</w:t>
      </w:r>
      <w:r>
        <w:rPr>
          <w:rFonts w:ascii="Times New Roman" w:hAnsi="Times New Roman" w:cs="Times New Roman" w:eastAsia="Times New Roman" w:hint="default"/>
          <w:spacing w:val="-2"/>
          <w:sz w:val="24"/>
          <w:szCs w:val="24"/>
        </w:rPr>
        <w:t>2018</w:t>
      </w:r>
      <w:r>
        <w:rPr>
          <w:rFonts w:ascii="宋体" w:hAnsi="宋体" w:cs="宋体" w:eastAsia="宋体" w:hint="default"/>
          <w:spacing w:val="-2"/>
          <w:sz w:val="24"/>
          <w:szCs w:val="24"/>
        </w:rPr>
        <w:t>年度公司向</w:t>
      </w:r>
      <w:r>
        <w:rPr>
          <w:rFonts w:ascii="Times New Roman" w:hAnsi="Times New Roman" w:cs="Times New Roman" w:eastAsia="Times New Roman" w:hint="default"/>
          <w:spacing w:val="-2"/>
          <w:sz w:val="24"/>
          <w:szCs w:val="24"/>
        </w:rPr>
        <w:t>23</w:t>
      </w:r>
      <w:r>
        <w:rPr>
          <w:rFonts w:ascii="宋体" w:hAnsi="宋体" w:cs="宋体" w:eastAsia="宋体" w:hint="default"/>
          <w:spacing w:val="-2"/>
          <w:sz w:val="24"/>
          <w:szCs w:val="24"/>
        </w:rPr>
        <w:t>名激励对象</w:t>
      </w:r>
    </w:p>
    <w:p>
      <w:pPr>
        <w:pStyle w:val="BodyText"/>
        <w:spacing w:line="340" w:lineRule="auto" w:before="0"/>
        <w:ind w:left="0" w:right="1122"/>
        <w:jc w:val="right"/>
      </w:pPr>
      <w:r>
        <w:rPr/>
        <w:t>授予预留部分限制性股票</w:t>
      </w:r>
      <w:r>
        <w:rPr>
          <w:rFonts w:ascii="Times New Roman" w:hAnsi="Times New Roman" w:cs="Times New Roman" w:eastAsia="Times New Roman" w:hint="default"/>
        </w:rPr>
        <w:t>118</w:t>
      </w:r>
      <w:r>
        <w:rPr/>
        <w:t>万股、对不符合解除限售条件的限制性股票合计</w:t>
      </w:r>
      <w:r>
        <w:rPr>
          <w:rFonts w:ascii="Times New Roman" w:hAnsi="Times New Roman" w:cs="Times New Roman" w:eastAsia="Times New Roman" w:hint="default"/>
        </w:rPr>
        <w:t>131.394</w:t>
      </w:r>
      <w:r>
        <w:rPr>
          <w:rFonts w:ascii="Times New Roman" w:hAnsi="Times New Roman" w:cs="Times New Roman" w:eastAsia="Times New Roman" w:hint="default"/>
          <w:spacing w:val="40"/>
        </w:rPr>
        <w:t> </w:t>
      </w:r>
      <w:r>
        <w:rPr/>
        <w:t>万股的 回购注销，公司股份总数由</w:t>
      </w:r>
      <w:r>
        <w:rPr>
          <w:rFonts w:ascii="Times New Roman" w:hAnsi="Times New Roman" w:cs="Times New Roman" w:eastAsia="Times New Roman" w:hint="default"/>
        </w:rPr>
        <w:t>446,121,534</w:t>
      </w:r>
      <w:r>
        <w:rPr/>
        <w:t>股最终变更为</w:t>
      </w:r>
      <w:r>
        <w:rPr>
          <w:rFonts w:ascii="Times New Roman" w:hAnsi="Times New Roman" w:cs="Times New Roman" w:eastAsia="Times New Roman" w:hint="default"/>
        </w:rPr>
        <w:t>445,987,594</w:t>
      </w:r>
      <w:r>
        <w:rPr/>
        <w:t>股，公司于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日完</w:t>
      </w:r>
      <w:r>
        <w:rPr>
          <w:spacing w:val="-114"/>
        </w:rPr>
        <w:t> </w:t>
      </w:r>
      <w:r>
        <w:rPr>
          <w:spacing w:val="-3"/>
        </w:rPr>
        <w:t>成了上述有关工商变更登记备案等手续，并取得了《营业执照》；（</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年度公司实施了</w:t>
      </w:r>
      <w:r>
        <w:rPr>
          <w:spacing w:val="-100"/>
        </w:rPr>
        <w:t> </w:t>
      </w:r>
      <w:r>
        <w:rPr/>
        <w:t>对因激励对象离职、公司业绩未达标以及终止实施后续限制性股票激励计划需回购注销的合</w:t>
      </w:r>
      <w:r>
        <w:rPr/>
        <w:t> 计</w:t>
      </w:r>
      <w:r>
        <w:rPr>
          <w:rFonts w:ascii="Times New Roman" w:hAnsi="Times New Roman" w:cs="Times New Roman" w:eastAsia="Times New Roman" w:hint="default"/>
        </w:rPr>
        <w:t>851.74</w:t>
      </w:r>
      <w:r>
        <w:rPr/>
        <w:t>万股限制性股票的回购注销工作，公司股份总数由</w:t>
      </w:r>
      <w:r>
        <w:rPr>
          <w:rFonts w:ascii="Times New Roman" w:hAnsi="Times New Roman" w:cs="Times New Roman" w:eastAsia="Times New Roman" w:hint="default"/>
        </w:rPr>
        <w:t>445,987,594</w:t>
      </w:r>
      <w:r>
        <w:rPr/>
        <w:t>股变更为</w:t>
      </w:r>
      <w:r>
        <w:rPr>
          <w:rFonts w:ascii="Times New Roman" w:hAnsi="Times New Roman" w:cs="Times New Roman" w:eastAsia="Times New Roman" w:hint="default"/>
        </w:rPr>
        <w:t>437,470,194</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10"/>
        </w:rPr>
        <w:t>股，公司于</w:t>
      </w:r>
      <w:r>
        <w:rPr>
          <w:rFonts w:ascii="Times New Roman" w:hAnsi="Times New Roman" w:cs="Times New Roman" w:eastAsia="Times New Roman" w:hint="default"/>
          <w:spacing w:val="-10"/>
        </w:rPr>
        <w:t>2019</w:t>
      </w:r>
      <w:r>
        <w:rPr>
          <w:spacing w:val="-10"/>
        </w:rPr>
        <w:t>年</w:t>
      </w:r>
      <w:r>
        <w:rPr>
          <w:rFonts w:ascii="Times New Roman" w:hAnsi="Times New Roman" w:cs="Times New Roman" w:eastAsia="Times New Roman" w:hint="default"/>
          <w:spacing w:val="-10"/>
        </w:rPr>
        <w:t>11</w:t>
      </w:r>
      <w:r>
        <w:rPr>
          <w:spacing w:val="-10"/>
        </w:rPr>
        <w:t>月</w:t>
      </w:r>
      <w:r>
        <w:rPr>
          <w:rFonts w:ascii="Times New Roman" w:hAnsi="Times New Roman" w:cs="Times New Roman" w:eastAsia="Times New Roman" w:hint="default"/>
          <w:spacing w:val="-10"/>
        </w:rPr>
        <w:t>20</w:t>
      </w:r>
      <w:r>
        <w:rPr>
          <w:spacing w:val="-10"/>
        </w:rPr>
        <w:t>日完成了上述有关工商变更登记备案等手续，并取得了《营业执照》。</w:t>
      </w:r>
      <w:r>
        <w:rPr/>
        <w:t> 上述具体内容详见公司于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日在巨潮资讯网披露的相关公告</w:t>
      </w:r>
    </w:p>
    <w:p>
      <w:pPr>
        <w:pStyle w:val="BodyText"/>
        <w:spacing w:line="240" w:lineRule="auto"/>
        <w:ind w:right="0"/>
        <w:jc w:val="left"/>
      </w:pPr>
      <w:r>
        <w:rPr/>
        <w:t>（公告编号：</w:t>
      </w:r>
      <w:r>
        <w:rPr>
          <w:rFonts w:ascii="Times New Roman" w:hAnsi="Times New Roman" w:cs="Times New Roman" w:eastAsia="Times New Roman" w:hint="default"/>
        </w:rPr>
        <w:t>2019-001</w:t>
      </w:r>
      <w:r>
        <w:rPr/>
        <w:t>、</w:t>
      </w:r>
      <w:r>
        <w:rPr>
          <w:rFonts w:ascii="Times New Roman" w:hAnsi="Times New Roman" w:cs="Times New Roman" w:eastAsia="Times New Roman" w:hint="default"/>
        </w:rPr>
        <w:t>2019-096</w:t>
      </w:r>
      <w:r>
        <w:rPr/>
        <w:t>）。</w:t>
      </w:r>
    </w:p>
    <w:p>
      <w:pPr>
        <w:pStyle w:val="Heading2"/>
        <w:spacing w:line="240" w:lineRule="auto" w:before="133"/>
        <w:ind w:left="633" w:right="0"/>
        <w:jc w:val="left"/>
        <w:rPr>
          <w:b w:val="0"/>
          <w:bCs w:val="0"/>
        </w:rPr>
      </w:pPr>
      <w:r>
        <w:rPr/>
        <w:t>（二）公开发行可转换公司债券有关事项</w:t>
      </w:r>
      <w:r>
        <w:rPr>
          <w:b w:val="0"/>
          <w:bCs w:val="0"/>
        </w:rPr>
      </w:r>
    </w:p>
    <w:p>
      <w:pPr>
        <w:pStyle w:val="BodyText"/>
        <w:spacing w:line="338" w:lineRule="auto" w:before="156"/>
        <w:ind w:right="1131"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4</w:t>
      </w:r>
      <w:r>
        <w:rPr>
          <w:spacing w:val="-2"/>
        </w:rPr>
        <w:t>日，公司召开第四届董事会第四次会议、第四届监事会第四次会议，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rFonts w:ascii="Times New Roman" w:hAnsi="Times New Roman" w:cs="Times New Roman" w:eastAsia="Times New Roman" w:hint="default"/>
        </w:rPr>
        <w:t> </w:t>
      </w:r>
      <w:r>
        <w:rPr/>
        <w:t>月</w:t>
      </w:r>
      <w:r>
        <w:rPr>
          <w:rFonts w:ascii="Times New Roman" w:hAnsi="Times New Roman" w:cs="Times New Roman" w:eastAsia="Times New Roman" w:hint="default"/>
        </w:rPr>
        <w:t>15</w:t>
      </w:r>
      <w:r>
        <w:rPr/>
        <w:t>日，公司召开</w:t>
      </w:r>
      <w:r>
        <w:rPr>
          <w:rFonts w:ascii="Times New Roman" w:hAnsi="Times New Roman" w:cs="Times New Roman" w:eastAsia="Times New Roman" w:hint="default"/>
        </w:rPr>
        <w:t>2018</w:t>
      </w:r>
      <w:r>
        <w:rPr/>
        <w:t>年度股东大会审议通过了关于公司公开发行可转换公司债券（以下简</w:t>
      </w:r>
      <w:r>
        <w:rPr>
          <w:spacing w:val="-93"/>
        </w:rPr>
        <w:t> </w:t>
      </w:r>
      <w:r>
        <w:rPr>
          <w:spacing w:val="-93"/>
        </w:rPr>
      </w:r>
      <w:r>
        <w:rPr/>
        <w:t>称</w:t>
      </w:r>
      <w:r>
        <w:rPr>
          <w:rFonts w:ascii="Times New Roman" w:hAnsi="Times New Roman" w:cs="Times New Roman" w:eastAsia="Times New Roman" w:hint="default"/>
        </w:rPr>
        <w:t>“</w:t>
      </w:r>
      <w:r>
        <w:rPr/>
        <w:t>可转债</w:t>
      </w:r>
      <w:r>
        <w:rPr>
          <w:rFonts w:ascii="Times New Roman" w:hAnsi="Times New Roman" w:cs="Times New Roman" w:eastAsia="Times New Roman" w:hint="default"/>
        </w:rPr>
        <w:t>”</w:t>
      </w:r>
      <w:r>
        <w:rPr/>
        <w:t>）的相关议案。</w:t>
      </w:r>
    </w:p>
    <w:p>
      <w:pPr>
        <w:pStyle w:val="BodyText"/>
        <w:spacing w:line="338" w:lineRule="auto" w:before="24"/>
        <w:ind w:right="1122"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日，公司向中国证监会申报了本次可转债的申请文件，并于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日取 </w:t>
      </w:r>
      <w:r>
        <w:rPr>
          <w:spacing w:val="-2"/>
        </w:rPr>
        <w:t>得中国证监会第</w:t>
      </w:r>
      <w:r>
        <w:rPr>
          <w:rFonts w:ascii="Times New Roman" w:hAnsi="Times New Roman" w:cs="Times New Roman" w:eastAsia="Times New Roman" w:hint="default"/>
          <w:spacing w:val="-2"/>
        </w:rPr>
        <w:t>191442</w:t>
      </w:r>
      <w:r>
        <w:rPr>
          <w:spacing w:val="-2"/>
        </w:rPr>
        <w:t>号《中国证监会行政许可申请接收凭证》。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13</w:t>
      </w:r>
      <w:r>
        <w:rPr>
          <w:spacing w:val="-2"/>
        </w:rPr>
        <w:t>日，公司收到</w:t>
      </w:r>
      <w:r>
        <w:rPr>
          <w:spacing w:val="-104"/>
        </w:rPr>
        <w:t> </w:t>
      </w:r>
      <w:r>
        <w:rPr>
          <w:spacing w:val="-104"/>
        </w:rPr>
      </w:r>
      <w:r>
        <w:rPr/>
        <w:t>中国证监会出具的《中国证监会行政许可申请受理单》（受理序号：</w:t>
      </w:r>
      <w:r>
        <w:rPr>
          <w:rFonts w:ascii="Times New Roman" w:hAnsi="Times New Roman" w:cs="Times New Roman" w:eastAsia="Times New Roman" w:hint="default"/>
        </w:rPr>
        <w:t>191442</w:t>
      </w:r>
      <w:r>
        <w:rPr/>
        <w:t>）。</w:t>
      </w:r>
    </w:p>
    <w:p>
      <w:pPr>
        <w:pStyle w:val="BodyText"/>
        <w:spacing w:line="240" w:lineRule="auto" w:before="29"/>
        <w:ind w:left="0" w:right="1130"/>
        <w:jc w:val="right"/>
      </w:pPr>
      <w:r>
        <w:rPr>
          <w:rFonts w:ascii="Times New Roman" w:hAnsi="Times New Roman" w:cs="Times New Roman" w:eastAsia="Times New Roman" w:hint="default"/>
          <w:spacing w:val="-2"/>
          <w:w w:val="95"/>
        </w:rPr>
        <w:t>2019</w:t>
      </w:r>
      <w:r>
        <w:rPr>
          <w:spacing w:val="-2"/>
          <w:w w:val="95"/>
        </w:rPr>
        <w:t>年</w:t>
      </w:r>
      <w:r>
        <w:rPr>
          <w:rFonts w:ascii="Times New Roman" w:hAnsi="Times New Roman" w:cs="Times New Roman" w:eastAsia="Times New Roman" w:hint="default"/>
          <w:spacing w:val="-2"/>
          <w:w w:val="95"/>
        </w:rPr>
        <w:t>7</w:t>
      </w:r>
      <w:r>
        <w:rPr>
          <w:spacing w:val="-2"/>
          <w:w w:val="95"/>
        </w:rPr>
        <w:t>月</w:t>
      </w:r>
      <w:r>
        <w:rPr>
          <w:rFonts w:ascii="Times New Roman" w:hAnsi="Times New Roman" w:cs="Times New Roman" w:eastAsia="Times New Roman" w:hint="default"/>
          <w:spacing w:val="-2"/>
          <w:w w:val="95"/>
        </w:rPr>
        <w:t>25</w:t>
      </w:r>
      <w:r>
        <w:rPr>
          <w:spacing w:val="-2"/>
          <w:w w:val="95"/>
        </w:rPr>
        <w:t>日，公司收到中国证监会出具的《中国证监会行政许可项目审查一次反馈意</w:t>
      </w:r>
    </w:p>
    <w:p>
      <w:pPr>
        <w:spacing w:after="0" w:line="240" w:lineRule="auto"/>
        <w:jc w:val="right"/>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48" w:lineRule="auto"/>
        <w:ind w:right="1130"/>
        <w:jc w:val="both"/>
      </w:pPr>
      <w:r>
        <w:rPr>
          <w:spacing w:val="-7"/>
        </w:rPr>
        <w:t>见通知书》（</w:t>
      </w:r>
      <w:r>
        <w:rPr>
          <w:rFonts w:ascii="Times New Roman" w:hAnsi="Times New Roman" w:cs="Times New Roman" w:eastAsia="Times New Roman" w:hint="default"/>
          <w:spacing w:val="-7"/>
        </w:rPr>
        <w:t>191442</w:t>
      </w:r>
      <w:r>
        <w:rPr>
          <w:spacing w:val="-7"/>
        </w:rPr>
        <w:t>号）（以下简称</w:t>
      </w:r>
      <w:r>
        <w:rPr>
          <w:rFonts w:ascii="Times New Roman" w:hAnsi="Times New Roman" w:cs="Times New Roman" w:eastAsia="Times New Roman" w:hint="default"/>
          <w:spacing w:val="-7"/>
        </w:rPr>
        <w:t>“</w:t>
      </w:r>
      <w:r>
        <w:rPr>
          <w:spacing w:val="-7"/>
        </w:rPr>
        <w:t>《反馈意见》</w:t>
      </w:r>
      <w:r>
        <w:rPr>
          <w:rFonts w:ascii="Times New Roman" w:hAnsi="Times New Roman" w:cs="Times New Roman" w:eastAsia="Times New Roman" w:hint="default"/>
          <w:spacing w:val="-7"/>
        </w:rPr>
        <w:t>”</w:t>
      </w:r>
      <w:r>
        <w:rPr>
          <w:spacing w:val="-7"/>
        </w:rPr>
        <w:t>）。公司于</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8</w:t>
      </w:r>
      <w:r>
        <w:rPr>
          <w:spacing w:val="-7"/>
        </w:rPr>
        <w:t>月</w:t>
      </w:r>
      <w:r>
        <w:rPr>
          <w:rFonts w:ascii="Times New Roman" w:hAnsi="Times New Roman" w:cs="Times New Roman" w:eastAsia="Times New Roman" w:hint="default"/>
          <w:spacing w:val="-7"/>
        </w:rPr>
        <w:t>23</w:t>
      </w:r>
      <w:r>
        <w:rPr>
          <w:spacing w:val="-7"/>
        </w:rPr>
        <w:t>日对《反馈意见》</w:t>
      </w:r>
      <w:r>
        <w:rPr>
          <w:spacing w:val="-80"/>
        </w:rPr>
        <w:t> </w:t>
      </w:r>
      <w:r>
        <w:rPr>
          <w:spacing w:val="-80"/>
        </w:rPr>
      </w:r>
      <w:r>
        <w:rPr>
          <w:spacing w:val="-5"/>
        </w:rPr>
        <w:t>进行了回复并公告，后续根据证监会的进一步审核意见，公司与相关中介机构对《反馈意见》</w:t>
      </w:r>
      <w:r>
        <w:rPr/>
        <w:t> 的回复材料进行了补充和修订，并于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日披露了《反馈意见》回复的修订稿。</w:t>
      </w:r>
    </w:p>
    <w:p>
      <w:pPr>
        <w:pStyle w:val="BodyText"/>
        <w:spacing w:line="338" w:lineRule="auto" w:before="13"/>
        <w:ind w:right="1132"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日，公司召开第四届董事会第十次会议及第四届监事会第七次会议，同意 公司将本次可转债发行募集资金总额从不超过</w:t>
      </w:r>
      <w:r>
        <w:rPr>
          <w:rFonts w:ascii="Times New Roman" w:hAnsi="Times New Roman" w:cs="Times New Roman" w:eastAsia="Times New Roman" w:hint="default"/>
        </w:rPr>
        <w:t>30,000.00</w:t>
      </w:r>
      <w:r>
        <w:rPr/>
        <w:t>万元（含</w:t>
      </w:r>
      <w:r>
        <w:rPr>
          <w:rFonts w:ascii="Times New Roman" w:hAnsi="Times New Roman" w:cs="Times New Roman" w:eastAsia="Times New Roman" w:hint="default"/>
        </w:rPr>
        <w:t>30,000.00</w:t>
      </w:r>
      <w:r>
        <w:rPr/>
        <w:t>万元）调减为不超</w:t>
      </w:r>
      <w:r>
        <w:rPr>
          <w:spacing w:val="-89"/>
        </w:rPr>
        <w:t> </w:t>
      </w:r>
      <w:r>
        <w:rPr/>
        <w:t>过</w:t>
      </w:r>
      <w:r>
        <w:rPr>
          <w:rFonts w:ascii="Times New Roman" w:hAnsi="Times New Roman" w:cs="Times New Roman" w:eastAsia="Times New Roman" w:hint="default"/>
        </w:rPr>
        <w:t>29,800.00</w:t>
      </w:r>
      <w:r>
        <w:rPr/>
        <w:t>万元（含</w:t>
      </w:r>
      <w:r>
        <w:rPr>
          <w:rFonts w:ascii="Times New Roman" w:hAnsi="Times New Roman" w:cs="Times New Roman" w:eastAsia="Times New Roman" w:hint="default"/>
        </w:rPr>
        <w:t>29,800.00</w:t>
      </w:r>
      <w:r>
        <w:rPr/>
        <w:t>万元），并相应调整募集资金具体用途。根据</w:t>
      </w:r>
      <w:r>
        <w:rPr>
          <w:rFonts w:ascii="Times New Roman" w:hAnsi="Times New Roman" w:cs="Times New Roman" w:eastAsia="Times New Roman" w:hint="default"/>
        </w:rPr>
        <w:t>2018</w:t>
      </w:r>
      <w:r>
        <w:rPr/>
        <w:t>年度股东大</w:t>
      </w:r>
      <w:r>
        <w:rPr>
          <w:spacing w:val="-93"/>
        </w:rPr>
        <w:t> </w:t>
      </w:r>
      <w:r>
        <w:rPr/>
        <w:t>会对董事会的授权，本次发行方案的调整无需提交股东大会审议。</w:t>
      </w:r>
    </w:p>
    <w:p>
      <w:pPr>
        <w:pStyle w:val="BodyText"/>
        <w:spacing w:line="345" w:lineRule="auto" w:before="53"/>
        <w:ind w:right="1135"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日，公司召开第四届董事会第十一次会议及第四届监事会第八次会议，同 意终止公司公开发行可转换公司债券事项并撤回申请文件，独立董事对此项议案发表了同意</w:t>
      </w:r>
      <w:r>
        <w:rPr>
          <w:spacing w:val="-93"/>
        </w:rPr>
        <w:t> </w:t>
      </w:r>
      <w:r>
        <w:rPr>
          <w:spacing w:val="-93"/>
        </w:rPr>
      </w:r>
      <w:r>
        <w:rPr/>
        <w:t>的独立意见。根据</w:t>
      </w:r>
      <w:r>
        <w:rPr>
          <w:rFonts w:ascii="Times New Roman" w:hAnsi="Times New Roman" w:cs="Times New Roman" w:eastAsia="Times New Roman" w:hint="default"/>
        </w:rPr>
        <w:t>2018</w:t>
      </w:r>
      <w:r>
        <w:rPr/>
        <w:t>年度股东大会对董事会的授权，本次终止公开发行可转换公司债券事</w:t>
      </w:r>
      <w:r>
        <w:rPr>
          <w:spacing w:val="-93"/>
        </w:rPr>
        <w:t> </w:t>
      </w:r>
      <w:r>
        <w:rPr>
          <w:spacing w:val="-93"/>
        </w:rPr>
      </w:r>
      <w:r>
        <w:rPr/>
        <w:t>项并撤回申请文件无需提交股东大会审议。</w:t>
      </w:r>
    </w:p>
    <w:p>
      <w:pPr>
        <w:pStyle w:val="BodyText"/>
        <w:spacing w:line="348" w:lineRule="auto" w:before="46"/>
        <w:ind w:right="1127" w:firstLine="480"/>
        <w:jc w:val="both"/>
      </w:pP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11</w:t>
      </w:r>
      <w:r>
        <w:rPr>
          <w:spacing w:val="-6"/>
        </w:rPr>
        <w:t>月</w:t>
      </w:r>
      <w:r>
        <w:rPr>
          <w:rFonts w:ascii="Times New Roman" w:hAnsi="Times New Roman" w:cs="Times New Roman" w:eastAsia="Times New Roman" w:hint="default"/>
          <w:spacing w:val="-6"/>
        </w:rPr>
        <w:t>13</w:t>
      </w:r>
      <w:r>
        <w:rPr>
          <w:spacing w:val="-6"/>
        </w:rPr>
        <w:t>日，中国证监会出具《中国证监会行政许可申请终止审查通知书》</w:t>
      </w:r>
      <w:r>
        <w:rPr>
          <w:rFonts w:ascii="Times New Roman" w:hAnsi="Times New Roman" w:cs="Times New Roman" w:eastAsia="Times New Roman" w:hint="default"/>
          <w:spacing w:val="-6"/>
        </w:rPr>
        <w:t>[2019]368</w:t>
      </w:r>
      <w:r>
        <w:rPr>
          <w:rFonts w:ascii="Times New Roman" w:hAnsi="Times New Roman" w:cs="Times New Roman" w:eastAsia="Times New Roman" w:hint="default"/>
        </w:rPr>
        <w:t> </w:t>
      </w:r>
      <w:r>
        <w:rPr/>
        <w:t>号，公司申请撤回本次可转债申请文件已取得中国证监会的同意，公司本次拟发行可转债事</w:t>
      </w:r>
      <w:r>
        <w:rPr>
          <w:spacing w:val="-93"/>
        </w:rPr>
        <w:t> </w:t>
      </w:r>
      <w:r>
        <w:rPr>
          <w:spacing w:val="-93"/>
        </w:rPr>
      </w:r>
      <w:r>
        <w:rPr/>
        <w:t>项已终止实施。</w:t>
      </w:r>
    </w:p>
    <w:p>
      <w:pPr>
        <w:pStyle w:val="BodyText"/>
        <w:spacing w:line="240" w:lineRule="auto" w:before="48"/>
        <w:ind w:left="633" w:right="0"/>
        <w:jc w:val="left"/>
      </w:pPr>
      <w:r>
        <w:rPr/>
        <w:t>上述具体内容详见公司于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10</w:t>
      </w:r>
      <w:r>
        <w:rPr/>
        <w:t>月</w:t>
      </w:r>
    </w:p>
    <w:p>
      <w:pPr>
        <w:pStyle w:val="BodyText"/>
        <w:spacing w:line="240" w:lineRule="auto" w:before="133"/>
        <w:ind w:right="0"/>
        <w:jc w:val="both"/>
      </w:pPr>
      <w:r>
        <w:rPr>
          <w:rFonts w:ascii="Times New Roman" w:hAnsi="Times New Roman" w:cs="Times New Roman" w:eastAsia="Times New Roman" w:hint="default"/>
          <w:spacing w:val="-4"/>
        </w:rPr>
        <w:t>16</w:t>
      </w:r>
      <w:r>
        <w:rPr>
          <w:spacing w:val="-4"/>
        </w:rPr>
        <w:t>日、</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19</w:t>
      </w:r>
      <w:r>
        <w:rPr>
          <w:spacing w:val="-4"/>
        </w:rPr>
        <w:t>日、</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25</w:t>
      </w:r>
      <w:r>
        <w:rPr>
          <w:spacing w:val="-4"/>
        </w:rPr>
        <w:t>日、</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19</w:t>
      </w:r>
      <w:r>
        <w:rPr>
          <w:spacing w:val="-4"/>
        </w:rPr>
        <w:t>日在巨潮资讯网披露的相关公告（公告编号：</w:t>
      </w:r>
      <w:r>
        <w:rPr>
          <w:rFonts w:ascii="Times New Roman" w:hAnsi="Times New Roman" w:cs="Times New Roman" w:eastAsia="Times New Roman" w:hint="default"/>
          <w:spacing w:val="-4"/>
        </w:rPr>
        <w:t>2019-032</w:t>
      </w:r>
      <w:r>
        <w:rPr>
          <w:spacing w:val="-4"/>
        </w:rPr>
        <w:t>、</w:t>
      </w:r>
    </w:p>
    <w:p>
      <w:pPr>
        <w:pStyle w:val="BodyText"/>
        <w:spacing w:line="240" w:lineRule="auto" w:before="138"/>
        <w:ind w:right="0"/>
        <w:jc w:val="both"/>
      </w:pPr>
      <w:r>
        <w:rPr>
          <w:rFonts w:ascii="Times New Roman" w:hAnsi="Times New Roman" w:cs="Times New Roman" w:eastAsia="Times New Roman" w:hint="default"/>
        </w:rPr>
        <w:t>2019-039</w:t>
      </w:r>
      <w:r>
        <w:rPr/>
        <w:t>、</w:t>
      </w:r>
      <w:r>
        <w:rPr>
          <w:rFonts w:ascii="Times New Roman" w:hAnsi="Times New Roman" w:cs="Times New Roman" w:eastAsia="Times New Roman" w:hint="default"/>
        </w:rPr>
        <w:t>2019-048</w:t>
      </w:r>
      <w:r>
        <w:rPr/>
        <w:t>、</w:t>
      </w:r>
      <w:r>
        <w:rPr>
          <w:rFonts w:ascii="Times New Roman" w:hAnsi="Times New Roman" w:cs="Times New Roman" w:eastAsia="Times New Roman" w:hint="default"/>
        </w:rPr>
        <w:t>2019-061</w:t>
      </w:r>
      <w:r>
        <w:rPr/>
        <w:t>、</w:t>
      </w:r>
      <w:r>
        <w:rPr>
          <w:rFonts w:ascii="Times New Roman" w:hAnsi="Times New Roman" w:cs="Times New Roman" w:eastAsia="Times New Roman" w:hint="default"/>
        </w:rPr>
        <w:t>2019-064</w:t>
      </w:r>
      <w:r>
        <w:rPr/>
        <w:t>、</w:t>
      </w:r>
      <w:r>
        <w:rPr>
          <w:rFonts w:ascii="Times New Roman" w:hAnsi="Times New Roman" w:cs="Times New Roman" w:eastAsia="Times New Roman" w:hint="default"/>
        </w:rPr>
        <w:t>2019-079</w:t>
      </w:r>
      <w:r>
        <w:rPr/>
        <w:t>、</w:t>
      </w:r>
      <w:r>
        <w:rPr>
          <w:rFonts w:ascii="Times New Roman" w:hAnsi="Times New Roman" w:cs="Times New Roman" w:eastAsia="Times New Roman" w:hint="default"/>
        </w:rPr>
        <w:t>2019-080</w:t>
      </w:r>
      <w:r>
        <w:rPr/>
        <w:t>、</w:t>
      </w:r>
      <w:r>
        <w:rPr>
          <w:rFonts w:ascii="Times New Roman" w:hAnsi="Times New Roman" w:cs="Times New Roman" w:eastAsia="Times New Roman" w:hint="default"/>
        </w:rPr>
        <w:t>2019-084</w:t>
      </w:r>
      <w:r>
        <w:rPr/>
        <w:t>、</w:t>
      </w:r>
      <w:r>
        <w:rPr>
          <w:rFonts w:ascii="Times New Roman" w:hAnsi="Times New Roman" w:cs="Times New Roman" w:eastAsia="Times New Roman" w:hint="default"/>
        </w:rPr>
        <w:t>2019-094</w:t>
      </w:r>
      <w:r>
        <w:rPr/>
        <w:t>）。</w:t>
      </w:r>
    </w:p>
    <w:p>
      <w:pPr>
        <w:pStyle w:val="Heading2"/>
        <w:spacing w:line="240" w:lineRule="auto" w:before="133"/>
        <w:ind w:left="633" w:right="0"/>
        <w:jc w:val="left"/>
        <w:rPr>
          <w:b w:val="0"/>
          <w:bCs w:val="0"/>
        </w:rPr>
      </w:pPr>
      <w:r>
        <w:rPr/>
        <w:t>（三）对外投资有关事项</w:t>
      </w:r>
      <w:r>
        <w:rPr>
          <w:b w:val="0"/>
          <w:bCs w:val="0"/>
        </w:rPr>
      </w:r>
    </w:p>
    <w:p>
      <w:pPr>
        <w:pStyle w:val="Heading2"/>
        <w:spacing w:line="240" w:lineRule="auto" w:before="156"/>
        <w:ind w:left="633" w:right="0"/>
        <w:jc w:val="left"/>
        <w:rPr>
          <w:b w:val="0"/>
          <w:bCs w:val="0"/>
        </w:rPr>
      </w:pPr>
      <w:r>
        <w:rPr>
          <w:rFonts w:ascii="Times New Roman" w:hAnsi="Times New Roman" w:cs="Times New Roman" w:eastAsia="Times New Roman" w:hint="default"/>
        </w:rPr>
        <w:t>1</w:t>
      </w:r>
      <w:r>
        <w:rPr/>
        <w:t>、终止实施对深圳龙控增资以及股权转让有关事项</w:t>
      </w:r>
      <w:r>
        <w:rPr>
          <w:b w:val="0"/>
          <w:bCs w:val="0"/>
        </w:rPr>
      </w:r>
    </w:p>
    <w:p>
      <w:pPr>
        <w:pStyle w:val="BodyText"/>
        <w:spacing w:line="340" w:lineRule="auto" w:before="133"/>
        <w:ind w:left="633" w:right="1115"/>
        <w:jc w:val="left"/>
      </w:pPr>
      <w:r>
        <w:rPr/>
        <w:t>（</w:t>
      </w:r>
      <w:r>
        <w:rPr>
          <w:rFonts w:ascii="Times New Roman" w:hAnsi="Times New Roman" w:cs="Times New Roman" w:eastAsia="Times New Roman" w:hint="default"/>
        </w:rPr>
        <w:t>1</w:t>
      </w:r>
      <w:r>
        <w:rPr/>
        <w:t>）终止实施对深圳龙控增资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日召开第四届董事会第三次会议审议通过了《关于终止实施对深圳市</w:t>
      </w:r>
    </w:p>
    <w:p>
      <w:pPr>
        <w:pStyle w:val="BodyText"/>
        <w:spacing w:line="338" w:lineRule="auto" w:before="21"/>
        <w:ind w:right="1128"/>
        <w:jc w:val="both"/>
      </w:pPr>
      <w:r>
        <w:rPr>
          <w:spacing w:val="-2"/>
        </w:rPr>
        <w:t>龙控智能技术有限公司增资的议案》，鉴于当前深圳市龙控智能技术有限公司（以下简称</w:t>
      </w:r>
      <w:r>
        <w:rPr>
          <w:rFonts w:ascii="Times New Roman" w:hAnsi="Times New Roman" w:cs="Times New Roman" w:eastAsia="Times New Roman" w:hint="default"/>
          <w:spacing w:val="-2"/>
        </w:rPr>
        <w:t>“</w:t>
      </w:r>
      <w:r>
        <w:rPr>
          <w:spacing w:val="-2"/>
        </w:rPr>
        <w:t>深</w:t>
      </w:r>
      <w:r>
        <w:rPr>
          <w:spacing w:val="-113"/>
        </w:rPr>
        <w:t> </w:t>
      </w:r>
      <w:r>
        <w:rPr/>
        <w:t>圳龙控</w:t>
      </w:r>
      <w:r>
        <w:rPr>
          <w:rFonts w:ascii="Times New Roman" w:hAnsi="Times New Roman" w:cs="Times New Roman" w:eastAsia="Times New Roman" w:hint="default"/>
        </w:rPr>
        <w:t>”</w:t>
      </w:r>
      <w:r>
        <w:rPr/>
        <w:t>）仍未办理公司于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日召开的第三届董事会第十二次会议审议通过的深圳</w:t>
      </w:r>
      <w:r>
        <w:rPr>
          <w:spacing w:val="-81"/>
        </w:rPr>
        <w:t> </w:t>
      </w:r>
      <w:r>
        <w:rPr>
          <w:spacing w:val="-81"/>
        </w:rPr>
      </w:r>
      <w:r>
        <w:rPr>
          <w:spacing w:val="-1"/>
        </w:rPr>
        <w:t>龙控增资至</w:t>
      </w:r>
      <w:r>
        <w:rPr>
          <w:rFonts w:ascii="Times New Roman" w:hAnsi="Times New Roman" w:cs="Times New Roman" w:eastAsia="Times New Roman" w:hint="default"/>
          <w:spacing w:val="-1"/>
        </w:rPr>
        <w:t>3,000</w:t>
      </w:r>
      <w:r>
        <w:rPr>
          <w:spacing w:val="-1"/>
        </w:rPr>
        <w:t>万元注册资本的有关工商变更备案等手续，经公司与深圳龙控其他股东协商</w:t>
      </w:r>
      <w:r>
        <w:rPr>
          <w:spacing w:val="-104"/>
        </w:rPr>
        <w:t> </w:t>
      </w:r>
      <w:r>
        <w:rPr>
          <w:spacing w:val="-104"/>
        </w:rPr>
      </w:r>
      <w:r>
        <w:rPr>
          <w:spacing w:val="-2"/>
        </w:rPr>
        <w:t>一致同意终止本次增资事项。具体内容详见公司于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19</w:t>
      </w:r>
      <w:r>
        <w:rPr>
          <w:spacing w:val="-2"/>
        </w:rPr>
        <w:t>日在巨潮资讯网披露的相关公</w:t>
      </w:r>
      <w:r>
        <w:rPr>
          <w:spacing w:val="-113"/>
        </w:rPr>
        <w:t> </w:t>
      </w:r>
      <w:r>
        <w:rPr/>
        <w:t>告（公告编号：</w:t>
      </w:r>
      <w:r>
        <w:rPr>
          <w:rFonts w:ascii="Times New Roman" w:hAnsi="Times New Roman" w:cs="Times New Roman" w:eastAsia="Times New Roman" w:hint="default"/>
        </w:rPr>
        <w:t>2019-017</w:t>
      </w:r>
      <w:r>
        <w:rPr/>
        <w:t>）。</w:t>
      </w:r>
    </w:p>
    <w:p>
      <w:pPr>
        <w:pStyle w:val="BodyText"/>
        <w:spacing w:line="240" w:lineRule="auto" w:before="29"/>
        <w:ind w:left="633" w:right="0"/>
        <w:jc w:val="left"/>
      </w:pPr>
      <w:r>
        <w:rPr/>
        <w:t>（</w:t>
      </w:r>
      <w:r>
        <w:rPr>
          <w:rFonts w:ascii="Times New Roman" w:hAnsi="Times New Roman" w:cs="Times New Roman" w:eastAsia="Times New Roman" w:hint="default"/>
        </w:rPr>
        <w:t>2</w:t>
      </w:r>
      <w:r>
        <w:rPr/>
        <w:t>）深圳龙控股权转让有关事项</w:t>
      </w:r>
    </w:p>
    <w:p>
      <w:pPr>
        <w:pStyle w:val="BodyText"/>
        <w:spacing w:line="340" w:lineRule="auto" w:before="134"/>
        <w:ind w:right="1134" w:firstLine="48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月召开总经理办公会议审议通过了深圳龙控原股东肖卉女士将其持有 </w:t>
      </w:r>
      <w:r>
        <w:rPr>
          <w:spacing w:val="4"/>
        </w:rPr>
        <w:t>的深圳龙控</w:t>
      </w:r>
      <w:r>
        <w:rPr>
          <w:rFonts w:ascii="Times New Roman" w:hAnsi="Times New Roman" w:cs="Times New Roman" w:eastAsia="Times New Roman" w:hint="default"/>
          <w:spacing w:val="4"/>
        </w:rPr>
        <w:t>5%</w:t>
      </w:r>
      <w:r>
        <w:rPr>
          <w:spacing w:val="4"/>
        </w:rPr>
        <w:t>的股权以原价转让给深圳龙控原股东王楚龙先生有关股权转让的事项，并于</w:t>
      </w:r>
      <w:r>
        <w:rPr/>
      </w:r>
    </w:p>
    <w:p>
      <w:pPr>
        <w:spacing w:after="0" w:line="340"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38" w:lineRule="auto"/>
        <w:ind w:right="1127"/>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月办理完成本次股权转让的有关工商变更备案等手续。本次变更完成后，其股东结构</w:t>
      </w:r>
      <w:r>
        <w:rPr>
          <w:spacing w:val="-118"/>
        </w:rPr>
        <w:t> </w:t>
      </w:r>
      <w:r>
        <w:rPr>
          <w:spacing w:val="-118"/>
        </w:rPr>
      </w:r>
      <w:r>
        <w:rPr>
          <w:spacing w:val="2"/>
        </w:rPr>
        <w:t>为：公司出资</w:t>
      </w:r>
      <w:r>
        <w:rPr>
          <w:rFonts w:ascii="Times New Roman" w:hAnsi="Times New Roman" w:cs="Times New Roman" w:eastAsia="Times New Roman" w:hint="default"/>
          <w:spacing w:val="2"/>
        </w:rPr>
        <w:t>510</w:t>
      </w:r>
      <w:r>
        <w:rPr>
          <w:spacing w:val="2"/>
        </w:rPr>
        <w:t>万元，持股比例为</w:t>
      </w:r>
      <w:r>
        <w:rPr>
          <w:rFonts w:ascii="Times New Roman" w:hAnsi="Times New Roman" w:cs="Times New Roman" w:eastAsia="Times New Roman" w:hint="default"/>
          <w:spacing w:val="2"/>
        </w:rPr>
        <w:t>51%</w:t>
      </w:r>
      <w:r>
        <w:rPr>
          <w:spacing w:val="2"/>
        </w:rPr>
        <w:t>；王楚龙出资</w:t>
      </w:r>
      <w:r>
        <w:rPr>
          <w:rFonts w:ascii="Times New Roman" w:hAnsi="Times New Roman" w:cs="Times New Roman" w:eastAsia="Times New Roman" w:hint="default"/>
          <w:spacing w:val="2"/>
        </w:rPr>
        <w:t>490</w:t>
      </w:r>
      <w:r>
        <w:rPr>
          <w:spacing w:val="2"/>
        </w:rPr>
        <w:t>万元，持股比例为</w:t>
      </w:r>
      <w:r>
        <w:rPr>
          <w:rFonts w:ascii="Times New Roman" w:hAnsi="Times New Roman" w:cs="Times New Roman" w:eastAsia="Times New Roman" w:hint="default"/>
          <w:spacing w:val="2"/>
        </w:rPr>
        <w:t>49%</w:t>
      </w:r>
      <w:r>
        <w:rPr>
          <w:spacing w:val="2"/>
        </w:rPr>
        <w:t>，深圳龙控</w:t>
      </w:r>
      <w:r>
        <w:rPr>
          <w:spacing w:val="-105"/>
        </w:rPr>
        <w:t> </w:t>
      </w:r>
      <w:r>
        <w:rPr>
          <w:spacing w:val="-105"/>
        </w:rPr>
      </w:r>
      <w:r>
        <w:rPr/>
        <w:t>仍为公司控股子公司。</w:t>
      </w:r>
    </w:p>
    <w:p>
      <w:pPr>
        <w:pStyle w:val="BodyText"/>
        <w:spacing w:line="345" w:lineRule="auto" w:before="53"/>
        <w:ind w:right="1122" w:firstLine="480"/>
        <w:jc w:val="both"/>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6</w:t>
      </w:r>
      <w:r>
        <w:rPr>
          <w:spacing w:val="-3"/>
        </w:rPr>
        <w:t>日，公司召开第四届董事会第九次会议审议通过了《关于收购深圳市龙控</w:t>
      </w:r>
      <w:r>
        <w:rPr/>
        <w:t> </w:t>
      </w:r>
      <w:r>
        <w:rPr>
          <w:spacing w:val="-1"/>
        </w:rPr>
        <w:t>智能技术有限公司剩余股权并出让标的公司部分资产的议案》，同意公司使用自有资金</w:t>
      </w:r>
      <w:r>
        <w:rPr>
          <w:rFonts w:ascii="Times New Roman" w:hAnsi="Times New Roman" w:cs="Times New Roman" w:eastAsia="Times New Roman" w:hint="default"/>
          <w:spacing w:val="-1"/>
        </w:rPr>
        <w:t>2,200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1"/>
        </w:rPr>
        <w:t>万元人民币收购王楚龙先生所持有的深圳龙控</w:t>
      </w:r>
      <w:r>
        <w:rPr>
          <w:rFonts w:ascii="Times New Roman" w:hAnsi="Times New Roman" w:cs="Times New Roman" w:eastAsia="Times New Roman" w:hint="default"/>
          <w:spacing w:val="-1"/>
        </w:rPr>
        <w:t>49%</w:t>
      </w:r>
      <w:r>
        <w:rPr>
          <w:spacing w:val="-1"/>
        </w:rPr>
        <w:t>股权（对应出资额</w:t>
      </w:r>
      <w:r>
        <w:rPr>
          <w:rFonts w:ascii="Times New Roman" w:hAnsi="Times New Roman" w:cs="Times New Roman" w:eastAsia="Times New Roman" w:hint="default"/>
          <w:spacing w:val="-1"/>
        </w:rPr>
        <w:t>490</w:t>
      </w:r>
      <w:r>
        <w:rPr>
          <w:spacing w:val="-1"/>
        </w:rPr>
        <w:t>万元）；同时考虑到</w:t>
      </w:r>
      <w:r>
        <w:rPr/>
        <w:t> 深圳龙控原经营团队在经营过程中，尚有部分应收款项未收回、部分存货未能销售，且原经</w:t>
      </w:r>
      <w:r>
        <w:rPr>
          <w:spacing w:val="-93"/>
        </w:rPr>
        <w:t> </w:t>
      </w:r>
      <w:r>
        <w:rPr>
          <w:spacing w:val="-93"/>
        </w:rPr>
      </w:r>
      <w:r>
        <w:rPr/>
        <w:t>营团队收回该款项、处置该部分存货更有优势，由王楚龙先生购买深圳龙控的应收账款等资</w:t>
      </w:r>
      <w:r>
        <w:rPr>
          <w:spacing w:val="-93"/>
        </w:rPr>
        <w:t> </w:t>
      </w:r>
      <w:r>
        <w:rPr>
          <w:spacing w:val="-93"/>
        </w:rPr>
      </w:r>
      <w:r>
        <w:rPr>
          <w:spacing w:val="-2"/>
        </w:rPr>
        <w:t>产。本次交易实施后，公司将直接持有深圳龙控</w:t>
      </w:r>
      <w:r>
        <w:rPr>
          <w:rFonts w:ascii="Times New Roman" w:hAnsi="Times New Roman" w:cs="Times New Roman" w:eastAsia="Times New Roman" w:hint="default"/>
          <w:spacing w:val="-2"/>
        </w:rPr>
        <w:t>100%</w:t>
      </w:r>
      <w:r>
        <w:rPr>
          <w:spacing w:val="-2"/>
        </w:rPr>
        <w:t>的股权，深圳龙控将成为公司的全资子</w:t>
      </w:r>
      <w:r>
        <w:rPr>
          <w:spacing w:val="-79"/>
        </w:rPr>
        <w:t> </w:t>
      </w:r>
      <w:r>
        <w:rPr>
          <w:spacing w:val="-79"/>
        </w:rPr>
      </w:r>
      <w:r>
        <w:rPr/>
        <w:t>公司。</w:t>
      </w:r>
    </w:p>
    <w:p>
      <w:pPr>
        <w:pStyle w:val="BodyText"/>
        <w:spacing w:line="352" w:lineRule="auto" w:before="50"/>
        <w:ind w:right="1128" w:firstLine="480"/>
        <w:jc w:val="both"/>
      </w:pPr>
      <w:r>
        <w:rPr/>
        <w:t>报告期内，本次交易各方依据约定已经完成相关股权和资产的交割，深圳龙控已完成本 次股权转让事项有关的股东、董事、监事变更以及董事长和经理人选聘、营业期限变更等一</w:t>
      </w:r>
      <w:r>
        <w:rPr>
          <w:spacing w:val="-93"/>
        </w:rPr>
        <w:t> </w:t>
      </w:r>
      <w:r>
        <w:rPr>
          <w:spacing w:val="-93"/>
        </w:rPr>
      </w:r>
      <w:r>
        <w:rPr/>
        <w:t>系列的工商变更登记备案并修订公司章程，并取得由深圳市市场监督管理局核发的《营业执</w:t>
      </w:r>
      <w:r>
        <w:rPr>
          <w:spacing w:val="-93"/>
        </w:rPr>
        <w:t> </w:t>
      </w:r>
      <w:r>
        <w:rPr>
          <w:spacing w:val="-93"/>
        </w:rPr>
      </w:r>
      <w:r>
        <w:rPr>
          <w:spacing w:val="-8"/>
        </w:rPr>
        <w:t>照》。具体内容详见公司于</w:t>
      </w: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9</w:t>
      </w:r>
      <w:r>
        <w:rPr>
          <w:spacing w:val="-8"/>
        </w:rPr>
        <w:t>月</w:t>
      </w:r>
      <w:r>
        <w:rPr>
          <w:rFonts w:ascii="Times New Roman" w:hAnsi="Times New Roman" w:cs="Times New Roman" w:eastAsia="Times New Roman" w:hint="default"/>
          <w:spacing w:val="-8"/>
        </w:rPr>
        <w:t>7</w:t>
      </w:r>
      <w:r>
        <w:rPr>
          <w:spacing w:val="-8"/>
        </w:rPr>
        <w:t>日、</w:t>
      </w:r>
      <w:r>
        <w:rPr>
          <w:rFonts w:ascii="Times New Roman" w:hAnsi="Times New Roman" w:cs="Times New Roman" w:eastAsia="Times New Roman" w:hint="default"/>
          <w:spacing w:val="-8"/>
        </w:rPr>
        <w:t>9</w:t>
      </w:r>
      <w:r>
        <w:rPr>
          <w:spacing w:val="-8"/>
        </w:rPr>
        <w:t>月</w:t>
      </w:r>
      <w:r>
        <w:rPr>
          <w:rFonts w:ascii="Times New Roman" w:hAnsi="Times New Roman" w:cs="Times New Roman" w:eastAsia="Times New Roman" w:hint="default"/>
          <w:spacing w:val="-8"/>
        </w:rPr>
        <w:t>28</w:t>
      </w:r>
      <w:r>
        <w:rPr>
          <w:spacing w:val="-8"/>
        </w:rPr>
        <w:t>日在巨潮资讯网披露的相关公告（公告编号：</w:t>
      </w:r>
      <w:r>
        <w:rPr>
          <w:spacing w:val="-76"/>
        </w:rPr>
        <w:t> </w:t>
      </w:r>
      <w:r>
        <w:rPr>
          <w:spacing w:val="-76"/>
        </w:rPr>
      </w:r>
      <w:r>
        <w:rPr>
          <w:rFonts w:ascii="Times New Roman" w:hAnsi="Times New Roman" w:cs="Times New Roman" w:eastAsia="Times New Roman" w:hint="default"/>
        </w:rPr>
        <w:t>2019-067</w:t>
      </w:r>
      <w:r>
        <w:rPr/>
        <w:t>、</w:t>
      </w:r>
      <w:r>
        <w:rPr>
          <w:rFonts w:ascii="Times New Roman" w:hAnsi="Times New Roman" w:cs="Times New Roman" w:eastAsia="Times New Roman" w:hint="default"/>
        </w:rPr>
        <w:t>2019-068</w:t>
      </w:r>
      <w:r>
        <w:rPr/>
        <w:t>、</w:t>
      </w:r>
      <w:r>
        <w:rPr>
          <w:rFonts w:ascii="Times New Roman" w:hAnsi="Times New Roman" w:cs="Times New Roman" w:eastAsia="Times New Roman" w:hint="default"/>
        </w:rPr>
        <w:t>2019-073</w:t>
      </w:r>
      <w:r>
        <w:rPr/>
        <w:t>）。</w:t>
      </w:r>
    </w:p>
    <w:p>
      <w:pPr>
        <w:pStyle w:val="Heading2"/>
        <w:spacing w:line="240" w:lineRule="auto" w:before="8"/>
        <w:ind w:left="633" w:right="0"/>
        <w:jc w:val="left"/>
        <w:rPr>
          <w:b w:val="0"/>
          <w:bCs w:val="0"/>
        </w:rPr>
      </w:pPr>
      <w:r>
        <w:rPr>
          <w:rFonts w:ascii="Times New Roman" w:hAnsi="Times New Roman" w:cs="Times New Roman" w:eastAsia="Times New Roman" w:hint="default"/>
        </w:rPr>
        <w:t>2</w:t>
      </w:r>
      <w:r>
        <w:rPr/>
        <w:t>、终止设立产业并购基金并注销母基金事项</w:t>
      </w:r>
      <w:r>
        <w:rPr>
          <w:b w:val="0"/>
          <w:bCs w:val="0"/>
        </w:rPr>
      </w:r>
    </w:p>
    <w:p>
      <w:pPr>
        <w:pStyle w:val="BodyText"/>
        <w:spacing w:line="343" w:lineRule="auto" w:before="138"/>
        <w:ind w:right="1122" w:firstLine="48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21</w:t>
      </w:r>
      <w:r>
        <w:rPr>
          <w:spacing w:val="-3"/>
        </w:rPr>
        <w:t>日，公司召开第四届董事会第七次会议审议通过了《关于终止设立产业并购</w:t>
      </w:r>
      <w:r>
        <w:rPr/>
        <w:t> 基金并注销深圳依米康道格产业投资合伙企业（有限合伙）的议案》，同意终止设立产业并</w:t>
      </w:r>
      <w:r>
        <w:rPr>
          <w:spacing w:val="-93"/>
        </w:rPr>
        <w:t> </w:t>
      </w:r>
      <w:r>
        <w:rPr>
          <w:spacing w:val="-93"/>
        </w:rPr>
      </w:r>
      <w:r>
        <w:rPr>
          <w:spacing w:val="-2"/>
        </w:rPr>
        <w:t>购基金并同步注销母基金</w:t>
      </w:r>
      <w:r>
        <w:rPr>
          <w:rFonts w:ascii="Times New Roman" w:hAnsi="Times New Roman" w:cs="Times New Roman" w:eastAsia="Times New Roman" w:hint="default"/>
          <w:spacing w:val="-2"/>
        </w:rPr>
        <w:t>—</w:t>
      </w:r>
      <w:r>
        <w:rPr>
          <w:spacing w:val="-2"/>
        </w:rPr>
        <w:t>深圳依米康道格产业投资合伙企业（有限合伙）（以下简称</w:t>
      </w:r>
      <w:r>
        <w:rPr>
          <w:rFonts w:ascii="Times New Roman" w:hAnsi="Times New Roman" w:cs="Times New Roman" w:eastAsia="Times New Roman" w:hint="default"/>
          <w:spacing w:val="-2"/>
        </w:rPr>
        <w:t>“</w:t>
      </w:r>
      <w:r>
        <w:rPr>
          <w:spacing w:val="-2"/>
        </w:rPr>
        <w:t>道格</w:t>
      </w:r>
      <w:r>
        <w:rPr>
          <w:spacing w:val="-109"/>
        </w:rPr>
        <w:t> </w:t>
      </w:r>
      <w:r>
        <w:rPr/>
        <w:t>合伙</w:t>
      </w:r>
      <w:r>
        <w:rPr>
          <w:rFonts w:ascii="Times New Roman" w:hAnsi="Times New Roman" w:cs="Times New Roman" w:eastAsia="Times New Roman" w:hint="default"/>
        </w:rPr>
        <w:t>”</w:t>
      </w:r>
      <w:r>
        <w:rPr/>
        <w:t>），独立董事对此议案发表了同意的独立意见。具体内容详见公司于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日在</w:t>
      </w:r>
      <w:r>
        <w:rPr>
          <w:spacing w:val="-70"/>
        </w:rPr>
        <w:t> </w:t>
      </w:r>
      <w:r>
        <w:rPr/>
        <w:t>巨潮资讯网披露的相关公告（公告编号：</w:t>
      </w:r>
      <w:r>
        <w:rPr>
          <w:rFonts w:ascii="Times New Roman" w:hAnsi="Times New Roman" w:cs="Times New Roman" w:eastAsia="Times New Roman" w:hint="default"/>
        </w:rPr>
        <w:t>2019-062</w:t>
      </w:r>
      <w:r>
        <w:rPr/>
        <w:t>、</w:t>
      </w:r>
      <w:r>
        <w:rPr>
          <w:rFonts w:ascii="Times New Roman" w:hAnsi="Times New Roman" w:cs="Times New Roman" w:eastAsia="Times New Roman" w:hint="default"/>
        </w:rPr>
        <w:t>2019-063</w:t>
      </w:r>
      <w:r>
        <w:rPr/>
        <w:t>）。</w:t>
      </w:r>
    </w:p>
    <w:p>
      <w:pPr>
        <w:pStyle w:val="BodyText"/>
        <w:spacing w:line="340" w:lineRule="auto" w:before="19"/>
        <w:ind w:right="1134" w:firstLine="480"/>
        <w:jc w:val="both"/>
      </w:pPr>
      <w:r>
        <w:rPr/>
        <w:t>道格合伙已于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日收到深圳市市场监督管理局下发的《企业注销通知书》， 道格合伙的注销手续已全部完成。</w:t>
      </w:r>
    </w:p>
    <w:p>
      <w:pPr>
        <w:pStyle w:val="Heading2"/>
        <w:spacing w:line="240" w:lineRule="auto" w:before="50"/>
        <w:ind w:left="633" w:right="0"/>
        <w:jc w:val="left"/>
        <w:rPr>
          <w:b w:val="0"/>
          <w:bCs w:val="0"/>
        </w:rPr>
      </w:pPr>
      <w:r>
        <w:rPr>
          <w:rFonts w:ascii="Times New Roman" w:hAnsi="Times New Roman" w:cs="Times New Roman" w:eastAsia="Times New Roman" w:hint="default"/>
        </w:rPr>
        <w:t>3</w:t>
      </w:r>
      <w:r>
        <w:rPr/>
        <w:t>、转让上海虹港数据信息有限公司股权事项</w:t>
      </w:r>
      <w:r>
        <w:rPr>
          <w:b w:val="0"/>
          <w:bCs w:val="0"/>
        </w:rPr>
      </w:r>
    </w:p>
    <w:p>
      <w:pPr>
        <w:pStyle w:val="BodyText"/>
        <w:spacing w:line="343" w:lineRule="auto" w:before="138"/>
        <w:ind w:right="1122"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日，公司召开第四届董事会第八次会议审议通过了《关于转让上海虹港数据 </w:t>
      </w:r>
      <w:r>
        <w:rPr>
          <w:spacing w:val="-2"/>
        </w:rPr>
        <w:t>信息有限公司股权的议案》，同意公司将持有的上海虹港数据信息有限公司（以下简称</w:t>
      </w:r>
      <w:r>
        <w:rPr>
          <w:rFonts w:ascii="Times New Roman" w:hAnsi="Times New Roman" w:cs="Times New Roman" w:eastAsia="Times New Roman" w:hint="default"/>
          <w:spacing w:val="-2"/>
        </w:rPr>
        <w:t>“</w:t>
      </w:r>
      <w:r>
        <w:rPr>
          <w:spacing w:val="-2"/>
        </w:rPr>
        <w:t>上海</w:t>
      </w:r>
      <w:r>
        <w:rPr>
          <w:spacing w:val="-113"/>
        </w:rPr>
        <w:t> </w:t>
      </w:r>
      <w:r>
        <w:rPr/>
        <w:t>虹港</w:t>
      </w:r>
      <w:r>
        <w:rPr>
          <w:rFonts w:ascii="Times New Roman" w:hAnsi="Times New Roman" w:cs="Times New Roman" w:eastAsia="Times New Roman" w:hint="default"/>
        </w:rPr>
        <w:t>”</w:t>
      </w:r>
      <w:r>
        <w:rPr/>
        <w:t>）</w:t>
      </w:r>
      <w:r>
        <w:rPr>
          <w:rFonts w:ascii="Times New Roman" w:hAnsi="Times New Roman" w:cs="Times New Roman" w:eastAsia="Times New Roman" w:hint="default"/>
        </w:rPr>
        <w:t>14%</w:t>
      </w:r>
      <w:r>
        <w:rPr/>
        <w:t>的股权（对应出资额</w:t>
      </w:r>
      <w:r>
        <w:rPr>
          <w:rFonts w:ascii="Times New Roman" w:hAnsi="Times New Roman" w:cs="Times New Roman" w:eastAsia="Times New Roman" w:hint="default"/>
        </w:rPr>
        <w:t>1,400</w:t>
      </w:r>
      <w:r>
        <w:rPr/>
        <w:t>万元人民币，均已出资到位）以人民币</w:t>
      </w:r>
      <w:r>
        <w:rPr>
          <w:rFonts w:ascii="Times New Roman" w:hAnsi="Times New Roman" w:cs="Times New Roman" w:eastAsia="Times New Roman" w:hint="default"/>
        </w:rPr>
        <w:t>2,440</w:t>
      </w:r>
      <w:r>
        <w:rPr/>
        <w:t>万元的价</w:t>
      </w:r>
      <w:r>
        <w:rPr>
          <w:spacing w:val="-34"/>
        </w:rPr>
        <w:t> </w:t>
      </w:r>
      <w:r>
        <w:rPr>
          <w:spacing w:val="-34"/>
        </w:rPr>
      </w:r>
      <w:r>
        <w:rPr>
          <w:spacing w:val="-5"/>
        </w:rPr>
        <w:t>格转让给上海虹港实际控制人闻之航先生。本次交易完成后，公司将不再持有上海虹港股权，</w:t>
      </w:r>
      <w:r>
        <w:rPr>
          <w:spacing w:val="-117"/>
        </w:rPr>
        <w:t> </w:t>
      </w:r>
      <w:r>
        <w:rPr>
          <w:spacing w:val="-117"/>
        </w:rPr>
      </w:r>
      <w:r>
        <w:rPr/>
        <w:t>上海虹港将不再为公司参股子公司，独立董事对此事项发表了同意的独立意见。具体内容详</w:t>
      </w:r>
    </w:p>
    <w:p>
      <w:pPr>
        <w:spacing w:after="0" w:line="343"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36" w:lineRule="auto"/>
        <w:ind w:left="633" w:right="1115" w:hanging="480"/>
        <w:jc w:val="left"/>
      </w:pPr>
      <w:r>
        <w:rPr/>
        <w:t>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日在巨潮资讯网披露的相关公告（公告编号：</w:t>
      </w:r>
      <w:r>
        <w:rPr>
          <w:rFonts w:ascii="Times New Roman" w:hAnsi="Times New Roman" w:cs="Times New Roman" w:eastAsia="Times New Roman" w:hint="default"/>
        </w:rPr>
        <w:t>2019-065</w:t>
      </w:r>
      <w:r>
        <w:rPr/>
        <w:t>、</w:t>
      </w:r>
      <w:r>
        <w:rPr>
          <w:rFonts w:ascii="Times New Roman" w:hAnsi="Times New Roman" w:cs="Times New Roman" w:eastAsia="Times New Roman" w:hint="default"/>
        </w:rPr>
        <w:t>2019-066</w:t>
      </w:r>
      <w:r>
        <w:rPr/>
        <w:t>）。</w:t>
      </w:r>
      <w:r>
        <w:rPr>
          <w:spacing w:val="-117"/>
        </w:rPr>
        <w:t> </w:t>
      </w:r>
      <w:r>
        <w:rPr>
          <w:spacing w:val="-2"/>
        </w:rPr>
        <w:t>本次交易各方依据约定已经完成相关股权的交割，上海虹港于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29</w:t>
      </w:r>
      <w:r>
        <w:rPr>
          <w:spacing w:val="-2"/>
        </w:rPr>
        <w:t>日完成本次股</w:t>
      </w:r>
    </w:p>
    <w:p>
      <w:pPr>
        <w:pStyle w:val="BodyText"/>
        <w:spacing w:line="343" w:lineRule="auto" w:before="32"/>
        <w:ind w:right="993"/>
        <w:jc w:val="left"/>
      </w:pPr>
      <w:r>
        <w:rPr/>
        <w:t>权转让相关的工商变更登记备案手续，并换发了《营业执照》。上海虹港于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日付 </w:t>
      </w:r>
      <w:r>
        <w:rPr>
          <w:spacing w:val="-5"/>
        </w:rPr>
        <w:t>清海通恒信融资租赁（上海）有限公司（以下简称</w:t>
      </w:r>
      <w:r>
        <w:rPr>
          <w:rFonts w:ascii="Times New Roman" w:hAnsi="Times New Roman" w:cs="Times New Roman" w:eastAsia="Times New Roman" w:hint="default"/>
          <w:spacing w:val="-5"/>
        </w:rPr>
        <w:t>“</w:t>
      </w:r>
      <w:r>
        <w:rPr>
          <w:spacing w:val="-5"/>
        </w:rPr>
        <w:t>海通恒信</w:t>
      </w:r>
      <w:r>
        <w:rPr>
          <w:rFonts w:ascii="Times New Roman" w:hAnsi="Times New Roman" w:cs="Times New Roman" w:eastAsia="Times New Roman" w:hint="default"/>
          <w:spacing w:val="-5"/>
        </w:rPr>
        <w:t>”</w:t>
      </w:r>
      <w:r>
        <w:rPr>
          <w:spacing w:val="-5"/>
        </w:rPr>
        <w:t>）在《融资回租合同》（编号：</w:t>
      </w:r>
      <w:r>
        <w:rPr>
          <w:spacing w:val="-89"/>
        </w:rPr>
        <w:t> </w:t>
      </w:r>
      <w:r>
        <w:rPr>
          <w:spacing w:val="-89"/>
        </w:rPr>
      </w:r>
      <w:r>
        <w:rPr>
          <w:rFonts w:ascii="Times New Roman" w:hAnsi="Times New Roman" w:cs="Times New Roman" w:eastAsia="Times New Roman" w:hint="default"/>
        </w:rPr>
        <w:t>L16A1287001</w:t>
      </w:r>
      <w:r>
        <w:rPr/>
        <w:t>）下的全部应付租金、留购价及其他全款，公司以持有的上海虹港</w:t>
      </w:r>
      <w:r>
        <w:rPr>
          <w:rFonts w:ascii="Times New Roman" w:hAnsi="Times New Roman" w:cs="Times New Roman" w:eastAsia="Times New Roman" w:hint="default"/>
        </w:rPr>
        <w:t>1,400</w:t>
      </w:r>
      <w:r>
        <w:rPr/>
        <w:t>万股股</w:t>
      </w:r>
      <w:r>
        <w:rPr>
          <w:spacing w:val="-109"/>
        </w:rPr>
        <w:t> </w:t>
      </w:r>
      <w:r>
        <w:rPr>
          <w:spacing w:val="-2"/>
        </w:rPr>
        <w:t>权向海通恒信提供的质押担保已办理完毕出质注销登记手续，公司承担的担保责任已经解除。</w:t>
      </w:r>
      <w:r>
        <w:rPr/>
        <w:t> </w:t>
      </w:r>
      <w:r>
        <w:rPr>
          <w:spacing w:val="-5"/>
        </w:rPr>
        <w:t>上海虹港于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14</w:t>
      </w:r>
      <w:r>
        <w:rPr>
          <w:spacing w:val="-5"/>
        </w:rPr>
        <w:t>日付清贵安恒信融资租赁（上海）有限公司在《委托贷款借款合同》</w:t>
      </w:r>
    </w:p>
    <w:p>
      <w:pPr>
        <w:pStyle w:val="BodyText"/>
        <w:spacing w:line="340" w:lineRule="auto" w:before="19"/>
        <w:ind w:right="0"/>
        <w:jc w:val="left"/>
      </w:pPr>
      <w:r>
        <w:rPr>
          <w:spacing w:val="-5"/>
        </w:rPr>
        <w:t>（编号：</w:t>
      </w:r>
      <w:r>
        <w:rPr>
          <w:rFonts w:ascii="Times New Roman" w:hAnsi="Times New Roman" w:cs="Times New Roman" w:eastAsia="Times New Roman" w:hint="default"/>
          <w:spacing w:val="-5"/>
        </w:rPr>
        <w:t>3701170301</w:t>
      </w:r>
      <w:r>
        <w:rPr>
          <w:spacing w:val="-5"/>
        </w:rPr>
        <w:t>）项下的全部应付款项，自</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14</w:t>
      </w:r>
      <w:r>
        <w:rPr>
          <w:spacing w:val="-5"/>
        </w:rPr>
        <w:t>日期，委托贷款借款合同终止，</w:t>
      </w:r>
      <w:r>
        <w:rPr>
          <w:spacing w:val="-77"/>
        </w:rPr>
        <w:t> </w:t>
      </w:r>
      <w:r>
        <w:rPr>
          <w:spacing w:val="-77"/>
        </w:rPr>
      </w:r>
      <w:r>
        <w:rPr/>
        <w:t>公司承担的担保责任已经解除。至此，公司对上海虹港的担保均已解除。</w:t>
      </w:r>
    </w:p>
    <w:p>
      <w:pPr>
        <w:spacing w:line="367" w:lineRule="auto" w:before="51"/>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、参股重庆云晟数据科技有限公司暨开展项目合作事宜</w:t>
      </w:r>
      <w:r>
        <w:rPr>
          <w:rFonts w:ascii="宋体" w:hAnsi="宋体" w:cs="宋体" w:eastAsia="宋体" w:hint="default"/>
          <w:b/>
          <w:bCs/>
          <w:w w:val="99"/>
          <w:sz w:val="24"/>
          <w:szCs w:val="24"/>
        </w:rPr>
        <w:t> </w:t>
      </w:r>
      <w:r>
        <w:rPr>
          <w:rFonts w:ascii="宋体" w:hAnsi="宋体" w:cs="宋体" w:eastAsia="宋体" w:hint="default"/>
          <w:spacing w:val="-2"/>
          <w:sz w:val="24"/>
          <w:szCs w:val="24"/>
        </w:rPr>
        <w:t>公司于</w:t>
      </w:r>
      <w:r>
        <w:rPr>
          <w:rFonts w:ascii="Times New Roman" w:hAnsi="Times New Roman" w:cs="Times New Roman" w:eastAsia="Times New Roman" w:hint="default"/>
          <w:spacing w:val="-2"/>
          <w:sz w:val="24"/>
          <w:szCs w:val="24"/>
        </w:rPr>
        <w:t>2019</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11</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4</w:t>
      </w:r>
      <w:r>
        <w:rPr>
          <w:rFonts w:ascii="宋体" w:hAnsi="宋体" w:cs="宋体" w:eastAsia="宋体" w:hint="default"/>
          <w:spacing w:val="-2"/>
          <w:sz w:val="24"/>
          <w:szCs w:val="24"/>
        </w:rPr>
        <w:t>日召开第四届董事会第十三次会议、于</w:t>
      </w:r>
      <w:r>
        <w:rPr>
          <w:rFonts w:ascii="Times New Roman" w:hAnsi="Times New Roman" w:cs="Times New Roman" w:eastAsia="Times New Roman" w:hint="default"/>
          <w:spacing w:val="-2"/>
          <w:sz w:val="24"/>
          <w:szCs w:val="24"/>
        </w:rPr>
        <w:t>2019</w:t>
      </w:r>
      <w:r>
        <w:rPr>
          <w:rFonts w:ascii="宋体" w:hAnsi="宋体" w:cs="宋体" w:eastAsia="宋体" w:hint="default"/>
          <w:spacing w:val="-2"/>
          <w:sz w:val="24"/>
          <w:szCs w:val="24"/>
        </w:rPr>
        <w:t>年</w:t>
      </w:r>
      <w:r>
        <w:rPr>
          <w:rFonts w:ascii="Times New Roman" w:hAnsi="Times New Roman" w:cs="Times New Roman" w:eastAsia="Times New Roman" w:hint="default"/>
          <w:spacing w:val="-2"/>
          <w:sz w:val="24"/>
          <w:szCs w:val="24"/>
        </w:rPr>
        <w:t>11</w:t>
      </w:r>
      <w:r>
        <w:rPr>
          <w:rFonts w:ascii="宋体" w:hAnsi="宋体" w:cs="宋体" w:eastAsia="宋体" w:hint="default"/>
          <w:spacing w:val="-2"/>
          <w:sz w:val="24"/>
          <w:szCs w:val="24"/>
        </w:rPr>
        <w:t>月</w:t>
      </w:r>
      <w:r>
        <w:rPr>
          <w:rFonts w:ascii="Times New Roman" w:hAnsi="Times New Roman" w:cs="Times New Roman" w:eastAsia="Times New Roman" w:hint="default"/>
          <w:spacing w:val="-2"/>
          <w:sz w:val="24"/>
          <w:szCs w:val="24"/>
        </w:rPr>
        <w:t>25</w:t>
      </w:r>
      <w:r>
        <w:rPr>
          <w:rFonts w:ascii="宋体" w:hAnsi="宋体" w:cs="宋体" w:eastAsia="宋体" w:hint="default"/>
          <w:spacing w:val="-2"/>
          <w:sz w:val="24"/>
          <w:szCs w:val="24"/>
        </w:rPr>
        <w:t>日召开</w:t>
      </w:r>
      <w:r>
        <w:rPr>
          <w:rFonts w:ascii="Times New Roman" w:hAnsi="Times New Roman" w:cs="Times New Roman" w:eastAsia="Times New Roman" w:hint="default"/>
          <w:spacing w:val="-2"/>
          <w:sz w:val="24"/>
          <w:szCs w:val="24"/>
        </w:rPr>
        <w:t>2019</w:t>
      </w:r>
      <w:r>
        <w:rPr>
          <w:rFonts w:ascii="宋体" w:hAnsi="宋体" w:cs="宋体" w:eastAsia="宋体" w:hint="default"/>
          <w:spacing w:val="-2"/>
          <w:sz w:val="24"/>
          <w:szCs w:val="24"/>
        </w:rPr>
        <w:t>年第</w:t>
      </w:r>
    </w:p>
    <w:p>
      <w:pPr>
        <w:pStyle w:val="BodyText"/>
        <w:spacing w:line="340" w:lineRule="auto" w:before="0"/>
        <w:ind w:right="1127"/>
        <w:jc w:val="both"/>
      </w:pPr>
      <w:r>
        <w:rPr>
          <w:spacing w:val="-2"/>
        </w:rPr>
        <w:t>二次临时股东大会审议通过了《关于对外投资参股项目公司暨开展</w:t>
      </w:r>
      <w:r>
        <w:rPr>
          <w:rFonts w:ascii="Times New Roman" w:hAnsi="Times New Roman" w:cs="Times New Roman" w:eastAsia="Times New Roman" w:hint="default"/>
          <w:spacing w:val="-2"/>
        </w:rPr>
        <w:t>“</w:t>
      </w:r>
      <w:r>
        <w:rPr>
          <w:spacing w:val="-2"/>
        </w:rPr>
        <w:t>重庆同城双活数据中心项</w:t>
      </w:r>
      <w:r>
        <w:rPr>
          <w:spacing w:val="-110"/>
        </w:rPr>
        <w:t> </w:t>
      </w:r>
      <w:r>
        <w:rPr>
          <w:spacing w:val="-2"/>
        </w:rPr>
        <w:t>目长寿一期工程</w:t>
      </w:r>
      <w:r>
        <w:rPr>
          <w:rFonts w:ascii="Times New Roman" w:hAnsi="Times New Roman" w:cs="Times New Roman" w:eastAsia="Times New Roman" w:hint="default"/>
          <w:spacing w:val="-2"/>
        </w:rPr>
        <w:t>”</w:t>
      </w:r>
      <w:r>
        <w:rPr>
          <w:spacing w:val="-2"/>
        </w:rPr>
        <w:t>项目合作的议案》、《关于为重庆云晟数据科技有限公司开展项目融资提供</w:t>
      </w:r>
      <w:r>
        <w:rPr>
          <w:spacing w:val="-107"/>
        </w:rPr>
        <w:t> </w:t>
      </w:r>
      <w:r>
        <w:rPr>
          <w:spacing w:val="-107"/>
        </w:rPr>
      </w:r>
      <w:r>
        <w:rPr>
          <w:spacing w:val="-5"/>
        </w:rPr>
        <w:t>担保的议案》等相关议案，为深入开展</w:t>
      </w:r>
      <w:r>
        <w:rPr>
          <w:rFonts w:ascii="Times New Roman" w:hAnsi="Times New Roman" w:cs="Times New Roman" w:eastAsia="Times New Roman" w:hint="default"/>
          <w:spacing w:val="-5"/>
        </w:rPr>
        <w:t>“</w:t>
      </w:r>
      <w:r>
        <w:rPr>
          <w:spacing w:val="-5"/>
        </w:rPr>
        <w:t>重庆同城双活数据中心项目长寿一期工程</w:t>
      </w:r>
      <w:r>
        <w:rPr>
          <w:rFonts w:ascii="Times New Roman" w:hAnsi="Times New Roman" w:cs="Times New Roman" w:eastAsia="Times New Roman" w:hint="default"/>
          <w:spacing w:val="-5"/>
        </w:rPr>
        <w:t>”</w:t>
      </w:r>
      <w:r>
        <w:rPr>
          <w:spacing w:val="-5"/>
        </w:rPr>
        <w:t>项目合作，</w:t>
      </w:r>
      <w:r>
        <w:rPr>
          <w:spacing w:val="-84"/>
        </w:rPr>
        <w:t> </w:t>
      </w:r>
      <w:r>
        <w:rPr>
          <w:spacing w:val="-2"/>
        </w:rPr>
        <w:t>同意公司以</w:t>
      </w:r>
      <w:r>
        <w:rPr>
          <w:rFonts w:ascii="Times New Roman" w:hAnsi="Times New Roman" w:cs="Times New Roman" w:eastAsia="Times New Roman" w:hint="default"/>
          <w:spacing w:val="-2"/>
        </w:rPr>
        <w:t>0</w:t>
      </w:r>
      <w:r>
        <w:rPr>
          <w:spacing w:val="-2"/>
        </w:rPr>
        <w:t>元的价格受让重庆云晟数据科技有限公司（以下简称</w:t>
      </w:r>
      <w:r>
        <w:rPr>
          <w:rFonts w:ascii="Times New Roman" w:hAnsi="Times New Roman" w:cs="Times New Roman" w:eastAsia="Times New Roman" w:hint="default"/>
          <w:spacing w:val="-2"/>
        </w:rPr>
        <w:t>“</w:t>
      </w:r>
      <w:r>
        <w:rPr>
          <w:spacing w:val="-2"/>
        </w:rPr>
        <w:t>云晟数据</w:t>
      </w:r>
      <w:r>
        <w:rPr>
          <w:rFonts w:ascii="Times New Roman" w:hAnsi="Times New Roman" w:cs="Times New Roman" w:eastAsia="Times New Roman" w:hint="default"/>
          <w:spacing w:val="-2"/>
        </w:rPr>
        <w:t>”</w:t>
      </w:r>
      <w:r>
        <w:rPr>
          <w:spacing w:val="-2"/>
        </w:rPr>
        <w:t>）控股股东肖杨</w:t>
      </w:r>
      <w:r>
        <w:rPr>
          <w:spacing w:val="-91"/>
        </w:rPr>
        <w:t> </w:t>
      </w:r>
      <w:r>
        <w:rPr>
          <w:spacing w:val="-91"/>
        </w:rPr>
      </w:r>
      <w:r>
        <w:rPr/>
        <w:t>先生持有的云晟数据</w:t>
      </w:r>
      <w:r>
        <w:rPr>
          <w:rFonts w:ascii="Times New Roman" w:hAnsi="Times New Roman" w:cs="Times New Roman" w:eastAsia="Times New Roman" w:hint="default"/>
        </w:rPr>
        <w:t>20%</w:t>
      </w:r>
      <w:r>
        <w:rPr/>
        <w:t>股权（对应出资额为</w:t>
      </w:r>
      <w:r>
        <w:rPr>
          <w:rFonts w:ascii="Times New Roman" w:hAnsi="Times New Roman" w:cs="Times New Roman" w:eastAsia="Times New Roman" w:hint="default"/>
        </w:rPr>
        <w:t>3,360</w:t>
      </w:r>
      <w:r>
        <w:rPr/>
        <w:t>万元人民币，尚未实缴到位），同意由公</w:t>
      </w:r>
      <w:r>
        <w:rPr>
          <w:spacing w:val="-113"/>
        </w:rPr>
        <w:t> </w:t>
      </w:r>
      <w:r>
        <w:rPr/>
        <w:t>司全资子公司依米康智能工程有限公司（以下简称</w:t>
      </w:r>
      <w:r>
        <w:rPr>
          <w:rFonts w:ascii="Times New Roman" w:hAnsi="Times New Roman" w:cs="Times New Roman" w:eastAsia="Times New Roman" w:hint="default"/>
        </w:rPr>
        <w:t>“</w:t>
      </w:r>
      <w:r>
        <w:rPr/>
        <w:t>依米康智能工程</w:t>
      </w:r>
      <w:r>
        <w:rPr>
          <w:rFonts w:ascii="Times New Roman" w:hAnsi="Times New Roman" w:cs="Times New Roman" w:eastAsia="Times New Roman" w:hint="default"/>
        </w:rPr>
        <w:t>”</w:t>
      </w:r>
      <w:r>
        <w:rPr/>
        <w:t>）承接云晟数据拟投资</w:t>
      </w:r>
      <w:r>
        <w:rPr>
          <w:spacing w:val="-65"/>
        </w:rPr>
        <w:t> </w:t>
      </w:r>
      <w:r>
        <w:rPr>
          <w:spacing w:val="-65"/>
        </w:rPr>
      </w:r>
      <w:r>
        <w:rPr/>
        <w:t>建设的上述项目；另外，为了更好地推动上述项目的实施，公司拟在云晟数据股权交割完成</w:t>
      </w:r>
      <w:r>
        <w:rPr>
          <w:spacing w:val="-93"/>
        </w:rPr>
        <w:t> </w:t>
      </w:r>
      <w:r>
        <w:rPr>
          <w:spacing w:val="-93"/>
        </w:rPr>
      </w:r>
      <w:r>
        <w:rPr>
          <w:spacing w:val="-5"/>
        </w:rPr>
        <w:t>后将所持有的云晟数据</w:t>
      </w:r>
      <w:r>
        <w:rPr>
          <w:rFonts w:ascii="Times New Roman" w:hAnsi="Times New Roman" w:cs="Times New Roman" w:eastAsia="Times New Roman" w:hint="default"/>
          <w:spacing w:val="-5"/>
        </w:rPr>
        <w:t>20%</w:t>
      </w:r>
      <w:r>
        <w:rPr>
          <w:spacing w:val="-5"/>
        </w:rPr>
        <w:t>股权出质给中电投融和融资租赁有限公司（以下简称</w:t>
      </w:r>
      <w:r>
        <w:rPr>
          <w:rFonts w:ascii="Times New Roman" w:hAnsi="Times New Roman" w:cs="Times New Roman" w:eastAsia="Times New Roman" w:hint="default"/>
          <w:spacing w:val="-5"/>
        </w:rPr>
        <w:t>“</w:t>
      </w:r>
      <w:r>
        <w:rPr>
          <w:spacing w:val="-5"/>
        </w:rPr>
        <w:t>中电投</w:t>
      </w:r>
      <w:r>
        <w:rPr>
          <w:rFonts w:ascii="Times New Roman" w:hAnsi="Times New Roman" w:cs="Times New Roman" w:eastAsia="Times New Roman" w:hint="default"/>
          <w:spacing w:val="-5"/>
        </w:rPr>
        <w:t>”</w:t>
      </w:r>
      <w:r>
        <w:rPr>
          <w:spacing w:val="-5"/>
        </w:rPr>
        <w:t>），</w:t>
      </w:r>
      <w:r>
        <w:rPr>
          <w:spacing w:val="-118"/>
        </w:rPr>
        <w:t> </w:t>
      </w:r>
      <w:r>
        <w:rPr/>
        <w:t>为云晟数据与中电投签署的主合同债权实现，提供以所持有的云晟数据</w:t>
      </w:r>
      <w:r>
        <w:rPr>
          <w:rFonts w:ascii="Times New Roman" w:hAnsi="Times New Roman" w:cs="Times New Roman" w:eastAsia="Times New Roman" w:hint="default"/>
        </w:rPr>
        <w:t>20%</w:t>
      </w:r>
      <w:r>
        <w:rPr/>
        <w:t>的股权为限的质</w:t>
      </w:r>
      <w:r>
        <w:rPr>
          <w:spacing w:val="-59"/>
        </w:rPr>
        <w:t> </w:t>
      </w:r>
      <w:r>
        <w:rPr>
          <w:spacing w:val="-59"/>
        </w:rPr>
      </w:r>
      <w:r>
        <w:rPr/>
        <w:t>押担保。</w:t>
      </w:r>
    </w:p>
    <w:p>
      <w:pPr>
        <w:pStyle w:val="BodyText"/>
        <w:spacing w:line="340" w:lineRule="auto" w:before="94"/>
        <w:ind w:right="0" w:firstLine="480"/>
        <w:jc w:val="left"/>
      </w:pPr>
      <w:r>
        <w:rPr/>
        <w:t>云晟数据已于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日取得了重庆市长寿区市场监督管理局核发的《营业执照》， 公司持有云晟数据</w:t>
      </w:r>
      <w:r>
        <w:rPr>
          <w:rFonts w:ascii="Times New Roman" w:hAnsi="Times New Roman" w:cs="Times New Roman" w:eastAsia="Times New Roman" w:hint="default"/>
        </w:rPr>
        <w:t>20%</w:t>
      </w:r>
      <w:r>
        <w:rPr/>
        <w:t>的股权，云晟数据为公司的参股子公司。</w:t>
      </w:r>
    </w:p>
    <w:p>
      <w:pPr>
        <w:pStyle w:val="BodyText"/>
        <w:spacing w:line="343" w:lineRule="auto" w:before="60"/>
        <w:ind w:right="1129" w:firstLine="480"/>
        <w:jc w:val="both"/>
      </w:pPr>
      <w:r>
        <w:rPr/>
        <w:t>截止目前，云晟数据已取得中电投融资，依米康已将持有的云晟数据</w:t>
      </w:r>
      <w:r>
        <w:rPr>
          <w:rFonts w:ascii="Times New Roman" w:hAnsi="Times New Roman" w:cs="Times New Roman" w:eastAsia="Times New Roman" w:hint="default"/>
        </w:rPr>
        <w:t>20%</w:t>
      </w:r>
      <w:r>
        <w:rPr/>
        <w:t>股份（对应注 </w:t>
      </w:r>
      <w:r>
        <w:rPr>
          <w:spacing w:val="-1"/>
        </w:rPr>
        <w:t>册资本</w:t>
      </w:r>
      <w:r>
        <w:rPr>
          <w:rFonts w:ascii="Times New Roman" w:hAnsi="Times New Roman" w:cs="Times New Roman" w:eastAsia="Times New Roman" w:hint="default"/>
          <w:spacing w:val="-1"/>
        </w:rPr>
        <w:t>3,360</w:t>
      </w:r>
      <w:r>
        <w:rPr>
          <w:spacing w:val="-1"/>
        </w:rPr>
        <w:t>万元）质押给中电投为云晟数据本次融资提供担保，各方也办理了履行反担保措</w:t>
      </w:r>
      <w:r>
        <w:rPr>
          <w:spacing w:val="-100"/>
        </w:rPr>
        <w:t> </w:t>
      </w:r>
      <w:r>
        <w:rPr>
          <w:spacing w:val="-100"/>
        </w:rPr>
      </w:r>
      <w:r>
        <w:rPr/>
        <w:t>施所必要的手续，</w:t>
      </w:r>
      <w:r>
        <w:rPr>
          <w:rFonts w:ascii="Times New Roman" w:hAnsi="Times New Roman" w:cs="Times New Roman" w:eastAsia="Times New Roman" w:hint="default"/>
        </w:rPr>
        <w:t>“</w:t>
      </w:r>
      <w:r>
        <w:rPr/>
        <w:t>重庆同城双活数据中心项目长寿一期工程</w:t>
      </w:r>
      <w:r>
        <w:rPr>
          <w:rFonts w:ascii="Times New Roman" w:hAnsi="Times New Roman" w:cs="Times New Roman" w:eastAsia="Times New Roman" w:hint="default"/>
        </w:rPr>
        <w:t>”</w:t>
      </w:r>
      <w:r>
        <w:rPr/>
        <w:t>项目已启动，依米康智能工程</w:t>
      </w:r>
      <w:r>
        <w:rPr>
          <w:spacing w:val="-63"/>
        </w:rPr>
        <w:t> </w:t>
      </w:r>
      <w:r>
        <w:rPr>
          <w:spacing w:val="-63"/>
        </w:rPr>
      </w:r>
      <w:r>
        <w:rPr/>
        <w:t>项目团队已进场进行技术、图纸等交底工作，受疫情影响，全面进场施工已延期，后续将根</w:t>
      </w:r>
      <w:r>
        <w:rPr>
          <w:spacing w:val="-93"/>
        </w:rPr>
        <w:t> </w:t>
      </w:r>
      <w:r>
        <w:rPr>
          <w:spacing w:val="-93"/>
        </w:rPr>
      </w:r>
      <w:r>
        <w:rPr/>
        <w:t>据当地的疫情管控政策推进项目建设。公司将根据有关法律法规及时披露后续进展情况。</w:t>
      </w:r>
    </w:p>
    <w:p>
      <w:pPr>
        <w:pStyle w:val="Heading2"/>
        <w:spacing w:line="240" w:lineRule="auto" w:before="91"/>
        <w:ind w:left="633" w:right="0"/>
        <w:jc w:val="left"/>
        <w:rPr>
          <w:b w:val="0"/>
          <w:bCs w:val="0"/>
        </w:rPr>
      </w:pPr>
      <w:r>
        <w:rPr/>
        <w:t>（四）高级管理人员、持股</w:t>
      </w:r>
      <w:r>
        <w:rPr>
          <w:rFonts w:ascii="Times New Roman" w:hAnsi="Times New Roman" w:cs="Times New Roman" w:eastAsia="Times New Roman" w:hint="default"/>
        </w:rPr>
        <w:t>5%</w:t>
      </w:r>
      <w:r>
        <w:rPr/>
        <w:t>以上股东股份减持计划事项</w:t>
      </w:r>
      <w:r>
        <w:rPr>
          <w:b w:val="0"/>
          <w:bCs w:val="0"/>
        </w:rPr>
      </w:r>
    </w:p>
    <w:p>
      <w:pPr>
        <w:spacing w:after="0" w:line="240" w:lineRule="auto"/>
        <w:jc w:val="left"/>
        <w:sectPr>
          <w:pgSz w:w="11910" w:h="16840"/>
          <w:pgMar w:header="863" w:footer="979" w:top="1060" w:bottom="1160" w:left="980" w:right="0"/>
        </w:sectPr>
      </w:pPr>
    </w:p>
    <w:p>
      <w:pPr>
        <w:spacing w:line="240" w:lineRule="auto" w:before="13"/>
        <w:rPr>
          <w:rFonts w:ascii="宋体" w:hAnsi="宋体" w:cs="宋体" w:eastAsia="宋体" w:hint="default"/>
          <w:b/>
          <w:bCs/>
          <w:sz w:val="29"/>
          <w:szCs w:val="29"/>
        </w:rPr>
      </w:pPr>
    </w:p>
    <w:p>
      <w:pPr>
        <w:pStyle w:val="Heading2"/>
        <w:spacing w:line="240" w:lineRule="auto" w:before="26"/>
        <w:ind w:left="633" w:right="0"/>
        <w:jc w:val="left"/>
        <w:rPr>
          <w:b w:val="0"/>
          <w:bCs w:val="0"/>
        </w:rPr>
      </w:pPr>
      <w:r>
        <w:rPr>
          <w:rFonts w:ascii="Times New Roman" w:hAnsi="Times New Roman" w:cs="Times New Roman" w:eastAsia="Times New Roman" w:hint="default"/>
        </w:rPr>
        <w:t>1</w:t>
      </w:r>
      <w:r>
        <w:rPr/>
        <w:t>、高级管理人员减持计划事项</w:t>
      </w:r>
      <w:r>
        <w:rPr>
          <w:b w:val="0"/>
          <w:bCs w:val="0"/>
        </w:rPr>
      </w:r>
    </w:p>
    <w:p>
      <w:pPr>
        <w:pStyle w:val="BodyText"/>
        <w:spacing w:line="338" w:lineRule="auto" w:before="133"/>
        <w:ind w:right="1118"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21</w:t>
      </w:r>
      <w:r>
        <w:rPr>
          <w:spacing w:val="-2"/>
        </w:rPr>
        <w:t>日，公司披露了《关于部分高级管理人员减持股份的预披露公告》（公告编</w:t>
      </w:r>
      <w:r>
        <w:rPr/>
        <w:t> </w:t>
      </w:r>
      <w:r>
        <w:rPr>
          <w:spacing w:val="-1"/>
        </w:rPr>
        <w:t>号：</w:t>
      </w:r>
      <w:r>
        <w:rPr>
          <w:rFonts w:ascii="Times New Roman" w:hAnsi="Times New Roman" w:cs="Times New Roman" w:eastAsia="Times New Roman" w:hint="default"/>
          <w:spacing w:val="-1"/>
        </w:rPr>
        <w:t>2019-030</w:t>
      </w:r>
      <w:r>
        <w:rPr>
          <w:spacing w:val="-1"/>
        </w:rPr>
        <w:t>）。公司高管黄建军先生计划自公告发布之日起</w:t>
      </w:r>
      <w:r>
        <w:rPr>
          <w:rFonts w:ascii="Times New Roman" w:hAnsi="Times New Roman" w:cs="Times New Roman" w:eastAsia="Times New Roman" w:hint="default"/>
          <w:spacing w:val="-1"/>
        </w:rPr>
        <w:t>15</w:t>
      </w:r>
      <w:r>
        <w:rPr>
          <w:spacing w:val="-1"/>
        </w:rPr>
        <w:t>个交易日后的</w:t>
      </w:r>
      <w:r>
        <w:rPr>
          <w:rFonts w:ascii="Times New Roman" w:hAnsi="Times New Roman" w:cs="Times New Roman" w:eastAsia="Times New Roman" w:hint="default"/>
          <w:spacing w:val="-1"/>
        </w:rPr>
        <w:t>6</w:t>
      </w:r>
      <w:r>
        <w:rPr>
          <w:spacing w:val="-1"/>
        </w:rPr>
        <w:t>个月内以集中</w:t>
      </w:r>
      <w:r>
        <w:rPr>
          <w:spacing w:val="-117"/>
        </w:rPr>
        <w:t> </w:t>
      </w:r>
      <w:r>
        <w:rPr/>
        <w:t>竞价交易方式减持不超过其本人所持公司股份总额的</w:t>
      </w:r>
      <w:r>
        <w:rPr>
          <w:rFonts w:ascii="Times New Roman" w:hAnsi="Times New Roman" w:cs="Times New Roman" w:eastAsia="Times New Roman" w:hint="default"/>
        </w:rPr>
        <w:t>25%</w:t>
      </w:r>
      <w:r>
        <w:rPr/>
        <w:t>，即不超过</w:t>
      </w:r>
      <w:r>
        <w:rPr>
          <w:rFonts w:ascii="Times New Roman" w:hAnsi="Times New Roman" w:cs="Times New Roman" w:eastAsia="Times New Roman" w:hint="default"/>
        </w:rPr>
        <w:t>249,648</w:t>
      </w:r>
      <w:r>
        <w:rPr/>
        <w:t>股；公司高管王</w:t>
      </w:r>
      <w:r>
        <w:rPr>
          <w:spacing w:val="-107"/>
        </w:rPr>
        <w:t> </w:t>
      </w:r>
      <w:r>
        <w:rPr>
          <w:spacing w:val="3"/>
        </w:rPr>
        <w:t>倩先生计划自公告发布之日起</w:t>
      </w:r>
      <w:r>
        <w:rPr>
          <w:rFonts w:ascii="Times New Roman" w:hAnsi="Times New Roman" w:cs="Times New Roman" w:eastAsia="Times New Roman" w:hint="default"/>
          <w:spacing w:val="3"/>
        </w:rPr>
        <w:t>15</w:t>
      </w:r>
      <w:r>
        <w:rPr>
          <w:spacing w:val="3"/>
        </w:rPr>
        <w:t>个交易日后的</w:t>
      </w:r>
      <w:r>
        <w:rPr>
          <w:rFonts w:ascii="Times New Roman" w:hAnsi="Times New Roman" w:cs="Times New Roman" w:eastAsia="Times New Roman" w:hint="default"/>
          <w:spacing w:val="3"/>
        </w:rPr>
        <w:t>6</w:t>
      </w:r>
      <w:r>
        <w:rPr>
          <w:spacing w:val="3"/>
        </w:rPr>
        <w:t>个月内以集中竞价交易方式减持不超过其本</w:t>
      </w:r>
      <w:r>
        <w:rPr>
          <w:spacing w:val="-101"/>
        </w:rPr>
        <w:t> </w:t>
      </w:r>
      <w:r>
        <w:rPr>
          <w:spacing w:val="-101"/>
        </w:rPr>
      </w:r>
      <w:r>
        <w:rPr/>
        <w:t>人所持公司股份总额的</w:t>
      </w:r>
      <w:r>
        <w:rPr>
          <w:rFonts w:ascii="Times New Roman" w:hAnsi="Times New Roman" w:cs="Times New Roman" w:eastAsia="Times New Roman" w:hint="default"/>
        </w:rPr>
        <w:t>25%</w:t>
      </w:r>
      <w:r>
        <w:rPr/>
        <w:t>，即不超过</w:t>
      </w:r>
      <w:r>
        <w:rPr>
          <w:rFonts w:ascii="Times New Roman" w:hAnsi="Times New Roman" w:cs="Times New Roman" w:eastAsia="Times New Roman" w:hint="default"/>
        </w:rPr>
        <w:t>487,500</w:t>
      </w:r>
      <w:r>
        <w:rPr/>
        <w:t>股（以下简称</w:t>
      </w:r>
      <w:r>
        <w:rPr>
          <w:rFonts w:ascii="Times New Roman" w:hAnsi="Times New Roman" w:cs="Times New Roman" w:eastAsia="Times New Roman" w:hint="default"/>
        </w:rPr>
        <w:t>“</w:t>
      </w:r>
      <w:r>
        <w:rPr/>
        <w:t>股份减持计划</w:t>
      </w:r>
      <w:r>
        <w:rPr>
          <w:rFonts w:ascii="Times New Roman" w:hAnsi="Times New Roman" w:cs="Times New Roman" w:eastAsia="Times New Roman" w:hint="default"/>
        </w:rPr>
        <w:t>”</w:t>
      </w:r>
      <w:r>
        <w:rPr/>
        <w:t>）。</w:t>
      </w:r>
    </w:p>
    <w:p>
      <w:pPr>
        <w:pStyle w:val="BodyText"/>
        <w:spacing w:line="240" w:lineRule="auto" w:before="29"/>
        <w:ind w:left="633"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日，公司披露了《关于高级管理人员减持计划期限届满暨实施进展公告》</w:t>
      </w:r>
    </w:p>
    <w:p>
      <w:pPr>
        <w:pStyle w:val="BodyText"/>
        <w:spacing w:line="340" w:lineRule="auto" w:before="133"/>
        <w:ind w:right="0"/>
        <w:jc w:val="left"/>
      </w:pPr>
      <w:r>
        <w:rPr/>
        <w:t>（公告编号：</w:t>
      </w:r>
      <w:r>
        <w:rPr>
          <w:rFonts w:ascii="Times New Roman" w:hAnsi="Times New Roman" w:cs="Times New Roman" w:eastAsia="Times New Roman" w:hint="default"/>
        </w:rPr>
        <w:t>2019-076</w:t>
      </w:r>
      <w:r>
        <w:rPr/>
        <w:t>），本次股份减持计划时间区间已届满，黄建军先生及王倩先生未主</w:t>
      </w:r>
      <w:r>
        <w:rPr>
          <w:spacing w:val="-63"/>
        </w:rPr>
        <w:t> </w:t>
      </w:r>
      <w:r>
        <w:rPr>
          <w:spacing w:val="-63"/>
        </w:rPr>
      </w:r>
      <w:r>
        <w:rPr/>
        <w:t>动减持所持公司股份，本次股份减持计划未实施，在减持计划时间区间内减持数量为零。</w:t>
      </w:r>
    </w:p>
    <w:p>
      <w:pPr>
        <w:pStyle w:val="Heading2"/>
        <w:spacing w:line="240" w:lineRule="auto" w:before="51"/>
        <w:ind w:left="633" w:right="0"/>
        <w:jc w:val="left"/>
        <w:rPr>
          <w:b w:val="0"/>
          <w:bCs w:val="0"/>
        </w:rPr>
      </w:pPr>
      <w:r>
        <w:rPr>
          <w:rFonts w:ascii="Times New Roman" w:hAnsi="Times New Roman" w:cs="Times New Roman" w:eastAsia="Times New Roman" w:hint="default"/>
        </w:rPr>
        <w:t>2</w:t>
      </w:r>
      <w:r>
        <w:rPr/>
        <w:t>、持股</w:t>
      </w:r>
      <w:r>
        <w:rPr>
          <w:rFonts w:ascii="Times New Roman" w:hAnsi="Times New Roman" w:cs="Times New Roman" w:eastAsia="Times New Roman" w:hint="default"/>
        </w:rPr>
        <w:t>5%</w:t>
      </w:r>
      <w:r>
        <w:rPr/>
        <w:t>以上股东股份减持计划事项</w:t>
      </w:r>
      <w:r>
        <w:rPr>
          <w:b w:val="0"/>
          <w:bCs w:val="0"/>
        </w:rPr>
      </w:r>
    </w:p>
    <w:p>
      <w:pPr>
        <w:pStyle w:val="BodyText"/>
        <w:spacing w:line="338" w:lineRule="auto" w:before="138"/>
        <w:ind w:right="1127"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日，公司披露了《关于持股</w:t>
      </w:r>
      <w:r>
        <w:rPr>
          <w:spacing w:val="-40"/>
        </w:rPr>
        <w:t> </w:t>
      </w:r>
      <w:r>
        <w:rPr>
          <w:rFonts w:ascii="Times New Roman" w:hAnsi="Times New Roman" w:cs="Times New Roman" w:eastAsia="Times New Roman" w:hint="default"/>
        </w:rPr>
        <w:t>5%</w:t>
      </w:r>
      <w:r>
        <w:rPr/>
        <w:t>以上股东减持股份的预披露公告》（公告编 号：</w:t>
      </w:r>
      <w:r>
        <w:rPr>
          <w:rFonts w:ascii="Times New Roman" w:hAnsi="Times New Roman" w:cs="Times New Roman" w:eastAsia="Times New Roman" w:hint="default"/>
        </w:rPr>
        <w:t>2019-029</w:t>
      </w:r>
      <w:r>
        <w:rPr/>
        <w:t>）。持股</w:t>
      </w:r>
      <w:r>
        <w:rPr>
          <w:rFonts w:ascii="Times New Roman" w:hAnsi="Times New Roman" w:cs="Times New Roman" w:eastAsia="Times New Roman" w:hint="default"/>
        </w:rPr>
        <w:t>5%</w:t>
      </w:r>
      <w:r>
        <w:rPr/>
        <w:t>以上股东上海亨升投资管理有限公司（以下简称</w:t>
      </w:r>
      <w:r>
        <w:rPr>
          <w:rFonts w:ascii="Times New Roman" w:hAnsi="Times New Roman" w:cs="Times New Roman" w:eastAsia="Times New Roman" w:hint="default"/>
        </w:rPr>
        <w:t>“</w:t>
      </w:r>
      <w:r>
        <w:rPr/>
        <w:t>上海亨升</w:t>
      </w:r>
      <w:r>
        <w:rPr>
          <w:rFonts w:ascii="Times New Roman" w:hAnsi="Times New Roman" w:cs="Times New Roman" w:eastAsia="Times New Roman" w:hint="default"/>
        </w:rPr>
        <w:t>”</w:t>
      </w:r>
      <w:r>
        <w:rPr/>
        <w:t>）计划</w:t>
      </w:r>
      <w:r>
        <w:rPr>
          <w:spacing w:val="-101"/>
        </w:rPr>
        <w:t> </w:t>
      </w:r>
      <w:r>
        <w:rPr>
          <w:spacing w:val="9"/>
        </w:rPr>
        <w:t>自公告之日起</w:t>
      </w:r>
      <w:r>
        <w:rPr>
          <w:rFonts w:ascii="Times New Roman" w:hAnsi="Times New Roman" w:cs="Times New Roman" w:eastAsia="Times New Roman" w:hint="default"/>
          <w:spacing w:val="9"/>
        </w:rPr>
        <w:t>15</w:t>
      </w:r>
      <w:r>
        <w:rPr>
          <w:spacing w:val="9"/>
        </w:rPr>
        <w:t>个交易日后的</w:t>
      </w:r>
      <w:r>
        <w:rPr>
          <w:rFonts w:ascii="Times New Roman" w:hAnsi="Times New Roman" w:cs="Times New Roman" w:eastAsia="Times New Roman" w:hint="default"/>
          <w:spacing w:val="9"/>
        </w:rPr>
        <w:t>6</w:t>
      </w:r>
      <w:r>
        <w:rPr>
          <w:spacing w:val="9"/>
        </w:rPr>
        <w:t>个月内以集中竞价交易方式减持不超过公司当前总股本的</w:t>
      </w:r>
      <w:r>
        <w:rPr>
          <w:spacing w:val="-105"/>
        </w:rPr>
        <w:t> </w:t>
      </w:r>
      <w:r>
        <w:rPr>
          <w:spacing w:val="-105"/>
        </w:rPr>
      </w:r>
      <w:r>
        <w:rPr>
          <w:rFonts w:ascii="Times New Roman" w:hAnsi="Times New Roman" w:cs="Times New Roman" w:eastAsia="Times New Roman" w:hint="default"/>
        </w:rPr>
        <w:t>1.35%</w:t>
      </w:r>
      <w:r>
        <w:rPr/>
        <w:t>（取整后为</w:t>
      </w:r>
      <w:r>
        <w:rPr>
          <w:rFonts w:ascii="Times New Roman" w:hAnsi="Times New Roman" w:cs="Times New Roman" w:eastAsia="Times New Roman" w:hint="default"/>
        </w:rPr>
        <w:t>6,000,000</w:t>
      </w:r>
      <w:r>
        <w:rPr/>
        <w:t>股）；持股</w:t>
      </w:r>
      <w:r>
        <w:rPr>
          <w:rFonts w:ascii="Times New Roman" w:hAnsi="Times New Roman" w:cs="Times New Roman" w:eastAsia="Times New Roman" w:hint="default"/>
        </w:rPr>
        <w:t>5%</w:t>
      </w:r>
      <w:r>
        <w:rPr/>
        <w:t>以上股东宋正兴及其一致行动人宋丽娜、叶春娥、</w:t>
      </w:r>
      <w:r>
        <w:rPr>
          <w:spacing w:val="-76"/>
        </w:rPr>
        <w:t> </w:t>
      </w:r>
      <w:r>
        <w:rPr>
          <w:spacing w:val="-76"/>
        </w:rPr>
      </w:r>
      <w:r>
        <w:rPr/>
        <w:t>张家港市立业投资发展有限公司（以下简称</w:t>
      </w:r>
      <w:r>
        <w:rPr>
          <w:rFonts w:ascii="Times New Roman" w:hAnsi="Times New Roman" w:cs="Times New Roman" w:eastAsia="Times New Roman" w:hint="default"/>
        </w:rPr>
        <w:t>“</w:t>
      </w:r>
      <w:r>
        <w:rPr/>
        <w:t>宋正兴及其一致行动人</w:t>
      </w:r>
      <w:r>
        <w:rPr>
          <w:rFonts w:ascii="Times New Roman" w:hAnsi="Times New Roman" w:cs="Times New Roman" w:eastAsia="Times New Roman" w:hint="default"/>
        </w:rPr>
        <w:t>”</w:t>
      </w:r>
      <w:r>
        <w:rPr/>
        <w:t>）计划自公司公告之日</w:t>
      </w:r>
      <w:r>
        <w:rPr>
          <w:spacing w:val="-62"/>
        </w:rPr>
        <w:t> </w:t>
      </w:r>
      <w:r>
        <w:rPr>
          <w:spacing w:val="-62"/>
        </w:rPr>
      </w:r>
      <w:r>
        <w:rPr>
          <w:spacing w:val="-2"/>
        </w:rPr>
        <w:t>起</w:t>
      </w:r>
      <w:r>
        <w:rPr>
          <w:rFonts w:ascii="Times New Roman" w:hAnsi="Times New Roman" w:cs="Times New Roman" w:eastAsia="Times New Roman" w:hint="default"/>
          <w:spacing w:val="-2"/>
        </w:rPr>
        <w:t>15</w:t>
      </w:r>
      <w:r>
        <w:rPr>
          <w:spacing w:val="-2"/>
        </w:rPr>
        <w:t>个交易日后的</w:t>
      </w:r>
      <w:r>
        <w:rPr>
          <w:rFonts w:ascii="Times New Roman" w:hAnsi="Times New Roman" w:cs="Times New Roman" w:eastAsia="Times New Roman" w:hint="default"/>
          <w:spacing w:val="-2"/>
        </w:rPr>
        <w:t>6</w:t>
      </w:r>
      <w:r>
        <w:rPr>
          <w:spacing w:val="-2"/>
        </w:rPr>
        <w:t>个月内以集中竞价交易方式合计减持不超过</w:t>
      </w:r>
      <w:r>
        <w:rPr>
          <w:rFonts w:ascii="Times New Roman" w:hAnsi="Times New Roman" w:cs="Times New Roman" w:eastAsia="Times New Roman" w:hint="default"/>
          <w:spacing w:val="-2"/>
        </w:rPr>
        <w:t>2,500,000</w:t>
      </w:r>
      <w:r>
        <w:rPr>
          <w:spacing w:val="-2"/>
        </w:rPr>
        <w:t>股，占公司当前总股</w:t>
      </w:r>
      <w:r>
        <w:rPr>
          <w:spacing w:val="-107"/>
        </w:rPr>
        <w:t> </w:t>
      </w:r>
      <w:r>
        <w:rPr>
          <w:spacing w:val="-107"/>
        </w:rPr>
      </w:r>
      <w:r>
        <w:rPr/>
        <w:t>本比例为</w:t>
      </w:r>
      <w:r>
        <w:rPr>
          <w:rFonts w:ascii="Times New Roman" w:hAnsi="Times New Roman" w:cs="Times New Roman" w:eastAsia="Times New Roman" w:hint="default"/>
        </w:rPr>
        <w:t>0.5606%</w:t>
      </w:r>
      <w:r>
        <w:rPr/>
        <w:t>（以下简称</w:t>
      </w:r>
      <w:r>
        <w:rPr>
          <w:rFonts w:ascii="Times New Roman" w:hAnsi="Times New Roman" w:cs="Times New Roman" w:eastAsia="Times New Roman" w:hint="default"/>
        </w:rPr>
        <w:t>“</w:t>
      </w:r>
      <w:r>
        <w:rPr/>
        <w:t>股份减持计划</w:t>
      </w:r>
      <w:r>
        <w:rPr>
          <w:rFonts w:ascii="Times New Roman" w:hAnsi="Times New Roman" w:cs="Times New Roman" w:eastAsia="Times New Roman" w:hint="default"/>
        </w:rPr>
        <w:t>”</w:t>
      </w:r>
      <w:r>
        <w:rPr/>
        <w:t>）。</w:t>
      </w:r>
    </w:p>
    <w:p>
      <w:pPr>
        <w:pStyle w:val="BodyText"/>
        <w:spacing w:line="340" w:lineRule="auto" w:before="25"/>
        <w:ind w:right="1136"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11</w:t>
      </w:r>
      <w:r>
        <w:rPr/>
        <w:t>日，公司披露了《关于上海亨升、宋正兴及其一致行动人股份减持计划期 限届满暨实施进展公告》（公告编号：</w:t>
      </w:r>
      <w:r>
        <w:rPr>
          <w:rFonts w:ascii="Times New Roman" w:hAnsi="Times New Roman" w:cs="Times New Roman" w:eastAsia="Times New Roman" w:hint="default"/>
        </w:rPr>
        <w:t>2019-075</w:t>
      </w:r>
      <w:r>
        <w:rPr/>
        <w:t>）：</w:t>
      </w:r>
    </w:p>
    <w:p>
      <w:pPr>
        <w:spacing w:line="340" w:lineRule="auto" w:before="21"/>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）上海亨升减持情况</w:t>
      </w:r>
      <w:r>
        <w:rPr>
          <w:rFonts w:ascii="宋体" w:hAnsi="宋体" w:cs="宋体" w:eastAsia="宋体" w:hint="default"/>
          <w:b/>
          <w:bCs/>
          <w:w w:val="99"/>
          <w:sz w:val="24"/>
          <w:szCs w:val="24"/>
        </w:rPr>
        <w:t> </w:t>
      </w:r>
      <w:r>
        <w:rPr>
          <w:rFonts w:ascii="宋体" w:hAnsi="宋体" w:cs="宋体" w:eastAsia="宋体" w:hint="default"/>
          <w:sz w:val="24"/>
          <w:szCs w:val="24"/>
        </w:rPr>
        <w:t>截止</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10</w:t>
      </w:r>
      <w:r>
        <w:rPr>
          <w:rFonts w:ascii="宋体" w:hAnsi="宋体" w:cs="宋体" w:eastAsia="宋体" w:hint="default"/>
          <w:sz w:val="24"/>
          <w:szCs w:val="24"/>
        </w:rPr>
        <w:t>日，本次股份减持计划的减持时间区间已届满，上海亨升实施了部分</w:t>
      </w:r>
    </w:p>
    <w:p>
      <w:pPr>
        <w:pStyle w:val="BodyText"/>
        <w:spacing w:line="340" w:lineRule="auto" w:before="21"/>
        <w:ind w:right="0"/>
        <w:jc w:val="left"/>
      </w:pPr>
      <w:r>
        <w:rPr/>
        <w:t>减持计划，在减持时间区间内累计减持</w:t>
      </w:r>
      <w:r>
        <w:rPr>
          <w:rFonts w:ascii="Times New Roman" w:hAnsi="Times New Roman" w:cs="Times New Roman" w:eastAsia="Times New Roman" w:hint="default"/>
        </w:rPr>
        <w:t>2,000,000</w:t>
      </w:r>
      <w:r>
        <w:rPr/>
        <w:t>股公司股份，本次减持计划实施后，上海亨</w:t>
      </w:r>
      <w:r>
        <w:rPr>
          <w:spacing w:val="-91"/>
        </w:rPr>
        <w:t> </w:t>
      </w:r>
      <w:r>
        <w:rPr>
          <w:spacing w:val="-91"/>
        </w:rPr>
      </w:r>
      <w:r>
        <w:rPr/>
        <w:t>升持有公司</w:t>
      </w:r>
      <w:r>
        <w:rPr>
          <w:rFonts w:ascii="Times New Roman" w:hAnsi="Times New Roman" w:cs="Times New Roman" w:eastAsia="Times New Roman" w:hint="default"/>
        </w:rPr>
        <w:t>25,512,500</w:t>
      </w:r>
      <w:r>
        <w:rPr/>
        <w:t>股，占公司当前总股本比例为</w:t>
      </w:r>
      <w:r>
        <w:rPr>
          <w:rFonts w:ascii="Times New Roman" w:hAnsi="Times New Roman" w:cs="Times New Roman" w:eastAsia="Times New Roman" w:hint="default"/>
        </w:rPr>
        <w:t>5.8318%</w:t>
      </w:r>
      <w:r>
        <w:rPr/>
        <w:t>。</w:t>
      </w:r>
    </w:p>
    <w:p>
      <w:pPr>
        <w:spacing w:line="340" w:lineRule="auto" w:before="21"/>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）宋正兴及其一致行动人减持情况</w:t>
      </w:r>
      <w:r>
        <w:rPr>
          <w:rFonts w:ascii="宋体" w:hAnsi="宋体" w:cs="宋体" w:eastAsia="宋体" w:hint="default"/>
          <w:b/>
          <w:bCs/>
          <w:w w:val="99"/>
          <w:sz w:val="24"/>
          <w:szCs w:val="24"/>
        </w:rPr>
        <w:t> </w:t>
      </w:r>
      <w:r>
        <w:rPr>
          <w:rFonts w:ascii="宋体" w:hAnsi="宋体" w:cs="宋体" w:eastAsia="宋体" w:hint="default"/>
          <w:sz w:val="24"/>
          <w:szCs w:val="24"/>
        </w:rPr>
        <w:t>截止</w:t>
      </w:r>
      <w:r>
        <w:rPr>
          <w:rFonts w:ascii="Times New Roman" w:hAnsi="Times New Roman" w:cs="Times New Roman" w:eastAsia="Times New Roman" w:hint="default"/>
          <w:sz w:val="24"/>
          <w:szCs w:val="24"/>
        </w:rPr>
        <w:t>2019</w:t>
      </w:r>
      <w:r>
        <w:rPr>
          <w:rFonts w:ascii="宋体" w:hAnsi="宋体" w:cs="宋体" w:eastAsia="宋体" w:hint="default"/>
          <w:sz w:val="24"/>
          <w:szCs w:val="24"/>
        </w:rPr>
        <w:t>年</w:t>
      </w:r>
      <w:r>
        <w:rPr>
          <w:rFonts w:ascii="Times New Roman" w:hAnsi="Times New Roman" w:cs="Times New Roman" w:eastAsia="Times New Roman" w:hint="default"/>
          <w:sz w:val="24"/>
          <w:szCs w:val="24"/>
        </w:rPr>
        <w:t>10</w:t>
      </w:r>
      <w:r>
        <w:rPr>
          <w:rFonts w:ascii="宋体" w:hAnsi="宋体" w:cs="宋体" w:eastAsia="宋体" w:hint="default"/>
          <w:sz w:val="24"/>
          <w:szCs w:val="24"/>
        </w:rPr>
        <w:t>月</w:t>
      </w:r>
      <w:r>
        <w:rPr>
          <w:rFonts w:ascii="Times New Roman" w:hAnsi="Times New Roman" w:cs="Times New Roman" w:eastAsia="Times New Roman" w:hint="default"/>
          <w:sz w:val="24"/>
          <w:szCs w:val="24"/>
        </w:rPr>
        <w:t>10</w:t>
      </w:r>
      <w:r>
        <w:rPr>
          <w:rFonts w:ascii="宋体" w:hAnsi="宋体" w:cs="宋体" w:eastAsia="宋体" w:hint="default"/>
          <w:sz w:val="24"/>
          <w:szCs w:val="24"/>
        </w:rPr>
        <w:t>日，本次股份减持计划的减持时间区间已届满，宋正兴及其一致行动</w:t>
      </w:r>
    </w:p>
    <w:p>
      <w:pPr>
        <w:pStyle w:val="BodyText"/>
        <w:spacing w:line="340" w:lineRule="auto" w:before="21"/>
        <w:ind w:right="0"/>
        <w:jc w:val="left"/>
      </w:pPr>
      <w:r>
        <w:rPr/>
        <w:t>人实施了部分减持计划，在减持时间区间内累计减持</w:t>
      </w:r>
      <w:r>
        <w:rPr>
          <w:rFonts w:ascii="Times New Roman" w:hAnsi="Times New Roman" w:cs="Times New Roman" w:eastAsia="Times New Roman" w:hint="default"/>
        </w:rPr>
        <w:t>2,299,947</w:t>
      </w:r>
      <w:r>
        <w:rPr/>
        <w:t>股公司股份，本次减持计划实</w:t>
      </w:r>
      <w:r>
        <w:rPr>
          <w:spacing w:val="-95"/>
        </w:rPr>
        <w:t> </w:t>
      </w:r>
      <w:r>
        <w:rPr>
          <w:spacing w:val="-95"/>
        </w:rPr>
      </w:r>
      <w:r>
        <w:rPr>
          <w:spacing w:val="-5"/>
        </w:rPr>
        <w:t>施后，宋正兴及其一致行动人合计持有公司</w:t>
      </w:r>
      <w:r>
        <w:rPr>
          <w:rFonts w:ascii="Times New Roman" w:hAnsi="Times New Roman" w:cs="Times New Roman" w:eastAsia="Times New Roman" w:hint="default"/>
          <w:spacing w:val="-5"/>
        </w:rPr>
        <w:t>21,680,254</w:t>
      </w:r>
      <w:r>
        <w:rPr>
          <w:spacing w:val="-5"/>
        </w:rPr>
        <w:t>股，占公司当前总股本比例为</w:t>
      </w:r>
      <w:r>
        <w:rPr>
          <w:rFonts w:ascii="Times New Roman" w:hAnsi="Times New Roman" w:cs="Times New Roman" w:eastAsia="Times New Roman" w:hint="default"/>
          <w:spacing w:val="-5"/>
        </w:rPr>
        <w:t>4.9558%</w:t>
      </w:r>
      <w:r>
        <w:rPr>
          <w:spacing w:val="-5"/>
        </w:rPr>
        <w:t>。</w:t>
      </w:r>
    </w:p>
    <w:p>
      <w:pPr>
        <w:pStyle w:val="Heading2"/>
        <w:spacing w:line="240" w:lineRule="auto" w:before="22"/>
        <w:ind w:left="633" w:right="0"/>
        <w:jc w:val="left"/>
        <w:rPr>
          <w:b w:val="0"/>
          <w:bCs w:val="0"/>
        </w:rPr>
      </w:pPr>
      <w:r>
        <w:rPr/>
        <w:t>（五）公司控股股东、实际控制人股权质押、解质及展期情况</w:t>
      </w:r>
      <w:r>
        <w:rPr>
          <w:b w:val="0"/>
          <w:bCs w:val="0"/>
        </w:rPr>
      </w:r>
    </w:p>
    <w:p>
      <w:pPr>
        <w:pStyle w:val="Heading2"/>
        <w:spacing w:line="240" w:lineRule="auto" w:before="156"/>
        <w:ind w:left="633" w:right="0"/>
        <w:jc w:val="left"/>
        <w:rPr>
          <w:b w:val="0"/>
          <w:bCs w:val="0"/>
        </w:rPr>
      </w:pPr>
      <w:r>
        <w:rPr>
          <w:rFonts w:ascii="Times New Roman" w:hAnsi="Times New Roman" w:cs="Times New Roman" w:eastAsia="Times New Roman" w:hint="default"/>
        </w:rPr>
        <w:t>1</w:t>
      </w:r>
      <w:r>
        <w:rPr/>
        <w:t>、孙屹峥先生股权质押、解质及展期情况</w:t>
      </w:r>
      <w:r>
        <w:rPr>
          <w:b w:val="0"/>
          <w:bCs w:val="0"/>
        </w:rPr>
      </w:r>
    </w:p>
    <w:p>
      <w:pPr>
        <w:spacing w:after="0" w:line="240" w:lineRule="auto"/>
        <w:jc w:val="left"/>
        <w:sectPr>
          <w:pgSz w:w="11910" w:h="16840"/>
          <w:pgMar w:header="863" w:footer="979" w:top="1060" w:bottom="1160" w:left="980" w:right="0"/>
        </w:sectPr>
      </w:pPr>
    </w:p>
    <w:p>
      <w:pPr>
        <w:spacing w:line="240" w:lineRule="auto" w:before="13"/>
        <w:rPr>
          <w:rFonts w:ascii="宋体" w:hAnsi="宋体" w:cs="宋体" w:eastAsia="宋体" w:hint="default"/>
          <w:b/>
          <w:bCs/>
          <w:sz w:val="29"/>
          <w:szCs w:val="29"/>
        </w:rPr>
      </w:pPr>
    </w:p>
    <w:p>
      <w:pPr>
        <w:pStyle w:val="BodyText"/>
        <w:spacing w:line="338" w:lineRule="auto"/>
        <w:ind w:right="1128" w:firstLine="48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t>日，孙屹峥先生将其持有的 </w:t>
      </w:r>
      <w:r>
        <w:rPr>
          <w:rFonts w:ascii="Times New Roman" w:hAnsi="Times New Roman" w:cs="Times New Roman" w:eastAsia="Times New Roman" w:hint="default"/>
        </w:rPr>
        <w:t>18,750,000</w:t>
      </w:r>
      <w:r>
        <w:rPr>
          <w:rFonts w:ascii="Times New Roman" w:hAnsi="Times New Roman" w:cs="Times New Roman" w:eastAsia="Times New Roman" w:hint="default"/>
          <w:spacing w:val="-24"/>
        </w:rPr>
        <w:t> </w:t>
      </w:r>
      <w:r>
        <w:rPr/>
        <w:t>股股份作为标的证券，质 押给中信建投证券股份有限公司（以下简称</w:t>
      </w:r>
      <w:r>
        <w:rPr>
          <w:rFonts w:ascii="Times New Roman" w:hAnsi="Times New Roman" w:cs="Times New Roman" w:eastAsia="Times New Roman" w:hint="default"/>
        </w:rPr>
        <w:t>“</w:t>
      </w:r>
      <w:r>
        <w:rPr/>
        <w:t>中信建投</w:t>
      </w:r>
      <w:r>
        <w:rPr>
          <w:rFonts w:ascii="Times New Roman" w:hAnsi="Times New Roman" w:cs="Times New Roman" w:eastAsia="Times New Roman" w:hint="default"/>
        </w:rPr>
        <w:t>”</w:t>
      </w:r>
      <w:r>
        <w:rPr/>
        <w:t>）办理股票质押式回购交易。本次股</w:t>
      </w:r>
      <w:r>
        <w:rPr>
          <w:spacing w:val="-64"/>
        </w:rPr>
        <w:t> </w:t>
      </w:r>
      <w:r>
        <w:rPr>
          <w:spacing w:val="-64"/>
        </w:rPr>
      </w:r>
      <w:r>
        <w:rPr/>
        <w:t>份质押的初始交易日为：</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t>日，购回交易日为：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29"/>
        </w:rPr>
        <w:t> </w:t>
      </w:r>
      <w:r>
        <w:rPr/>
        <w:t>日；</w:t>
      </w:r>
    </w:p>
    <w:p>
      <w:pPr>
        <w:pStyle w:val="BodyText"/>
        <w:spacing w:line="338" w:lineRule="auto" w:before="24"/>
        <w:ind w:right="1129" w:firstLine="480"/>
        <w:jc w:val="both"/>
      </w:pPr>
      <w:r>
        <w:rPr/>
        <w:t>孙屹峥先生分别于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8</w:t>
      </w:r>
      <w:r>
        <w:rPr/>
        <w:t>日、</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日对此笔质押办理了补充质押、部分 </w:t>
      </w:r>
      <w:r>
        <w:rPr>
          <w:spacing w:val="-2"/>
        </w:rPr>
        <w:t>解除质押及展期手续，截止</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日，孙屹峥先生与中信建投办理的此笔股票质押式回购交易</w:t>
      </w:r>
      <w:r>
        <w:rPr/>
        <w:t> 共计质押</w:t>
      </w:r>
      <w:r>
        <w:rPr>
          <w:rFonts w:ascii="Times New Roman" w:hAnsi="Times New Roman" w:cs="Times New Roman" w:eastAsia="Times New Roman" w:hint="default"/>
        </w:rPr>
        <w:t>23,310,000</w:t>
      </w:r>
      <w:r>
        <w:rPr/>
        <w:t>股股份，购回交易日为：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p>
    <w:p>
      <w:pPr>
        <w:pStyle w:val="BodyText"/>
        <w:spacing w:line="338" w:lineRule="auto" w:before="29"/>
        <w:ind w:right="877" w:firstLine="480"/>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日，孙屹峥先生与中信建投就上述股票质押式回购交易办理了质押展期手续，</w:t>
      </w:r>
      <w:r>
        <w:rPr/>
        <w:t> 为降低展期风险，补充质押了</w:t>
      </w:r>
      <w:r>
        <w:rPr>
          <w:rFonts w:ascii="Times New Roman" w:hAnsi="Times New Roman" w:cs="Times New Roman" w:eastAsia="Times New Roman" w:hint="default"/>
        </w:rPr>
        <w:t>4,940,000</w:t>
      </w:r>
      <w:r>
        <w:rPr/>
        <w:t>股股份；</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日，孙屹峥先生将其持有的质</w:t>
      </w:r>
      <w:r>
        <w:rPr>
          <w:spacing w:val="-91"/>
        </w:rPr>
        <w:t> </w:t>
      </w:r>
      <w:r>
        <w:rPr>
          <w:spacing w:val="-91"/>
        </w:rPr>
      </w:r>
      <w:r>
        <w:rPr>
          <w:spacing w:val="-3"/>
        </w:rPr>
        <w:t>押给中信建投的公司</w:t>
      </w:r>
      <w:r>
        <w:rPr>
          <w:rFonts w:ascii="Times New Roman" w:hAnsi="Times New Roman" w:cs="Times New Roman" w:eastAsia="Times New Roman" w:hint="default"/>
          <w:spacing w:val="-3"/>
        </w:rPr>
        <w:t>1</w:t>
      </w:r>
      <w:r>
        <w:rPr>
          <w:spacing w:val="-3"/>
        </w:rPr>
        <w:t>股股份办理了解除质押手续；截止本公告披露日，孙屹峥先生与中信建</w:t>
      </w:r>
      <w:r>
        <w:rPr>
          <w:spacing w:val="-81"/>
        </w:rPr>
        <w:t> </w:t>
      </w:r>
      <w:r>
        <w:rPr>
          <w:spacing w:val="-81"/>
        </w:rPr>
      </w:r>
      <w:r>
        <w:rPr/>
        <w:t>投办理的此笔股票质押式回购交易共计质押</w:t>
      </w:r>
      <w:r>
        <w:rPr>
          <w:rFonts w:ascii="Times New Roman" w:hAnsi="Times New Roman" w:cs="Times New Roman" w:eastAsia="Times New Roman" w:hint="default"/>
        </w:rPr>
        <w:t>28,249,999</w:t>
      </w:r>
      <w:r>
        <w:rPr/>
        <w:t>股股份，购回交易日为：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rFonts w:ascii="Times New Roman" w:hAnsi="Times New Roman" w:cs="Times New Roman" w:eastAsia="Times New Roman" w:hint="default"/>
          <w:spacing w:val="-29"/>
        </w:rPr>
        <w:t> </w:t>
      </w:r>
      <w:r>
        <w:rPr/>
        <w:t>日。</w:t>
      </w:r>
    </w:p>
    <w:p>
      <w:pPr>
        <w:pStyle w:val="BodyText"/>
        <w:spacing w:line="240" w:lineRule="auto" w:before="53"/>
        <w:ind w:left="633" w:right="0"/>
        <w:jc w:val="left"/>
      </w:pPr>
      <w:r>
        <w:rPr/>
        <w:t>上述具体内容详见公司于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p>
    <w:p>
      <w:pPr>
        <w:pStyle w:val="BodyText"/>
        <w:spacing w:line="240" w:lineRule="auto" w:before="138"/>
        <w:ind w:right="0"/>
        <w:jc w:val="left"/>
      </w:pPr>
      <w:r>
        <w:rPr>
          <w:rFonts w:ascii="Times New Roman" w:hAnsi="Times New Roman" w:cs="Times New Roman" w:eastAsia="Times New Roman" w:hint="default"/>
        </w:rPr>
        <w:t>24</w:t>
      </w:r>
      <w:r>
        <w:rPr/>
        <w:t>日</w:t>
      </w:r>
      <w:r>
        <w:rPr>
          <w:spacing w:val="-111"/>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日在巨潮资讯网披露的相</w:t>
      </w:r>
      <w:r>
        <w:rPr>
          <w:spacing w:val="-5"/>
        </w:rPr>
        <w:t>关</w:t>
      </w:r>
      <w:r>
        <w:rPr/>
        <w:t>公</w:t>
      </w:r>
      <w:r>
        <w:rPr>
          <w:spacing w:val="-111"/>
        </w:rPr>
        <w:t>告</w:t>
      </w:r>
      <w:r>
        <w:rPr/>
        <w:t>（公告编号</w:t>
      </w:r>
      <w:r>
        <w:rPr>
          <w:spacing w:val="-109"/>
        </w:rPr>
        <w:t>：</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05</w:t>
      </w:r>
      <w:r>
        <w:rPr>
          <w:rFonts w:ascii="Times New Roman" w:hAnsi="Times New Roman" w:cs="Times New Roman" w:eastAsia="Times New Roman" w:hint="default"/>
          <w:spacing w:val="-5"/>
        </w:rPr>
        <w:t>3</w:t>
      </w:r>
      <w:r>
        <w:rPr>
          <w:spacing w:val="-111"/>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w:t>
      </w:r>
      <w:r>
        <w:rPr>
          <w:rFonts w:ascii="Times New Roman" w:hAnsi="Times New Roman" w:cs="Times New Roman" w:eastAsia="Times New Roman" w:hint="default"/>
        </w:rPr>
        <w:t>004</w:t>
      </w:r>
      <w:r>
        <w:rPr>
          <w:spacing w:val="-111"/>
        </w:rPr>
        <w:t>、</w:t>
      </w:r>
      <w:r>
        <w:rPr>
          <w:rFonts w:ascii="Times New Roman" w:hAnsi="Times New Roman" w:cs="Times New Roman" w:eastAsia="Times New Roman" w:hint="default"/>
        </w:rPr>
        <w:t>201</w:t>
      </w:r>
      <w:r>
        <w:rPr>
          <w:rFonts w:ascii="Times New Roman" w:hAnsi="Times New Roman" w:cs="Times New Roman" w:eastAsia="Times New Roman" w:hint="default"/>
          <w:spacing w:val="-5"/>
        </w:rPr>
        <w:t>8</w:t>
      </w:r>
      <w:r>
        <w:rPr>
          <w:rFonts w:ascii="Times New Roman" w:hAnsi="Times New Roman" w:cs="Times New Roman" w:eastAsia="Times New Roman" w:hint="default"/>
          <w:spacing w:val="1"/>
        </w:rPr>
        <w:t>-</w:t>
      </w:r>
      <w:r>
        <w:rPr>
          <w:rFonts w:ascii="Times New Roman" w:hAnsi="Times New Roman" w:cs="Times New Roman" w:eastAsia="Times New Roman" w:hint="default"/>
        </w:rPr>
        <w:t>011</w:t>
      </w:r>
      <w:r>
        <w:rPr/>
        <w:t>、</w:t>
      </w:r>
    </w:p>
    <w:p>
      <w:pPr>
        <w:pStyle w:val="BodyText"/>
        <w:spacing w:line="240" w:lineRule="auto" w:before="133"/>
        <w:ind w:right="0"/>
        <w:jc w:val="left"/>
      </w:pPr>
      <w:r>
        <w:rPr>
          <w:rFonts w:ascii="Times New Roman" w:hAnsi="Times New Roman" w:cs="Times New Roman" w:eastAsia="Times New Roman" w:hint="default"/>
        </w:rPr>
        <w:t>2018-047</w:t>
      </w:r>
      <w:r>
        <w:rPr/>
        <w:t>、</w:t>
      </w:r>
      <w:r>
        <w:rPr>
          <w:rFonts w:ascii="Times New Roman" w:hAnsi="Times New Roman" w:cs="Times New Roman" w:eastAsia="Times New Roman" w:hint="default"/>
        </w:rPr>
        <w:t>2019-047</w:t>
      </w:r>
      <w:r>
        <w:rPr/>
        <w:t>）。</w:t>
      </w:r>
    </w:p>
    <w:p>
      <w:pPr>
        <w:pStyle w:val="BodyText"/>
        <w:spacing w:line="338" w:lineRule="auto" w:before="138"/>
        <w:ind w:right="1123" w:firstLine="48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日，孙屹峥先生将其持有的</w:t>
      </w:r>
      <w:r>
        <w:rPr>
          <w:rFonts w:ascii="Times New Roman" w:hAnsi="Times New Roman" w:cs="Times New Roman" w:eastAsia="Times New Roman" w:hint="default"/>
          <w:spacing w:val="-2"/>
        </w:rPr>
        <w:t>19,200,000</w:t>
      </w:r>
      <w:r>
        <w:rPr>
          <w:spacing w:val="-2"/>
        </w:rPr>
        <w:t>股股份作为标的证券质押给中信</w:t>
      </w:r>
      <w:r>
        <w:rPr/>
        <w:t> </w:t>
      </w:r>
      <w:r>
        <w:rPr>
          <w:spacing w:val="-2"/>
        </w:rPr>
        <w:t>建投办理股票质押式回购交易。本次股份质押的初始交易日为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日，购回交易日为</w:t>
      </w:r>
      <w:r>
        <w:rPr>
          <w:spacing w:val="-118"/>
        </w:rPr>
        <w:t> </w:t>
      </w:r>
      <w:r>
        <w:rPr>
          <w:spacing w:val="-118"/>
        </w:rPr>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日在巨潮资讯网披露的相关公告（公告编</w:t>
      </w:r>
      <w:r>
        <w:rPr>
          <w:spacing w:val="-92"/>
        </w:rPr>
        <w:t> </w:t>
      </w:r>
      <w:r>
        <w:rPr>
          <w:spacing w:val="-92"/>
        </w:rPr>
      </w:r>
      <w:r>
        <w:rPr/>
        <w:t>号：</w:t>
      </w:r>
      <w:r>
        <w:rPr>
          <w:rFonts w:ascii="Times New Roman" w:hAnsi="Times New Roman" w:cs="Times New Roman" w:eastAsia="Times New Roman" w:hint="default"/>
        </w:rPr>
        <w:t>2019-040</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日，孙屹峥先生签署承诺函，与中信建投约定此笔质押展期</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spacing w:val="-5"/>
        </w:rPr>
        <w:t>个月，购回交易日为</w:t>
      </w:r>
      <w:r>
        <w:rPr>
          <w:rFonts w:ascii="Times New Roman" w:hAnsi="Times New Roman" w:cs="Times New Roman" w:eastAsia="Times New Roman" w:hint="default"/>
          <w:spacing w:val="-5"/>
        </w:rPr>
        <w:t>2020</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23</w:t>
      </w:r>
      <w:r>
        <w:rPr>
          <w:spacing w:val="-5"/>
        </w:rPr>
        <w:t>日。截至本公告披露日，该笔质押的展期手续仍在办理中，</w:t>
      </w:r>
      <w:r>
        <w:rPr>
          <w:spacing w:val="-99"/>
        </w:rPr>
        <w:t> </w:t>
      </w:r>
      <w:r>
        <w:rPr>
          <w:spacing w:val="-99"/>
        </w:rPr>
      </w:r>
      <w:r>
        <w:rPr/>
        <w:t>公司将根据有关法律法规及时披露后续进展情况。</w:t>
      </w:r>
    </w:p>
    <w:p>
      <w:pPr>
        <w:pStyle w:val="BodyText"/>
        <w:spacing w:line="338" w:lineRule="auto" w:before="58"/>
        <w:ind w:right="1128" w:firstLine="48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日，孙屹峥先生将其持有的</w:t>
      </w:r>
      <w:r>
        <w:rPr>
          <w:rFonts w:ascii="Times New Roman" w:hAnsi="Times New Roman" w:cs="Times New Roman" w:eastAsia="Times New Roman" w:hint="default"/>
        </w:rPr>
        <w:t>7,000,000</w:t>
      </w:r>
      <w:r>
        <w:rPr/>
        <w:t>股股份作为标的证券质押给中国 </w:t>
      </w:r>
      <w:r>
        <w:rPr>
          <w:spacing w:val="-3"/>
        </w:rPr>
        <w:t>建设银行股份有限公司成都第一支行，为公司贷款融资提供</w:t>
      </w:r>
      <w:r>
        <w:rPr>
          <w:rFonts w:ascii="Times New Roman" w:hAnsi="Times New Roman" w:cs="Times New Roman" w:eastAsia="Times New Roman" w:hint="default"/>
          <w:spacing w:val="-3"/>
        </w:rPr>
        <w:t>1</w:t>
      </w:r>
      <w:r>
        <w:rPr>
          <w:spacing w:val="-3"/>
        </w:rPr>
        <w:t>年期的质押担保，到期还款后即</w:t>
      </w:r>
      <w:r>
        <w:rPr>
          <w:spacing w:val="-83"/>
        </w:rPr>
        <w:t> </w:t>
      </w:r>
      <w:r>
        <w:rPr>
          <w:spacing w:val="-83"/>
        </w:rPr>
      </w:r>
      <w:r>
        <w:rPr>
          <w:spacing w:val="-2"/>
        </w:rPr>
        <w:t>可办理解除质押登记手续。具体内容详见公司于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18</w:t>
      </w:r>
      <w:r>
        <w:rPr>
          <w:spacing w:val="-2"/>
        </w:rPr>
        <w:t>日在巨潮资讯网披露的相关公告</w:t>
      </w:r>
    </w:p>
    <w:p>
      <w:pPr>
        <w:pStyle w:val="BodyText"/>
        <w:spacing w:line="340" w:lineRule="auto" w:before="24"/>
        <w:ind w:left="633" w:right="0" w:hanging="480"/>
        <w:jc w:val="left"/>
        <w:rPr>
          <w:rFonts w:ascii="Times New Roman" w:hAnsi="Times New Roman" w:cs="Times New Roman" w:eastAsia="Times New Roman" w:hint="default"/>
        </w:rPr>
      </w:pPr>
      <w:r>
        <w:rPr/>
        <w:t>（公告编号：</w:t>
      </w:r>
      <w:r>
        <w:rPr>
          <w:rFonts w:ascii="Times New Roman" w:hAnsi="Times New Roman" w:cs="Times New Roman" w:eastAsia="Times New Roman" w:hint="default"/>
        </w:rPr>
        <w:t>2019-044</w:t>
      </w:r>
      <w:r>
        <w:rPr/>
        <w:t>）。 </w:t>
      </w:r>
      <w:r>
        <w:rPr>
          <w:spacing w:val="-8"/>
        </w:rPr>
        <w:t>综上，截止本公告披露日，公司控股股东、实际控制人孙屹峥先生持有公司股份</w:t>
      </w:r>
      <w:r>
        <w:rPr>
          <w:rFonts w:ascii="Times New Roman" w:hAnsi="Times New Roman" w:cs="Times New Roman" w:eastAsia="Times New Roman" w:hint="default"/>
          <w:spacing w:val="-8"/>
        </w:rPr>
        <w:t>78,495,500</w:t>
      </w:r>
    </w:p>
    <w:p>
      <w:pPr>
        <w:pStyle w:val="BodyText"/>
        <w:spacing w:line="340" w:lineRule="auto" w:before="21"/>
        <w:ind w:right="1109"/>
        <w:jc w:val="left"/>
      </w:pPr>
      <w:r>
        <w:rPr>
          <w:spacing w:val="-2"/>
        </w:rPr>
        <w:t>股，占公司总股本的</w:t>
      </w:r>
      <w:r>
        <w:rPr>
          <w:rFonts w:ascii="Times New Roman" w:hAnsi="Times New Roman" w:cs="Times New Roman" w:eastAsia="Times New Roman" w:hint="default"/>
          <w:spacing w:val="-2"/>
        </w:rPr>
        <w:t>17.94%</w:t>
      </w:r>
      <w:r>
        <w:rPr>
          <w:spacing w:val="-2"/>
        </w:rPr>
        <w:t>，其所持有公司股份累计被质押</w:t>
      </w:r>
      <w:r>
        <w:rPr>
          <w:rFonts w:ascii="Times New Roman" w:hAnsi="Times New Roman" w:cs="Times New Roman" w:eastAsia="Times New Roman" w:hint="default"/>
          <w:spacing w:val="-2"/>
        </w:rPr>
        <w:t>54,449,999</w:t>
      </w:r>
      <w:r>
        <w:rPr>
          <w:spacing w:val="-2"/>
        </w:rPr>
        <w:t>股，占其持有公司股份</w:t>
      </w:r>
      <w:r>
        <w:rPr/>
        <w:t> 总数的</w:t>
      </w:r>
      <w:r>
        <w:rPr>
          <w:rFonts w:ascii="Times New Roman" w:hAnsi="Times New Roman" w:cs="Times New Roman" w:eastAsia="Times New Roman" w:hint="default"/>
        </w:rPr>
        <w:t>69.37%</w:t>
      </w:r>
      <w:r>
        <w:rPr/>
        <w:t>，占公司总股本的</w:t>
      </w:r>
      <w:r>
        <w:rPr>
          <w:rFonts w:ascii="Times New Roman" w:hAnsi="Times New Roman" w:cs="Times New Roman" w:eastAsia="Times New Roman" w:hint="default"/>
        </w:rPr>
        <w:t>12.45%</w:t>
      </w:r>
      <w:r>
        <w:rPr/>
        <w:t>。</w:t>
      </w:r>
    </w:p>
    <w:p>
      <w:pPr>
        <w:pStyle w:val="Heading2"/>
        <w:spacing w:line="240" w:lineRule="auto" w:before="22"/>
        <w:ind w:left="633" w:right="0"/>
        <w:jc w:val="left"/>
        <w:rPr>
          <w:b w:val="0"/>
          <w:bCs w:val="0"/>
        </w:rPr>
      </w:pPr>
      <w:r>
        <w:rPr>
          <w:rFonts w:ascii="Times New Roman" w:hAnsi="Times New Roman" w:cs="Times New Roman" w:eastAsia="Times New Roman" w:hint="default"/>
        </w:rPr>
        <w:t>2</w:t>
      </w:r>
      <w:r>
        <w:rPr/>
        <w:t>、张菀女士股权质押、解质及展期情况</w:t>
      </w:r>
      <w:r>
        <w:rPr>
          <w:b w:val="0"/>
          <w:bCs w:val="0"/>
        </w:rPr>
      </w:r>
    </w:p>
    <w:p>
      <w:pPr>
        <w:pStyle w:val="BodyText"/>
        <w:spacing w:line="240" w:lineRule="auto" w:before="138"/>
        <w:ind w:left="63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t>日，张菀女士将其持有的 </w:t>
      </w:r>
      <w:r>
        <w:rPr>
          <w:rFonts w:ascii="Times New Roman" w:hAnsi="Times New Roman" w:cs="Times New Roman" w:eastAsia="Times New Roman" w:hint="default"/>
        </w:rPr>
        <w:t>14,100,000</w:t>
      </w:r>
      <w:r>
        <w:rPr>
          <w:rFonts w:ascii="Times New Roman" w:hAnsi="Times New Roman" w:cs="Times New Roman" w:eastAsia="Times New Roman" w:hint="default"/>
          <w:spacing w:val="-25"/>
        </w:rPr>
        <w:t> </w:t>
      </w:r>
      <w:r>
        <w:rPr/>
        <w:t>股股份作为标的证券，质押</w:t>
      </w:r>
    </w:p>
    <w:p>
      <w:pPr>
        <w:spacing w:after="0" w:line="240" w:lineRule="auto"/>
        <w:jc w:val="left"/>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36" w:lineRule="auto"/>
        <w:ind w:right="0"/>
        <w:jc w:val="left"/>
      </w:pPr>
      <w:r>
        <w:rPr/>
        <w:t>给中信建投办理股票质押式回购交易。本次股份质押的初始交易日为：</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21"/>
        </w:rPr>
        <w:t> </w:t>
      </w:r>
      <w:r>
        <w:rPr/>
        <w:t>日， 购回交易日为：</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23 </w:t>
      </w:r>
      <w:r>
        <w:rPr>
          <w:rFonts w:ascii="Times New Roman" w:hAnsi="Times New Roman" w:cs="Times New Roman" w:eastAsia="Times New Roman" w:hint="default"/>
          <w:spacing w:val="5"/>
        </w:rPr>
        <w:t> </w:t>
      </w:r>
      <w:r>
        <w:rPr/>
        <w:t>日；</w:t>
      </w:r>
    </w:p>
    <w:p>
      <w:pPr>
        <w:pStyle w:val="BodyText"/>
        <w:spacing w:line="338" w:lineRule="auto" w:before="32"/>
        <w:ind w:right="1130" w:firstLine="480"/>
        <w:jc w:val="both"/>
      </w:pPr>
      <w:r>
        <w:rPr>
          <w:spacing w:val="-2"/>
        </w:rPr>
        <w:t>张菀女士分别于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10</w:t>
      </w:r>
      <w:r>
        <w:rPr>
          <w:spacing w:val="-2"/>
        </w:rPr>
        <w:t>日对此笔质押办理了补充质押</w:t>
      </w:r>
      <w:r>
        <w:rPr/>
        <w:t> </w:t>
      </w:r>
      <w:r>
        <w:rPr>
          <w:spacing w:val="3"/>
        </w:rPr>
        <w:t>及展期手续，截止</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10</w:t>
      </w:r>
      <w:r>
        <w:rPr>
          <w:spacing w:val="3"/>
        </w:rPr>
        <w:t>日，张菀女士与中信建投办理的此笔股票质押式回购交易共计质押</w:t>
      </w:r>
      <w:r>
        <w:rPr>
          <w:spacing w:val="-107"/>
        </w:rPr>
        <w:t> </w:t>
      </w:r>
      <w:r>
        <w:rPr>
          <w:spacing w:val="-107"/>
        </w:rPr>
      </w:r>
      <w:r>
        <w:rPr>
          <w:rFonts w:ascii="Times New Roman" w:hAnsi="Times New Roman" w:cs="Times New Roman" w:eastAsia="Times New Roman" w:hint="default"/>
        </w:rPr>
        <w:t>26,080,000</w:t>
      </w:r>
      <w:r>
        <w:rPr/>
        <w:t>股股份，购回交易日为：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w:t>
      </w:r>
    </w:p>
    <w:p>
      <w:pPr>
        <w:pStyle w:val="BodyText"/>
        <w:spacing w:line="348" w:lineRule="auto" w:before="24"/>
        <w:ind w:right="1128" w:firstLine="480"/>
        <w:jc w:val="both"/>
      </w:pPr>
      <w:r>
        <w:rPr>
          <w:spacing w:val="-2"/>
        </w:rPr>
        <w:t>张菀女士分别于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26</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日将其持有的质押给中信建投的公司部分</w:t>
      </w:r>
      <w:r>
        <w:rPr/>
        <w:t> 股份办理了解除质押手续，解质后，张菀女士与中信建投办理的此笔股票质押式回购交易共</w:t>
      </w:r>
      <w:r>
        <w:rPr>
          <w:spacing w:val="-93"/>
        </w:rPr>
        <w:t> </w:t>
      </w:r>
      <w:r>
        <w:rPr>
          <w:spacing w:val="-93"/>
        </w:rPr>
      </w:r>
      <w:r>
        <w:rPr/>
        <w:t>计质押</w:t>
      </w:r>
      <w:r>
        <w:rPr>
          <w:rFonts w:ascii="Times New Roman" w:hAnsi="Times New Roman" w:cs="Times New Roman" w:eastAsia="Times New Roman" w:hint="default"/>
        </w:rPr>
        <w:t>19,000,000</w:t>
      </w:r>
      <w:r>
        <w:rPr/>
        <w:t>股股份，购回交易日为：</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w:t>
      </w:r>
    </w:p>
    <w:p>
      <w:pPr>
        <w:pStyle w:val="BodyText"/>
        <w:spacing w:line="338" w:lineRule="auto" w:before="18"/>
        <w:ind w:right="1122" w:firstLine="480"/>
        <w:jc w:val="both"/>
      </w:pPr>
      <w:r>
        <w:rPr>
          <w:spacing w:val="-2"/>
        </w:rPr>
        <w:t>上述具体内容详见公司于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24</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rFonts w:ascii="Times New Roman" w:hAnsi="Times New Roman" w:cs="Times New Roman" w:eastAsia="Times New Roman" w:hint="default"/>
        </w:rPr>
        <w:t> </w:t>
      </w:r>
      <w:r>
        <w:rPr>
          <w:spacing w:val="-5"/>
        </w:rPr>
        <w:t>月</w:t>
      </w:r>
      <w:r>
        <w:rPr>
          <w:rFonts w:ascii="Times New Roman" w:hAnsi="Times New Roman" w:cs="Times New Roman" w:eastAsia="Times New Roman" w:hint="default"/>
          <w:spacing w:val="-5"/>
        </w:rPr>
        <w:t>12</w:t>
      </w:r>
      <w:r>
        <w:rPr>
          <w:spacing w:val="-5"/>
        </w:rPr>
        <w:t>日、</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30</w:t>
      </w:r>
      <w:r>
        <w:rPr>
          <w:spacing w:val="-5"/>
        </w:rPr>
        <w:t>日、</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25</w:t>
      </w:r>
      <w:r>
        <w:rPr>
          <w:spacing w:val="-5"/>
        </w:rPr>
        <w:t>日在巨潮资讯网披露的相关公告（公告编号：</w:t>
      </w:r>
      <w:r>
        <w:rPr>
          <w:rFonts w:ascii="Times New Roman" w:hAnsi="Times New Roman" w:cs="Times New Roman" w:eastAsia="Times New Roman" w:hint="default"/>
          <w:spacing w:val="-5"/>
        </w:rPr>
        <w:t>2017-053</w:t>
      </w:r>
      <w:r>
        <w:rPr>
          <w:spacing w:val="-5"/>
        </w:rPr>
        <w:t>、</w:t>
      </w:r>
      <w:r>
        <w:rPr>
          <w:rFonts w:ascii="Times New Roman" w:hAnsi="Times New Roman" w:cs="Times New Roman" w:eastAsia="Times New Roman" w:hint="default"/>
          <w:spacing w:val="-5"/>
        </w:rPr>
        <w:t>2018-004</w:t>
      </w:r>
      <w:r>
        <w:rPr>
          <w:spacing w:val="-5"/>
        </w:rPr>
        <w:t>、</w:t>
      </w:r>
      <w:r>
        <w:rPr>
          <w:spacing w:val="-86"/>
        </w:rPr>
        <w:t> </w:t>
      </w:r>
      <w:r>
        <w:rPr>
          <w:rFonts w:ascii="Times New Roman" w:hAnsi="Times New Roman" w:cs="Times New Roman" w:eastAsia="Times New Roman" w:hint="default"/>
        </w:rPr>
        <w:t>2018-011</w:t>
      </w:r>
      <w:r>
        <w:rPr/>
        <w:t>、</w:t>
      </w:r>
      <w:r>
        <w:rPr>
          <w:rFonts w:ascii="Times New Roman" w:hAnsi="Times New Roman" w:cs="Times New Roman" w:eastAsia="Times New Roman" w:hint="default"/>
        </w:rPr>
        <w:t>2018-047</w:t>
      </w:r>
      <w:r>
        <w:rPr/>
        <w:t>、</w:t>
      </w:r>
      <w:r>
        <w:rPr>
          <w:rFonts w:ascii="Times New Roman" w:hAnsi="Times New Roman" w:cs="Times New Roman" w:eastAsia="Times New Roman" w:hint="default"/>
        </w:rPr>
        <w:t>2019-047</w:t>
      </w:r>
      <w:r>
        <w:rPr/>
        <w:t>、</w:t>
      </w:r>
      <w:r>
        <w:rPr>
          <w:rFonts w:ascii="Times New Roman" w:hAnsi="Times New Roman" w:cs="Times New Roman" w:eastAsia="Times New Roman" w:hint="default"/>
        </w:rPr>
        <w:t>2019-060</w:t>
      </w:r>
      <w:r>
        <w:rPr/>
        <w:t>、</w:t>
      </w:r>
      <w:r>
        <w:rPr>
          <w:rFonts w:ascii="Times New Roman" w:hAnsi="Times New Roman" w:cs="Times New Roman" w:eastAsia="Times New Roman" w:hint="default"/>
        </w:rPr>
        <w:t>2019-100</w:t>
      </w:r>
      <w:r>
        <w:rPr/>
        <w:t>）。</w:t>
      </w:r>
    </w:p>
    <w:p>
      <w:pPr>
        <w:pStyle w:val="BodyText"/>
        <w:spacing w:line="338" w:lineRule="auto" w:before="24"/>
        <w:ind w:right="1131" w:firstLine="480"/>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日，张菀女士将其持有的</w:t>
      </w:r>
      <w:r>
        <w:rPr>
          <w:rFonts w:ascii="Times New Roman" w:hAnsi="Times New Roman" w:cs="Times New Roman" w:eastAsia="Times New Roman" w:hint="default"/>
        </w:rPr>
        <w:t>18,600,000</w:t>
      </w:r>
      <w:r>
        <w:rPr/>
        <w:t>股股份作为标的证券质押给华夏 银行股份有限公司成都蜀汉支行，为全资子公司桑瑞思贷款融资提供期限为</w:t>
      </w:r>
      <w:r>
        <w:rPr>
          <w:rFonts w:ascii="Times New Roman" w:hAnsi="Times New Roman" w:cs="Times New Roman" w:eastAsia="Times New Roman" w:hint="default"/>
        </w:rPr>
        <w:t>13</w:t>
      </w:r>
      <w:r>
        <w:rPr/>
        <w:t>个月的质押担</w:t>
      </w:r>
      <w:r>
        <w:rPr>
          <w:spacing w:val="-89"/>
        </w:rPr>
        <w:t> </w:t>
      </w:r>
      <w:r>
        <w:rPr>
          <w:spacing w:val="-89"/>
        </w:rPr>
      </w:r>
      <w:r>
        <w:rPr/>
        <w:t>保，到期还款后即可办理解除登记手续或继续质押。具体内容详见公司于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日在</w:t>
      </w:r>
      <w:r>
        <w:rPr>
          <w:spacing w:val="-89"/>
        </w:rPr>
        <w:t> </w:t>
      </w:r>
      <w:r>
        <w:rPr/>
        <w:t>巨潮资讯网披露的相关公告（公告编号：</w:t>
      </w:r>
      <w:r>
        <w:rPr>
          <w:rFonts w:ascii="Times New Roman" w:hAnsi="Times New Roman" w:cs="Times New Roman" w:eastAsia="Times New Roman" w:hint="default"/>
        </w:rPr>
        <w:t>2018-105</w:t>
      </w:r>
      <w:r>
        <w:rPr/>
        <w:t>）。</w:t>
      </w:r>
    </w:p>
    <w:p>
      <w:pPr>
        <w:pStyle w:val="BodyText"/>
        <w:spacing w:line="338" w:lineRule="auto" w:before="24"/>
        <w:ind w:right="1130" w:firstLine="48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日，张菀女士将其持有的</w:t>
      </w:r>
      <w:r>
        <w:rPr>
          <w:rFonts w:ascii="Times New Roman" w:hAnsi="Times New Roman" w:cs="Times New Roman" w:eastAsia="Times New Roman" w:hint="default"/>
        </w:rPr>
        <w:t>7,000,000</w:t>
      </w:r>
      <w:r>
        <w:rPr/>
        <w:t>股股份作为标的证券质押给中国建 </w:t>
      </w:r>
      <w:r>
        <w:rPr>
          <w:spacing w:val="-3"/>
        </w:rPr>
        <w:t>设银行股份有限公司成都第一支行，为公司贷款融资提供</w:t>
      </w:r>
      <w:r>
        <w:rPr>
          <w:rFonts w:ascii="Times New Roman" w:hAnsi="Times New Roman" w:cs="Times New Roman" w:eastAsia="Times New Roman" w:hint="default"/>
          <w:spacing w:val="-3"/>
        </w:rPr>
        <w:t>1</w:t>
      </w:r>
      <w:r>
        <w:rPr>
          <w:spacing w:val="-3"/>
        </w:rPr>
        <w:t>年期的质押担保，到期还款后即可</w:t>
      </w:r>
      <w:r>
        <w:rPr>
          <w:spacing w:val="-83"/>
        </w:rPr>
        <w:t> </w:t>
      </w:r>
      <w:r>
        <w:rPr>
          <w:spacing w:val="-83"/>
        </w:rPr>
      </w:r>
      <w:r>
        <w:rPr>
          <w:spacing w:val="3"/>
        </w:rPr>
        <w:t>办理解除质押登记手续。具体内容详见公司于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18</w:t>
      </w:r>
      <w:r>
        <w:rPr>
          <w:spacing w:val="3"/>
        </w:rPr>
        <w:t>日在巨潮资讯网披露的相关公告</w:t>
      </w:r>
    </w:p>
    <w:p>
      <w:pPr>
        <w:pStyle w:val="BodyText"/>
        <w:spacing w:line="240" w:lineRule="auto" w:before="29"/>
        <w:ind w:right="0"/>
        <w:jc w:val="left"/>
      </w:pPr>
      <w:r>
        <w:rPr/>
        <w:t>（公告编号：</w:t>
      </w:r>
      <w:r>
        <w:rPr>
          <w:rFonts w:ascii="Times New Roman" w:hAnsi="Times New Roman" w:cs="Times New Roman" w:eastAsia="Times New Roman" w:hint="default"/>
        </w:rPr>
        <w:t>2019-044</w:t>
      </w:r>
      <w:r>
        <w:rPr/>
        <w:t>）。</w:t>
      </w:r>
    </w:p>
    <w:p>
      <w:pPr>
        <w:pStyle w:val="BodyText"/>
        <w:spacing w:line="338" w:lineRule="auto" w:before="133"/>
        <w:ind w:right="1132" w:firstLine="48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日，张菀女士将其持有的</w:t>
      </w:r>
      <w:r>
        <w:rPr>
          <w:rFonts w:ascii="Times New Roman" w:hAnsi="Times New Roman" w:cs="Times New Roman" w:eastAsia="Times New Roman" w:hint="default"/>
        </w:rPr>
        <w:t>8,150,000</w:t>
      </w:r>
      <w:r>
        <w:rPr/>
        <w:t>股股份作为标的证券质押给交通银 </w:t>
      </w:r>
      <w:r>
        <w:rPr>
          <w:spacing w:val="-3"/>
        </w:rPr>
        <w:t>行股份有限公司成都高新区支行，为公司贷款融资提供</w:t>
      </w:r>
      <w:r>
        <w:rPr>
          <w:rFonts w:ascii="Times New Roman" w:hAnsi="Times New Roman" w:cs="Times New Roman" w:eastAsia="Times New Roman" w:hint="default"/>
          <w:spacing w:val="-3"/>
        </w:rPr>
        <w:t>1</w:t>
      </w:r>
      <w:r>
        <w:rPr>
          <w:spacing w:val="-3"/>
        </w:rPr>
        <w:t>年期的质押担保，到期还款后即可办</w:t>
      </w:r>
      <w:r>
        <w:rPr>
          <w:spacing w:val="-84"/>
        </w:rPr>
        <w:t> </w:t>
      </w:r>
      <w:r>
        <w:rPr>
          <w:spacing w:val="-84"/>
        </w:rPr>
      </w:r>
      <w:r>
        <w:rPr>
          <w:spacing w:val="-2"/>
        </w:rPr>
        <w:t>理解除质押登记手续。具体内容详见公司于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18</w:t>
      </w:r>
      <w:r>
        <w:rPr>
          <w:spacing w:val="-2"/>
        </w:rPr>
        <w:t>日在巨潮资讯网披露的相关公告（公</w:t>
      </w:r>
      <w:r>
        <w:rPr/>
        <w:t> 告编号：</w:t>
      </w:r>
      <w:r>
        <w:rPr>
          <w:rFonts w:ascii="Times New Roman" w:hAnsi="Times New Roman" w:cs="Times New Roman" w:eastAsia="Times New Roman" w:hint="default"/>
        </w:rPr>
        <w:t>2019-049</w:t>
      </w:r>
      <w:r>
        <w:rPr/>
        <w:t>）。</w:t>
      </w:r>
    </w:p>
    <w:p>
      <w:pPr>
        <w:pStyle w:val="BodyText"/>
        <w:spacing w:line="338" w:lineRule="auto" w:before="24"/>
        <w:ind w:right="1122" w:firstLine="480"/>
        <w:jc w:val="both"/>
      </w:pPr>
      <w:r>
        <w:rPr>
          <w:spacing w:val="-2"/>
        </w:rPr>
        <w:t>综上，截止本公告披露日，公司控股股东、实际控制人张菀女士持有公司股份</w:t>
      </w:r>
      <w:r>
        <w:rPr>
          <w:rFonts w:ascii="Times New Roman" w:hAnsi="Times New Roman" w:cs="Times New Roman" w:eastAsia="Times New Roman" w:hint="default"/>
          <w:spacing w:val="-2"/>
        </w:rPr>
        <w:t>75,404,500</w:t>
      </w:r>
      <w:r>
        <w:rPr>
          <w:rFonts w:ascii="Times New Roman" w:hAnsi="Times New Roman" w:cs="Times New Roman" w:eastAsia="Times New Roman" w:hint="default"/>
        </w:rPr>
        <w:t> </w:t>
      </w:r>
      <w:r>
        <w:rPr>
          <w:spacing w:val="-2"/>
        </w:rPr>
        <w:t>股，占公司总股本的</w:t>
      </w:r>
      <w:r>
        <w:rPr>
          <w:rFonts w:ascii="Times New Roman" w:hAnsi="Times New Roman" w:cs="Times New Roman" w:eastAsia="Times New Roman" w:hint="default"/>
          <w:spacing w:val="-2"/>
        </w:rPr>
        <w:t>17.24%</w:t>
      </w:r>
      <w:r>
        <w:rPr>
          <w:spacing w:val="-2"/>
        </w:rPr>
        <w:t>，其所持有公司股份累计被质押</w:t>
      </w:r>
      <w:r>
        <w:rPr>
          <w:rFonts w:ascii="Times New Roman" w:hAnsi="Times New Roman" w:cs="Times New Roman" w:eastAsia="Times New Roman" w:hint="default"/>
          <w:spacing w:val="-2"/>
        </w:rPr>
        <w:t>52,750,000</w:t>
      </w:r>
      <w:r>
        <w:rPr>
          <w:spacing w:val="-2"/>
        </w:rPr>
        <w:t>股，占其持有公司股份</w:t>
      </w:r>
      <w:r>
        <w:rPr/>
        <w:t> 总数的</w:t>
      </w:r>
      <w:r>
        <w:rPr>
          <w:rFonts w:ascii="Times New Roman" w:hAnsi="Times New Roman" w:cs="Times New Roman" w:eastAsia="Times New Roman" w:hint="default"/>
        </w:rPr>
        <w:t>69.96%</w:t>
      </w:r>
      <w:r>
        <w:rPr/>
        <w:t>，占公司总股本的</w:t>
      </w:r>
      <w:r>
        <w:rPr>
          <w:rFonts w:ascii="Times New Roman" w:hAnsi="Times New Roman" w:cs="Times New Roman" w:eastAsia="Times New Roman" w:hint="default"/>
        </w:rPr>
        <w:t>12.06%</w:t>
      </w:r>
      <w:r>
        <w:rPr/>
        <w:t>。</w:t>
      </w:r>
    </w:p>
    <w:p>
      <w:pPr>
        <w:pStyle w:val="Heading2"/>
        <w:spacing w:line="240" w:lineRule="auto" w:before="29"/>
        <w:ind w:left="633" w:right="0"/>
        <w:jc w:val="left"/>
        <w:rPr>
          <w:b w:val="0"/>
          <w:bCs w:val="0"/>
        </w:rPr>
      </w:pPr>
      <w:r>
        <w:rPr>
          <w:rFonts w:ascii="Times New Roman" w:hAnsi="Times New Roman" w:cs="Times New Roman" w:eastAsia="Times New Roman" w:hint="default"/>
        </w:rPr>
        <w:t>3</w:t>
      </w:r>
      <w:r>
        <w:rPr/>
        <w:t>、孙屹峥、张菀夫妇之一致行动人股权质押、展期及解质情况</w:t>
      </w:r>
      <w:r>
        <w:rPr>
          <w:b w:val="0"/>
          <w:bCs w:val="0"/>
        </w:rPr>
      </w:r>
    </w:p>
    <w:p>
      <w:pPr>
        <w:pStyle w:val="BodyText"/>
        <w:spacing w:line="340" w:lineRule="auto" w:before="134"/>
        <w:ind w:right="1127" w:firstLine="48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18</w:t>
      </w:r>
      <w:r>
        <w:rPr>
          <w:spacing w:val="-2"/>
        </w:rPr>
        <w:t>日，公司控股股东、实际控制人孙屹峥和张菀夫妇之一致行动人孙晶晶女士</w:t>
      </w:r>
      <w:r>
        <w:rPr/>
        <w:t> 将其持有的</w:t>
      </w:r>
      <w:r>
        <w:rPr>
          <w:rFonts w:ascii="Times New Roman" w:hAnsi="Times New Roman" w:cs="Times New Roman" w:eastAsia="Times New Roman" w:hint="default"/>
        </w:rPr>
        <w:t>18,986,000</w:t>
      </w:r>
      <w:r>
        <w:rPr/>
        <w:t>股股份作为标的证券质押给中银国际证券股份有限公司（以下简称</w:t>
      </w:r>
      <w:r>
        <w:rPr>
          <w:rFonts w:ascii="Times New Roman" w:hAnsi="Times New Roman" w:cs="Times New Roman" w:eastAsia="Times New Roman" w:hint="default"/>
        </w:rPr>
        <w:t>“</w:t>
      </w:r>
      <w:r>
        <w:rPr/>
        <w:t>中</w:t>
      </w:r>
    </w:p>
    <w:p>
      <w:pPr>
        <w:spacing w:after="0" w:line="340"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36" w:lineRule="auto"/>
        <w:ind w:right="0"/>
        <w:jc w:val="left"/>
      </w:pPr>
      <w:r>
        <w:rPr/>
        <w:t>银证券</w:t>
      </w:r>
      <w:r>
        <w:rPr>
          <w:rFonts w:ascii="Times New Roman" w:hAnsi="Times New Roman" w:cs="Times New Roman" w:eastAsia="Times New Roman" w:hint="default"/>
        </w:rPr>
        <w:t>”</w:t>
      </w:r>
      <w:r>
        <w:rPr/>
        <w:t>）办理股票质押式回购交易。本次股份质押的初始交易日为：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日，购回</w:t>
      </w:r>
      <w:r>
        <w:rPr>
          <w:spacing w:val="-73"/>
        </w:rPr>
        <w:t> </w:t>
      </w:r>
      <w:r>
        <w:rPr>
          <w:spacing w:val="-73"/>
        </w:rPr>
      </w:r>
      <w:r>
        <w:rPr/>
        <w:t>交易日为：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w:t>
      </w:r>
    </w:p>
    <w:p>
      <w:pPr>
        <w:pStyle w:val="BodyText"/>
        <w:spacing w:line="336" w:lineRule="auto" w:before="32"/>
        <w:ind w:right="1138" w:firstLine="480"/>
        <w:jc w:val="both"/>
      </w:pPr>
      <w:r>
        <w:rPr/>
        <w:t>孙晶晶女士分别于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日与中银证券就上述股票质押式回购交易办理 了质押展期手续，购回交易日为：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w:t>
      </w:r>
    </w:p>
    <w:p>
      <w:pPr>
        <w:pStyle w:val="BodyText"/>
        <w:spacing w:line="336" w:lineRule="auto" w:before="32"/>
        <w:ind w:right="1128" w:firstLine="480"/>
        <w:jc w:val="both"/>
      </w:pPr>
      <w:r>
        <w:rPr>
          <w:spacing w:val="-2"/>
        </w:rPr>
        <w:t>孙晶晶女士分别于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日与中银证券就上述股票质押式回购交</w:t>
      </w:r>
      <w:r>
        <w:rPr/>
        <w:t> 易办理了解除质押手续，解质后，孙晶晶女士质押股份数为</w:t>
      </w:r>
      <w:r>
        <w:rPr>
          <w:rFonts w:ascii="Times New Roman" w:hAnsi="Times New Roman" w:cs="Times New Roman" w:eastAsia="Times New Roman" w:hint="default"/>
        </w:rPr>
        <w:t>0</w:t>
      </w:r>
      <w:r>
        <w:rPr/>
        <w:t>股。</w:t>
      </w:r>
    </w:p>
    <w:p>
      <w:pPr>
        <w:pStyle w:val="BodyText"/>
        <w:spacing w:line="338" w:lineRule="auto" w:before="32"/>
        <w:ind w:right="1007" w:firstLine="480"/>
        <w:jc w:val="left"/>
      </w:pPr>
      <w:r>
        <w:rPr>
          <w:spacing w:val="2"/>
        </w:rPr>
        <w:t>上述具体情况详见公司于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23</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22</w:t>
      </w:r>
      <w:r>
        <w:rPr>
          <w:spacing w:val="2"/>
        </w:rPr>
        <w:t>日、</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2020</w:t>
      </w:r>
      <w:r>
        <w:rPr>
          <w:rFonts w:ascii="Times New Roman" w:hAnsi="Times New Roman" w:cs="Times New Roman" w:eastAsia="Times New Roman" w:hint="default"/>
        </w:rPr>
        <w:t> </w:t>
      </w:r>
      <w:r>
        <w:rPr>
          <w:spacing w:val="-9"/>
        </w:rPr>
        <w:t>年</w:t>
      </w:r>
      <w:r>
        <w:rPr>
          <w:rFonts w:ascii="Times New Roman" w:hAnsi="Times New Roman" w:cs="Times New Roman" w:eastAsia="Times New Roman" w:hint="default"/>
          <w:spacing w:val="-9"/>
        </w:rPr>
        <w:t>1</w:t>
      </w:r>
      <w:r>
        <w:rPr>
          <w:spacing w:val="-9"/>
        </w:rPr>
        <w:t>月</w:t>
      </w:r>
      <w:r>
        <w:rPr>
          <w:rFonts w:ascii="Times New Roman" w:hAnsi="Times New Roman" w:cs="Times New Roman" w:eastAsia="Times New Roman" w:hint="default"/>
          <w:spacing w:val="-9"/>
        </w:rPr>
        <w:t>21</w:t>
      </w:r>
      <w:r>
        <w:rPr>
          <w:spacing w:val="-9"/>
        </w:rPr>
        <w:t>日在巨潮资讯网披露的相关公告（公告编号：</w:t>
      </w:r>
      <w:r>
        <w:rPr>
          <w:rFonts w:ascii="Times New Roman" w:hAnsi="Times New Roman" w:cs="Times New Roman" w:eastAsia="Times New Roman" w:hint="default"/>
          <w:spacing w:val="-9"/>
        </w:rPr>
        <w:t>2018-002</w:t>
      </w:r>
      <w:r>
        <w:rPr>
          <w:spacing w:val="-9"/>
        </w:rPr>
        <w:t>、</w:t>
      </w:r>
      <w:r>
        <w:rPr>
          <w:rFonts w:ascii="Times New Roman" w:hAnsi="Times New Roman" w:cs="Times New Roman" w:eastAsia="Times New Roman" w:hint="default"/>
          <w:spacing w:val="-9"/>
        </w:rPr>
        <w:t>2019-004</w:t>
      </w:r>
      <w:r>
        <w:rPr>
          <w:spacing w:val="-9"/>
        </w:rPr>
        <w:t>、</w:t>
      </w:r>
      <w:r>
        <w:rPr>
          <w:rFonts w:ascii="Times New Roman" w:hAnsi="Times New Roman" w:cs="Times New Roman" w:eastAsia="Times New Roman" w:hint="default"/>
          <w:spacing w:val="-9"/>
        </w:rPr>
        <w:t>2019-053</w:t>
      </w:r>
      <w:r>
        <w:rPr>
          <w:spacing w:val="-9"/>
        </w:rPr>
        <w:t>、</w:t>
      </w:r>
      <w:r>
        <w:rPr>
          <w:rFonts w:ascii="Times New Roman" w:hAnsi="Times New Roman" w:cs="Times New Roman" w:eastAsia="Times New Roman" w:hint="default"/>
          <w:spacing w:val="-9"/>
        </w:rPr>
        <w:t>2019-101</w:t>
      </w:r>
      <w:r>
        <w:rPr>
          <w:spacing w:val="-9"/>
        </w:rPr>
        <w:t>、</w:t>
      </w:r>
      <w:r>
        <w:rPr>
          <w:spacing w:val="-96"/>
        </w:rPr>
        <w:t> </w:t>
      </w:r>
      <w:r>
        <w:rPr>
          <w:rFonts w:ascii="Times New Roman" w:hAnsi="Times New Roman" w:cs="Times New Roman" w:eastAsia="Times New Roman" w:hint="default"/>
        </w:rPr>
        <w:t>2020-003</w:t>
      </w:r>
      <w:r>
        <w:rPr/>
        <w:t>）。</w:t>
      </w:r>
    </w:p>
    <w:p>
      <w:pPr>
        <w:spacing w:line="240" w:lineRule="auto" w:before="0"/>
        <w:rPr>
          <w:rFonts w:ascii="宋体" w:hAnsi="宋体" w:cs="宋体" w:eastAsia="宋体" w:hint="default"/>
          <w:sz w:val="24"/>
          <w:szCs w:val="24"/>
        </w:rPr>
      </w:pPr>
    </w:p>
    <w:p>
      <w:pPr>
        <w:pStyle w:val="BodyText"/>
        <w:spacing w:line="343" w:lineRule="auto" w:before="181"/>
        <w:ind w:right="1127" w:firstLine="480"/>
        <w:jc w:val="both"/>
      </w:pPr>
      <w:r>
        <w:rPr/>
        <w:t>综上所述，截至本公告披露日，公司控股股东、实际控制人孙屹峥、张菀夫妇及其一致 </w:t>
      </w:r>
      <w:r>
        <w:rPr>
          <w:spacing w:val="-3"/>
        </w:rPr>
        <w:t>行动人孙晶晶女士、孙好好女士合计持有公司股份</w:t>
      </w:r>
      <w:r>
        <w:rPr>
          <w:rFonts w:ascii="Times New Roman" w:hAnsi="Times New Roman" w:cs="Times New Roman" w:eastAsia="Times New Roman" w:hint="default"/>
          <w:spacing w:val="-3"/>
        </w:rPr>
        <w:t>179,054,564 </w:t>
      </w:r>
      <w:r>
        <w:rPr>
          <w:spacing w:val="-10"/>
        </w:rPr>
        <w:t>股，占公司总股本的</w:t>
      </w:r>
      <w:r>
        <w:rPr>
          <w:spacing w:val="-28"/>
        </w:rPr>
        <w:t> </w:t>
      </w:r>
      <w:r>
        <w:rPr>
          <w:rFonts w:ascii="Times New Roman" w:hAnsi="Times New Roman" w:cs="Times New Roman" w:eastAsia="Times New Roman" w:hint="default"/>
        </w:rPr>
        <w:t>40.93%</w:t>
      </w:r>
      <w:r>
        <w:rPr/>
        <w:t>， 其所持有公司股份合计被质押</w:t>
      </w:r>
      <w:r>
        <w:rPr>
          <w:rFonts w:ascii="Times New Roman" w:hAnsi="Times New Roman" w:cs="Times New Roman" w:eastAsia="Times New Roman" w:hint="default"/>
        </w:rPr>
        <w:t>107,199,999</w:t>
      </w:r>
      <w:r>
        <w:rPr/>
        <w:t>股，占其持有公司股份总数的</w:t>
      </w:r>
      <w:r>
        <w:rPr>
          <w:rFonts w:ascii="Times New Roman" w:hAnsi="Times New Roman" w:cs="Times New Roman" w:eastAsia="Times New Roman" w:hint="default"/>
        </w:rPr>
        <w:t>59.87%</w:t>
      </w:r>
      <w:r>
        <w:rPr/>
        <w:t>，占公司总股</w:t>
      </w:r>
      <w:r>
        <w:rPr>
          <w:spacing w:val="-108"/>
        </w:rPr>
        <w:t> </w:t>
      </w:r>
      <w:r>
        <w:rPr/>
        <w:t>本的</w:t>
      </w:r>
      <w:r>
        <w:rPr>
          <w:rFonts w:ascii="Times New Roman" w:hAnsi="Times New Roman" w:cs="Times New Roman" w:eastAsia="Times New Roman" w:hint="default"/>
        </w:rPr>
        <w:t>24.50%</w:t>
      </w:r>
      <w:r>
        <w:rPr/>
        <w:t>。</w:t>
      </w:r>
    </w:p>
    <w:p>
      <w:pPr>
        <w:pStyle w:val="Heading2"/>
        <w:spacing w:line="240" w:lineRule="auto" w:before="24"/>
        <w:ind w:left="633" w:right="0"/>
        <w:jc w:val="left"/>
        <w:rPr>
          <w:b w:val="0"/>
          <w:bCs w:val="0"/>
        </w:rPr>
      </w:pPr>
      <w:r>
        <w:rPr/>
        <w:t>（六）已披露项目最新进展</w:t>
      </w:r>
      <w:r>
        <w:rPr>
          <w:b w:val="0"/>
          <w:bCs w:val="0"/>
        </w:rPr>
      </w:r>
    </w:p>
    <w:p>
      <w:pPr>
        <w:pStyle w:val="Heading2"/>
        <w:spacing w:line="240" w:lineRule="auto" w:before="151"/>
        <w:ind w:left="633" w:right="0"/>
        <w:jc w:val="left"/>
        <w:rPr>
          <w:b w:val="0"/>
          <w:bCs w:val="0"/>
        </w:rPr>
      </w:pPr>
      <w:r>
        <w:rPr>
          <w:rFonts w:ascii="Times New Roman" w:hAnsi="Times New Roman" w:cs="Times New Roman" w:eastAsia="Times New Roman" w:hint="default"/>
        </w:rPr>
        <w:t>1</w:t>
      </w:r>
      <w:r>
        <w:rPr/>
        <w:t>、中国</w:t>
      </w:r>
      <w:r>
        <w:rPr>
          <w:rFonts w:ascii="Times New Roman" w:hAnsi="Times New Roman" w:cs="Times New Roman" w:eastAsia="Times New Roman" w:hint="default"/>
        </w:rPr>
        <w:t>--</w:t>
      </w:r>
      <w:r>
        <w:rPr/>
        <w:t>东盟信息港南宁五象远洋大数据产业园机房项目进展</w:t>
      </w:r>
      <w:r>
        <w:rPr>
          <w:b w:val="0"/>
          <w:bCs w:val="0"/>
        </w:rPr>
      </w:r>
    </w:p>
    <w:p>
      <w:pPr>
        <w:pStyle w:val="BodyText"/>
        <w:spacing w:line="336" w:lineRule="auto" w:before="138"/>
        <w:ind w:right="1127"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日，公司披露了《关于全资子公司中标中国</w:t>
      </w:r>
      <w:r>
        <w:rPr>
          <w:rFonts w:ascii="Times New Roman" w:hAnsi="Times New Roman" w:cs="Times New Roman" w:eastAsia="Times New Roman" w:hint="default"/>
        </w:rPr>
        <w:t>--</w:t>
      </w:r>
      <w:r>
        <w:rPr/>
        <w:t>东盟信息港南宁五象远洋大数 据产业园机房项目的公告》（公告编号：</w:t>
      </w:r>
      <w:r>
        <w:rPr>
          <w:rFonts w:ascii="Times New Roman" w:hAnsi="Times New Roman" w:cs="Times New Roman" w:eastAsia="Times New Roman" w:hint="default"/>
        </w:rPr>
        <w:t>2019-011</w:t>
      </w:r>
      <w:r>
        <w:rPr/>
        <w:t>）。</w:t>
      </w:r>
    </w:p>
    <w:p>
      <w:pPr>
        <w:pStyle w:val="BodyText"/>
        <w:spacing w:line="338" w:lineRule="auto" w:before="32"/>
        <w:ind w:right="1128" w:firstLine="48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日，公司全资子公司智能工程与广西远洋金象大数据有限公司签署了正式合</w:t>
      </w:r>
      <w:r>
        <w:rPr/>
        <w:t> </w:t>
      </w:r>
      <w:r>
        <w:rPr>
          <w:spacing w:val="-7"/>
        </w:rPr>
        <w:t>同，合同金额合计</w:t>
      </w:r>
      <w:r>
        <w:rPr>
          <w:rFonts w:ascii="Times New Roman" w:hAnsi="Times New Roman" w:cs="Times New Roman" w:eastAsia="Times New Roman" w:hint="default"/>
          <w:spacing w:val="-7"/>
        </w:rPr>
        <w:t>353,019,620</w:t>
      </w:r>
      <w:r>
        <w:rPr>
          <w:spacing w:val="-7"/>
        </w:rPr>
        <w:t>元。具体内容详见公司于</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3</w:t>
      </w:r>
      <w:r>
        <w:rPr>
          <w:spacing w:val="-7"/>
        </w:rPr>
        <w:t>月</w:t>
      </w:r>
      <w:r>
        <w:rPr>
          <w:rFonts w:ascii="Times New Roman" w:hAnsi="Times New Roman" w:cs="Times New Roman" w:eastAsia="Times New Roman" w:hint="default"/>
          <w:spacing w:val="-7"/>
        </w:rPr>
        <w:t>23</w:t>
      </w:r>
      <w:r>
        <w:rPr>
          <w:spacing w:val="-7"/>
        </w:rPr>
        <w:t>日在巨潮资讯网披露的《关</w:t>
      </w:r>
      <w:r>
        <w:rPr>
          <w:spacing w:val="-86"/>
        </w:rPr>
        <w:t> </w:t>
      </w:r>
      <w:r>
        <w:rPr>
          <w:spacing w:val="-86"/>
        </w:rPr>
      </w:r>
      <w:r>
        <w:rPr/>
        <w:t>于全资子公司中标的进展公告》（公告编号：</w:t>
      </w:r>
      <w:r>
        <w:rPr>
          <w:rFonts w:ascii="Times New Roman" w:hAnsi="Times New Roman" w:cs="Times New Roman" w:eastAsia="Times New Roman" w:hint="default"/>
        </w:rPr>
        <w:t>2019-031</w:t>
      </w:r>
      <w:r>
        <w:rPr/>
        <w:t>）。</w:t>
      </w:r>
    </w:p>
    <w:p>
      <w:pPr>
        <w:pStyle w:val="BodyText"/>
        <w:spacing w:line="348" w:lineRule="auto" w:before="24"/>
        <w:ind w:right="1132" w:firstLine="480"/>
        <w:jc w:val="both"/>
      </w:pPr>
      <w:r>
        <w:rPr>
          <w:spacing w:val="-1"/>
        </w:rPr>
        <w:t>截至本公告披露日，含设备与施工已累计回款</w:t>
      </w:r>
      <w:r>
        <w:rPr>
          <w:rFonts w:ascii="Times New Roman" w:hAnsi="Times New Roman" w:cs="Times New Roman" w:eastAsia="Times New Roman" w:hint="default"/>
          <w:spacing w:val="-1"/>
        </w:rPr>
        <w:t>8,260</w:t>
      </w:r>
      <w:r>
        <w:rPr>
          <w:spacing w:val="-1"/>
        </w:rPr>
        <w:t>万元，目前我方正常施工中，因疫情</w:t>
      </w:r>
      <w:r>
        <w:rPr/>
        <w:t> 影响推迟复工，一期项目施工完成时间略有延迟。公司将根据有关法律法规及时披露后续进</w:t>
      </w:r>
      <w:r>
        <w:rPr>
          <w:spacing w:val="-91"/>
        </w:rPr>
        <w:t> </w:t>
      </w:r>
      <w:r>
        <w:rPr>
          <w:spacing w:val="-91"/>
        </w:rPr>
      </w:r>
      <w:r>
        <w:rPr/>
        <w:t>展情况。</w:t>
      </w:r>
    </w:p>
    <w:p>
      <w:pPr>
        <w:pStyle w:val="Heading2"/>
        <w:spacing w:line="240" w:lineRule="auto" w:before="48"/>
        <w:ind w:left="633" w:right="0"/>
        <w:jc w:val="left"/>
        <w:rPr>
          <w:b w:val="0"/>
          <w:bCs w:val="0"/>
        </w:rPr>
      </w:pPr>
      <w:r>
        <w:rPr>
          <w:rFonts w:ascii="Times New Roman" w:hAnsi="Times New Roman" w:cs="Times New Roman" w:eastAsia="Times New Roman" w:hint="default"/>
        </w:rPr>
        <w:t>2</w:t>
      </w:r>
      <w:r>
        <w:rPr/>
        <w:t>、中标阿里巴巴数据中心项目冷冻水精密空调集采项目进展</w:t>
      </w:r>
      <w:r>
        <w:rPr>
          <w:b w:val="0"/>
          <w:bCs w:val="0"/>
        </w:rPr>
      </w:r>
    </w:p>
    <w:p>
      <w:pPr>
        <w:pStyle w:val="BodyText"/>
        <w:spacing w:line="338" w:lineRule="auto" w:before="133"/>
        <w:ind w:right="1136" w:firstLine="4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日，公司披露了《关于中标阿里巴巴数据中心项目冷冻水精密空调集采项 目的公告》（公告编号：</w:t>
      </w:r>
      <w:r>
        <w:rPr>
          <w:rFonts w:ascii="Times New Roman" w:hAnsi="Times New Roman" w:cs="Times New Roman" w:eastAsia="Times New Roman" w:hint="default"/>
        </w:rPr>
        <w:t>2018-089</w:t>
      </w:r>
      <w:r>
        <w:rPr/>
        <w:t>），公司成为阿里巴巴数据中心项目冷冻水精密空调集采</w:t>
      </w:r>
      <w:r>
        <w:rPr>
          <w:spacing w:val="-63"/>
        </w:rPr>
        <w:t> </w:t>
      </w:r>
      <w:r>
        <w:rPr>
          <w:spacing w:val="-63"/>
        </w:rPr>
      </w:r>
      <w:r>
        <w:rPr/>
        <w:t>项目的中标签约单位，中标预估数量为招标总量的</w:t>
      </w:r>
      <w:r>
        <w:rPr>
          <w:rFonts w:ascii="Times New Roman" w:hAnsi="Times New Roman" w:cs="Times New Roman" w:eastAsia="Times New Roman" w:hint="default"/>
        </w:rPr>
        <w:t>70%</w:t>
      </w:r>
      <w:r>
        <w:rPr/>
        <w:t>份额，具体分配数量以后续实际数量</w:t>
      </w:r>
      <w:r>
        <w:rPr>
          <w:spacing w:val="-61"/>
        </w:rPr>
        <w:t> </w:t>
      </w:r>
      <w:r>
        <w:rPr>
          <w:spacing w:val="-61"/>
        </w:rPr>
      </w:r>
      <w:r>
        <w:rPr/>
        <w:t>为准。</w:t>
      </w:r>
    </w:p>
    <w:p>
      <w:pPr>
        <w:spacing w:after="0" w:line="338"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50" w:lineRule="auto"/>
        <w:ind w:right="1134" w:firstLine="48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月与浙江天猫供应链管理有限公司签署了《阿里巴巴数据中心项目精密 空调设备采购及供应框架合同》，阿里方面根据其数据中心建设需求及工程进度分批次向公</w:t>
      </w:r>
      <w:r>
        <w:rPr>
          <w:spacing w:val="-93"/>
        </w:rPr>
        <w:t> </w:t>
      </w:r>
      <w:r>
        <w:rPr>
          <w:spacing w:val="-93"/>
        </w:rPr>
      </w:r>
      <w:r>
        <w:rPr/>
        <w:t>司下达采购订单，截至目前，有关采购订单正常执行中。公司将根据有关法律法规规定，合</w:t>
      </w:r>
      <w:r>
        <w:rPr>
          <w:spacing w:val="-91"/>
        </w:rPr>
        <w:t> </w:t>
      </w:r>
      <w:r>
        <w:rPr>
          <w:spacing w:val="-91"/>
        </w:rPr>
      </w:r>
      <w:r>
        <w:rPr/>
        <w:t>法、合规、及时披露后续进展情况。</w:t>
      </w:r>
    </w:p>
    <w:p>
      <w:pPr>
        <w:pStyle w:val="Heading2"/>
        <w:spacing w:line="240" w:lineRule="auto" w:before="46"/>
        <w:ind w:left="633" w:right="0"/>
        <w:jc w:val="left"/>
        <w:rPr>
          <w:b w:val="0"/>
          <w:bCs w:val="0"/>
        </w:rPr>
      </w:pPr>
      <w:r>
        <w:rPr>
          <w:rFonts w:ascii="Times New Roman" w:hAnsi="Times New Roman" w:cs="Times New Roman" w:eastAsia="Times New Roman" w:hint="default"/>
        </w:rPr>
        <w:t>3</w:t>
      </w:r>
      <w:r>
        <w:rPr/>
        <w:t>、房山绿色云计算数据中心项目进展</w:t>
      </w:r>
      <w:r>
        <w:rPr>
          <w:b w:val="0"/>
          <w:bCs w:val="0"/>
        </w:rPr>
      </w:r>
    </w:p>
    <w:p>
      <w:pPr>
        <w:pStyle w:val="BodyText"/>
        <w:spacing w:line="338" w:lineRule="auto" w:before="133"/>
        <w:ind w:right="886" w:firstLine="48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日，公司披露了《关于全资子公司智能工程签署云计算数据中心机电安装总 包合同的公告》（公告编号：</w:t>
      </w:r>
      <w:r>
        <w:rPr>
          <w:rFonts w:ascii="Times New Roman" w:hAnsi="Times New Roman" w:cs="Times New Roman" w:eastAsia="Times New Roman" w:hint="default"/>
        </w:rPr>
        <w:t>2018-049</w:t>
      </w:r>
      <w:r>
        <w:rPr/>
        <w:t>），公司全资子公司智能工程与北京德信致远科技有</w:t>
      </w:r>
      <w:r>
        <w:rPr>
          <w:spacing w:val="-62"/>
        </w:rPr>
        <w:t> </w:t>
      </w:r>
      <w:r>
        <w:rPr>
          <w:spacing w:val="-62"/>
        </w:rPr>
      </w:r>
      <w:r>
        <w:rPr>
          <w:spacing w:val="2"/>
        </w:rPr>
        <w:t>限公司签署了《北京德信致远科技有限公司 </w:t>
      </w:r>
      <w:r>
        <w:rPr>
          <w:rFonts w:ascii="Times New Roman" w:hAnsi="Times New Roman" w:cs="Times New Roman" w:eastAsia="Times New Roman" w:hint="default"/>
        </w:rPr>
        <w:t>1#</w:t>
      </w:r>
      <w:r>
        <w:rPr/>
        <w:t>云计算中心等 </w:t>
      </w:r>
      <w:r>
        <w:rPr>
          <w:rFonts w:ascii="Times New Roman" w:hAnsi="Times New Roman" w:cs="Times New Roman" w:eastAsia="Times New Roman" w:hint="default"/>
        </w:rPr>
        <w:t>7 </w:t>
      </w:r>
      <w:r>
        <w:rPr/>
        <w:t>项（房山绿色云计算数据中</w:t>
      </w:r>
      <w:r>
        <w:rPr>
          <w:spacing w:val="-75"/>
        </w:rPr>
        <w:t> </w:t>
      </w:r>
      <w:r>
        <w:rPr>
          <w:spacing w:val="-75"/>
        </w:rPr>
      </w:r>
      <w:r>
        <w:rPr>
          <w:spacing w:val="-8"/>
        </w:rPr>
        <w:t>心）机电安装总承包工程合同》，本合同价款</w:t>
      </w:r>
      <w:r>
        <w:rPr>
          <w:rFonts w:ascii="Times New Roman" w:hAnsi="Times New Roman" w:cs="Times New Roman" w:eastAsia="Times New Roman" w:hint="default"/>
          <w:spacing w:val="-8"/>
        </w:rPr>
        <w:t>6.03</w:t>
      </w:r>
      <w:r>
        <w:rPr>
          <w:spacing w:val="-8"/>
        </w:rPr>
        <w:t>亿元，占公司</w:t>
      </w:r>
      <w:r>
        <w:rPr>
          <w:rFonts w:ascii="Times New Roman" w:hAnsi="Times New Roman" w:cs="Times New Roman" w:eastAsia="Times New Roman" w:hint="default"/>
          <w:spacing w:val="-8"/>
        </w:rPr>
        <w:t>2017</w:t>
      </w:r>
      <w:r>
        <w:rPr>
          <w:spacing w:val="-8"/>
        </w:rPr>
        <w:t>年经审计营业收入的</w:t>
      </w:r>
      <w:r>
        <w:rPr>
          <w:rFonts w:ascii="Times New Roman" w:hAnsi="Times New Roman" w:cs="Times New Roman" w:eastAsia="Times New Roman" w:hint="default"/>
          <w:spacing w:val="-8"/>
        </w:rPr>
        <w:t>48.32%</w:t>
      </w:r>
      <w:r>
        <w:rPr>
          <w:spacing w:val="-8"/>
        </w:rPr>
        <w:t>。</w:t>
      </w:r>
    </w:p>
    <w:p>
      <w:pPr>
        <w:pStyle w:val="BodyText"/>
        <w:spacing w:line="338" w:lineRule="auto" w:before="25"/>
        <w:ind w:right="1129" w:firstLine="480"/>
        <w:jc w:val="both"/>
      </w:pPr>
      <w:r>
        <w:rPr/>
        <w:t>截至本公告披露日，该项目共</w:t>
      </w:r>
      <w:r>
        <w:rPr>
          <w:rFonts w:ascii="Times New Roman" w:hAnsi="Times New Roman" w:cs="Times New Roman" w:eastAsia="Times New Roman" w:hint="default"/>
        </w:rPr>
        <w:t>4</w:t>
      </w:r>
      <w:r>
        <w:rPr/>
        <w:t>栋数据中心，</w:t>
      </w:r>
      <w:r>
        <w:rPr>
          <w:rFonts w:ascii="Times New Roman" w:hAnsi="Times New Roman" w:cs="Times New Roman" w:eastAsia="Times New Roman" w:hint="default"/>
        </w:rPr>
        <w:t>2</w:t>
      </w:r>
      <w:r>
        <w:rPr/>
        <w:t>号数据中心已竣工验收，</w:t>
      </w:r>
      <w:r>
        <w:rPr>
          <w:rFonts w:ascii="Times New Roman" w:hAnsi="Times New Roman" w:cs="Times New Roman" w:eastAsia="Times New Roman" w:hint="default"/>
        </w:rPr>
        <w:t>1</w:t>
      </w:r>
      <w:r>
        <w:rPr/>
        <w:t>号数据中心</w:t>
      </w:r>
      <w:r>
        <w:rPr>
          <w:rFonts w:ascii="Times New Roman" w:hAnsi="Times New Roman" w:cs="Times New Roman" w:eastAsia="Times New Roman" w:hint="default"/>
        </w:rPr>
        <w:t>1-3 </w:t>
      </w:r>
      <w:r>
        <w:rPr>
          <w:spacing w:val="-3"/>
        </w:rPr>
        <w:t>层已竣工验收，目前</w:t>
      </w:r>
      <w:r>
        <w:rPr>
          <w:rFonts w:ascii="Times New Roman" w:hAnsi="Times New Roman" w:cs="Times New Roman" w:eastAsia="Times New Roman" w:hint="default"/>
          <w:spacing w:val="-3"/>
        </w:rPr>
        <w:t>4</w:t>
      </w:r>
      <w:r>
        <w:rPr>
          <w:spacing w:val="-3"/>
        </w:rPr>
        <w:t>层尚处于施工阶段，受疫情影响，项目暂未复工，后续将根据当地的疫</w:t>
      </w:r>
      <w:r>
        <w:rPr>
          <w:spacing w:val="-82"/>
        </w:rPr>
        <w:t> </w:t>
      </w:r>
      <w:r>
        <w:rPr>
          <w:spacing w:val="-82"/>
        </w:rPr>
      </w:r>
      <w:r>
        <w:rPr/>
        <w:t>情管控政策推进项目建设。公司将根据有关法律法规及时披露后续进展情况。</w:t>
      </w:r>
    </w:p>
    <w:p>
      <w:pPr>
        <w:pStyle w:val="Heading2"/>
        <w:spacing w:line="240" w:lineRule="auto" w:before="58"/>
        <w:ind w:left="633" w:right="0"/>
        <w:jc w:val="left"/>
        <w:rPr>
          <w:b w:val="0"/>
          <w:bCs w:val="0"/>
        </w:rPr>
      </w:pPr>
      <w:r>
        <w:rPr>
          <w:rFonts w:ascii="Times New Roman" w:hAnsi="Times New Roman" w:cs="Times New Roman" w:eastAsia="Times New Roman" w:hint="default"/>
        </w:rPr>
        <w:t>4</w:t>
      </w:r>
      <w:r>
        <w:rPr/>
        <w:t>、平昌县黄滩坝医疗科技产业园建设</w:t>
      </w:r>
      <w:r>
        <w:rPr>
          <w:rFonts w:ascii="Times New Roman" w:hAnsi="Times New Roman" w:cs="Times New Roman" w:eastAsia="Times New Roman" w:hint="default"/>
        </w:rPr>
        <w:t>PPP</w:t>
      </w:r>
      <w:r>
        <w:rPr/>
        <w:t>项目进展</w:t>
      </w:r>
      <w:r>
        <w:rPr>
          <w:b w:val="0"/>
          <w:bCs w:val="0"/>
        </w:rPr>
      </w:r>
    </w:p>
    <w:p>
      <w:pPr>
        <w:pStyle w:val="BodyText"/>
        <w:spacing w:line="338" w:lineRule="auto" w:before="133"/>
        <w:ind w:right="1117" w:firstLine="48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14</w:t>
      </w:r>
      <w:r>
        <w:rPr>
          <w:spacing w:val="-3"/>
        </w:rPr>
        <w:t>日，公司召开第三届董事会第三十一次会议审议通过了《关于对外投资设立</w:t>
      </w:r>
      <w:r>
        <w:rPr/>
        <w:t> </w:t>
      </w:r>
      <w:r>
        <w:rPr>
          <w:spacing w:val="-3"/>
        </w:rPr>
        <w:t>项目公司建设</w:t>
      </w:r>
      <w:r>
        <w:rPr>
          <w:rFonts w:ascii="Times New Roman" w:hAnsi="Times New Roman" w:cs="Times New Roman" w:eastAsia="Times New Roman" w:hint="default"/>
          <w:spacing w:val="-3"/>
        </w:rPr>
        <w:t>“</w:t>
      </w:r>
      <w:r>
        <w:rPr>
          <w:spacing w:val="-3"/>
        </w:rPr>
        <w:t>平昌县黄滩坝医疗科技产业园建设</w:t>
      </w:r>
      <w:r>
        <w:rPr>
          <w:rFonts w:ascii="Times New Roman" w:hAnsi="Times New Roman" w:cs="Times New Roman" w:eastAsia="Times New Roman" w:hint="default"/>
          <w:spacing w:val="-3"/>
        </w:rPr>
        <w:t>PPP</w:t>
      </w:r>
      <w:r>
        <w:rPr>
          <w:spacing w:val="-3"/>
        </w:rPr>
        <w:t>项目</w:t>
      </w:r>
      <w:r>
        <w:rPr>
          <w:rFonts w:ascii="Times New Roman" w:hAnsi="Times New Roman" w:cs="Times New Roman" w:eastAsia="Times New Roman" w:hint="default"/>
          <w:spacing w:val="-3"/>
        </w:rPr>
        <w:t>”</w:t>
      </w:r>
      <w:r>
        <w:rPr>
          <w:spacing w:val="-3"/>
        </w:rPr>
        <w:t>的议案》，项目公司平昌县依米康</w:t>
      </w:r>
      <w:r>
        <w:rPr>
          <w:spacing w:val="-90"/>
        </w:rPr>
        <w:t> </w:t>
      </w:r>
      <w:r>
        <w:rPr>
          <w:spacing w:val="-90"/>
        </w:rPr>
      </w:r>
      <w:r>
        <w:rPr>
          <w:spacing w:val="3"/>
        </w:rPr>
        <w:t>医疗投资管理有限公司于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9</w:t>
      </w:r>
      <w:r>
        <w:rPr>
          <w:spacing w:val="3"/>
        </w:rPr>
        <w:t>月完成工商设立。具体内容详见公司于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15</w:t>
      </w:r>
      <w:r>
        <w:rPr>
          <w:spacing w:val="2"/>
        </w:rPr>
        <w:t>日、</w:t>
      </w:r>
      <w:r>
        <w:rPr>
          <w:spacing w:val="-106"/>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日在巨潮资讯网披露的公告（公告编号：</w:t>
      </w:r>
      <w:r>
        <w:rPr>
          <w:rFonts w:ascii="Times New Roman" w:hAnsi="Times New Roman" w:cs="Times New Roman" w:eastAsia="Times New Roman" w:hint="default"/>
        </w:rPr>
        <w:t>2017-084</w:t>
      </w:r>
      <w:r>
        <w:rPr/>
        <w:t>、</w:t>
      </w:r>
      <w:r>
        <w:rPr>
          <w:rFonts w:ascii="Times New Roman" w:hAnsi="Times New Roman" w:cs="Times New Roman" w:eastAsia="Times New Roman" w:hint="default"/>
        </w:rPr>
        <w:t>2017-085</w:t>
      </w:r>
      <w:r>
        <w:rPr/>
        <w:t>、</w:t>
      </w:r>
      <w:r>
        <w:rPr>
          <w:rFonts w:ascii="Times New Roman" w:hAnsi="Times New Roman" w:cs="Times New Roman" w:eastAsia="Times New Roman" w:hint="default"/>
        </w:rPr>
        <w:t>2017-101</w:t>
      </w:r>
      <w:r>
        <w:rPr/>
        <w:t>）。</w:t>
      </w:r>
    </w:p>
    <w:p>
      <w:pPr>
        <w:pStyle w:val="BodyText"/>
        <w:spacing w:line="348" w:lineRule="auto" w:before="25"/>
        <w:ind w:right="1134" w:firstLine="480"/>
        <w:jc w:val="both"/>
      </w:pPr>
      <w:r>
        <w:rPr/>
        <w:t>截至本公告披露日，该项目主体已建设完毕，尚处于装修机电工程实施阶段，受疫情影 </w:t>
      </w:r>
      <w:r>
        <w:rPr>
          <w:spacing w:val="-3"/>
        </w:rPr>
        <w:t>响推迟于</w:t>
      </w:r>
      <w:r>
        <w:rPr>
          <w:rFonts w:ascii="Times New Roman" w:hAnsi="Times New Roman" w:cs="Times New Roman" w:eastAsia="Times New Roman" w:hint="default"/>
          <w:spacing w:val="-3"/>
        </w:rPr>
        <w:t>3</w:t>
      </w:r>
      <w:r>
        <w:rPr>
          <w:spacing w:val="-3"/>
        </w:rPr>
        <w:t>月下旬正式复工，目前项目正常施工中。公司将按照有关法律法规的规定，及时披</w:t>
      </w:r>
      <w:r>
        <w:rPr>
          <w:spacing w:val="-84"/>
        </w:rPr>
        <w:t> </w:t>
      </w:r>
      <w:r>
        <w:rPr>
          <w:spacing w:val="-84"/>
        </w:rPr>
      </w:r>
      <w:r>
        <w:rPr/>
        <w:t>露后续进展情况。</w:t>
      </w:r>
    </w:p>
    <w:p>
      <w:pPr>
        <w:pStyle w:val="Heading2"/>
        <w:spacing w:line="240" w:lineRule="auto" w:before="49"/>
        <w:ind w:left="633" w:right="0"/>
        <w:jc w:val="left"/>
        <w:rPr>
          <w:b w:val="0"/>
          <w:bCs w:val="0"/>
        </w:rPr>
      </w:pPr>
      <w:r>
        <w:rPr>
          <w:rFonts w:ascii="Times New Roman" w:hAnsi="Times New Roman" w:cs="Times New Roman" w:eastAsia="Times New Roman" w:hint="default"/>
        </w:rPr>
        <w:t>5</w:t>
      </w:r>
      <w:r>
        <w:rPr/>
        <w:t>、腾龙亦庄数据云服务项目进展</w:t>
      </w:r>
      <w:r>
        <w:rPr>
          <w:b w:val="0"/>
          <w:bCs w:val="0"/>
        </w:rPr>
      </w:r>
    </w:p>
    <w:p>
      <w:pPr>
        <w:pStyle w:val="BodyText"/>
        <w:spacing w:line="240" w:lineRule="auto" w:before="133"/>
        <w:ind w:left="63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w:t>
      </w:r>
      <w:r>
        <w:rPr>
          <w:spacing w:val="-87"/>
        </w:rPr>
        <w:t>，</w:t>
      </w:r>
      <w:r>
        <w:rPr/>
        <w:t>公司披露</w:t>
      </w:r>
      <w:r>
        <w:rPr>
          <w:spacing w:val="-87"/>
        </w:rPr>
        <w:t>了</w:t>
      </w:r>
      <w:r>
        <w:rPr/>
        <w:t>《关于全资子公</w:t>
      </w:r>
      <w:r>
        <w:rPr>
          <w:spacing w:val="-5"/>
        </w:rPr>
        <w:t>司</w:t>
      </w:r>
      <w:r>
        <w:rPr/>
        <w:t>签</w:t>
      </w:r>
      <w:r>
        <w:rPr>
          <w:spacing w:val="1"/>
        </w:rPr>
        <w:t>署</w:t>
      </w:r>
      <w:r>
        <w:rPr>
          <w:rFonts w:ascii="Times New Roman" w:hAnsi="Times New Roman" w:cs="Times New Roman" w:eastAsia="Times New Roman" w:hint="default"/>
          <w:spacing w:val="-1"/>
        </w:rPr>
        <w:t>&lt;</w:t>
      </w:r>
      <w:r>
        <w:rPr/>
        <w:t>项目总包合同</w:t>
      </w:r>
      <w:r>
        <w:rPr>
          <w:rFonts w:ascii="Times New Roman" w:hAnsi="Times New Roman" w:cs="Times New Roman" w:eastAsia="Times New Roman" w:hint="default"/>
          <w:spacing w:val="-1"/>
        </w:rPr>
        <w:t>&gt;</w:t>
      </w:r>
      <w:r>
        <w:rPr/>
        <w:t>的公告</w:t>
      </w:r>
      <w:r>
        <w:rPr>
          <w:spacing w:val="-173"/>
        </w:rPr>
        <w:t>》</w:t>
      </w:r>
      <w:r>
        <w:rPr/>
        <w:t>（公告编号：</w:t>
      </w:r>
    </w:p>
    <w:p>
      <w:pPr>
        <w:pStyle w:val="BodyText"/>
        <w:spacing w:line="338" w:lineRule="auto" w:before="138"/>
        <w:ind w:right="1127"/>
        <w:jc w:val="both"/>
      </w:pPr>
      <w:r>
        <w:rPr>
          <w:rFonts w:ascii="Times New Roman" w:hAnsi="Times New Roman" w:cs="Times New Roman" w:eastAsia="Times New Roman" w:hint="default"/>
          <w:spacing w:val="-1"/>
        </w:rPr>
        <w:t>2017-010</w:t>
      </w:r>
      <w:r>
        <w:rPr>
          <w:spacing w:val="-1"/>
        </w:rPr>
        <w:t>），公司全资子公司桑瑞思与腾龙数据（北京）科技发展有限公司（以下简称</w:t>
      </w:r>
      <w:r>
        <w:rPr>
          <w:rFonts w:ascii="Times New Roman" w:hAnsi="Times New Roman" w:cs="Times New Roman" w:eastAsia="Times New Roman" w:hint="default"/>
          <w:spacing w:val="-1"/>
        </w:rPr>
        <w:t>“</w:t>
      </w:r>
      <w:r>
        <w:rPr>
          <w:spacing w:val="-1"/>
        </w:rPr>
        <w:t>腾龙</w:t>
      </w:r>
      <w:r>
        <w:rPr>
          <w:spacing w:val="-108"/>
        </w:rPr>
        <w:t> </w:t>
      </w:r>
      <w:r>
        <w:rPr>
          <w:spacing w:val="-1"/>
        </w:rPr>
        <w:t>数据</w:t>
      </w:r>
      <w:r>
        <w:rPr>
          <w:rFonts w:ascii="Times New Roman" w:hAnsi="Times New Roman" w:cs="Times New Roman" w:eastAsia="Times New Roman" w:hint="default"/>
          <w:spacing w:val="-1"/>
        </w:rPr>
        <w:t>”</w:t>
      </w:r>
      <w:r>
        <w:rPr>
          <w:spacing w:val="-1"/>
        </w:rPr>
        <w:t>）签署了《腾龙亦庄数据云服务项目项目总包合同》，合同总金额为</w:t>
      </w:r>
      <w:r>
        <w:rPr>
          <w:rFonts w:ascii="Times New Roman" w:hAnsi="Times New Roman" w:cs="Times New Roman" w:eastAsia="Times New Roman" w:hint="default"/>
          <w:spacing w:val="-1"/>
        </w:rPr>
        <w:t>5.80</w:t>
      </w:r>
      <w:r>
        <w:rPr>
          <w:spacing w:val="-1"/>
        </w:rPr>
        <w:t>亿人民币，其</w:t>
      </w:r>
      <w:r>
        <w:rPr>
          <w:spacing w:val="-84"/>
        </w:rPr>
        <w:t> </w:t>
      </w:r>
      <w:r>
        <w:rPr>
          <w:spacing w:val="-84"/>
        </w:rPr>
      </w:r>
      <w:r>
        <w:rPr>
          <w:spacing w:val="-6"/>
        </w:rPr>
        <w:t>中：第一期项目金额为</w:t>
      </w:r>
      <w:r>
        <w:rPr>
          <w:rFonts w:ascii="Times New Roman" w:hAnsi="Times New Roman" w:cs="Times New Roman" w:eastAsia="Times New Roman" w:hint="default"/>
          <w:spacing w:val="-6"/>
        </w:rPr>
        <w:t>2.7760</w:t>
      </w:r>
      <w:r>
        <w:rPr>
          <w:spacing w:val="-6"/>
        </w:rPr>
        <w:t>亿，第二期项目金额为</w:t>
      </w:r>
      <w:r>
        <w:rPr>
          <w:rFonts w:ascii="Times New Roman" w:hAnsi="Times New Roman" w:cs="Times New Roman" w:eastAsia="Times New Roman" w:hint="default"/>
          <w:spacing w:val="-6"/>
        </w:rPr>
        <w:t>1.9440</w:t>
      </w:r>
      <w:r>
        <w:rPr>
          <w:spacing w:val="-6"/>
        </w:rPr>
        <w:t>亿，第三期项目金额为</w:t>
      </w:r>
      <w:r>
        <w:rPr>
          <w:rFonts w:ascii="Times New Roman" w:hAnsi="Times New Roman" w:cs="Times New Roman" w:eastAsia="Times New Roman" w:hint="default"/>
          <w:spacing w:val="-6"/>
        </w:rPr>
        <w:t>1.0800</w:t>
      </w:r>
      <w:r>
        <w:rPr>
          <w:spacing w:val="-6"/>
        </w:rPr>
        <w:t>亿（由</w:t>
      </w:r>
      <w:r>
        <w:rPr>
          <w:spacing w:val="-78"/>
        </w:rPr>
        <w:t> </w:t>
      </w:r>
      <w:r>
        <w:rPr>
          <w:spacing w:val="-78"/>
        </w:rPr>
      </w:r>
      <w:r>
        <w:rPr/>
        <w:t>于工程项目建设期间不可避免的存在变更的情况，实际金额以最终结算为准）。</w:t>
      </w:r>
    </w:p>
    <w:p>
      <w:pPr>
        <w:pStyle w:val="BodyText"/>
        <w:spacing w:line="348" w:lineRule="auto" w:before="58"/>
        <w:ind w:right="1122" w:firstLine="480"/>
        <w:jc w:val="both"/>
      </w:pPr>
      <w:r>
        <w:rPr/>
        <w:t>项目实际建设过程中，存在变更、延期等情况，未能完全按照协议约定开展。一期项目 </w:t>
      </w:r>
      <w:r>
        <w:rPr>
          <w:spacing w:val="-2"/>
        </w:rPr>
        <w:t>工程于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月完工，二期项目工程于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月完工，一、二期已结算</w:t>
      </w:r>
      <w:r>
        <w:rPr>
          <w:rFonts w:ascii="Times New Roman" w:hAnsi="Times New Roman" w:cs="Times New Roman" w:eastAsia="Times New Roman" w:hint="default"/>
          <w:spacing w:val="-2"/>
        </w:rPr>
        <w:t>47,508.42</w:t>
      </w:r>
      <w:r>
        <w:rPr>
          <w:spacing w:val="-2"/>
        </w:rPr>
        <w:t>万元，均</w:t>
      </w:r>
      <w:r>
        <w:rPr>
          <w:spacing w:val="-98"/>
        </w:rPr>
        <w:t> </w:t>
      </w:r>
      <w:r>
        <w:rPr>
          <w:spacing w:val="-98"/>
        </w:rPr>
      </w:r>
      <w:r>
        <w:rPr/>
        <w:t>已交付最终客户阿里巴巴使用。腾龙数据基于最终客户的订单需求以及北京地区相关政府部</w:t>
      </w:r>
    </w:p>
    <w:p>
      <w:pPr>
        <w:spacing w:after="0" w:line="348"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55" w:lineRule="auto"/>
        <w:ind w:left="633" w:right="0" w:hanging="480"/>
        <w:jc w:val="left"/>
      </w:pPr>
      <w:r>
        <w:rPr/>
        <w:t>门的规划建设、电力、能评等批文取得情况，适时开展第三期建设。 </w:t>
      </w:r>
      <w:r>
        <w:rPr>
          <w:spacing w:val="6"/>
        </w:rPr>
        <w:t>截止报告期末，腾龙亦庄数据云服务项目应收账款余额为</w:t>
      </w:r>
      <w:r>
        <w:rPr>
          <w:rFonts w:ascii="Times New Roman" w:hAnsi="Times New Roman" w:cs="Times New Roman" w:eastAsia="Times New Roman" w:hint="default"/>
          <w:spacing w:val="6"/>
        </w:rPr>
        <w:t>16,973.42</w:t>
      </w:r>
      <w:r>
        <w:rPr>
          <w:spacing w:val="6"/>
        </w:rPr>
        <w:t>万元，公司已计提</w:t>
      </w:r>
    </w:p>
    <w:p>
      <w:pPr>
        <w:spacing w:line="491" w:lineRule="auto" w:before="11"/>
        <w:ind w:left="153" w:right="785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1,697.342</w:t>
      </w:r>
      <w:r>
        <w:rPr>
          <w:rFonts w:ascii="宋体" w:hAnsi="宋体" w:cs="宋体" w:eastAsia="宋体" w:hint="default"/>
          <w:sz w:val="24"/>
          <w:szCs w:val="24"/>
        </w:rPr>
        <w:t>万元坏账准备。</w:t>
      </w:r>
      <w:r>
        <w:rPr>
          <w:rFonts w:ascii="宋体" w:hAnsi="宋体" w:cs="宋体" w:eastAsia="宋体" w:hint="default"/>
          <w:spacing w:val="-115"/>
          <w:sz w:val="24"/>
          <w:szCs w:val="24"/>
        </w:rPr>
        <w:t> </w:t>
      </w:r>
      <w:bookmarkStart w:name="十九、公司子公司重大事项" w:id="99"/>
      <w:bookmarkEnd w:id="99"/>
      <w:r>
        <w:rPr>
          <w:rFonts w:ascii="宋体" w:hAnsi="宋体" w:cs="宋体" w:eastAsia="宋体" w:hint="default"/>
          <w:spacing w:val="-115"/>
          <w:sz w:val="24"/>
          <w:szCs w:val="24"/>
        </w:rPr>
      </w:r>
      <w:r>
        <w:rPr>
          <w:rFonts w:ascii="宋体" w:hAnsi="宋体" w:cs="宋体" w:eastAsia="宋体" w:hint="default"/>
          <w:b/>
          <w:bCs/>
          <w:sz w:val="24"/>
          <w:szCs w:val="24"/>
        </w:rPr>
        <w:t>十九、公司子公司重大事项</w:t>
      </w:r>
      <w:r>
        <w:rPr>
          <w:rFonts w:ascii="宋体" w:hAnsi="宋体" w:cs="宋体" w:eastAsia="宋体" w:hint="default"/>
          <w:sz w:val="24"/>
          <w:szCs w:val="24"/>
        </w:rPr>
      </w:r>
    </w:p>
    <w:p>
      <w:pPr>
        <w:spacing w:before="10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Heading2"/>
        <w:spacing w:line="240" w:lineRule="auto" w:before="127"/>
        <w:ind w:left="633" w:right="0"/>
        <w:jc w:val="left"/>
        <w:rPr>
          <w:b w:val="0"/>
          <w:bCs w:val="0"/>
        </w:rPr>
      </w:pPr>
      <w:r>
        <w:rPr/>
        <w:t>（一）终止抚仙湖生态环境监测系统建设</w:t>
      </w:r>
      <w:r>
        <w:rPr>
          <w:rFonts w:ascii="Times New Roman" w:hAnsi="Times New Roman" w:cs="Times New Roman" w:eastAsia="Times New Roman" w:hint="default"/>
        </w:rPr>
        <w:t>PPP</w:t>
      </w:r>
      <w:r>
        <w:rPr/>
        <w:t>项目进展</w:t>
      </w:r>
      <w:r>
        <w:rPr>
          <w:b w:val="0"/>
          <w:bCs w:val="0"/>
        </w:rPr>
      </w:r>
    </w:p>
    <w:p>
      <w:pPr>
        <w:pStyle w:val="BodyText"/>
        <w:spacing w:line="338" w:lineRule="auto" w:before="138"/>
        <w:ind w:right="889" w:firstLine="48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17</w:t>
      </w:r>
      <w:r>
        <w:rPr>
          <w:spacing w:val="-2"/>
        </w:rPr>
        <w:t>日，公司召开第三届董事会第四十三次会议及第三届监事会第二十九次会议，</w:t>
      </w:r>
      <w:r>
        <w:rPr/>
        <w:t> 审议通过了《关于全资子公司提前终止</w:t>
      </w:r>
      <w:r>
        <w:rPr>
          <w:rFonts w:ascii="Times New Roman" w:hAnsi="Times New Roman" w:cs="Times New Roman" w:eastAsia="Times New Roman" w:hint="default"/>
        </w:rPr>
        <w:t>&lt;</w:t>
      </w:r>
      <w:r>
        <w:rPr/>
        <w:t>抚仙湖生态环境监测系统建设 </w:t>
      </w:r>
      <w:r>
        <w:rPr>
          <w:rFonts w:ascii="Times New Roman" w:hAnsi="Times New Roman" w:cs="Times New Roman" w:eastAsia="Times New Roman" w:hint="default"/>
        </w:rPr>
        <w:t>PPP</w:t>
      </w:r>
      <w:r>
        <w:rPr>
          <w:rFonts w:ascii="Times New Roman" w:hAnsi="Times New Roman" w:cs="Times New Roman" w:eastAsia="Times New Roman" w:hint="default"/>
          <w:spacing w:val="-4"/>
        </w:rPr>
        <w:t> </w:t>
      </w:r>
      <w:r>
        <w:rPr>
          <w:spacing w:val="-6"/>
        </w:rPr>
        <w:t>项目协议</w:t>
      </w:r>
      <w:r>
        <w:rPr>
          <w:rFonts w:ascii="Times New Roman" w:hAnsi="Times New Roman" w:cs="Times New Roman" w:eastAsia="Times New Roman" w:hint="default"/>
          <w:spacing w:val="-6"/>
        </w:rPr>
        <w:t>&gt;</w:t>
      </w:r>
      <w:r>
        <w:rPr>
          <w:spacing w:val="-6"/>
        </w:rPr>
        <w:t>（</w:t>
      </w:r>
      <w:r>
        <w:rPr>
          <w:rFonts w:ascii="Times New Roman" w:hAnsi="Times New Roman" w:cs="Times New Roman" w:eastAsia="Times New Roman" w:hint="default"/>
          <w:spacing w:val="-6"/>
        </w:rPr>
        <w:t>2017</w:t>
      </w:r>
      <w:r>
        <w:rPr>
          <w:rFonts w:ascii="Times New Roman" w:hAnsi="Times New Roman" w:cs="Times New Roman" w:eastAsia="Times New Roman" w:hint="default"/>
        </w:rPr>
        <w:t>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17</w:t>
      </w:r>
      <w:r>
        <w:rPr>
          <w:rFonts w:ascii="Times New Roman" w:hAnsi="Times New Roman" w:cs="Times New Roman" w:eastAsia="Times New Roman" w:hint="default"/>
          <w:spacing w:val="32"/>
        </w:rPr>
        <w:t> </w:t>
      </w:r>
      <w:r>
        <w:rPr/>
        <w:t>日签署）暨终止项目投资的议案》，具体内容详见公司于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日在巨潮 资讯网披露的相关公告（公告编号：</w:t>
      </w:r>
      <w:r>
        <w:rPr>
          <w:rFonts w:ascii="Times New Roman" w:hAnsi="Times New Roman" w:cs="Times New Roman" w:eastAsia="Times New Roman" w:hint="default"/>
        </w:rPr>
        <w:t>2018-053</w:t>
      </w:r>
      <w:r>
        <w:rPr/>
        <w:t>、</w:t>
      </w:r>
      <w:r>
        <w:rPr>
          <w:rFonts w:ascii="Times New Roman" w:hAnsi="Times New Roman" w:cs="Times New Roman" w:eastAsia="Times New Roman" w:hint="default"/>
        </w:rPr>
        <w:t>2018-055</w:t>
      </w:r>
      <w:r>
        <w:rPr/>
        <w:t>、</w:t>
      </w:r>
      <w:r>
        <w:rPr>
          <w:rFonts w:ascii="Times New Roman" w:hAnsi="Times New Roman" w:cs="Times New Roman" w:eastAsia="Times New Roman" w:hint="default"/>
        </w:rPr>
        <w:t>2018-058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日，全</w:t>
      </w:r>
      <w:r>
        <w:rPr>
          <w:spacing w:val="-91"/>
        </w:rPr>
        <w:t> </w:t>
      </w:r>
      <w:r>
        <w:rPr>
          <w:spacing w:val="-91"/>
        </w:rPr>
      </w:r>
      <w:r>
        <w:rPr>
          <w:spacing w:val="2"/>
        </w:rPr>
        <w:t>资子公司智能工程与玉溪市抚仙湖管理局签署了《抚仙湖生态环境监测系统建设</w:t>
      </w:r>
      <w:r>
        <w:rPr>
          <w:rFonts w:ascii="Times New Roman" w:hAnsi="Times New Roman" w:cs="Times New Roman" w:eastAsia="Times New Roman" w:hint="default"/>
          <w:spacing w:val="2"/>
        </w:rPr>
        <w:t>PPP</w:t>
      </w:r>
      <w:r>
        <w:rPr>
          <w:spacing w:val="2"/>
        </w:rPr>
        <w:t>项目提</w:t>
      </w:r>
      <w:r>
        <w:rPr>
          <w:spacing w:val="-91"/>
        </w:rPr>
        <w:t> </w:t>
      </w:r>
      <w:r>
        <w:rPr/>
        <w:t>前终止合同协议书》。</w:t>
      </w:r>
    </w:p>
    <w:p>
      <w:pPr>
        <w:pStyle w:val="BodyText"/>
        <w:spacing w:line="336" w:lineRule="auto" w:before="58"/>
        <w:ind w:right="1123" w:firstLine="480"/>
        <w:jc w:val="left"/>
      </w:pPr>
      <w:r>
        <w:rPr>
          <w:rFonts w:ascii="Times New Roman" w:hAnsi="Times New Roman" w:cs="Times New Roman" w:eastAsia="Times New Roman" w:hint="default"/>
          <w:spacing w:val="-13"/>
        </w:rPr>
        <w:t>2019</w:t>
      </w:r>
      <w:r>
        <w:rPr>
          <w:spacing w:val="-13"/>
        </w:rPr>
        <w:t>年</w:t>
      </w:r>
      <w:r>
        <w:rPr>
          <w:rFonts w:ascii="Times New Roman" w:hAnsi="Times New Roman" w:cs="Times New Roman" w:eastAsia="Times New Roman" w:hint="default"/>
          <w:spacing w:val="-13"/>
        </w:rPr>
        <w:t>5</w:t>
      </w:r>
      <w:r>
        <w:rPr>
          <w:spacing w:val="-13"/>
        </w:rPr>
        <w:t>月</w:t>
      </w:r>
      <w:r>
        <w:rPr>
          <w:rFonts w:ascii="Times New Roman" w:hAnsi="Times New Roman" w:cs="Times New Roman" w:eastAsia="Times New Roman" w:hint="default"/>
          <w:spacing w:val="-13"/>
        </w:rPr>
        <w:t>17</w:t>
      </w:r>
      <w:r>
        <w:rPr>
          <w:spacing w:val="-13"/>
        </w:rPr>
        <w:t>日，智能工程收到澄江县市场监督管理局签发的《准予注销登记通知书》（（玉</w:t>
      </w:r>
      <w:r>
        <w:rPr/>
        <w:t> 澄）登记内注核字</w:t>
      </w:r>
      <w:r>
        <w:rPr>
          <w:rFonts w:ascii="Times New Roman" w:hAnsi="Times New Roman" w:cs="Times New Roman" w:eastAsia="Times New Roman" w:hint="default"/>
        </w:rPr>
        <w:t>[2019 ]</w:t>
      </w:r>
      <w:r>
        <w:rPr/>
        <w:t>第</w:t>
      </w:r>
      <w:r>
        <w:rPr>
          <w:rFonts w:ascii="Times New Roman" w:hAnsi="Times New Roman" w:cs="Times New Roman" w:eastAsia="Times New Roman" w:hint="default"/>
        </w:rPr>
        <w:t>464</w:t>
      </w:r>
      <w:r>
        <w:rPr/>
        <w:t>号），玉溪湖管环境科技有限公司已完成注销。</w:t>
      </w:r>
    </w:p>
    <w:p>
      <w:pPr>
        <w:pStyle w:val="Heading2"/>
        <w:spacing w:line="240" w:lineRule="auto" w:before="32"/>
        <w:ind w:left="633" w:right="0"/>
        <w:jc w:val="left"/>
        <w:rPr>
          <w:b w:val="0"/>
          <w:bCs w:val="0"/>
        </w:rPr>
      </w:pPr>
      <w:r>
        <w:rPr/>
        <w:t>（二）控股孙公司投资建设</w:t>
      </w:r>
      <w:r>
        <w:rPr>
          <w:rFonts w:ascii="Times New Roman" w:hAnsi="Times New Roman" w:cs="Times New Roman" w:eastAsia="Times New Roman" w:hint="default"/>
        </w:rPr>
        <w:t>“</w:t>
      </w:r>
      <w:r>
        <w:rPr/>
        <w:t>临翔区生活垃圾资源化处理工程项目</w:t>
      </w:r>
      <w:r>
        <w:rPr>
          <w:rFonts w:ascii="Times New Roman" w:hAnsi="Times New Roman" w:cs="Times New Roman" w:eastAsia="Times New Roman" w:hint="default"/>
        </w:rPr>
        <w:t>”</w:t>
      </w:r>
      <w:r>
        <w:rPr/>
        <w:t>进展</w:t>
      </w:r>
      <w:r>
        <w:rPr>
          <w:b w:val="0"/>
          <w:bCs w:val="0"/>
        </w:rPr>
      </w:r>
    </w:p>
    <w:p>
      <w:pPr>
        <w:pStyle w:val="BodyText"/>
        <w:spacing w:line="338" w:lineRule="auto" w:before="133"/>
        <w:ind w:right="1127" w:firstLine="48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日，公司召开第三届董事会第二十三次会议审议通过了《关于控股公司江苏</w:t>
      </w:r>
      <w:r>
        <w:rPr/>
        <w:t> 亿金环保科技有限公司拟设立全资子公司投资建设</w:t>
      </w:r>
      <w:r>
        <w:rPr>
          <w:rFonts w:ascii="Times New Roman" w:hAnsi="Times New Roman" w:cs="Times New Roman" w:eastAsia="Times New Roman" w:hint="default"/>
        </w:rPr>
        <w:t>“</w:t>
      </w:r>
      <w:r>
        <w:rPr/>
        <w:t>临翔区生活垃圾资源化处理工程项目</w:t>
      </w:r>
      <w:r>
        <w:rPr>
          <w:rFonts w:ascii="Times New Roman" w:hAnsi="Times New Roman" w:cs="Times New Roman" w:eastAsia="Times New Roman" w:hint="default"/>
        </w:rPr>
        <w:t>”</w:t>
      </w:r>
      <w:r>
        <w:rPr/>
        <w:t>的</w:t>
      </w:r>
      <w:r>
        <w:rPr>
          <w:spacing w:val="-64"/>
        </w:rPr>
        <w:t> </w:t>
      </w:r>
      <w:r>
        <w:rPr>
          <w:spacing w:val="-2"/>
        </w:rPr>
        <w:t>议案》。同意公司控股公司江苏亿金在云南省临沧市设立全资子公司</w:t>
      </w:r>
      <w:r>
        <w:rPr>
          <w:rFonts w:ascii="Times New Roman" w:hAnsi="Times New Roman" w:cs="Times New Roman" w:eastAsia="Times New Roman" w:hint="default"/>
          <w:spacing w:val="-2"/>
        </w:rPr>
        <w:t>“</w:t>
      </w:r>
      <w:r>
        <w:rPr>
          <w:spacing w:val="-2"/>
        </w:rPr>
        <w:t>临沧亿金再生能源科技</w:t>
      </w:r>
      <w:r>
        <w:rPr>
          <w:spacing w:val="-110"/>
        </w:rPr>
        <w:t> </w:t>
      </w:r>
      <w:r>
        <w:rPr>
          <w:spacing w:val="4"/>
        </w:rPr>
        <w:t>有限公司</w:t>
      </w:r>
      <w:r>
        <w:rPr>
          <w:rFonts w:ascii="Times New Roman" w:hAnsi="Times New Roman" w:cs="Times New Roman" w:eastAsia="Times New Roman" w:hint="default"/>
          <w:spacing w:val="4"/>
        </w:rPr>
        <w:t>”</w:t>
      </w:r>
      <w:r>
        <w:rPr>
          <w:spacing w:val="4"/>
        </w:rPr>
        <w:t>作为主体投资建设</w:t>
      </w:r>
      <w:r>
        <w:rPr>
          <w:rFonts w:ascii="Times New Roman" w:hAnsi="Times New Roman" w:cs="Times New Roman" w:eastAsia="Times New Roman" w:hint="default"/>
          <w:spacing w:val="4"/>
        </w:rPr>
        <w:t>“</w:t>
      </w:r>
      <w:r>
        <w:rPr>
          <w:spacing w:val="4"/>
        </w:rPr>
        <w:t>临翔区生活垃圾资源化处理工程项目</w:t>
      </w:r>
      <w:r>
        <w:rPr>
          <w:rFonts w:ascii="Times New Roman" w:hAnsi="Times New Roman" w:cs="Times New Roman" w:eastAsia="Times New Roman" w:hint="default"/>
          <w:spacing w:val="4"/>
        </w:rPr>
        <w:t>”</w:t>
      </w:r>
      <w:r>
        <w:rPr>
          <w:spacing w:val="4"/>
        </w:rPr>
        <w:t>，注册资金拟为人民币</w:t>
      </w:r>
      <w:r>
        <w:rPr>
          <w:spacing w:val="-110"/>
        </w:rPr>
        <w:t> </w:t>
      </w:r>
      <w:r>
        <w:rPr>
          <w:rFonts w:ascii="Times New Roman" w:hAnsi="Times New Roman" w:cs="Times New Roman" w:eastAsia="Times New Roman" w:hint="default"/>
        </w:rPr>
        <w:t>5000</w:t>
      </w:r>
      <w:r>
        <w:rPr/>
        <w:t>万。</w:t>
      </w:r>
    </w:p>
    <w:p>
      <w:pPr>
        <w:pStyle w:val="BodyText"/>
        <w:spacing w:line="343" w:lineRule="auto" w:before="29"/>
        <w:ind w:right="1128" w:firstLine="480"/>
        <w:jc w:val="both"/>
      </w:pP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4</w:t>
      </w:r>
      <w:r>
        <w:rPr>
          <w:spacing w:val="-3"/>
        </w:rPr>
        <w:t>月，江苏亿金与临沧市临翔区人民政府于签署了《临翔区生活垃圾资源化处理工</w:t>
      </w:r>
      <w:r>
        <w:rPr/>
        <w:t> 程项目招商投资协议》，与临沧市临翔区住房和城乡建设局签署了《临翔区生活垃圾资源化</w:t>
      </w:r>
      <w:r>
        <w:rPr>
          <w:spacing w:val="-93"/>
        </w:rPr>
        <w:t> </w:t>
      </w:r>
      <w:r>
        <w:rPr>
          <w:spacing w:val="-93"/>
        </w:rPr>
      </w:r>
      <w:r>
        <w:rPr>
          <w:spacing w:val="-2"/>
        </w:rPr>
        <w:t>处理特许经营项目特许经营协议》；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日，项目公司完成了工商注册登记手续，并</w:t>
      </w:r>
      <w:r>
        <w:rPr>
          <w:spacing w:val="-115"/>
        </w:rPr>
        <w:t> </w:t>
      </w:r>
      <w:r>
        <w:rPr>
          <w:spacing w:val="-115"/>
        </w:rPr>
      </w:r>
      <w:r>
        <w:rPr/>
        <w:t>取</w:t>
      </w:r>
      <w:r>
        <w:rPr>
          <w:spacing w:val="-73"/>
        </w:rPr>
        <w:t> </w:t>
      </w:r>
      <w:r>
        <w:rPr/>
        <w:t>得</w:t>
      </w:r>
      <w:r>
        <w:rPr>
          <w:spacing w:val="-73"/>
        </w:rPr>
        <w:t> </w:t>
      </w:r>
      <w:r>
        <w:rPr/>
        <w:t>了</w:t>
      </w:r>
      <w:r>
        <w:rPr>
          <w:spacing w:val="-68"/>
        </w:rPr>
        <w:t> </w:t>
      </w:r>
      <w:r>
        <w:rPr/>
        <w:t>《</w:t>
      </w:r>
      <w:r>
        <w:rPr>
          <w:spacing w:val="-73"/>
        </w:rPr>
        <w:t> </w:t>
      </w:r>
      <w:r>
        <w:rPr/>
        <w:t>营</w:t>
      </w:r>
      <w:r>
        <w:rPr>
          <w:spacing w:val="-73"/>
        </w:rPr>
        <w:t> </w:t>
      </w:r>
      <w:r>
        <w:rPr/>
        <w:t>业</w:t>
      </w:r>
      <w:r>
        <w:rPr>
          <w:spacing w:val="-68"/>
        </w:rPr>
        <w:t> </w:t>
      </w:r>
      <w:r>
        <w:rPr/>
        <w:t>执</w:t>
      </w:r>
      <w:r>
        <w:rPr>
          <w:spacing w:val="-73"/>
        </w:rPr>
        <w:t> </w:t>
      </w:r>
      <w:r>
        <w:rPr/>
        <w:t>照</w:t>
      </w:r>
      <w:r>
        <w:rPr>
          <w:spacing w:val="-68"/>
        </w:rPr>
        <w:t> </w:t>
      </w:r>
      <w:r>
        <w:rPr/>
        <w:t>》</w:t>
      </w:r>
      <w:r>
        <w:rPr>
          <w:spacing w:val="-73"/>
        </w:rPr>
        <w:t> </w:t>
      </w:r>
      <w:r>
        <w:rPr/>
        <w:t>。</w:t>
      </w:r>
      <w:r>
        <w:rPr>
          <w:spacing w:val="-73"/>
        </w:rPr>
        <w:t> </w:t>
      </w:r>
      <w:r>
        <w:rPr/>
        <w:t>具</w:t>
      </w:r>
      <w:r>
        <w:rPr>
          <w:spacing w:val="-68"/>
        </w:rPr>
        <w:t> </w:t>
      </w:r>
      <w:r>
        <w:rPr/>
        <w:t>体</w:t>
      </w:r>
      <w:r>
        <w:rPr>
          <w:spacing w:val="-73"/>
        </w:rPr>
        <w:t> </w:t>
      </w:r>
      <w:r>
        <w:rPr/>
        <w:t>内</w:t>
      </w:r>
      <w:r>
        <w:rPr>
          <w:spacing w:val="-68"/>
        </w:rPr>
        <w:t> </w:t>
      </w:r>
      <w:r>
        <w:rPr/>
        <w:t>容</w:t>
      </w:r>
      <w:r>
        <w:rPr>
          <w:spacing w:val="-73"/>
        </w:rPr>
        <w:t> </w:t>
      </w:r>
      <w:r>
        <w:rPr/>
        <w:t>详</w:t>
      </w:r>
      <w:r>
        <w:rPr>
          <w:spacing w:val="-73"/>
        </w:rPr>
        <w:t> </w:t>
      </w:r>
      <w:r>
        <w:rPr/>
        <w:t>见</w:t>
      </w:r>
      <w:r>
        <w:rPr>
          <w:spacing w:val="-68"/>
        </w:rPr>
        <w:t> </w:t>
      </w:r>
      <w:r>
        <w:rPr/>
        <w:t>公</w:t>
      </w:r>
      <w:r>
        <w:rPr>
          <w:spacing w:val="-73"/>
        </w:rPr>
        <w:t> </w:t>
      </w:r>
      <w:r>
        <w:rPr/>
        <w:t>司</w:t>
      </w:r>
      <w:r>
        <w:rPr>
          <w:spacing w:val="-73"/>
        </w:rPr>
        <w:t> </w:t>
      </w:r>
      <w:r>
        <w:rPr/>
        <w:t>于</w:t>
      </w:r>
      <w:r>
        <w:rPr>
          <w:spacing w:val="-6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72"/>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72"/>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w:t>
      </w:r>
      <w:r>
        <w:rPr>
          <w:spacing w:val="-73"/>
        </w:rPr>
        <w:t> </w:t>
      </w:r>
      <w:r>
        <w:rPr/>
        <w:t>刊</w:t>
      </w:r>
      <w:r>
        <w:rPr>
          <w:spacing w:val="-73"/>
        </w:rPr>
        <w:t> </w:t>
      </w:r>
      <w:r>
        <w:rPr/>
        <w:t>登</w:t>
      </w:r>
      <w:r>
        <w:rPr>
          <w:spacing w:val="-68"/>
        </w:rPr>
        <w:t> </w:t>
      </w:r>
      <w:r>
        <w:rPr/>
        <w:t>在</w:t>
      </w:r>
      <w:r>
        <w:rPr>
          <w:spacing w:val="-73"/>
        </w:rPr>
        <w:t> </w:t>
      </w:r>
      <w:r>
        <w:rPr/>
        <w:t>巨</w:t>
      </w:r>
      <w:r>
        <w:rPr>
          <w:spacing w:val="-68"/>
        </w:rPr>
        <w:t> </w:t>
      </w:r>
      <w:r>
        <w:rPr/>
        <w:t>潮</w:t>
      </w:r>
      <w:r>
        <w:rPr>
          <w:spacing w:val="-73"/>
        </w:rPr>
        <w:t> </w:t>
      </w:r>
      <w:r>
        <w:rPr/>
        <w:t>资</w:t>
      </w:r>
      <w:r>
        <w:rPr>
          <w:spacing w:val="-73"/>
        </w:rPr>
        <w:t> </w:t>
      </w:r>
      <w:r>
        <w:rPr/>
        <w:t>讯</w:t>
      </w:r>
      <w:r>
        <w:rPr>
          <w:spacing w:val="-68"/>
        </w:rPr>
        <w:t> </w:t>
      </w:r>
      <w:r>
        <w:rPr/>
        <w:t>网</w:t>
      </w:r>
    </w:p>
    <w:p>
      <w:pPr>
        <w:pStyle w:val="BodyText"/>
        <w:spacing w:line="336" w:lineRule="auto" w:before="24"/>
        <w:ind w:left="633" w:right="0" w:hanging="480"/>
        <w:jc w:val="left"/>
      </w:pPr>
      <w:r>
        <w:rPr/>
        <w:t>（</w:t>
      </w:r>
      <w:hyperlink r:id="rId9">
        <w:r>
          <w:rPr>
            <w:rFonts w:ascii="Times New Roman" w:hAnsi="Times New Roman" w:cs="Times New Roman" w:eastAsia="Times New Roman" w:hint="default"/>
          </w:rPr>
          <w:t>www.cninfo.com.cn</w:t>
        </w:r>
      </w:hyperlink>
      <w:r>
        <w:rPr/>
        <w:t>）的有关公告（公告编号：</w:t>
      </w:r>
      <w:r>
        <w:rPr>
          <w:rFonts w:ascii="Times New Roman" w:hAnsi="Times New Roman" w:cs="Times New Roman" w:eastAsia="Times New Roman" w:hint="default"/>
        </w:rPr>
        <w:t>2017-042</w:t>
      </w:r>
      <w:r>
        <w:rPr/>
        <w:t>）。 </w:t>
      </w:r>
      <w:r>
        <w:rPr>
          <w:spacing w:val="-3"/>
        </w:rPr>
        <w:t>截至本公告披露日，该项目土建已完成，现正在进行设备安装调试，预计</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5</w:t>
      </w:r>
      <w:r>
        <w:rPr>
          <w:spacing w:val="-3"/>
        </w:rPr>
        <w:t>月竣工</w:t>
      </w:r>
    </w:p>
    <w:p>
      <w:pPr>
        <w:pStyle w:val="BodyText"/>
        <w:spacing w:line="240" w:lineRule="auto" w:before="32"/>
        <w:ind w:right="0"/>
        <w:jc w:val="left"/>
      </w:pPr>
      <w:r>
        <w:rPr/>
        <w:t>投产。公司将根据有关法律法规及时披露后续进展情况。</w:t>
      </w:r>
    </w:p>
    <w:p>
      <w:pPr>
        <w:pStyle w:val="Heading2"/>
        <w:spacing w:line="240" w:lineRule="auto" w:before="152"/>
        <w:ind w:left="633" w:right="0"/>
        <w:jc w:val="left"/>
        <w:rPr>
          <w:b w:val="0"/>
          <w:bCs w:val="0"/>
        </w:rPr>
      </w:pPr>
      <w:r>
        <w:rPr/>
        <w:t>（三）控股孙公司投资建设</w:t>
      </w:r>
      <w:r>
        <w:rPr>
          <w:rFonts w:ascii="Times New Roman" w:hAnsi="Times New Roman" w:cs="Times New Roman" w:eastAsia="Times New Roman" w:hint="default"/>
        </w:rPr>
        <w:t>“</w:t>
      </w:r>
      <w:r>
        <w:rPr/>
        <w:t>曲家店镇生物质热电联产新建工程项目</w:t>
      </w:r>
      <w:r>
        <w:rPr>
          <w:rFonts w:ascii="Times New Roman" w:hAnsi="Times New Roman" w:cs="Times New Roman" w:eastAsia="Times New Roman" w:hint="default"/>
        </w:rPr>
        <w:t>”</w:t>
      </w:r>
      <w:r>
        <w:rPr/>
        <w:t>事项</w:t>
      </w:r>
      <w:r>
        <w:rPr>
          <w:b w:val="0"/>
          <w:bCs w:val="0"/>
        </w:rPr>
      </w:r>
    </w:p>
    <w:p>
      <w:pPr>
        <w:pStyle w:val="BodyText"/>
        <w:spacing w:line="240" w:lineRule="auto" w:before="138"/>
        <w:ind w:left="63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日，公司召开第三届董事会第三十次会议，审议通过《关于控股孙公司投资</w:t>
      </w:r>
    </w:p>
    <w:p>
      <w:pPr>
        <w:spacing w:after="0" w:line="240" w:lineRule="auto"/>
        <w:jc w:val="left"/>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38" w:lineRule="auto"/>
        <w:ind w:right="1122"/>
        <w:jc w:val="both"/>
        <w:rPr>
          <w:rFonts w:ascii="Times New Roman" w:hAnsi="Times New Roman" w:cs="Times New Roman" w:eastAsia="Times New Roman" w:hint="default"/>
        </w:rPr>
      </w:pPr>
      <w:r>
        <w:rPr/>
        <w:t>建设</w:t>
      </w:r>
      <w:r>
        <w:rPr>
          <w:rFonts w:ascii="Times New Roman" w:hAnsi="Times New Roman" w:cs="Times New Roman" w:eastAsia="Times New Roman" w:hint="default"/>
        </w:rPr>
        <w:t>“</w:t>
      </w:r>
      <w:r>
        <w:rPr/>
        <w:t>曲家店镇生物质热电联产新建工程项目</w:t>
      </w:r>
      <w:r>
        <w:rPr>
          <w:rFonts w:ascii="Times New Roman" w:hAnsi="Times New Roman" w:cs="Times New Roman" w:eastAsia="Times New Roman" w:hint="default"/>
        </w:rPr>
        <w:t>”</w:t>
      </w:r>
      <w:r>
        <w:rPr/>
        <w:t>的议案》，公司控股子公司江苏亿金的控股公</w:t>
      </w:r>
      <w:r>
        <w:rPr>
          <w:spacing w:val="-72"/>
        </w:rPr>
        <w:t> </w:t>
      </w:r>
      <w:r>
        <w:rPr>
          <w:spacing w:val="-72"/>
        </w:rPr>
      </w:r>
      <w:r>
        <w:rPr>
          <w:spacing w:val="3"/>
        </w:rPr>
        <w:t>司辽宁亿金生物质能源科技有限公司拟在辽宁省铁岭市昌图县投资建设</w:t>
      </w:r>
      <w:r>
        <w:rPr>
          <w:rFonts w:ascii="Times New Roman" w:hAnsi="Times New Roman" w:cs="Times New Roman" w:eastAsia="Times New Roman" w:hint="default"/>
          <w:spacing w:val="3"/>
        </w:rPr>
        <w:t>“</w:t>
      </w:r>
      <w:r>
        <w:rPr>
          <w:spacing w:val="3"/>
        </w:rPr>
        <w:t>昌图县曲家店镇生</w:t>
      </w:r>
      <w:r>
        <w:rPr>
          <w:spacing w:val="-91"/>
        </w:rPr>
        <w:t> </w:t>
      </w:r>
      <w:r>
        <w:rPr>
          <w:spacing w:val="4"/>
        </w:rPr>
        <w:t>物质热电联产项目</w:t>
      </w:r>
      <w:r>
        <w:rPr>
          <w:rFonts w:ascii="Times New Roman" w:hAnsi="Times New Roman" w:cs="Times New Roman" w:eastAsia="Times New Roman" w:hint="default"/>
          <w:spacing w:val="4"/>
        </w:rPr>
        <w:t>”</w:t>
      </w:r>
      <w:r>
        <w:rPr>
          <w:spacing w:val="4"/>
        </w:rPr>
        <w:t>，本项目拟建成设计规模为</w:t>
      </w:r>
      <w:r>
        <w:rPr>
          <w:spacing w:val="47"/>
        </w:rPr>
        <w:t> </w:t>
      </w:r>
      <w:r>
        <w:rPr>
          <w:rFonts w:ascii="Times New Roman" w:hAnsi="Times New Roman" w:cs="Times New Roman" w:eastAsia="Times New Roman" w:hint="default"/>
        </w:rPr>
        <w:t>36MW</w:t>
      </w:r>
      <w:r>
        <w:rPr/>
        <w:t>，建成后预计每年发电</w:t>
      </w:r>
      <w:r>
        <w:rPr>
          <w:rFonts w:ascii="Times New Roman" w:hAnsi="Times New Roman" w:cs="Times New Roman" w:eastAsia="Times New Roman" w:hint="default"/>
        </w:rPr>
        <w:t>2.64×108kWh</w:t>
      </w:r>
    </w:p>
    <w:p>
      <w:pPr>
        <w:pStyle w:val="BodyText"/>
        <w:spacing w:line="240" w:lineRule="auto" w:before="24"/>
        <w:ind w:right="0"/>
        <w:jc w:val="left"/>
      </w:pPr>
      <w:r>
        <w:rPr/>
        <w:t>（亿度），年供热面积 </w:t>
      </w:r>
      <w:r>
        <w:rPr>
          <w:rFonts w:ascii="Times New Roman" w:hAnsi="Times New Roman" w:cs="Times New Roman" w:eastAsia="Times New Roman" w:hint="default"/>
        </w:rPr>
        <w:t>120  </w:t>
      </w:r>
      <w:r>
        <w:rPr/>
        <w:t>万平方米；年燃烧秸秆约 </w:t>
      </w:r>
      <w:r>
        <w:rPr>
          <w:rFonts w:ascii="Times New Roman" w:hAnsi="Times New Roman" w:cs="Times New Roman" w:eastAsia="Times New Roman" w:hint="default"/>
        </w:rPr>
        <w:t>23.66  </w:t>
      </w:r>
      <w:r>
        <w:rPr/>
        <w:t>万吨，可替代标准煤</w:t>
      </w:r>
      <w:r>
        <w:rPr>
          <w:rFonts w:ascii="Times New Roman" w:hAnsi="Times New Roman" w:cs="Times New Roman" w:eastAsia="Times New Roman" w:hint="default"/>
        </w:rPr>
        <w:t>8.46</w:t>
      </w:r>
      <w:r>
        <w:rPr>
          <w:rFonts w:ascii="Times New Roman" w:hAnsi="Times New Roman" w:cs="Times New Roman" w:eastAsia="Times New Roman" w:hint="default"/>
          <w:spacing w:val="-22"/>
        </w:rPr>
        <w:t> </w:t>
      </w:r>
      <w:r>
        <w:rPr/>
        <w:t>万吨；</w:t>
      </w:r>
    </w:p>
    <w:p>
      <w:pPr>
        <w:pStyle w:val="BodyText"/>
        <w:spacing w:line="240" w:lineRule="auto" w:before="138"/>
        <w:ind w:right="0"/>
        <w:jc w:val="left"/>
      </w:pPr>
      <w:r>
        <w:rPr>
          <w:spacing w:val="8"/>
        </w:rPr>
        <w:t>项目投资总额预计为 </w:t>
      </w:r>
      <w:r>
        <w:rPr>
          <w:rFonts w:ascii="Times New Roman" w:hAnsi="Times New Roman" w:cs="Times New Roman" w:eastAsia="Times New Roman" w:hint="default"/>
        </w:rPr>
        <w:t>29,624 </w:t>
      </w:r>
      <w:r>
        <w:rPr>
          <w:rFonts w:ascii="Times New Roman" w:hAnsi="Times New Roman" w:cs="Times New Roman" w:eastAsia="Times New Roman" w:hint="default"/>
          <w:spacing w:val="8"/>
        </w:rPr>
        <w:t> </w:t>
      </w:r>
      <w:r>
        <w:rPr>
          <w:spacing w:val="8"/>
        </w:rPr>
        <w:t>万元。具体内容详见公司于</w:t>
      </w:r>
      <w:r>
        <w:rPr>
          <w:rFonts w:ascii="Times New Roman" w:hAnsi="Times New Roman" w:cs="Times New Roman" w:eastAsia="Times New Roman" w:hint="default"/>
          <w:spacing w:val="8"/>
        </w:rPr>
        <w:t>2017</w:t>
      </w:r>
      <w:r>
        <w:rPr>
          <w:spacing w:val="8"/>
        </w:rPr>
        <w:t>年</w:t>
      </w:r>
      <w:r>
        <w:rPr>
          <w:rFonts w:ascii="Times New Roman" w:hAnsi="Times New Roman" w:cs="Times New Roman" w:eastAsia="Times New Roman" w:hint="default"/>
          <w:spacing w:val="8"/>
        </w:rPr>
        <w:t>7</w:t>
      </w:r>
      <w:r>
        <w:rPr>
          <w:spacing w:val="8"/>
        </w:rPr>
        <w:t>月</w:t>
      </w:r>
      <w:r>
        <w:rPr>
          <w:rFonts w:ascii="Times New Roman" w:hAnsi="Times New Roman" w:cs="Times New Roman" w:eastAsia="Times New Roman" w:hint="default"/>
          <w:spacing w:val="8"/>
        </w:rPr>
        <w:t>5</w:t>
      </w:r>
      <w:r>
        <w:rPr>
          <w:spacing w:val="8"/>
        </w:rPr>
        <w:t>日刊登在巨潮资讯网</w:t>
      </w:r>
    </w:p>
    <w:p>
      <w:pPr>
        <w:pStyle w:val="BodyText"/>
        <w:spacing w:line="340" w:lineRule="auto" w:before="133"/>
        <w:ind w:left="633" w:right="0" w:hanging="480"/>
        <w:jc w:val="left"/>
      </w:pPr>
      <w:r>
        <w:rPr/>
        <w:t>（</w:t>
      </w:r>
      <w:hyperlink r:id="rId9">
        <w:r>
          <w:rPr>
            <w:rFonts w:ascii="Times New Roman" w:hAnsi="Times New Roman" w:cs="Times New Roman" w:eastAsia="Times New Roman" w:hint="default"/>
          </w:rPr>
          <w:t>www.cninfo.com.cn</w:t>
        </w:r>
      </w:hyperlink>
      <w:r>
        <w:rPr/>
        <w:t>）的有关公告（公告编号：</w:t>
      </w:r>
      <w:r>
        <w:rPr>
          <w:rFonts w:ascii="Times New Roman" w:hAnsi="Times New Roman" w:cs="Times New Roman" w:eastAsia="Times New Roman" w:hint="default"/>
        </w:rPr>
        <w:t>2017-080</w:t>
      </w:r>
      <w:r>
        <w:rPr/>
        <w:t>、</w:t>
      </w:r>
      <w:r>
        <w:rPr>
          <w:rFonts w:ascii="Times New Roman" w:hAnsi="Times New Roman" w:cs="Times New Roman" w:eastAsia="Times New Roman" w:hint="default"/>
        </w:rPr>
        <w:t>2017-081</w:t>
      </w:r>
      <w:r>
        <w:rPr/>
        <w:t>）。 截至本公告披露日，公司积极组织资源推进该项目按计划实施，目前由于资金原因，预</w:t>
      </w:r>
    </w:p>
    <w:p>
      <w:pPr>
        <w:pStyle w:val="BodyText"/>
        <w:spacing w:line="427" w:lineRule="auto" w:before="50"/>
        <w:ind w:left="633" w:right="1115" w:hanging="480"/>
        <w:jc w:val="left"/>
      </w:pPr>
      <w:r>
        <w:rPr/>
        <w:t>计延期到</w:t>
      </w:r>
      <w:r>
        <w:rPr>
          <w:rFonts w:ascii="Times New Roman" w:hAnsi="Times New Roman" w:cs="Times New Roman" w:eastAsia="Times New Roman" w:hint="default"/>
        </w:rPr>
        <w:t>2020</w:t>
      </w:r>
      <w:r>
        <w:rPr/>
        <w:t>年底完工。公司将根据有关法律法规及时披露后续进展情况。 除以上事项外，公司子公司其他重大事项请参见本报告</w:t>
      </w:r>
      <w:r>
        <w:rPr>
          <w:rFonts w:ascii="Times New Roman" w:hAnsi="Times New Roman" w:cs="Times New Roman" w:eastAsia="Times New Roman" w:hint="default"/>
        </w:rPr>
        <w:t>“</w:t>
      </w:r>
      <w:r>
        <w:rPr/>
        <w:t>第四节</w:t>
      </w:r>
      <w:r>
        <w:rPr>
          <w:spacing w:val="-58"/>
        </w:rPr>
        <w:t> </w:t>
      </w:r>
      <w:r>
        <w:rPr/>
        <w:t>经营情况讨论与分析</w:t>
      </w:r>
      <w:r>
        <w:rPr>
          <w:rFonts w:ascii="Times New Roman" w:hAnsi="Times New Roman" w:cs="Times New Roman" w:eastAsia="Times New Roman" w:hint="default"/>
        </w:rPr>
        <w:t>”</w:t>
      </w:r>
      <w:r>
        <w:rPr/>
        <w:t>之</w:t>
      </w:r>
    </w:p>
    <w:p>
      <w:pPr>
        <w:pStyle w:val="BodyText"/>
        <w:spacing w:line="259" w:lineRule="exact" w:before="0"/>
        <w:ind w:right="0"/>
        <w:jc w:val="left"/>
      </w:pPr>
      <w:r>
        <w:rPr>
          <w:rFonts w:ascii="Times New Roman" w:hAnsi="Times New Roman" w:cs="Times New Roman" w:eastAsia="Times New Roman" w:hint="default"/>
        </w:rPr>
        <w:t>“</w:t>
      </w:r>
      <w:r>
        <w:rPr/>
        <w:t>七、主要控股参股公司分析</w:t>
      </w:r>
      <w:r>
        <w:rPr>
          <w:rFonts w:ascii="Times New Roman" w:hAnsi="Times New Roman" w:cs="Times New Roman" w:eastAsia="Times New Roman" w:hint="default"/>
        </w:rPr>
        <w:t>”</w:t>
      </w:r>
      <w:r>
        <w:rPr/>
        <w:t>的相关内容。</w:t>
      </w:r>
    </w:p>
    <w:p>
      <w:pPr>
        <w:spacing w:after="0" w:line="259" w:lineRule="exact"/>
        <w:jc w:val="left"/>
        <w:sectPr>
          <w:pgSz w:w="11910" w:h="16840"/>
          <w:pgMar w:header="863"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0"/>
        <w:jc w:val="left"/>
        <w:rPr>
          <w:b w:val="0"/>
          <w:bCs w:val="0"/>
        </w:rPr>
      </w:pPr>
      <w:bookmarkStart w:name="第六节股份变动及股东情况" w:id="100"/>
      <w:bookmarkEnd w:id="100"/>
      <w:r>
        <w:rPr>
          <w:b w:val="0"/>
          <w:bCs w:val="0"/>
        </w:rPr>
      </w:r>
      <w:bookmarkStart w:name="_bookmark5" w:id="101"/>
      <w:bookmarkEnd w:id="101"/>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股份变动情况" w:id="103"/>
      <w:bookmarkEnd w:id="10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04"/>
        <w:gridCol w:w="1044"/>
        <w:gridCol w:w="850"/>
        <w:gridCol w:w="586"/>
        <w:gridCol w:w="552"/>
        <w:gridCol w:w="706"/>
        <w:gridCol w:w="854"/>
        <w:gridCol w:w="989"/>
        <w:gridCol w:w="984"/>
        <w:gridCol w:w="792"/>
      </w:tblGrid>
      <w:tr>
        <w:trPr>
          <w:trHeight w:val="403"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8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8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4"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7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0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 w:right="99"/>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86"/>
                <w:sz w:val="18"/>
                <w:szCs w:val="18"/>
              </w:rPr>
              <w:t> </w:t>
            </w:r>
            <w:r>
              <w:rPr>
                <w:rFonts w:ascii="宋体" w:hAnsi="宋体" w:cs="宋体" w:eastAsia="宋体" w:hint="default"/>
                <w:sz w:val="18"/>
                <w:szCs w:val="18"/>
              </w:rPr>
              <w:t>新股</w:t>
            </w:r>
          </w:p>
        </w:tc>
        <w:tc>
          <w:tcPr>
            <w:tcW w:w="5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7" w:right="70"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854" w:type="dxa"/>
            <w:tcBorders>
              <w:top w:val="single" w:sz="4" w:space="0" w:color="000000"/>
              <w:left w:val="single" w:sz="4" w:space="0" w:color="000000"/>
              <w:bottom w:val="nil" w:sz="6" w:space="0" w:color="auto"/>
              <w:right w:val="single" w:sz="4" w:space="0" w:color="000000"/>
            </w:tcBorders>
            <w:shd w:val="clear" w:color="auto" w:fill="D2D2D2"/>
          </w:tcPr>
          <w:p>
            <w:pPr/>
          </w:p>
        </w:tc>
        <w:tc>
          <w:tcPr>
            <w:tcW w:w="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0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86" w:type="dxa"/>
            <w:vMerge/>
            <w:tcBorders>
              <w:left w:val="single" w:sz="4" w:space="0" w:color="000000"/>
              <w:right w:val="single" w:sz="4" w:space="0" w:color="000000"/>
            </w:tcBorders>
            <w:shd w:val="clear" w:color="auto" w:fill="D2D2D2"/>
          </w:tcPr>
          <w:p>
            <w:pPr/>
          </w:p>
        </w:tc>
        <w:tc>
          <w:tcPr>
            <w:tcW w:w="5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6" w:type="dxa"/>
            <w:vMerge/>
            <w:tcBorders>
              <w:left w:val="single" w:sz="4" w:space="0" w:color="000000"/>
              <w:right w:val="single" w:sz="4" w:space="0" w:color="000000"/>
            </w:tcBorders>
            <w:shd w:val="clear" w:color="auto" w:fill="D2D2D2"/>
          </w:tcPr>
          <w:p>
            <w:pP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04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52" w:type="dxa"/>
            <w:vMerge/>
            <w:tcBorders>
              <w:left w:val="single" w:sz="4" w:space="0" w:color="000000"/>
              <w:bottom w:val="nil" w:sz="6" w:space="0" w:color="auto"/>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989" w:type="dxa"/>
            <w:vMerge/>
            <w:tcBorders>
              <w:left w:val="single" w:sz="4" w:space="0" w:color="000000"/>
              <w:bottom w:val="nil" w:sz="6" w:space="0" w:color="auto"/>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204" w:type="dxa"/>
            <w:vMerge/>
            <w:tcBorders>
              <w:left w:val="single" w:sz="4" w:space="0" w:color="000000"/>
              <w:bottom w:val="single" w:sz="4" w:space="0" w:color="000000"/>
              <w:right w:val="single" w:sz="4" w:space="0" w:color="000000"/>
            </w:tcBorders>
            <w:shd w:val="clear" w:color="auto" w:fill="D2D2D2"/>
          </w:tcPr>
          <w:p>
            <w:pPr/>
          </w:p>
        </w:tc>
        <w:tc>
          <w:tcPr>
            <w:tcW w:w="10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854" w:type="dxa"/>
            <w:tcBorders>
              <w:top w:val="nil" w:sz="6" w:space="0" w:color="auto"/>
              <w:left w:val="single" w:sz="4" w:space="0" w:color="000000"/>
              <w:bottom w:val="single" w:sz="4" w:space="0" w:color="000000"/>
              <w:right w:val="single" w:sz="4" w:space="0" w:color="000000"/>
            </w:tcBorders>
            <w:shd w:val="clear" w:color="auto" w:fill="D2D2D2"/>
          </w:tcPr>
          <w:p>
            <w:pPr/>
          </w:p>
        </w:tc>
        <w:tc>
          <w:tcPr>
            <w:tcW w:w="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141,609,719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31.75%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-9,602,275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-9,602,275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132,007,444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30.18%</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141,609,719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-9,602,275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-9,602,275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132,007,444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30.18%</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75"/>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141,609,719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-9,602,275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-9,602,275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132,007,444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30.18%</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75"/>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304,377,875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1,084,875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1,084,875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305,462,750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69.82%</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304,377,875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1,084,875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1,084,875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305,462,750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69.82%</w:t>
            </w:r>
          </w:p>
        </w:tc>
      </w:tr>
      <w:tr>
        <w:trPr>
          <w:trHeight w:val="398"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445,987,594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-8,517,400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-8,517,400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437,470,194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6" w:lineRule="auto" w:before="132"/>
        <w:ind w:left="633" w:right="0"/>
        <w:jc w:val="left"/>
      </w:pPr>
      <w:r>
        <w:rPr/>
        <w:t>（</w:t>
      </w:r>
      <w:r>
        <w:rPr>
          <w:rFonts w:ascii="Times New Roman" w:hAnsi="Times New Roman" w:cs="Times New Roman" w:eastAsia="Times New Roman" w:hint="default"/>
        </w:rPr>
        <w:t>1</w:t>
      </w:r>
      <w:r>
        <w:rPr/>
        <w:t>）公司股本发生变动的原因： </w:t>
      </w:r>
      <w:r>
        <w:rPr>
          <w:spacing w:val="2"/>
        </w:rPr>
        <w:t>报告期内，公司实施了对</w:t>
      </w:r>
      <w:r>
        <w:rPr>
          <w:rFonts w:ascii="Times New Roman" w:hAnsi="Times New Roman" w:cs="Times New Roman" w:eastAsia="Times New Roman" w:hint="default"/>
          <w:spacing w:val="2"/>
        </w:rPr>
        <w:t>851.74</w:t>
      </w:r>
      <w:r>
        <w:rPr>
          <w:spacing w:val="2"/>
        </w:rPr>
        <w:t>万股限制性股票的回购注销工作，公司股权激励限售股</w:t>
      </w:r>
    </w:p>
    <w:p>
      <w:pPr>
        <w:pStyle w:val="BodyText"/>
        <w:spacing w:line="240" w:lineRule="auto" w:before="32"/>
        <w:ind w:right="0"/>
        <w:jc w:val="left"/>
      </w:pPr>
      <w:r>
        <w:rPr/>
        <w:t>减少</w:t>
      </w:r>
      <w:r>
        <w:rPr>
          <w:rFonts w:ascii="Times New Roman" w:hAnsi="Times New Roman" w:cs="Times New Roman" w:eastAsia="Times New Roman" w:hint="default"/>
        </w:rPr>
        <w:t>851.74</w:t>
      </w:r>
      <w:r>
        <w:rPr/>
        <w:t>万股，公司股本由</w:t>
      </w:r>
      <w:r>
        <w:rPr>
          <w:rFonts w:ascii="Times New Roman" w:hAnsi="Times New Roman" w:cs="Times New Roman" w:eastAsia="Times New Roman" w:hint="default"/>
        </w:rPr>
        <w:t>445,987,594</w:t>
      </w:r>
      <w:r>
        <w:rPr/>
        <w:t>股减少为</w:t>
      </w:r>
      <w:r>
        <w:rPr>
          <w:rFonts w:ascii="Times New Roman" w:hAnsi="Times New Roman" w:cs="Times New Roman" w:eastAsia="Times New Roman" w:hint="default"/>
        </w:rPr>
        <w:t>437,470,194</w:t>
      </w:r>
      <w:r>
        <w:rPr/>
        <w:t>股；</w:t>
      </w:r>
    </w:p>
    <w:p>
      <w:pPr>
        <w:pStyle w:val="BodyText"/>
        <w:spacing w:line="240" w:lineRule="auto" w:before="133"/>
        <w:ind w:left="633" w:right="0"/>
        <w:jc w:val="left"/>
      </w:pPr>
      <w:r>
        <w:rPr/>
        <w:t>（</w:t>
      </w:r>
      <w:r>
        <w:rPr>
          <w:rFonts w:ascii="Times New Roman" w:hAnsi="Times New Roman" w:cs="Times New Roman" w:eastAsia="Times New Roman" w:hint="default"/>
        </w:rPr>
        <w:t>2</w:t>
      </w:r>
      <w:r>
        <w:rPr/>
        <w:t>）公司有限售条件股份、无限售条件股份变动的原因：</w:t>
      </w:r>
    </w:p>
    <w:p>
      <w:pPr>
        <w:pStyle w:val="BodyText"/>
        <w:spacing w:line="240" w:lineRule="auto" w:before="138"/>
        <w:ind w:left="633" w:right="0"/>
        <w:jc w:val="left"/>
      </w:pPr>
      <w:r>
        <w:rPr>
          <w:rFonts w:ascii="Times New Roman" w:hAnsi="Times New Roman" w:cs="Times New Roman" w:eastAsia="Times New Roman" w:hint="default"/>
        </w:rPr>
        <w:t>1</w:t>
      </w:r>
      <w:r>
        <w:rPr/>
        <w:t>）公司董监高所持股份每年依据其期初持有的股份数量重新计算</w:t>
      </w:r>
      <w:r>
        <w:rPr>
          <w:rFonts w:ascii="Times New Roman" w:hAnsi="Times New Roman" w:cs="Times New Roman" w:eastAsia="Times New Roman" w:hint="default"/>
        </w:rPr>
        <w:t>25%</w:t>
      </w:r>
      <w:r>
        <w:rPr/>
        <w:t>的解除限售额度；</w:t>
      </w:r>
    </w:p>
    <w:p>
      <w:pPr>
        <w:pStyle w:val="BodyText"/>
        <w:spacing w:line="240" w:lineRule="auto" w:before="133"/>
        <w:ind w:left="633" w:right="0"/>
        <w:jc w:val="left"/>
      </w:pPr>
      <w:r>
        <w:rPr>
          <w:rFonts w:ascii="Times New Roman" w:hAnsi="Times New Roman" w:cs="Times New Roman" w:eastAsia="Times New Roman" w:hint="default"/>
        </w:rPr>
        <w:t>2</w:t>
      </w:r>
      <w:r>
        <w:rPr/>
        <w:t>）公司董监高换届选举后离任董监高所持股份锁定期届满并上市流通；</w:t>
      </w:r>
    </w:p>
    <w:p>
      <w:pPr>
        <w:spacing w:after="0" w:line="240" w:lineRule="auto"/>
        <w:jc w:val="left"/>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36" w:lineRule="auto"/>
        <w:ind w:left="633" w:right="0"/>
        <w:jc w:val="left"/>
      </w:pPr>
      <w:r>
        <w:rPr>
          <w:rFonts w:ascii="Times New Roman" w:hAnsi="Times New Roman" w:cs="Times New Roman" w:eastAsia="Times New Roman" w:hint="default"/>
        </w:rPr>
        <w:t>3</w:t>
      </w:r>
      <w:r>
        <w:rPr/>
        <w:t>）因实施限制性股票的回购注销工作，公司股权激励限售股减少</w:t>
      </w:r>
      <w:r>
        <w:rPr>
          <w:rFonts w:ascii="Times New Roman" w:hAnsi="Times New Roman" w:cs="Times New Roman" w:eastAsia="Times New Roman" w:hint="default"/>
        </w:rPr>
        <w:t>851.74</w:t>
      </w:r>
      <w:r>
        <w:rPr/>
        <w:t>万股。</w:t>
      </w:r>
      <w:r>
        <w:rPr>
          <w:spacing w:val="-116"/>
        </w:rPr>
        <w:t> </w:t>
      </w:r>
      <w:r>
        <w:rPr/>
        <w:t>综上因素，报告期内，公司有限售条件股份较期初减少</w:t>
      </w:r>
      <w:r>
        <w:rPr>
          <w:rFonts w:ascii="Times New Roman" w:hAnsi="Times New Roman" w:cs="Times New Roman" w:eastAsia="Times New Roman" w:hint="default"/>
        </w:rPr>
        <w:t>9,602,275</w:t>
      </w:r>
      <w:r>
        <w:rPr/>
        <w:t>股，无限售条件股份较</w:t>
      </w:r>
    </w:p>
    <w:p>
      <w:pPr>
        <w:pStyle w:val="BodyText"/>
        <w:spacing w:line="240" w:lineRule="auto" w:before="32"/>
        <w:ind w:right="0"/>
        <w:jc w:val="left"/>
      </w:pPr>
      <w:r>
        <w:rPr/>
        <w:t>期初相应增加</w:t>
      </w:r>
      <w:r>
        <w:rPr>
          <w:rFonts w:ascii="Times New Roman" w:hAnsi="Times New Roman" w:cs="Times New Roman" w:eastAsia="Times New Roman" w:hint="default"/>
        </w:rPr>
        <w:t>1,084,875</w:t>
      </w:r>
      <w:r>
        <w:rPr/>
        <w:t>股。</w:t>
      </w:r>
    </w:p>
    <w:p>
      <w:pPr>
        <w:spacing w:line="240" w:lineRule="auto" w:before="12"/>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股份变动的批准情况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6" w:lineRule="auto" w:before="132"/>
        <w:ind w:right="0" w:firstLine="480"/>
        <w:jc w:val="left"/>
      </w:pPr>
      <w:r>
        <w:rPr>
          <w:spacing w:val="2"/>
        </w:rPr>
        <w:t>上述</w:t>
      </w:r>
      <w:r>
        <w:rPr>
          <w:rFonts w:ascii="Times New Roman" w:hAnsi="Times New Roman" w:cs="Times New Roman" w:eastAsia="Times New Roman" w:hint="default"/>
          <w:spacing w:val="2"/>
        </w:rPr>
        <w:t>851.74</w:t>
      </w:r>
      <w:r>
        <w:rPr>
          <w:spacing w:val="2"/>
        </w:rPr>
        <w:t>万股限制性股票回购注销事宜已经公司分别于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11</w:t>
      </w:r>
      <w:r>
        <w:rPr>
          <w:spacing w:val="2"/>
        </w:rPr>
        <w:t>日召开</w:t>
      </w:r>
      <w:r>
        <w:rPr>
          <w:spacing w:val="4"/>
        </w:rPr>
        <w:t> </w:t>
      </w:r>
      <w:r>
        <w:rPr/>
        <w:t>的第四届董事会第二次会议、</w:t>
      </w:r>
      <w:r>
        <w:rPr>
          <w:rFonts w:ascii="Times New Roman" w:hAnsi="Times New Roman" w:cs="Times New Roman" w:eastAsia="Times New Roman" w:hint="default"/>
        </w:rPr>
        <w:t>2019</w:t>
      </w:r>
      <w:r>
        <w:rPr/>
        <w:t>年第一次临时股东大会审议通过。</w:t>
      </w:r>
    </w:p>
    <w:p>
      <w:pPr>
        <w:spacing w:before="15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股份变动的过户情况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36" w:lineRule="auto" w:before="132"/>
        <w:ind w:right="1115" w:firstLine="480"/>
        <w:jc w:val="left"/>
      </w:pPr>
      <w:r>
        <w:rPr>
          <w:spacing w:val="-2"/>
        </w:rPr>
        <w:t>经中国证券登记结算有限责任公司深圳分公司确认，公司已于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日办理完毕上</w:t>
      </w:r>
      <w:r>
        <w:rPr/>
        <w:t> 述</w:t>
      </w:r>
      <w:r>
        <w:rPr>
          <w:rFonts w:ascii="Times New Roman" w:hAnsi="Times New Roman" w:cs="Times New Roman" w:eastAsia="Times New Roman" w:hint="default"/>
        </w:rPr>
        <w:t>851.74</w:t>
      </w:r>
      <w:r>
        <w:rPr/>
        <w:t>万股限制性股票的注销事宜。</w:t>
      </w:r>
    </w:p>
    <w:p>
      <w:pPr>
        <w:spacing w:before="159"/>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股份回购的实施进展情况</w:t>
      </w:r>
    </w:p>
    <w:p>
      <w:pPr>
        <w:spacing w:line="448" w:lineRule="auto" w:before="119"/>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采用集中竞价方式减持回购股份的实施进展情况</w:t>
      </w:r>
    </w:p>
    <w:p>
      <w:pPr>
        <w:spacing w:line="207" w:lineRule="exact"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6"/>
          <w:szCs w:val="1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240" w:lineRule="auto" w:before="132"/>
        <w:ind w:left="633" w:right="0"/>
        <w:jc w:val="left"/>
      </w:pPr>
      <w:r>
        <w:rPr/>
        <w:t>详见本报告</w:t>
      </w:r>
      <w:r>
        <w:rPr>
          <w:rFonts w:ascii="Times New Roman" w:hAnsi="Times New Roman" w:cs="Times New Roman" w:eastAsia="Times New Roman" w:hint="default"/>
        </w:rPr>
        <w:t>“</w:t>
      </w:r>
      <w:r>
        <w:rPr/>
        <w:t>第二节</w:t>
      </w:r>
      <w:r>
        <w:rPr>
          <w:spacing w:val="-33"/>
        </w:rPr>
        <w:t> </w:t>
      </w:r>
      <w:r>
        <w:rPr/>
        <w:t>公司简介和主要财务指标</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五、主要会计数据和财务指标</w:t>
      </w:r>
      <w:r>
        <w:rPr>
          <w:rFonts w:ascii="Times New Roman" w:hAnsi="Times New Roman" w:cs="Times New Roman" w:eastAsia="Times New Roman" w:hint="default"/>
        </w:rPr>
        <w:t>”</w:t>
      </w:r>
      <w:r>
        <w:rPr/>
        <w:t>的内容。</w:t>
      </w:r>
    </w:p>
    <w:p>
      <w:pPr>
        <w:spacing w:line="240" w:lineRule="auto" w:before="12"/>
        <w:rPr>
          <w:rFonts w:ascii="宋体" w:hAnsi="宋体" w:cs="宋体" w:eastAsia="宋体" w:hint="default"/>
          <w:sz w:val="19"/>
          <w:szCs w:val="19"/>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公司认为必要或证券监管机构要求披露的其他内容</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限售股份变动情况" w:id="104"/>
      <w:bookmarkEnd w:id="10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5"/>
        <w:gridCol w:w="1066"/>
        <w:gridCol w:w="989"/>
        <w:gridCol w:w="1278"/>
        <w:gridCol w:w="1277"/>
        <w:gridCol w:w="2410"/>
        <w:gridCol w:w="1344"/>
      </w:tblGrid>
      <w:tr>
        <w:trPr>
          <w:trHeight w:val="715"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5" w:hanging="360"/>
              <w:jc w:val="left"/>
              <w:rPr>
                <w:rFonts w:ascii="宋体" w:hAnsi="宋体" w:cs="宋体" w:eastAsia="宋体" w:hint="default"/>
                <w:sz w:val="18"/>
                <w:szCs w:val="18"/>
              </w:rPr>
            </w:pPr>
            <w:r>
              <w:rPr>
                <w:rFonts w:ascii="宋体" w:hAnsi="宋体" w:cs="宋体" w:eastAsia="宋体" w:hint="default"/>
                <w:spacing w:val="-2"/>
                <w:sz w:val="18"/>
                <w:szCs w:val="18"/>
              </w:rPr>
              <w:t>期初限售股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0" w:right="31" w:hanging="178"/>
              <w:jc w:val="left"/>
              <w:rPr>
                <w:rFonts w:ascii="宋体" w:hAnsi="宋体" w:cs="宋体" w:eastAsia="宋体" w:hint="default"/>
                <w:sz w:val="18"/>
                <w:szCs w:val="18"/>
              </w:rPr>
            </w:pPr>
            <w:r>
              <w:rPr>
                <w:rFonts w:ascii="宋体" w:hAnsi="宋体" w:cs="宋体" w:eastAsia="宋体" w:hint="default"/>
                <w:spacing w:val="-2"/>
                <w:sz w:val="18"/>
                <w:szCs w:val="18"/>
              </w:rPr>
              <w:t>本期增加限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售股数</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51" w:right="89" w:hanging="360"/>
              <w:jc w:val="left"/>
              <w:rPr>
                <w:rFonts w:ascii="宋体" w:hAnsi="宋体" w:cs="宋体" w:eastAsia="宋体" w:hint="default"/>
                <w:sz w:val="18"/>
                <w:szCs w:val="18"/>
              </w:rPr>
            </w:pPr>
            <w:r>
              <w:rPr>
                <w:rFonts w:ascii="宋体" w:hAnsi="宋体" w:cs="宋体" w:eastAsia="宋体" w:hint="default"/>
                <w:spacing w:val="-2"/>
                <w:sz w:val="18"/>
                <w:szCs w:val="18"/>
              </w:rPr>
              <w:t>本期解除限售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9"/>
              <w:jc w:val="right"/>
              <w:rPr>
                <w:rFonts w:ascii="宋体" w:hAnsi="宋体" w:cs="宋体" w:eastAsia="宋体" w:hint="default"/>
                <w:sz w:val="18"/>
                <w:szCs w:val="18"/>
              </w:rPr>
            </w:pPr>
            <w:r>
              <w:rPr>
                <w:rFonts w:ascii="宋体" w:hAnsi="宋体" w:cs="宋体" w:eastAsia="宋体" w:hint="default"/>
                <w:spacing w:val="-2"/>
                <w:sz w:val="18"/>
                <w:szCs w:val="18"/>
              </w:rPr>
              <w:t>期末限售股数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pacing w:val="-3"/>
                <w:sz w:val="18"/>
                <w:szCs w:val="18"/>
              </w:rPr>
              <w:t>拟解除限售日期</w:t>
            </w:r>
          </w:p>
        </w:tc>
      </w:tr>
      <w:tr>
        <w:trPr>
          <w:trHeight w:val="399"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58,871,625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58,871,625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56,553,375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56,553,375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1,462,500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1,147,500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高管锁定股、股权激励限售股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399"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748,944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433,944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高管锁定股、股权激励限售股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高管锁定股、股权激励限售股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高管锁定期止</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周淑兰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920,625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920,625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高管锁定股、股权激励限售股</w:t>
            </w: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5"/>
        <w:gridCol w:w="1066"/>
        <w:gridCol w:w="989"/>
        <w:gridCol w:w="1278"/>
        <w:gridCol w:w="1277"/>
        <w:gridCol w:w="2410"/>
        <w:gridCol w:w="1344"/>
      </w:tblGrid>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李念</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409,500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谢雨汐</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750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750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84"/>
              <w:jc w:val="left"/>
              <w:rPr>
                <w:rFonts w:ascii="宋体" w:hAnsi="宋体" w:cs="宋体" w:eastAsia="宋体" w:hint="default"/>
                <w:sz w:val="18"/>
                <w:szCs w:val="18"/>
              </w:rPr>
            </w:pPr>
            <w:r>
              <w:rPr>
                <w:rFonts w:ascii="宋体" w:hAnsi="宋体" w:cs="宋体" w:eastAsia="宋体" w:hint="default"/>
                <w:spacing w:val="-2"/>
                <w:sz w:val="18"/>
                <w:szCs w:val="18"/>
              </w:rPr>
              <w:t>其他股权激励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限售股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7,502,400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7,502,400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股权激励限售股</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141,609,719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9,603,275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132,007,444</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期内证券发行（不含优先股）情况" w:id="106"/>
      <w:bookmarkEnd w:id="10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公司股份总数及股东结构的变动、公司资产和负债结构的变动情况说明" w:id="107"/>
      <w:bookmarkEnd w:id="10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pStyle w:val="BodyText"/>
        <w:spacing w:line="343" w:lineRule="auto" w:before="132"/>
        <w:ind w:right="1122" w:firstLine="480"/>
        <w:jc w:val="both"/>
      </w:pPr>
      <w:r>
        <w:rPr>
          <w:spacing w:val="-3"/>
        </w:rPr>
        <w:t>报告期内，公司实施了对</w:t>
      </w:r>
      <w:r>
        <w:rPr>
          <w:rFonts w:ascii="Times New Roman" w:hAnsi="Times New Roman" w:cs="Times New Roman" w:eastAsia="Times New Roman" w:hint="default"/>
          <w:spacing w:val="-3"/>
        </w:rPr>
        <w:t>851.74</w:t>
      </w:r>
      <w:r>
        <w:rPr>
          <w:spacing w:val="-3"/>
        </w:rPr>
        <w:t>万股限制性股票的回购注销事宜，公司股本由</w:t>
      </w:r>
      <w:r>
        <w:rPr>
          <w:rFonts w:ascii="Times New Roman" w:hAnsi="Times New Roman" w:cs="Times New Roman" w:eastAsia="Times New Roman" w:hint="default"/>
          <w:spacing w:val="-3"/>
        </w:rPr>
        <w:t>445,987,594</w:t>
      </w:r>
      <w:r>
        <w:rPr>
          <w:rFonts w:ascii="Times New Roman" w:hAnsi="Times New Roman" w:cs="Times New Roman" w:eastAsia="Times New Roman" w:hint="default"/>
        </w:rPr>
        <w:t> </w:t>
      </w:r>
      <w:r>
        <w:rPr/>
        <w:t>股减少为</w:t>
      </w:r>
      <w:r>
        <w:rPr>
          <w:rFonts w:ascii="Times New Roman" w:hAnsi="Times New Roman" w:cs="Times New Roman" w:eastAsia="Times New Roman" w:hint="default"/>
        </w:rPr>
        <w:t>437,470,194</w:t>
      </w:r>
      <w:r>
        <w:rPr/>
        <w:t>股，同时，受董监高每年按法定</w:t>
      </w:r>
      <w:r>
        <w:rPr>
          <w:rFonts w:ascii="Times New Roman" w:hAnsi="Times New Roman" w:cs="Times New Roman" w:eastAsia="Times New Roman" w:hint="default"/>
        </w:rPr>
        <w:t>25%</w:t>
      </w:r>
      <w:r>
        <w:rPr/>
        <w:t>的额度解除限售、离任董监高股份</w:t>
      </w:r>
      <w:r>
        <w:rPr>
          <w:spacing w:val="-57"/>
        </w:rPr>
        <w:t> </w:t>
      </w:r>
      <w:r>
        <w:rPr>
          <w:spacing w:val="-57"/>
        </w:rPr>
      </w:r>
      <w:r>
        <w:rPr/>
        <w:t>锁定期届满并上市流通、限制性股票回购注销因素影响导致公司有限售条件股份、无限售条</w:t>
      </w:r>
      <w:r>
        <w:rPr>
          <w:spacing w:val="-93"/>
        </w:rPr>
        <w:t> </w:t>
      </w:r>
      <w:r>
        <w:rPr>
          <w:spacing w:val="-93"/>
        </w:rPr>
      </w:r>
      <w:r>
        <w:rPr/>
        <w:t>件股份相应变动，有限售条件股份合计减少</w:t>
      </w:r>
      <w:r>
        <w:rPr>
          <w:rFonts w:ascii="Times New Roman" w:hAnsi="Times New Roman" w:cs="Times New Roman" w:eastAsia="Times New Roman" w:hint="default"/>
        </w:rPr>
        <w:t>9,602,275</w:t>
      </w:r>
      <w:r>
        <w:rPr/>
        <w:t>股，无限售条件股份相应增加</w:t>
      </w:r>
      <w:r>
        <w:rPr>
          <w:rFonts w:ascii="Times New Roman" w:hAnsi="Times New Roman" w:cs="Times New Roman" w:eastAsia="Times New Roman" w:hint="default"/>
        </w:rPr>
        <w:t>1,084,875</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股。除上述变动外，公司股东结构未发生重大变动，公司资产和负债结构未发生重大变动。</w:t>
      </w:r>
    </w:p>
    <w:p>
      <w:pPr>
        <w:spacing w:line="240" w:lineRule="auto" w:before="7"/>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3、现存的内部职工股情况" w:id="108"/>
      <w:bookmarkEnd w:id="10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公司股东数量及持股情况" w:id="110"/>
      <w:bookmarkEnd w:id="11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pict>
          <v:group style="position:absolute;margin-left:331.799988pt;margin-top:68.131729pt;width:53.55pt;height:31.2pt;mso-position-horizontal-relative:page;mso-position-vertical-relative:paragraph;z-index:-1180528" coordorigin="6636,1363" coordsize="1071,624">
            <v:shape style="position:absolute;left:6636;top:1363;width:1071;height:624" coordorigin="6636,1363" coordsize="1071,624" path="m6636,1987l7707,1987,7707,1363,6636,1363,6636,1987xe" filled="true" fillcolor="#ffffff" stroked="false">
              <v:path arrowok="t"/>
              <v:fill type="solid"/>
            </v:shape>
            <w10:wrap type="none"/>
          </v:group>
        </w:pict>
      </w: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1208"/>
        <w:gridCol w:w="1216"/>
        <w:gridCol w:w="937"/>
        <w:gridCol w:w="1081"/>
        <w:gridCol w:w="1067"/>
        <w:gridCol w:w="1092"/>
        <w:gridCol w:w="921"/>
        <w:gridCol w:w="1089"/>
        <w:gridCol w:w="1077"/>
      </w:tblGrid>
      <w:tr>
        <w:trPr>
          <w:trHeight w:val="158"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6"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20,513</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8" w:right="182"/>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081" w:type="dxa"/>
            <w:vMerge w:val="restart"/>
            <w:tcBorders>
              <w:top w:val="single" w:sz="4" w:space="0" w:color="000000"/>
              <w:left w:val="single" w:sz="12"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2" w:right="0"/>
              <w:jc w:val="left"/>
              <w:rPr>
                <w:rFonts w:ascii="Times New Roman" w:hAnsi="Times New Roman" w:cs="Times New Roman" w:eastAsia="Times New Roman" w:hint="default"/>
                <w:sz w:val="18"/>
                <w:szCs w:val="18"/>
              </w:rPr>
            </w:pPr>
            <w:r>
              <w:rPr>
                <w:rFonts w:ascii="Times New Roman"/>
                <w:spacing w:val="-3"/>
                <w:sz w:val="18"/>
              </w:rPr>
              <w:t>26,111</w:t>
            </w:r>
          </w:p>
        </w:tc>
        <w:tc>
          <w:tcPr>
            <w:tcW w:w="10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6" w:right="-45"/>
              <w:jc w:val="left"/>
              <w:rPr>
                <w:rFonts w:ascii="宋体" w:hAnsi="宋体" w:cs="宋体" w:eastAsia="宋体" w:hint="default"/>
                <w:sz w:val="18"/>
                <w:szCs w:val="18"/>
              </w:rPr>
            </w:pPr>
            <w:r>
              <w:rPr>
                <w:rFonts w:ascii="宋体" w:hAnsi="宋体" w:cs="宋体" w:eastAsia="宋体" w:hint="default"/>
                <w:sz w:val="18"/>
                <w:szCs w:val="18"/>
              </w:rPr>
              <w:t>报告期末表</w:t>
            </w:r>
            <w:r>
              <w:rPr>
                <w:rFonts w:ascii="宋体" w:hAnsi="宋体" w:cs="宋体" w:eastAsia="宋体" w:hint="default"/>
                <w:w w:val="101"/>
                <w:sz w:val="18"/>
                <w:szCs w:val="18"/>
              </w:rPr>
              <w:t> </w:t>
            </w:r>
            <w:r>
              <w:rPr>
                <w:rFonts w:ascii="宋体" w:hAnsi="宋体" w:cs="宋体" w:eastAsia="宋体" w:hint="default"/>
                <w:sz w:val="18"/>
                <w:szCs w:val="18"/>
              </w:rPr>
              <w:t>决权恢复的</w:t>
            </w:r>
            <w:r>
              <w:rPr>
                <w:rFonts w:ascii="宋体" w:hAnsi="宋体" w:cs="宋体" w:eastAsia="宋体" w:hint="default"/>
                <w:w w:val="101"/>
                <w:sz w:val="18"/>
                <w:szCs w:val="18"/>
              </w:rPr>
              <w:t> </w:t>
            </w:r>
            <w:r>
              <w:rPr>
                <w:rFonts w:ascii="宋体" w:hAnsi="宋体" w:cs="宋体" w:eastAsia="宋体" w:hint="default"/>
                <w:sz w:val="18"/>
                <w:szCs w:val="18"/>
              </w:rPr>
              <w:t>优先股股东</w:t>
            </w:r>
            <w:r>
              <w:rPr>
                <w:rFonts w:ascii="宋体" w:hAnsi="宋体" w:cs="宋体" w:eastAsia="宋体" w:hint="default"/>
                <w:w w:val="101"/>
                <w:sz w:val="18"/>
                <w:szCs w:val="18"/>
              </w:rPr>
              <w:t> </w:t>
            </w:r>
            <w:r>
              <w:rPr>
                <w:rFonts w:ascii="宋体" w:hAnsi="宋体" w:cs="宋体" w:eastAsia="宋体" w:hint="default"/>
                <w:spacing w:val="-2"/>
                <w:sz w:val="18"/>
                <w:szCs w:val="18"/>
              </w:rPr>
              <w:t>总数（如有）</w:t>
            </w:r>
          </w:p>
          <w:p>
            <w:pPr>
              <w:pStyle w:val="TableParagraph"/>
              <w:spacing w:line="240" w:lineRule="auto" w:before="23"/>
              <w:ind w:left="16"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w:t>
            </w:r>
          </w:p>
        </w:tc>
        <w:tc>
          <w:tcPr>
            <w:tcW w:w="1092"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20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7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12"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6" w:type="dxa"/>
            <w:vMerge/>
            <w:tcBorders>
              <w:left w:val="single" w:sz="10" w:space="0" w:color="D2D2D2"/>
              <w:right w:val="single" w:sz="13" w:space="0" w:color="D2D2D2"/>
            </w:tcBorders>
          </w:tcPr>
          <w:p>
            <w:pPr/>
          </w:p>
        </w:tc>
        <w:tc>
          <w:tcPr>
            <w:tcW w:w="937" w:type="dxa"/>
            <w:vMerge/>
            <w:tcBorders>
              <w:left w:val="single" w:sz="4" w:space="0" w:color="000000"/>
              <w:right w:val="single" w:sz="4" w:space="0" w:color="000000"/>
            </w:tcBorders>
            <w:shd w:val="clear" w:color="auto" w:fill="D2D2D2"/>
          </w:tcPr>
          <w:p>
            <w:pPr/>
          </w:p>
        </w:tc>
        <w:tc>
          <w:tcPr>
            <w:tcW w:w="1081" w:type="dxa"/>
            <w:vMerge/>
            <w:tcBorders>
              <w:left w:val="single" w:sz="12" w:space="0" w:color="D2D2D2"/>
              <w:right w:val="single" w:sz="13" w:space="0" w:color="D2D2D2"/>
            </w:tcBorders>
          </w:tcPr>
          <w:p>
            <w:pPr/>
          </w:p>
        </w:tc>
        <w:tc>
          <w:tcPr>
            <w:tcW w:w="1067" w:type="dxa"/>
            <w:vMerge/>
            <w:tcBorders>
              <w:left w:val="single" w:sz="4" w:space="0" w:color="000000"/>
              <w:right w:val="single" w:sz="4" w:space="0" w:color="000000"/>
            </w:tcBorders>
            <w:shd w:val="clear" w:color="auto" w:fill="D2D2D2"/>
          </w:tcPr>
          <w:p>
            <w:pPr/>
          </w:p>
        </w:tc>
        <w:tc>
          <w:tcPr>
            <w:tcW w:w="1092" w:type="dxa"/>
            <w:vMerge/>
            <w:tcBorders>
              <w:left w:val="single" w:sz="10" w:space="0" w:color="D2D2D2"/>
              <w:right w:val="single" w:sz="10" w:space="0" w:color="D2D2D2"/>
            </w:tcBorders>
          </w:tcPr>
          <w:p>
            <w:pPr/>
          </w:p>
        </w:tc>
        <w:tc>
          <w:tcPr>
            <w:tcW w:w="201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7" w:right="83"/>
              <w:jc w:val="left"/>
              <w:rPr>
                <w:rFonts w:ascii="宋体" w:hAnsi="宋体" w:cs="宋体" w:eastAsia="宋体" w:hint="default"/>
                <w:sz w:val="18"/>
                <w:szCs w:val="18"/>
              </w:rPr>
            </w:pPr>
            <w:r>
              <w:rPr>
                <w:rFonts w:ascii="宋体" w:hAnsi="宋体" w:cs="宋体" w:eastAsia="宋体" w:hint="default"/>
                <w:sz w:val="18"/>
                <w:szCs w:val="18"/>
              </w:rPr>
              <w:t>年度报告披露日前上一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月末表决权恢复的优先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w w:val="101"/>
                <w:sz w:val="18"/>
                <w:szCs w:val="18"/>
              </w:rPr>
              <w:t>股股东总数（如有）（参</w:t>
            </w:r>
            <w:r>
              <w:rPr>
                <w:rFonts w:ascii="宋体" w:hAnsi="宋体" w:cs="宋体" w:eastAsia="宋体" w:hint="default"/>
                <w:w w:val="101"/>
                <w:sz w:val="18"/>
                <w:szCs w:val="18"/>
              </w:rPr>
              <w:t> </w:t>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7" w:type="dxa"/>
            <w:vMerge/>
            <w:tcBorders>
              <w:left w:val="single" w:sz="10" w:space="0" w:color="D2D2D2"/>
              <w:right w:val="single" w:sz="4" w:space="0" w:color="000000"/>
            </w:tcBorders>
          </w:tcPr>
          <w:p>
            <w:pPr/>
          </w:p>
        </w:tc>
      </w:tr>
      <w:tr>
        <w:trPr>
          <w:trHeight w:val="706"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4"/>
              <w:ind w:left="12" w:right="99"/>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16" w:type="dxa"/>
            <w:vMerge/>
            <w:tcBorders>
              <w:left w:val="single" w:sz="10" w:space="0" w:color="D2D2D2"/>
              <w:right w:val="single" w:sz="13" w:space="0" w:color="D2D2D2"/>
            </w:tcBorders>
          </w:tcPr>
          <w:p>
            <w:pPr/>
          </w:p>
        </w:tc>
        <w:tc>
          <w:tcPr>
            <w:tcW w:w="937" w:type="dxa"/>
            <w:vMerge/>
            <w:tcBorders>
              <w:left w:val="single" w:sz="4" w:space="0" w:color="000000"/>
              <w:right w:val="single" w:sz="4" w:space="0" w:color="000000"/>
            </w:tcBorders>
            <w:shd w:val="clear" w:color="auto" w:fill="D2D2D2"/>
          </w:tcPr>
          <w:p>
            <w:pPr/>
          </w:p>
        </w:tc>
        <w:tc>
          <w:tcPr>
            <w:tcW w:w="1081" w:type="dxa"/>
            <w:vMerge/>
            <w:tcBorders>
              <w:left w:val="single" w:sz="12" w:space="0" w:color="D2D2D2"/>
              <w:right w:val="single" w:sz="13" w:space="0" w:color="D2D2D2"/>
            </w:tcBorders>
          </w:tcPr>
          <w:p>
            <w:pPr/>
          </w:p>
        </w:tc>
        <w:tc>
          <w:tcPr>
            <w:tcW w:w="1067" w:type="dxa"/>
            <w:vMerge/>
            <w:tcBorders>
              <w:left w:val="single" w:sz="4" w:space="0" w:color="000000"/>
              <w:right w:val="single" w:sz="4" w:space="0" w:color="000000"/>
            </w:tcBorders>
            <w:shd w:val="clear" w:color="auto" w:fill="D2D2D2"/>
          </w:tcPr>
          <w:p>
            <w:pPr/>
          </w:p>
        </w:tc>
        <w:tc>
          <w:tcPr>
            <w:tcW w:w="1092" w:type="dxa"/>
            <w:vMerge/>
            <w:tcBorders>
              <w:left w:val="single" w:sz="10" w:space="0" w:color="D2D2D2"/>
              <w:right w:val="single" w:sz="10" w:space="0" w:color="D2D2D2"/>
            </w:tcBorders>
          </w:tcPr>
          <w:p>
            <w:pPr/>
          </w:p>
        </w:tc>
        <w:tc>
          <w:tcPr>
            <w:tcW w:w="2010" w:type="dxa"/>
            <w:gridSpan w:val="2"/>
            <w:vMerge/>
            <w:tcBorders>
              <w:left w:val="single" w:sz="4" w:space="0" w:color="000000"/>
              <w:right w:val="single" w:sz="4" w:space="0" w:color="000000"/>
            </w:tcBorders>
            <w:shd w:val="clear" w:color="auto" w:fill="D2D2D2"/>
          </w:tcPr>
          <w:p>
            <w:pPr/>
          </w:p>
        </w:tc>
        <w:tc>
          <w:tcPr>
            <w:tcW w:w="1077" w:type="dxa"/>
            <w:vMerge/>
            <w:tcBorders>
              <w:left w:val="single" w:sz="10" w:space="0" w:color="D2D2D2"/>
              <w:right w:val="single" w:sz="4" w:space="0" w:color="000000"/>
            </w:tcBorders>
          </w:tcPr>
          <w:p>
            <w:pPr/>
          </w:p>
        </w:tc>
      </w:tr>
      <w:tr>
        <w:trPr>
          <w:trHeight w:val="312"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6" w:type="dxa"/>
            <w:vMerge/>
            <w:tcBorders>
              <w:left w:val="single" w:sz="10" w:space="0" w:color="D2D2D2"/>
              <w:right w:val="single" w:sz="13" w:space="0" w:color="D2D2D2"/>
            </w:tcBorders>
          </w:tcPr>
          <w:p>
            <w:pPr/>
          </w:p>
        </w:tc>
        <w:tc>
          <w:tcPr>
            <w:tcW w:w="937" w:type="dxa"/>
            <w:vMerge/>
            <w:tcBorders>
              <w:left w:val="single" w:sz="4" w:space="0" w:color="000000"/>
              <w:right w:val="single" w:sz="4" w:space="0" w:color="000000"/>
            </w:tcBorders>
            <w:shd w:val="clear" w:color="auto" w:fill="D2D2D2"/>
          </w:tcPr>
          <w:p>
            <w:pPr/>
          </w:p>
        </w:tc>
        <w:tc>
          <w:tcPr>
            <w:tcW w:w="1081" w:type="dxa"/>
            <w:vMerge/>
            <w:tcBorders>
              <w:left w:val="single" w:sz="12" w:space="0" w:color="D2D2D2"/>
              <w:right w:val="single" w:sz="13" w:space="0" w:color="D2D2D2"/>
            </w:tcBorders>
          </w:tcPr>
          <w:p>
            <w:pPr/>
          </w:p>
        </w:tc>
        <w:tc>
          <w:tcPr>
            <w:tcW w:w="1067" w:type="dxa"/>
            <w:vMerge/>
            <w:tcBorders>
              <w:left w:val="single" w:sz="4" w:space="0" w:color="000000"/>
              <w:right w:val="single" w:sz="4" w:space="0" w:color="000000"/>
            </w:tcBorders>
            <w:shd w:val="clear" w:color="auto" w:fill="D2D2D2"/>
          </w:tcPr>
          <w:p>
            <w:pPr/>
          </w:p>
        </w:tc>
        <w:tc>
          <w:tcPr>
            <w:tcW w:w="1092" w:type="dxa"/>
            <w:vMerge/>
            <w:tcBorders>
              <w:left w:val="single" w:sz="10" w:space="0" w:color="D2D2D2"/>
              <w:right w:val="single" w:sz="10" w:space="0" w:color="D2D2D2"/>
            </w:tcBorders>
          </w:tcPr>
          <w:p>
            <w:pPr/>
          </w:p>
        </w:tc>
        <w:tc>
          <w:tcPr>
            <w:tcW w:w="2010" w:type="dxa"/>
            <w:gridSpan w:val="2"/>
            <w:vMerge/>
            <w:tcBorders>
              <w:left w:val="single" w:sz="4" w:space="0" w:color="000000"/>
              <w:bottom w:val="nil" w:sz="6" w:space="0" w:color="auto"/>
              <w:right w:val="single" w:sz="4" w:space="0" w:color="000000"/>
            </w:tcBorders>
            <w:shd w:val="clear" w:color="auto" w:fill="D2D2D2"/>
          </w:tcPr>
          <w:p>
            <w:pPr/>
          </w:p>
        </w:tc>
        <w:tc>
          <w:tcPr>
            <w:tcW w:w="1077" w:type="dxa"/>
            <w:vMerge/>
            <w:tcBorders>
              <w:left w:val="single" w:sz="10" w:space="0" w:color="D2D2D2"/>
              <w:right w:val="single" w:sz="4" w:space="0" w:color="000000"/>
            </w:tcBorders>
          </w:tcPr>
          <w:p>
            <w:pPr/>
          </w:p>
        </w:tc>
      </w:tr>
      <w:tr>
        <w:trPr>
          <w:trHeight w:val="168"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6" w:type="dxa"/>
            <w:vMerge/>
            <w:tcBorders>
              <w:left w:val="single" w:sz="10" w:space="0" w:color="D2D2D2"/>
              <w:bottom w:val="single" w:sz="4" w:space="0" w:color="000000"/>
              <w:right w:val="single" w:sz="13" w:space="0" w:color="D2D2D2"/>
            </w:tcBorders>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081" w:type="dxa"/>
            <w:vMerge/>
            <w:tcBorders>
              <w:left w:val="single" w:sz="12" w:space="0" w:color="D2D2D2"/>
              <w:bottom w:val="single" w:sz="4" w:space="0" w:color="000000"/>
              <w:right w:val="single" w:sz="13" w:space="0" w:color="D2D2D2"/>
            </w:tcBorders>
          </w:tcPr>
          <w:p>
            <w:pPr/>
          </w:p>
        </w:tc>
        <w:tc>
          <w:tcPr>
            <w:tcW w:w="1067"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10" w:space="0" w:color="D2D2D2"/>
              <w:bottom w:val="single" w:sz="4" w:space="0" w:color="000000"/>
              <w:right w:val="single" w:sz="10" w:space="0" w:color="D2D2D2"/>
            </w:tcBorders>
          </w:tcPr>
          <w:p>
            <w:pPr/>
          </w:p>
        </w:tc>
        <w:tc>
          <w:tcPr>
            <w:tcW w:w="20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77" w:type="dxa"/>
            <w:vMerge/>
            <w:tcBorders>
              <w:left w:val="single" w:sz="10" w:space="0" w:color="D2D2D2"/>
              <w:bottom w:val="single" w:sz="4" w:space="0" w:color="000000"/>
              <w:right w:val="single" w:sz="4" w:space="0" w:color="000000"/>
            </w:tcBorders>
          </w:tcPr>
          <w:p>
            <w:pPr/>
          </w:p>
        </w:tc>
      </w:tr>
      <w:tr>
        <w:trPr>
          <w:trHeight w:val="389" w:hRule="exact"/>
        </w:trPr>
        <w:tc>
          <w:tcPr>
            <w:tcW w:w="968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1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8"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6" w:type="dxa"/>
            <w:vMerge w:val="restart"/>
            <w:tcBorders>
              <w:top w:val="single" w:sz="4" w:space="0" w:color="000000"/>
              <w:left w:val="single" w:sz="4" w:space="0" w:color="000000"/>
              <w:right w:val="single" w:sz="4" w:space="0" w:color="000000"/>
            </w:tcBorders>
            <w:shd w:val="clear" w:color="auto" w:fill="D2D2D2"/>
          </w:tcPr>
          <w:p>
            <w:pP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8"/>
              <w:ind w:left="92" w:right="85"/>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8"/>
              <w:ind w:left="99" w:right="84"/>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1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4"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0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62" w:right="81" w:hanging="178"/>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6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79" w:right="73"/>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092"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2166" w:type="dxa"/>
            <w:gridSpan w:val="2"/>
            <w:vMerge/>
            <w:tcBorders>
              <w:left w:val="single" w:sz="4" w:space="0" w:color="000000"/>
              <w:right w:val="single" w:sz="4" w:space="0" w:color="000000"/>
            </w:tcBorders>
            <w:shd w:val="clear" w:color="auto" w:fill="D2D2D2"/>
          </w:tcPr>
          <w:p>
            <w:pPr/>
          </w:p>
        </w:tc>
      </w:tr>
      <w:tr>
        <w:trPr>
          <w:trHeight w:val="142" w:hRule="exact"/>
        </w:trPr>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9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81"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2166" w:type="dxa"/>
            <w:gridSpan w:val="2"/>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6"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right w:val="single" w:sz="4" w:space="0" w:color="000000"/>
            </w:tcBorders>
            <w:shd w:val="clear" w:color="auto" w:fill="D2D2D2"/>
          </w:tcPr>
          <w:p>
            <w:pPr/>
          </w:p>
        </w:tc>
        <w:tc>
          <w:tcPr>
            <w:tcW w:w="1067" w:type="dxa"/>
            <w:vMerge/>
            <w:tcBorders>
              <w:left w:val="single" w:sz="4" w:space="0" w:color="000000"/>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10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18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5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8"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6" w:type="dxa"/>
            <w:vMerge w:val="restart"/>
            <w:tcBorders>
              <w:top w:val="nil" w:sz="6" w:space="0" w:color="auto"/>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1081" w:type="dxa"/>
            <w:vMerge/>
            <w:tcBorders>
              <w:left w:val="single" w:sz="4" w:space="0" w:color="000000"/>
              <w:bottom w:val="nil" w:sz="6" w:space="0" w:color="auto"/>
              <w:right w:val="single" w:sz="4" w:space="0" w:color="000000"/>
            </w:tcBorders>
            <w:shd w:val="clear" w:color="auto" w:fill="D2D2D2"/>
          </w:tcPr>
          <w:p>
            <w:pPr/>
          </w:p>
        </w:tc>
        <w:tc>
          <w:tcPr>
            <w:tcW w:w="1067" w:type="dxa"/>
            <w:vMerge/>
            <w:tcBorders>
              <w:left w:val="single" w:sz="4" w:space="0" w:color="000000"/>
              <w:bottom w:val="nil" w:sz="6" w:space="0" w:color="auto"/>
              <w:right w:val="single" w:sz="4" w:space="0" w:color="000000"/>
            </w:tcBorders>
            <w:shd w:val="clear" w:color="auto" w:fill="D2D2D2"/>
          </w:tcPr>
          <w:p>
            <w:pPr/>
          </w:p>
        </w:tc>
        <w:tc>
          <w:tcPr>
            <w:tcW w:w="1092" w:type="dxa"/>
            <w:vMerge/>
            <w:tcBorders>
              <w:left w:val="single" w:sz="4" w:space="0" w:color="000000"/>
              <w:right w:val="single" w:sz="4" w:space="0" w:color="000000"/>
            </w:tcBorders>
            <w:shd w:val="clear" w:color="auto" w:fill="D2D2D2"/>
          </w:tcPr>
          <w:p>
            <w:pPr/>
          </w:p>
        </w:tc>
        <w:tc>
          <w:tcPr>
            <w:tcW w:w="921" w:type="dxa"/>
            <w:vMerge/>
            <w:tcBorders>
              <w:left w:val="single" w:sz="4" w:space="0" w:color="000000"/>
              <w:right w:val="single" w:sz="4" w:space="0" w:color="000000"/>
            </w:tcBorders>
            <w:shd w:val="clear" w:color="auto" w:fill="D2D2D2"/>
          </w:tcPr>
          <w:p>
            <w:pPr/>
          </w:p>
        </w:tc>
        <w:tc>
          <w:tcPr>
            <w:tcW w:w="1089" w:type="dxa"/>
            <w:vMerge/>
            <w:tcBorders>
              <w:left w:val="single" w:sz="4" w:space="0" w:color="000000"/>
              <w:right w:val="single" w:sz="4" w:space="0" w:color="000000"/>
            </w:tcBorders>
            <w:shd w:val="clear" w:color="auto" w:fill="D2D2D2"/>
          </w:tcPr>
          <w:p>
            <w:pPr/>
          </w:p>
        </w:tc>
        <w:tc>
          <w:tcPr>
            <w:tcW w:w="1077" w:type="dxa"/>
            <w:vMerge/>
            <w:tcBorders>
              <w:left w:val="single" w:sz="4" w:space="0" w:color="000000"/>
              <w:right w:val="single" w:sz="4" w:space="0" w:color="000000"/>
            </w:tcBorders>
            <w:shd w:val="clear" w:color="auto" w:fill="D2D2D2"/>
          </w:tcPr>
          <w:p>
            <w:pPr/>
          </w:p>
        </w:tc>
      </w:tr>
      <w:tr>
        <w:trPr>
          <w:trHeight w:val="158"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6"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89" w:type="dxa"/>
            <w:vMerge/>
            <w:tcBorders>
              <w:left w:val="single" w:sz="4" w:space="0" w:color="000000"/>
              <w:bottom w:val="single" w:sz="4" w:space="0" w:color="000000"/>
              <w:right w:val="single" w:sz="4" w:space="0" w:color="000000"/>
            </w:tcBorders>
            <w:shd w:val="clear" w:color="auto" w:fill="D2D2D2"/>
          </w:tcPr>
          <w:p>
            <w:pPr/>
          </w:p>
        </w:tc>
        <w:tc>
          <w:tcPr>
            <w:tcW w:w="107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63"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4.984001pt;margin-top:72.019981pt;width:485.75pt;height:683.75pt;mso-position-horizontal-relative:page;mso-position-vertical-relative:page;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20"/>
                    <w:gridCol w:w="1210"/>
                    <w:gridCol w:w="941"/>
                    <w:gridCol w:w="1075"/>
                    <w:gridCol w:w="1080"/>
                    <w:gridCol w:w="1080"/>
                    <w:gridCol w:w="937"/>
                    <w:gridCol w:w="643"/>
                    <w:gridCol w:w="442"/>
                    <w:gridCol w:w="1071"/>
                  </w:tblGrid>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17.94%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78,495,500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58,871,625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19,623,875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54,449,999</w:t>
                        </w:r>
                      </w:p>
                    </w:tc>
                  </w:tr>
                  <w:tr>
                    <w:trPr>
                      <w:trHeight w:val="398"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17.24%</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75,404,500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56,553,375</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18,851,125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52,750,000</w:t>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99"/>
                          <w:jc w:val="left"/>
                          <w:rPr>
                            <w:rFonts w:ascii="宋体" w:hAnsi="宋体" w:cs="宋体" w:eastAsia="宋体" w:hint="default"/>
                            <w:sz w:val="18"/>
                            <w:szCs w:val="18"/>
                          </w:rPr>
                        </w:pPr>
                        <w:r>
                          <w:rPr>
                            <w:rFonts w:ascii="宋体" w:hAnsi="宋体" w:cs="宋体" w:eastAsia="宋体" w:hint="default"/>
                            <w:spacing w:val="-2"/>
                            <w:sz w:val="18"/>
                            <w:szCs w:val="18"/>
                          </w:rPr>
                          <w:t>上海亨升投资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管理有限公司</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3" w:right="89"/>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5.83%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25,512,500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25,512,500</w:t>
                        </w:r>
                      </w:p>
                    </w:tc>
                    <w:tc>
                      <w:tcPr>
                        <w:tcW w:w="1085" w:type="dxa"/>
                        <w:gridSpan w:val="2"/>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4.57%</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15,000,000</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15,081,145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-2,299,947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15,081,145</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4,300,000</w:t>
                        </w:r>
                      </w:p>
                    </w:tc>
                  </w:tr>
                  <w:tr>
                    <w:trPr>
                      <w:trHeight w:val="398"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周良丽</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8,358,577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-3,237,495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8,358,577</w:t>
                        </w:r>
                      </w:p>
                    </w:tc>
                    <w:tc>
                      <w:tcPr>
                        <w:tcW w:w="1085" w:type="dxa"/>
                        <w:gridSpan w:val="2"/>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孙好好</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pacing w:val="-1"/>
                            <w:sz w:val="18"/>
                          </w:rPr>
                          <w:t>1.53%</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6,712,664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3"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6,712,664</w:t>
                        </w:r>
                      </w:p>
                    </w:tc>
                    <w:tc>
                      <w:tcPr>
                        <w:tcW w:w="1085" w:type="dxa"/>
                        <w:gridSpan w:val="2"/>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胡静</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1.52%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6,656,862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353,400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6,656,862</w:t>
                        </w:r>
                      </w:p>
                    </w:tc>
                    <w:tc>
                      <w:tcPr>
                        <w:tcW w:w="1085" w:type="dxa"/>
                        <w:gridSpan w:val="2"/>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聂根红</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1.22%</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5,348,000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53,000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5,348,000</w:t>
                        </w:r>
                      </w:p>
                    </w:tc>
                    <w:tc>
                      <w:tcPr>
                        <w:tcW w:w="1085" w:type="dxa"/>
                        <w:gridSpan w:val="2"/>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杨真</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0.95%</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4,162,118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-244,882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4,162,118</w:t>
                        </w:r>
                      </w:p>
                    </w:tc>
                    <w:tc>
                      <w:tcPr>
                        <w:tcW w:w="1085" w:type="dxa"/>
                        <w:gridSpan w:val="2"/>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4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9"/>
                          <w:ind w:left="24" w:right="51"/>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新股成为前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270"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63" w:hRule="exact"/>
                    </w:trPr>
                    <w:tc>
                      <w:tcPr>
                        <w:tcW w:w="24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70" w:type="dxa"/>
                        <w:gridSpan w:val="8"/>
                        <w:vMerge w:val="restart"/>
                        <w:tcBorders>
                          <w:top w:val="single" w:sz="4" w:space="0" w:color="000000"/>
                          <w:left w:val="single" w:sz="10" w:space="0" w:color="D2D2D2"/>
                          <w:right w:val="single" w:sz="4" w:space="0" w:color="000000"/>
                        </w:tcBorders>
                      </w:tcPr>
                      <w:p>
                        <w:pPr>
                          <w:pStyle w:val="TableParagraph"/>
                          <w:spacing w:line="321" w:lineRule="auto" w:before="53"/>
                          <w:ind w:left="16" w:right="33"/>
                          <w:jc w:val="left"/>
                          <w:rPr>
                            <w:rFonts w:ascii="宋体" w:hAnsi="宋体" w:cs="宋体" w:eastAsia="宋体" w:hint="default"/>
                            <w:sz w:val="18"/>
                            <w:szCs w:val="18"/>
                          </w:rPr>
                        </w:pPr>
                        <w:r>
                          <w:rPr>
                            <w:rFonts w:ascii="宋体" w:hAnsi="宋体" w:cs="宋体" w:eastAsia="宋体" w:hint="default"/>
                            <w:spacing w:val="-5"/>
                            <w:sz w:val="18"/>
                            <w:szCs w:val="18"/>
                          </w:rPr>
                          <w:t>上述股东中孙屹峥、张菀为夫妻关系，孙晶晶、孙好好为孙屹峥夫妇的女儿，孙屹峥、张菀</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孙晶晶、孙好好为一致行动人。除此以外，公司未知其他股东之间是否存在关联关系，也未</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知是否属于《上市公司收购管理办法》规定的一致行动人。</w:t>
                        </w:r>
                      </w:p>
                    </w:tc>
                  </w:tr>
                  <w:tr>
                    <w:trPr>
                      <w:trHeight w:val="701" w:hRule="exact"/>
                    </w:trPr>
                    <w:tc>
                      <w:tcPr>
                        <w:tcW w:w="243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的说明</w:t>
                        </w:r>
                      </w:p>
                    </w:tc>
                    <w:tc>
                      <w:tcPr>
                        <w:tcW w:w="7270" w:type="dxa"/>
                        <w:gridSpan w:val="8"/>
                        <w:vMerge/>
                        <w:tcBorders>
                          <w:left w:val="single" w:sz="10" w:space="0" w:color="D2D2D2"/>
                          <w:right w:val="single" w:sz="4" w:space="0" w:color="000000"/>
                        </w:tcBorders>
                      </w:tcPr>
                      <w:p>
                        <w:pPr/>
                      </w:p>
                    </w:tc>
                  </w:tr>
                  <w:tr>
                    <w:trPr>
                      <w:trHeight w:val="163" w:hRule="exact"/>
                    </w:trPr>
                    <w:tc>
                      <w:tcPr>
                        <w:tcW w:w="24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70" w:type="dxa"/>
                        <w:gridSpan w:val="8"/>
                        <w:vMerge/>
                        <w:tcBorders>
                          <w:left w:val="single" w:sz="10" w:space="0" w:color="D2D2D2"/>
                          <w:bottom w:val="single" w:sz="4" w:space="0" w:color="000000"/>
                          <w:right w:val="single" w:sz="4" w:space="0" w:color="000000"/>
                        </w:tcBorders>
                      </w:tcPr>
                      <w:p>
                        <w:pPr/>
                      </w:p>
                    </w:tc>
                  </w:tr>
                  <w:tr>
                    <w:trPr>
                      <w:trHeight w:val="403" w:hRule="exact"/>
                    </w:trPr>
                    <w:tc>
                      <w:tcPr>
                        <w:tcW w:w="970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243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177"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09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87" w:hRule="exact"/>
                    </w:trPr>
                    <w:tc>
                      <w:tcPr>
                        <w:tcW w:w="243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77"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3093"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30" w:type="dxa"/>
                        <w:gridSpan w:val="2"/>
                        <w:vMerge/>
                        <w:tcBorders>
                          <w:left w:val="single" w:sz="4" w:space="0" w:color="000000"/>
                          <w:bottom w:val="nil" w:sz="6" w:space="0" w:color="auto"/>
                          <w:right w:val="single" w:sz="4" w:space="0" w:color="000000"/>
                        </w:tcBorders>
                        <w:shd w:val="clear" w:color="auto" w:fill="D2D2D2"/>
                      </w:tcPr>
                      <w:p>
                        <w:pPr/>
                      </w:p>
                    </w:tc>
                    <w:tc>
                      <w:tcPr>
                        <w:tcW w:w="4177" w:type="dxa"/>
                        <w:gridSpan w:val="4"/>
                        <w:vMerge/>
                        <w:tcBorders>
                          <w:left w:val="single" w:sz="4" w:space="0" w:color="000000"/>
                          <w:bottom w:val="nil" w:sz="6" w:space="0" w:color="auto"/>
                          <w:right w:val="single" w:sz="4" w:space="0" w:color="000000"/>
                        </w:tcBorders>
                        <w:shd w:val="clear" w:color="auto" w:fill="D2D2D2"/>
                      </w:tcPr>
                      <w:p>
                        <w:pPr/>
                      </w:p>
                    </w:tc>
                    <w:tc>
                      <w:tcPr>
                        <w:tcW w:w="15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42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43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177"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580"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上海亨升投资管理有限公司</w:t>
                        </w:r>
                      </w:p>
                    </w:tc>
                    <w:tc>
                      <w:tcPr>
                        <w:tcW w:w="4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25,512,500</w:t>
                        </w:r>
                      </w:p>
                    </w:tc>
                    <w:tc>
                      <w:tcPr>
                        <w:tcW w:w="1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7" w:right="0"/>
                          <w:jc w:val="left"/>
                          <w:rPr>
                            <w:rFonts w:ascii="Times New Roman" w:hAnsi="Times New Roman" w:cs="Times New Roman" w:eastAsia="Times New Roman" w:hint="default"/>
                            <w:sz w:val="18"/>
                            <w:szCs w:val="18"/>
                          </w:rPr>
                        </w:pPr>
                        <w:r>
                          <w:rPr>
                            <w:rFonts w:ascii="Times New Roman"/>
                            <w:sz w:val="18"/>
                          </w:rPr>
                          <w:t>25,512,500</w:t>
                        </w:r>
                      </w:p>
                    </w:tc>
                  </w:tr>
                  <w:tr>
                    <w:trPr>
                      <w:trHeight w:val="403" w:hRule="exact"/>
                    </w:trPr>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4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19,623,875</w:t>
                        </w:r>
                      </w:p>
                    </w:tc>
                    <w:tc>
                      <w:tcPr>
                        <w:tcW w:w="1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7" w:right="0"/>
                          <w:jc w:val="left"/>
                          <w:rPr>
                            <w:rFonts w:ascii="Times New Roman" w:hAnsi="Times New Roman" w:cs="Times New Roman" w:eastAsia="Times New Roman" w:hint="default"/>
                            <w:sz w:val="18"/>
                            <w:szCs w:val="18"/>
                          </w:rPr>
                        </w:pPr>
                        <w:r>
                          <w:rPr>
                            <w:rFonts w:ascii="Times New Roman"/>
                            <w:sz w:val="18"/>
                          </w:rPr>
                          <w:t>19,623,875</w:t>
                        </w:r>
                      </w:p>
                    </w:tc>
                  </w:tr>
                  <w:tr>
                    <w:trPr>
                      <w:trHeight w:val="398" w:hRule="exact"/>
                    </w:trPr>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4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18,851,125</w:t>
                        </w:r>
                      </w:p>
                    </w:tc>
                    <w:tc>
                      <w:tcPr>
                        <w:tcW w:w="1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7" w:right="0"/>
                          <w:jc w:val="left"/>
                          <w:rPr>
                            <w:rFonts w:ascii="Times New Roman" w:hAnsi="Times New Roman" w:cs="Times New Roman" w:eastAsia="Times New Roman" w:hint="default"/>
                            <w:sz w:val="18"/>
                            <w:szCs w:val="18"/>
                          </w:rPr>
                        </w:pPr>
                        <w:r>
                          <w:rPr>
                            <w:rFonts w:ascii="Times New Roman"/>
                            <w:sz w:val="18"/>
                          </w:rPr>
                          <w:t>18,851,125</w:t>
                        </w:r>
                      </w:p>
                    </w:tc>
                  </w:tr>
                  <w:tr>
                    <w:trPr>
                      <w:trHeight w:val="403" w:hRule="exact"/>
                    </w:trPr>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宋正兴</w:t>
                        </w:r>
                      </w:p>
                    </w:tc>
                    <w:tc>
                      <w:tcPr>
                        <w:tcW w:w="4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15,081,145</w:t>
                        </w:r>
                      </w:p>
                    </w:tc>
                    <w:tc>
                      <w:tcPr>
                        <w:tcW w:w="1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67" w:right="0"/>
                          <w:jc w:val="left"/>
                          <w:rPr>
                            <w:rFonts w:ascii="Times New Roman" w:hAnsi="Times New Roman" w:cs="Times New Roman" w:eastAsia="Times New Roman" w:hint="default"/>
                            <w:sz w:val="18"/>
                            <w:szCs w:val="18"/>
                          </w:rPr>
                        </w:pPr>
                        <w:r>
                          <w:rPr>
                            <w:rFonts w:ascii="Times New Roman"/>
                            <w:sz w:val="18"/>
                          </w:rPr>
                          <w:t>15,081,145</w:t>
                        </w:r>
                      </w:p>
                    </w:tc>
                  </w:tr>
                  <w:tr>
                    <w:trPr>
                      <w:trHeight w:val="404" w:hRule="exact"/>
                    </w:trPr>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周良丽</w:t>
                        </w:r>
                      </w:p>
                    </w:tc>
                    <w:tc>
                      <w:tcPr>
                        <w:tcW w:w="4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8,358,577</w:t>
                        </w:r>
                      </w:p>
                    </w:tc>
                    <w:tc>
                      <w:tcPr>
                        <w:tcW w:w="1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8,358,577</w:t>
                        </w:r>
                      </w:p>
                    </w:tc>
                  </w:tr>
                  <w:tr>
                    <w:trPr>
                      <w:trHeight w:val="403" w:hRule="exact"/>
                    </w:trPr>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孙好好</w:t>
                        </w:r>
                      </w:p>
                    </w:tc>
                    <w:tc>
                      <w:tcPr>
                        <w:tcW w:w="4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6,712,664</w:t>
                        </w:r>
                      </w:p>
                    </w:tc>
                    <w:tc>
                      <w:tcPr>
                        <w:tcW w:w="1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6,712,664</w:t>
                        </w:r>
                      </w:p>
                    </w:tc>
                  </w:tr>
                  <w:tr>
                    <w:trPr>
                      <w:trHeight w:val="398" w:hRule="exact"/>
                    </w:trPr>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胡静</w:t>
                        </w:r>
                      </w:p>
                    </w:tc>
                    <w:tc>
                      <w:tcPr>
                        <w:tcW w:w="4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6,656,862</w:t>
                        </w:r>
                      </w:p>
                    </w:tc>
                    <w:tc>
                      <w:tcPr>
                        <w:tcW w:w="1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6,656,862</w:t>
                        </w:r>
                      </w:p>
                    </w:tc>
                  </w:tr>
                  <w:tr>
                    <w:trPr>
                      <w:trHeight w:val="403" w:hRule="exact"/>
                    </w:trPr>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聂根红</w:t>
                        </w:r>
                      </w:p>
                    </w:tc>
                    <w:tc>
                      <w:tcPr>
                        <w:tcW w:w="4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5,348,000</w:t>
                        </w:r>
                      </w:p>
                    </w:tc>
                    <w:tc>
                      <w:tcPr>
                        <w:tcW w:w="1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58" w:right="0"/>
                          <w:jc w:val="left"/>
                          <w:rPr>
                            <w:rFonts w:ascii="Times New Roman" w:hAnsi="Times New Roman" w:cs="Times New Roman" w:eastAsia="Times New Roman" w:hint="default"/>
                            <w:sz w:val="18"/>
                            <w:szCs w:val="18"/>
                          </w:rPr>
                        </w:pPr>
                        <w:r>
                          <w:rPr>
                            <w:rFonts w:ascii="Times New Roman"/>
                            <w:sz w:val="18"/>
                          </w:rPr>
                          <w:t>5,348,000</w:t>
                        </w:r>
                      </w:p>
                    </w:tc>
                  </w:tr>
                  <w:tr>
                    <w:trPr>
                      <w:trHeight w:val="404" w:hRule="exact"/>
                    </w:trPr>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4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1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5,000,000</w:t>
                        </w:r>
                      </w:p>
                    </w:tc>
                  </w:tr>
                  <w:tr>
                    <w:trPr>
                      <w:trHeight w:val="403" w:hRule="exact"/>
                    </w:trPr>
                    <w:tc>
                      <w:tcPr>
                        <w:tcW w:w="2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杨真</w:t>
                        </w:r>
                      </w:p>
                    </w:tc>
                    <w:tc>
                      <w:tcPr>
                        <w:tcW w:w="41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4,162,118</w:t>
                        </w:r>
                      </w:p>
                    </w:tc>
                    <w:tc>
                      <w:tcPr>
                        <w:tcW w:w="15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5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3" w:right="0"/>
                          <w:jc w:val="left"/>
                          <w:rPr>
                            <w:rFonts w:ascii="Times New Roman" w:hAnsi="Times New Roman" w:cs="Times New Roman" w:eastAsia="Times New Roman" w:hint="default"/>
                            <w:sz w:val="18"/>
                            <w:szCs w:val="18"/>
                          </w:rPr>
                        </w:pPr>
                        <w:r>
                          <w:rPr>
                            <w:rFonts w:ascii="Times New Roman"/>
                            <w:sz w:val="18"/>
                          </w:rPr>
                          <w:t>4,162,118</w:t>
                        </w:r>
                      </w:p>
                    </w:tc>
                  </w:tr>
                  <w:tr>
                    <w:trPr>
                      <w:trHeight w:val="1335" w:hRule="exact"/>
                    </w:trPr>
                    <w:tc>
                      <w:tcPr>
                        <w:tcW w:w="24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13"/>
                            <w:sz w:val="18"/>
                            <w:szCs w:val="18"/>
                          </w:rPr>
                          <w:t>间，以及前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名无限售流通股</w:t>
                        </w:r>
                      </w:p>
                      <w:p>
                        <w:pPr>
                          <w:pStyle w:val="TableParagraph"/>
                          <w:spacing w:line="304" w:lineRule="auto" w:before="63"/>
                          <w:ind w:left="24" w:right="137"/>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名股东之间关联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关系或一致行动的说明</w:t>
                        </w:r>
                      </w:p>
                    </w:tc>
                    <w:tc>
                      <w:tcPr>
                        <w:tcW w:w="72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33"/>
                          <w:jc w:val="left"/>
                          <w:rPr>
                            <w:rFonts w:ascii="宋体" w:hAnsi="宋体" w:cs="宋体" w:eastAsia="宋体" w:hint="default"/>
                            <w:sz w:val="18"/>
                            <w:szCs w:val="18"/>
                          </w:rPr>
                        </w:pPr>
                        <w:r>
                          <w:rPr>
                            <w:rFonts w:ascii="宋体" w:hAnsi="宋体" w:cs="宋体" w:eastAsia="宋体" w:hint="default"/>
                            <w:spacing w:val="-5"/>
                            <w:sz w:val="18"/>
                            <w:szCs w:val="18"/>
                          </w:rPr>
                          <w:t>上述股东中孙屹峥、张菀为夫妻关系，孙晶晶、孙好好为孙屹峥夫妇的女儿，孙屹峥、张菀</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孙晶晶、孙好好为一致行动人；除此以外，公司未知其他股东之间是否存在关联关系，也未</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pacing w:val="-3"/>
                            <w:sz w:val="18"/>
                            <w:szCs w:val="18"/>
                          </w:rPr>
                          <w:t>知是否属于《上市公司收购管理办法》规定的一致行动人。</w:t>
                        </w:r>
                      </w:p>
                    </w:tc>
                  </w:tr>
                  <w:tr>
                    <w:trPr>
                      <w:trHeight w:val="715" w:hRule="exact"/>
                    </w:trPr>
                    <w:tc>
                      <w:tcPr>
                        <w:tcW w:w="24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明（如有）</w:t>
                        </w:r>
                      </w:p>
                    </w:tc>
                    <w:tc>
                      <w:tcPr>
                        <w:tcW w:w="72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）公司股东周良丽通过普通证券账户持有 </w:t>
                        </w:r>
                        <w:r>
                          <w:rPr>
                            <w:rFonts w:ascii="Times New Roman" w:hAnsi="Times New Roman" w:cs="Times New Roman" w:eastAsia="Times New Roman" w:hint="default"/>
                            <w:sz w:val="18"/>
                            <w:szCs w:val="18"/>
                          </w:rPr>
                          <w:t>744,677  </w:t>
                        </w:r>
                        <w:r>
                          <w:rPr>
                            <w:rFonts w:ascii="宋体" w:hAnsi="宋体" w:cs="宋体" w:eastAsia="宋体" w:hint="default"/>
                            <w:spacing w:val="-4"/>
                            <w:sz w:val="18"/>
                            <w:szCs w:val="18"/>
                          </w:rPr>
                          <w:t>股，通过中信建投证券股份有限公司客</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7,613,900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股，实际合计持有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8,358,577</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46"/>
        <w:ind w:left="0" w:right="1032"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spacing w:before="46"/>
        <w:ind w:left="0" w:right="1032"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after="0"/>
        <w:jc w:val="right"/>
        <w:rPr>
          <w:rFonts w:ascii="宋体" w:hAnsi="宋体" w:cs="宋体" w:eastAsia="宋体" w:hint="default"/>
          <w:sz w:val="18"/>
          <w:szCs w:val="18"/>
        </w:rPr>
        <w:sectPr>
          <w:pgSz w:w="11910" w:h="16840"/>
          <w:pgMar w:header="863" w:footer="979" w:top="1060" w:bottom="1160" w:left="980" w:right="0"/>
        </w:sectPr>
      </w:pPr>
    </w:p>
    <w:p>
      <w:pPr>
        <w:spacing w:line="240" w:lineRule="auto" w:before="6"/>
        <w:rPr>
          <w:rFonts w:ascii="宋体" w:hAnsi="宋体" w:cs="宋体" w:eastAsia="宋体" w:hint="default"/>
          <w:sz w:val="28"/>
          <w:szCs w:val="28"/>
        </w:rPr>
      </w:pPr>
    </w:p>
    <w:p>
      <w:pPr>
        <w:spacing w:line="2021" w:lineRule="exact"/>
        <w:ind w:left="119"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85.5pt;height:101.1pt;mso-position-horizontal-relative:char;mso-position-vertical-relative:line" coordorigin="0,0" coordsize="9710,2022">
            <v:group style="position:absolute;left:10;top:15;width:2421;height:1993" coordorigin="10,15" coordsize="2421,1993">
              <v:shape style="position:absolute;left:10;top:15;width:2421;height:1993" coordorigin="10,15" coordsize="2421,1993" path="m10,2007l2430,2007,2430,15,10,15,10,2007xe" filled="true" fillcolor="#d2d2d2" stroked="false">
                <v:path arrowok="t"/>
                <v:fill type="solid"/>
              </v:shape>
            </v:group>
            <v:group style="position:absolute;left:10;top:10;width:2421;height:2" coordorigin="10,10" coordsize="2421,2">
              <v:shape style="position:absolute;left:10;top:10;width:2421;height:2" coordorigin="10,10" coordsize="2421,0" path="m10,10l2430,10e" filled="false" stroked="true" strokeweight=".48pt" strokecolor="#000000">
                <v:path arrowok="t"/>
              </v:shape>
            </v:group>
            <v:group style="position:absolute;left:2439;top:10;width:7261;height:2" coordorigin="2439,10" coordsize="7261,2">
              <v:shape style="position:absolute;left:2439;top:10;width:7261;height:2" coordorigin="2439,10" coordsize="7261,0" path="m2439,10l9700,10e" filled="false" stroked="true" strokeweight=".48pt" strokecolor="#000000">
                <v:path arrowok="t"/>
              </v:shape>
            </v:group>
            <v:group style="position:absolute;left:5;top:5;width:2;height:2012" coordorigin="5,5" coordsize="2,2012">
              <v:shape style="position:absolute;left:5;top:5;width:2;height:2012" coordorigin="5,5" coordsize="0,2012" path="m5,5l5,2017e" filled="false" stroked="true" strokeweight=".48pt" strokecolor="#000000">
                <v:path arrowok="t"/>
              </v:shape>
            </v:group>
            <v:group style="position:absolute;left:10;top:2012;width:2421;height:2" coordorigin="10,2012" coordsize="2421,2">
              <v:shape style="position:absolute;left:10;top:2012;width:2421;height:2" coordorigin="10,2012" coordsize="2421,0" path="m10,2012l2430,2012e" filled="false" stroked="true" strokeweight=".48pt" strokecolor="#000000">
                <v:path arrowok="t"/>
              </v:shape>
            </v:group>
            <v:group style="position:absolute;left:2435;top:5;width:2;height:2012" coordorigin="2435,5" coordsize="2,2012">
              <v:shape style="position:absolute;left:2435;top:5;width:2;height:2012" coordorigin="2435,5" coordsize="0,2012" path="m2435,5l2435,2017e" filled="false" stroked="true" strokeweight=".48pt" strokecolor="#000000">
                <v:path arrowok="t"/>
              </v:shape>
            </v:group>
            <v:group style="position:absolute;left:2439;top:2012;width:7261;height:2" coordorigin="2439,2012" coordsize="7261,2">
              <v:shape style="position:absolute;left:2439;top:2012;width:7261;height:2" coordorigin="2439,2012" coordsize="7261,0" path="m2439,2012l9700,2012e" filled="false" stroked="true" strokeweight=".48pt" strokecolor="#000000">
                <v:path arrowok="t"/>
              </v:shape>
            </v:group>
            <v:group style="position:absolute;left:9705;top:5;width:2;height:2012" coordorigin="9705,5" coordsize="2,2012">
              <v:shape style="position:absolute;left:9705;top:5;width:2;height:2012" coordorigin="9705,5" coordsize="0,2012" path="m9705,5l9705,2017e" filled="false" stroked="true" strokeweight=".47998pt" strokecolor="#000000">
                <v:path arrowok="t"/>
              </v:shape>
              <v:shape style="position:absolute;left:2435;top:10;width:7271;height:2003" type="#_x0000_t202" filled="false" stroked="false">
                <v:textbox inset="0,0,0,0">
                  <w:txbxContent>
                    <w:p>
                      <w:pPr>
                        <w:spacing w:before="15"/>
                        <w:ind w:left="28"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）公司股东孙好好通过普通证券账户持有 </w:t>
                      </w:r>
                      <w:r>
                        <w:rPr>
                          <w:rFonts w:ascii="Times New Roman" w:hAnsi="Times New Roman" w:cs="Times New Roman" w:eastAsia="Times New Roman" w:hint="default"/>
                          <w:sz w:val="18"/>
                          <w:szCs w:val="18"/>
                        </w:rPr>
                        <w:t>6,000,000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股，通过长江证券股份有限公司客户</w:t>
                      </w:r>
                    </w:p>
                    <w:p>
                      <w:pPr>
                        <w:spacing w:before="67"/>
                        <w:ind w:left="28" w:right="0" w:firstLine="0"/>
                        <w:jc w:val="left"/>
                        <w:rPr>
                          <w:rFonts w:ascii="宋体" w:hAnsi="宋体" w:cs="宋体" w:eastAsia="宋体" w:hint="default"/>
                          <w:sz w:val="18"/>
                          <w:szCs w:val="18"/>
                        </w:rPr>
                      </w:pPr>
                      <w:r>
                        <w:rPr>
                          <w:rFonts w:ascii="宋体" w:hAnsi="宋体" w:cs="宋体" w:eastAsia="宋体" w:hint="default"/>
                          <w:spacing w:val="-3"/>
                          <w:sz w:val="18"/>
                          <w:szCs w:val="18"/>
                        </w:rPr>
                        <w:t>信用交易担保证券账户持股</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712,664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股，实际合计持有</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6,712,664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p>
                    <w:p>
                      <w:pPr>
                        <w:spacing w:before="96"/>
                        <w:ind w:left="28" w:right="0" w:firstLine="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）公司股东聂根红通过普通证券账户持有 </w:t>
                      </w:r>
                      <w:r>
                        <w:rPr>
                          <w:rFonts w:ascii="Times New Roman" w:hAnsi="Times New Roman" w:cs="Times New Roman" w:eastAsia="Times New Roman" w:hint="default"/>
                          <w:sz w:val="18"/>
                          <w:szCs w:val="18"/>
                        </w:rPr>
                        <w:t>0 </w:t>
                      </w:r>
                      <w:r>
                        <w:rPr>
                          <w:rFonts w:ascii="Times New Roman" w:hAnsi="Times New Roman" w:cs="Times New Roman" w:eastAsia="Times New Roman" w:hint="default"/>
                          <w:spacing w:val="30"/>
                          <w:sz w:val="18"/>
                          <w:szCs w:val="18"/>
                        </w:rPr>
                        <w:t> </w:t>
                      </w:r>
                      <w:r>
                        <w:rPr>
                          <w:rFonts w:ascii="宋体" w:hAnsi="宋体" w:cs="宋体" w:eastAsia="宋体" w:hint="default"/>
                          <w:spacing w:val="-5"/>
                          <w:sz w:val="18"/>
                          <w:szCs w:val="18"/>
                        </w:rPr>
                        <w:t>股，通过西部证券股份有限公司客户信用交易</w:t>
                      </w:r>
                    </w:p>
                    <w:p>
                      <w:pPr>
                        <w:spacing w:before="68"/>
                        <w:ind w:left="28" w:right="0" w:firstLine="0"/>
                        <w:jc w:val="left"/>
                        <w:rPr>
                          <w:rFonts w:ascii="宋体" w:hAnsi="宋体" w:cs="宋体" w:eastAsia="宋体" w:hint="default"/>
                          <w:sz w:val="18"/>
                          <w:szCs w:val="18"/>
                        </w:rPr>
                      </w:pPr>
                      <w:r>
                        <w:rPr>
                          <w:rFonts w:ascii="宋体" w:hAnsi="宋体" w:cs="宋体" w:eastAsia="宋体" w:hint="default"/>
                          <w:sz w:val="18"/>
                          <w:szCs w:val="18"/>
                        </w:rPr>
                        <w:t>担保证券账户持股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5,348,000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5,348,000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p>
                      <w:pPr>
                        <w:spacing w:before="101"/>
                        <w:ind w:left="28" w:right="0" w:firstLine="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）公司股东杨真通过普通证券账户持有 </w:t>
                      </w:r>
                      <w:r>
                        <w:rPr>
                          <w:rFonts w:ascii="Times New Roman" w:hAnsi="Times New Roman" w:cs="Times New Roman" w:eastAsia="Times New Roman" w:hint="default"/>
                          <w:sz w:val="18"/>
                          <w:szCs w:val="18"/>
                        </w:rPr>
                        <w:t>1,873,400 </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股，通过浙商证券股份有限公司客户信</w:t>
                      </w:r>
                    </w:p>
                    <w:p>
                      <w:pPr>
                        <w:spacing w:before="67"/>
                        <w:ind w:left="28" w:right="0" w:firstLine="0"/>
                        <w:jc w:val="left"/>
                        <w:rPr>
                          <w:rFonts w:ascii="宋体" w:hAnsi="宋体" w:cs="宋体" w:eastAsia="宋体" w:hint="default"/>
                          <w:sz w:val="18"/>
                          <w:szCs w:val="18"/>
                        </w:rPr>
                      </w:pPr>
                      <w:r>
                        <w:rPr>
                          <w:rFonts w:ascii="宋体" w:hAnsi="宋体" w:cs="宋体" w:eastAsia="宋体" w:hint="default"/>
                          <w:sz w:val="18"/>
                          <w:szCs w:val="18"/>
                        </w:rPr>
                        <w:t>用交易担保证券账户持股</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2,288,718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股，实际合计持有</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4,162,118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p>
                  </w:txbxContent>
                </v:textbox>
                <w10:wrap type="none"/>
              </v:shape>
            </v:group>
          </v:group>
        </w:pict>
      </w:r>
      <w:r>
        <w:rPr>
          <w:rFonts w:ascii="宋体" w:hAnsi="宋体" w:cs="宋体" w:eastAsia="宋体" w:hint="default"/>
          <w:position w:val="-39"/>
          <w:sz w:val="20"/>
          <w:szCs w:val="20"/>
        </w:rPr>
      </w:r>
    </w:p>
    <w:p>
      <w:pPr>
        <w:spacing w:before="49"/>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公司控股股东情况" w:id="111"/>
      <w:bookmarkEnd w:id="11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62" w:lineRule="auto" w:before="0"/>
        <w:ind w:left="153" w:right="7859"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控股股东性质：自然人控股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46"/>
        <w:ind w:left="0" w:right="1131" w:firstLine="0"/>
        <w:jc w:val="right"/>
        <w:rPr>
          <w:rFonts w:ascii="宋体" w:hAnsi="宋体" w:cs="宋体" w:eastAsia="宋体" w:hint="default"/>
          <w:sz w:val="18"/>
          <w:szCs w:val="18"/>
        </w:rPr>
      </w:pPr>
      <w:r>
        <w:rPr/>
        <w:pict>
          <v:shape style="position:absolute;margin-left:56.424pt;margin-top:-108.168282pt;width:479.25pt;height:259.0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1"/>
                    <w:gridCol w:w="3889"/>
                    <w:gridCol w:w="4120"/>
                  </w:tblGrid>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控股股东姓名</w:t>
                        </w:r>
                      </w:p>
                    </w:tc>
                    <w:tc>
                      <w:tcPr>
                        <w:tcW w:w="3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9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2938"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8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hAnsi="宋体" w:cs="宋体" w:eastAsia="宋体" w:hint="default"/>
                            <w:sz w:val="18"/>
                            <w:szCs w:val="18"/>
                          </w:rPr>
                          <w:t>孙屹峥先生自</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6"/>
                            <w:sz w:val="18"/>
                            <w:szCs w:val="18"/>
                          </w:rPr>
                          <w:t>日起连任本公司董事长，公司于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日完成了董事会换</w:t>
                        </w:r>
                      </w:p>
                      <w:p>
                        <w:pPr>
                          <w:pStyle w:val="TableParagraph"/>
                          <w:spacing w:line="319" w:lineRule="auto" w:before="63"/>
                          <w:ind w:left="23" w:right="12"/>
                          <w:jc w:val="right"/>
                          <w:rPr>
                            <w:rFonts w:ascii="Times New Roman" w:hAnsi="Times New Roman" w:cs="Times New Roman" w:eastAsia="Times New Roman" w:hint="default"/>
                            <w:sz w:val="18"/>
                            <w:szCs w:val="18"/>
                          </w:rPr>
                        </w:pPr>
                        <w:r>
                          <w:rPr>
                            <w:rFonts w:ascii="宋体" w:hAnsi="宋体" w:cs="宋体" w:eastAsia="宋体" w:hint="default"/>
                            <w:spacing w:val="-3"/>
                            <w:sz w:val="18"/>
                            <w:szCs w:val="18"/>
                          </w:rPr>
                          <w:t>届选举及董事长选聘，孙屹峥连任董事长，任期自</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日之日起至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日之</w:t>
                        </w:r>
                        <w:r>
                          <w:rPr>
                            <w:rFonts w:ascii="宋体" w:hAnsi="宋体" w:cs="宋体" w:eastAsia="宋体" w:hint="default"/>
                            <w:spacing w:val="-5"/>
                            <w:w w:val="101"/>
                            <w:sz w:val="18"/>
                            <w:szCs w:val="18"/>
                          </w:rPr>
                          <w:t> </w:t>
                        </w:r>
                        <w:r>
                          <w:rPr>
                            <w:rFonts w:ascii="宋体" w:hAnsi="宋体" w:cs="宋体" w:eastAsia="宋体" w:hint="default"/>
                            <w:spacing w:val="-3"/>
                            <w:sz w:val="18"/>
                            <w:szCs w:val="18"/>
                          </w:rPr>
                          <w:t>日止；并担任公司全资子公司桑瑞思副董事长、智能工程董事，控股公司江苏亿金董事长、依米康冷</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10"/>
                            <w:w w:val="101"/>
                            <w:sz w:val="18"/>
                            <w:szCs w:val="18"/>
                          </w:rPr>
                          <w:t>元董事长；参股公司</w:t>
                        </w:r>
                        <w:r>
                          <w:rPr>
                            <w:rFonts w:ascii="宋体" w:hAnsi="宋体" w:cs="宋体" w:eastAsia="宋体" w:hint="default"/>
                            <w:spacing w:val="-45"/>
                            <w:w w:val="101"/>
                            <w:sz w:val="18"/>
                            <w:szCs w:val="18"/>
                          </w:rPr>
                          <w:t> </w:t>
                        </w:r>
                        <w:r>
                          <w:rPr>
                            <w:rFonts w:ascii="Times New Roman" w:hAnsi="Times New Roman" w:cs="Times New Roman" w:eastAsia="Times New Roman" w:hint="default"/>
                            <w:spacing w:val="-2"/>
                            <w:w w:val="101"/>
                            <w:sz w:val="18"/>
                            <w:szCs w:val="18"/>
                          </w:rPr>
                          <w:t>VBT</w:t>
                        </w:r>
                        <w:r>
                          <w:rPr>
                            <w:rFonts w:ascii="Times New Roman" w:hAnsi="Times New Roman" w:cs="Times New Roman" w:eastAsia="Times New Roman" w:hint="default"/>
                            <w:w w:val="101"/>
                            <w:sz w:val="18"/>
                            <w:szCs w:val="18"/>
                          </w:rPr>
                          <w:t> </w:t>
                        </w:r>
                        <w:r>
                          <w:rPr>
                            <w:rFonts w:ascii="宋体" w:hAnsi="宋体" w:cs="宋体" w:eastAsia="宋体" w:hint="default"/>
                            <w:spacing w:val="-11"/>
                            <w:w w:val="101"/>
                            <w:sz w:val="18"/>
                            <w:szCs w:val="18"/>
                          </w:rPr>
                          <w:t>董事；</w:t>
                        </w:r>
                        <w:r>
                          <w:rPr>
                            <w:rFonts w:ascii="Times New Roman" w:hAnsi="Times New Roman" w:cs="Times New Roman" w:eastAsia="Times New Roman" w:hint="default"/>
                            <w:spacing w:val="-11"/>
                            <w:w w:val="101"/>
                            <w:sz w:val="18"/>
                            <w:szCs w:val="18"/>
                          </w:rPr>
                          <w:t>2017</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5"/>
                            <w:w w:val="101"/>
                            <w:sz w:val="18"/>
                            <w:szCs w:val="18"/>
                          </w:rPr>
                          <w:t> </w:t>
                        </w:r>
                        <w:r>
                          <w:rPr>
                            <w:rFonts w:ascii="宋体" w:hAnsi="宋体" w:cs="宋体" w:eastAsia="宋体" w:hint="default"/>
                            <w:spacing w:val="-6"/>
                            <w:w w:val="101"/>
                            <w:sz w:val="18"/>
                            <w:szCs w:val="18"/>
                          </w:rPr>
                          <w:t>月投资苏州元谋智能机器人系统有限公司，持股比例为</w:t>
                        </w:r>
                        <w:r>
                          <w:rPr>
                            <w:rFonts w:ascii="宋体" w:hAnsi="宋体" w:cs="宋体" w:eastAsia="宋体" w:hint="default"/>
                            <w:spacing w:val="-44"/>
                            <w:w w:val="101"/>
                            <w:sz w:val="18"/>
                            <w:szCs w:val="18"/>
                          </w:rPr>
                          <w:t> </w:t>
                        </w:r>
                        <w:r>
                          <w:rPr>
                            <w:rFonts w:ascii="Times New Roman" w:hAnsi="Times New Roman" w:cs="Times New Roman" w:eastAsia="Times New Roman" w:hint="default"/>
                            <w:spacing w:val="-2"/>
                            <w:w w:val="101"/>
                            <w:sz w:val="18"/>
                            <w:szCs w:val="18"/>
                          </w:rPr>
                          <w:t>92%</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张菀女士自</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日起连任本公司董事、总经理兼法定代表人，公司于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19</w:t>
                        </w:r>
                      </w:p>
                      <w:p>
                        <w:pPr>
                          <w:pStyle w:val="TableParagraph"/>
                          <w:spacing w:line="246" w:lineRule="exact"/>
                          <w:ind w:left="23" w:right="0"/>
                          <w:jc w:val="both"/>
                          <w:rPr>
                            <w:rFonts w:ascii="宋体" w:hAnsi="宋体" w:cs="宋体" w:eastAsia="宋体" w:hint="default"/>
                            <w:sz w:val="18"/>
                            <w:szCs w:val="18"/>
                          </w:rPr>
                        </w:pPr>
                        <w:r>
                          <w:rPr>
                            <w:rFonts w:ascii="宋体" w:hAnsi="宋体" w:cs="宋体" w:eastAsia="宋体" w:hint="default"/>
                            <w:spacing w:val="-4"/>
                            <w:sz w:val="18"/>
                            <w:szCs w:val="18"/>
                          </w:rPr>
                          <w:t>日完成了董事会换届选举，张菀连任董事，并聘为总经理兼法定代表人，任期自</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日之</w:t>
                        </w:r>
                        <w:r>
                          <w:rPr>
                            <w:rFonts w:ascii="宋体" w:hAnsi="宋体" w:cs="宋体" w:eastAsia="宋体" w:hint="default"/>
                            <w:sz w:val="18"/>
                            <w:szCs w:val="18"/>
                          </w:rPr>
                        </w:r>
                      </w:p>
                      <w:p>
                        <w:pPr>
                          <w:pStyle w:val="TableParagraph"/>
                          <w:spacing w:line="312" w:lineRule="auto" w:before="63"/>
                          <w:ind w:left="23" w:right="13"/>
                          <w:jc w:val="both"/>
                          <w:rPr>
                            <w:rFonts w:ascii="宋体" w:hAnsi="宋体" w:cs="宋体" w:eastAsia="宋体" w:hint="default"/>
                            <w:sz w:val="18"/>
                            <w:szCs w:val="18"/>
                          </w:rPr>
                        </w:pPr>
                        <w:r>
                          <w:rPr>
                            <w:rFonts w:ascii="宋体" w:hAnsi="宋体" w:cs="宋体" w:eastAsia="宋体" w:hint="default"/>
                            <w:sz w:val="18"/>
                            <w:szCs w:val="18"/>
                          </w:rPr>
                          <w:t>日起至</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日之日止；另担任公司全资子公司智能工程董事长、深圳龙控董事长、依米康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企业管理法定代表人及执行董事兼总经理、沈阳桑瑞思监事，控股公司江苏亿金董事、依米康冷元董</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事，商投资本董事。</w:t>
                        </w:r>
                      </w:p>
                    </w:tc>
                  </w:tr>
                  <w:tr>
                    <w:trPr>
                      <w:trHeight w:val="1028"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79"/>
                          <w:jc w:val="both"/>
                          <w:rPr>
                            <w:rFonts w:ascii="宋体" w:hAnsi="宋体" w:cs="宋体" w:eastAsia="宋体" w:hint="default"/>
                            <w:sz w:val="18"/>
                            <w:szCs w:val="18"/>
                          </w:rPr>
                        </w:pPr>
                        <w:r>
                          <w:rPr>
                            <w:rFonts w:ascii="宋体" w:hAnsi="宋体" w:cs="宋体" w:eastAsia="宋体" w:hint="default"/>
                            <w:spacing w:val="-2"/>
                            <w:sz w:val="18"/>
                            <w:szCs w:val="18"/>
                          </w:rPr>
                          <w:t>报告期内控股和参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股的其他境内外上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市公司的股权情况</w:t>
                        </w:r>
                      </w:p>
                    </w:tc>
                    <w:tc>
                      <w:tcPr>
                        <w:tcW w:w="8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9"/>
        <w:ind w:left="153" w:right="78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公司报告期控股股东未发生变更。</w:t>
      </w:r>
    </w:p>
    <w:p>
      <w:pPr>
        <w:spacing w:line="240" w:lineRule="auto" w:before="0"/>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公司实际控制人及其一致行动人" w:id="112"/>
      <w:bookmarkEnd w:id="11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line="357" w:lineRule="auto" w:before="0"/>
        <w:ind w:left="153" w:right="7859"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实际控制人性质：境内自然人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实际控制人类型：自然人</w:t>
      </w:r>
    </w:p>
    <w:tbl>
      <w:tblPr>
        <w:tblW w:w="0" w:type="auto"/>
        <w:jc w:val="left"/>
        <w:tblInd w:w="148" w:type="dxa"/>
        <w:tblLayout w:type="fixed"/>
        <w:tblCellMar>
          <w:top w:w="0" w:type="dxa"/>
          <w:left w:w="0" w:type="dxa"/>
          <w:bottom w:w="0" w:type="dxa"/>
          <w:right w:w="0" w:type="dxa"/>
        </w:tblCellMar>
        <w:tblLook w:val="01E0"/>
      </w:tblPr>
      <w:tblGrid>
        <w:gridCol w:w="1700"/>
        <w:gridCol w:w="3088"/>
        <w:gridCol w:w="2391"/>
        <w:gridCol w:w="2391"/>
      </w:tblGrid>
      <w:tr>
        <w:trPr>
          <w:trHeight w:val="716"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6"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0"/>
        <w:gridCol w:w="3088"/>
        <w:gridCol w:w="2391"/>
        <w:gridCol w:w="2391"/>
      </w:tblGrid>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14"/>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孙好好</w:t>
            </w:r>
          </w:p>
        </w:tc>
        <w:tc>
          <w:tcPr>
            <w:tcW w:w="3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14"/>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一致行动（含协议、亲属、同一控制）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854"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8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孙屹峥先生自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日起连任本公司董事长，公司于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日完成了董事会</w:t>
            </w:r>
          </w:p>
          <w:p>
            <w:pPr>
              <w:pStyle w:val="TableParagraph"/>
              <w:spacing w:line="307" w:lineRule="auto" w:before="63"/>
              <w:ind w:left="24" w:right="17"/>
              <w:jc w:val="left"/>
              <w:rPr>
                <w:rFonts w:ascii="宋体" w:hAnsi="宋体" w:cs="宋体" w:eastAsia="宋体" w:hint="default"/>
                <w:sz w:val="18"/>
                <w:szCs w:val="18"/>
              </w:rPr>
            </w:pPr>
            <w:r>
              <w:rPr>
                <w:rFonts w:ascii="宋体" w:hAnsi="宋体" w:cs="宋体" w:eastAsia="宋体" w:hint="default"/>
                <w:spacing w:val="-3"/>
                <w:sz w:val="18"/>
                <w:szCs w:val="18"/>
              </w:rPr>
              <w:t>换届选举及董事长选聘，孙屹峥连任董事长，任期自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日之日起至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日之日止；并担任公司全资子公司桑瑞思副董事长、智能工程董事，控股公司江苏亿金董事长、依</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4"/>
                <w:sz w:val="18"/>
                <w:szCs w:val="18"/>
              </w:rPr>
              <w:t>米康冷元董事长；参股公司 </w:t>
            </w:r>
            <w:r>
              <w:rPr>
                <w:rFonts w:ascii="Times New Roman" w:hAnsi="Times New Roman" w:cs="Times New Roman" w:eastAsia="Times New Roman" w:hint="default"/>
                <w:sz w:val="18"/>
                <w:szCs w:val="18"/>
              </w:rPr>
              <w:t>VBT </w:t>
            </w:r>
            <w:r>
              <w:rPr>
                <w:rFonts w:ascii="宋体" w:hAnsi="宋体" w:cs="宋体" w:eastAsia="宋体" w:hint="default"/>
                <w:spacing w:val="-5"/>
                <w:sz w:val="18"/>
                <w:szCs w:val="18"/>
              </w:rPr>
              <w:t>董事；</w:t>
            </w:r>
            <w:r>
              <w:rPr>
                <w:rFonts w:ascii="Times New Roman" w:hAnsi="Times New Roman" w:cs="Times New Roman" w:eastAsia="Times New Roman" w:hint="default"/>
                <w:spacing w:val="-5"/>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pacing w:val="-4"/>
                <w:sz w:val="18"/>
                <w:szCs w:val="18"/>
              </w:rPr>
              <w:t>月投资苏州元谋智能机器人系统有限公司，持股比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例为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92%</w:t>
            </w:r>
            <w:r>
              <w:rPr>
                <w:rFonts w:ascii="宋体" w:hAnsi="宋体" w:cs="宋体" w:eastAsia="宋体" w:hint="default"/>
                <w:sz w:val="18"/>
                <w:szCs w:val="18"/>
              </w:rPr>
              <w:t>。</w:t>
            </w:r>
          </w:p>
          <w:p>
            <w:pPr>
              <w:pStyle w:val="TableParagraph"/>
              <w:spacing w:line="240" w:lineRule="auto" w:before="41"/>
              <w:ind w:left="384" w:right="0"/>
              <w:jc w:val="left"/>
              <w:rPr>
                <w:rFonts w:ascii="宋体" w:hAnsi="宋体" w:cs="宋体" w:eastAsia="宋体" w:hint="default"/>
                <w:sz w:val="18"/>
                <w:szCs w:val="18"/>
              </w:rPr>
            </w:pPr>
            <w:r>
              <w:rPr>
                <w:rFonts w:ascii="宋体" w:hAnsi="宋体" w:cs="宋体" w:eastAsia="宋体" w:hint="default"/>
                <w:sz w:val="18"/>
                <w:szCs w:val="18"/>
              </w:rPr>
              <w:t>张菀女士自</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日起连任本公司董事、总经理兼法定代表人，公司于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 </w:t>
            </w:r>
            <w:r>
              <w:rPr>
                <w:rFonts w:ascii="宋体" w:hAnsi="宋体" w:cs="宋体" w:eastAsia="宋体" w:hint="default"/>
                <w:spacing w:val="-3"/>
                <w:sz w:val="18"/>
                <w:szCs w:val="18"/>
              </w:rPr>
              <w:t>日完成了董事会换届选举，张菀连任董事，并聘为总经理兼法定代表人，任期自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w:t>
            </w:r>
          </w:p>
          <w:p>
            <w:pPr>
              <w:pStyle w:val="TableParagraph"/>
              <w:spacing w:line="312" w:lineRule="auto" w:before="63"/>
              <w:ind w:left="24" w:right="3"/>
              <w:jc w:val="left"/>
              <w:rPr>
                <w:rFonts w:ascii="宋体" w:hAnsi="宋体" w:cs="宋体" w:eastAsia="宋体" w:hint="default"/>
                <w:sz w:val="18"/>
                <w:szCs w:val="18"/>
              </w:rPr>
            </w:pPr>
            <w:r>
              <w:rPr>
                <w:rFonts w:ascii="宋体" w:hAnsi="宋体" w:cs="宋体" w:eastAsia="宋体" w:hint="default"/>
                <w:sz w:val="18"/>
                <w:szCs w:val="18"/>
              </w:rPr>
              <w:t>日之日起至</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日之日止；另担任公司全资子公司智能工程董事长、深圳龙控董事长、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依米康企业管理法定代表人及执行董事兼总经理、沈阳桑瑞思监事，控股公司江苏亿金董事、依米</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康冷元董事，商投资本董事。</w:t>
            </w:r>
          </w:p>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z w:val="18"/>
                <w:szCs w:val="18"/>
              </w:rPr>
              <w:t>孙晶晶女士</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年任职依米康总经办经理，自</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日起连任公司行政总监。公司于</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日完成了高管的选聘，孙晶晶女士被聘为公司高管，任期自</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日之日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起至</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日之日止；另担任公司全资子公司智云科技法定代表人及执行董事兼总经理、</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深圳龙控董事、依米康智成及依米康智控的执行事务合伙人，控股公司依米康冷元董事。</w:t>
            </w:r>
            <w:r>
              <w:rPr>
                <w:rFonts w:ascii="Times New Roman" w:hAnsi="Times New Roman" w:cs="Times New Roman" w:eastAsia="Times New Roman" w:hint="default"/>
                <w:spacing w:val="-3"/>
                <w:sz w:val="18"/>
                <w:szCs w:val="18"/>
              </w:rPr>
              <w:t>2019   </w:t>
            </w:r>
            <w:r>
              <w:rPr>
                <w:rFonts w:ascii="宋体" w:hAnsi="宋体" w:cs="宋体" w:eastAsia="宋体" w:hint="default"/>
                <w:sz w:val="18"/>
                <w:szCs w:val="18"/>
              </w:rPr>
              <w:t>年</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pacing w:val="-3"/>
                <w:sz w:val="18"/>
                <w:szCs w:val="18"/>
              </w:rPr>
              <w:t>月投资四川凝菀科技有限公司，持股比例为</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w:t>
            </w:r>
          </w:p>
        </w:tc>
      </w:tr>
      <w:tr>
        <w:trPr>
          <w:trHeight w:val="71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41"/>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境内外上市公司情况</w:t>
            </w:r>
          </w:p>
        </w:tc>
        <w:tc>
          <w:tcPr>
            <w:tcW w:w="78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line="350" w:lineRule="auto" w:before="119"/>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公司报告期实际控制人未发生变更。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公司与实际控制人之间的产权及控制关系的方框图</w:t>
      </w:r>
    </w:p>
    <w:p>
      <w:pPr>
        <w:spacing w:line="240" w:lineRule="auto" w:before="2"/>
        <w:rPr>
          <w:rFonts w:ascii="宋体" w:hAnsi="宋体" w:cs="宋体" w:eastAsia="宋体" w:hint="default"/>
          <w:sz w:val="21"/>
          <w:szCs w:val="21"/>
        </w:rPr>
      </w:pPr>
    </w:p>
    <w:p>
      <w:pPr>
        <w:spacing w:line="3525" w:lineRule="exact"/>
        <w:ind w:left="1358"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4591050" cy="223837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0" cstate="print"/>
                    <a:stretch>
                      <a:fillRect/>
                    </a:stretch>
                  </pic:blipFill>
                  <pic:spPr>
                    <a:xfrm>
                      <a:off x="0" y="0"/>
                      <a:ext cx="4591050" cy="223837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实际控制人通过信托或其他资产管理方式控制公司</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4、其他持股在10%以上的法人股东" w:id="113"/>
      <w:bookmarkEnd w:id="11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控股股东、实际控制人、重组方及其他承诺主体股份限制减持情况" w:id="114"/>
      <w:bookmarkEnd w:id="11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365" w:right="0"/>
        <w:jc w:val="left"/>
        <w:rPr>
          <w:b w:val="0"/>
          <w:bCs w:val="0"/>
        </w:rPr>
      </w:pPr>
      <w:bookmarkStart w:name="第七节优先股相关情况" w:id="115"/>
      <w:bookmarkEnd w:id="115"/>
      <w:r>
        <w:rPr>
          <w:b w:val="0"/>
          <w:bCs w:val="0"/>
        </w:rPr>
      </w:r>
      <w:bookmarkStart w:name="_bookmark6" w:id="116"/>
      <w:bookmarkEnd w:id="116"/>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6"/>
        <w:ind w:left="153" w:right="78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报告期公司不存在优先股。</w:t>
      </w:r>
    </w:p>
    <w:p>
      <w:pPr>
        <w:spacing w:after="0" w:line="338"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2722" w:right="0"/>
        <w:jc w:val="left"/>
        <w:rPr>
          <w:b w:val="0"/>
          <w:bCs w:val="0"/>
        </w:rPr>
      </w:pPr>
      <w:bookmarkStart w:name="第八节可转换公司债券相关情况" w:id="117"/>
      <w:bookmarkEnd w:id="117"/>
      <w:r>
        <w:rPr>
          <w:b w:val="0"/>
          <w:bCs w:val="0"/>
        </w:rPr>
      </w:r>
      <w:bookmarkStart w:name="_bookmark7" w:id="118"/>
      <w:bookmarkEnd w:id="118"/>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spacing w:line="338" w:lineRule="auto" w:before="0"/>
        <w:ind w:left="153" w:right="78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报告期公司不存在可转换公司债券。</w:t>
      </w:r>
    </w:p>
    <w:p>
      <w:pPr>
        <w:spacing w:after="0" w:line="338" w:lineRule="auto"/>
        <w:jc w:val="left"/>
        <w:rPr>
          <w:rFonts w:ascii="宋体" w:hAnsi="宋体" w:cs="宋体" w:eastAsia="宋体" w:hint="default"/>
          <w:sz w:val="18"/>
          <w:szCs w:val="18"/>
        </w:rPr>
        <w:sectPr>
          <w:footerReference w:type="default" r:id="rId21"/>
          <w:pgSz w:w="11910" w:h="16840"/>
          <w:pgMar w:footer="979" w:header="863"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1757" w:right="0"/>
        <w:jc w:val="left"/>
        <w:rPr>
          <w:b w:val="0"/>
          <w:bCs w:val="0"/>
        </w:rPr>
      </w:pPr>
      <w:bookmarkStart w:name="第九节董事、监事、高级管理人员和员工情况" w:id="119"/>
      <w:bookmarkEnd w:id="119"/>
      <w:r>
        <w:rPr>
          <w:b w:val="0"/>
          <w:bCs w:val="0"/>
        </w:rPr>
      </w:r>
      <w:bookmarkStart w:name="_bookmark8" w:id="120"/>
      <w:bookmarkEnd w:id="120"/>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619"/>
        <w:gridCol w:w="571"/>
        <w:gridCol w:w="423"/>
        <w:gridCol w:w="566"/>
        <w:gridCol w:w="994"/>
        <w:gridCol w:w="850"/>
        <w:gridCol w:w="994"/>
        <w:gridCol w:w="994"/>
        <w:gridCol w:w="989"/>
        <w:gridCol w:w="850"/>
        <w:gridCol w:w="994"/>
      </w:tblGrid>
      <w:tr>
        <w:trPr>
          <w:trHeight w:val="71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5" w:right="98"/>
              <w:jc w:val="left"/>
              <w:rPr>
                <w:rFonts w:ascii="宋体" w:hAnsi="宋体" w:cs="宋体" w:eastAsia="宋体" w:hint="default"/>
                <w:sz w:val="18"/>
                <w:szCs w:val="18"/>
              </w:rPr>
            </w:pPr>
            <w:r>
              <w:rPr>
                <w:rFonts w:ascii="宋体" w:hAnsi="宋体" w:cs="宋体" w:eastAsia="宋体" w:hint="default"/>
                <w:sz w:val="18"/>
                <w:szCs w:val="18"/>
              </w:rPr>
              <w:t>任职</w:t>
            </w:r>
            <w:r>
              <w:rPr>
                <w:rFonts w:ascii="宋体" w:hAnsi="宋体" w:cs="宋体" w:eastAsia="宋体" w:hint="default"/>
                <w:spacing w:val="-86"/>
                <w:sz w:val="18"/>
                <w:szCs w:val="18"/>
              </w:rPr>
              <w:t> </w:t>
            </w:r>
            <w:r>
              <w:rPr>
                <w:rFonts w:ascii="宋体" w:hAnsi="宋体" w:cs="宋体" w:eastAsia="宋体" w:hint="default"/>
                <w:sz w:val="18"/>
                <w:szCs w:val="18"/>
              </w:rPr>
              <w:t>状态</w:t>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03" w:right="36" w:hanging="361"/>
              <w:jc w:val="left"/>
              <w:rPr>
                <w:rFonts w:ascii="宋体" w:hAnsi="宋体" w:cs="宋体" w:eastAsia="宋体" w:hint="default"/>
                <w:sz w:val="18"/>
                <w:szCs w:val="18"/>
              </w:rPr>
            </w:pPr>
            <w:r>
              <w:rPr>
                <w:rFonts w:ascii="宋体" w:hAnsi="宋体" w:cs="宋体" w:eastAsia="宋体" w:hint="default"/>
                <w:spacing w:val="-2"/>
                <w:sz w:val="18"/>
                <w:szCs w:val="18"/>
              </w:rPr>
              <w:t>任期起始日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9" w:right="51" w:hanging="178"/>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34" w:firstLine="19"/>
              <w:jc w:val="left"/>
              <w:rPr>
                <w:rFonts w:ascii="宋体" w:hAnsi="宋体" w:cs="宋体" w:eastAsia="宋体" w:hint="default"/>
                <w:sz w:val="18"/>
                <w:szCs w:val="18"/>
              </w:rPr>
            </w:pPr>
            <w:r>
              <w:rPr>
                <w:rFonts w:ascii="宋体" w:hAnsi="宋体" w:cs="宋体" w:eastAsia="宋体" w:hint="default"/>
                <w:sz w:val="18"/>
                <w:szCs w:val="18"/>
              </w:rPr>
              <w:t>本期增持股</w:t>
            </w:r>
            <w:r>
              <w:rPr>
                <w:rFonts w:ascii="宋体" w:hAnsi="宋体" w:cs="宋体" w:eastAsia="宋体" w:hint="default"/>
                <w:w w:val="101"/>
                <w:sz w:val="18"/>
                <w:szCs w:val="18"/>
              </w:rPr>
              <w:t> </w:t>
            </w:r>
            <w:r>
              <w:rPr>
                <w:rFonts w:ascii="宋体" w:hAnsi="宋体" w:cs="宋体" w:eastAsia="宋体" w:hint="default"/>
                <w:spacing w:val="-17"/>
                <w:sz w:val="18"/>
                <w:szCs w:val="18"/>
              </w:rPr>
              <w:t>份数量（股）</w:t>
            </w:r>
            <w:r>
              <w:rPr>
                <w:rFonts w:ascii="宋体" w:hAnsi="宋体" w:cs="宋体" w:eastAsia="宋体" w:hint="default"/>
                <w:sz w:val="18"/>
                <w:szCs w:val="18"/>
              </w:rPr>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34" w:firstLine="19"/>
              <w:jc w:val="left"/>
              <w:rPr>
                <w:rFonts w:ascii="宋体" w:hAnsi="宋体" w:cs="宋体" w:eastAsia="宋体" w:hint="default"/>
                <w:sz w:val="18"/>
                <w:szCs w:val="18"/>
              </w:rPr>
            </w:pPr>
            <w:r>
              <w:rPr>
                <w:rFonts w:ascii="宋体" w:hAnsi="宋体" w:cs="宋体" w:eastAsia="宋体" w:hint="default"/>
                <w:sz w:val="18"/>
                <w:szCs w:val="18"/>
              </w:rPr>
              <w:t>本期减持股</w:t>
            </w:r>
            <w:r>
              <w:rPr>
                <w:rFonts w:ascii="宋体" w:hAnsi="宋体" w:cs="宋体" w:eastAsia="宋体" w:hint="default"/>
                <w:w w:val="101"/>
                <w:sz w:val="18"/>
                <w:szCs w:val="18"/>
              </w:rPr>
              <w:t> </w:t>
            </w:r>
            <w:r>
              <w:rPr>
                <w:rFonts w:ascii="宋体" w:hAnsi="宋体" w:cs="宋体" w:eastAsia="宋体" w:hint="default"/>
                <w:spacing w:val="-18"/>
                <w:sz w:val="18"/>
                <w:szCs w:val="18"/>
              </w:rPr>
              <w:t>份数量（股）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55" w:firstLine="33"/>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5"/>
                <w:sz w:val="18"/>
                <w:szCs w:val="18"/>
              </w:rPr>
              <w:t>变动（股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7"/>
                <w:sz w:val="18"/>
                <w:szCs w:val="18"/>
              </w:rPr>
              <w:t> </w:t>
            </w:r>
            <w:r>
              <w:rPr>
                <w:rFonts w:ascii="宋体" w:hAnsi="宋体" w:cs="宋体" w:eastAsia="宋体" w:hint="default"/>
                <w:sz w:val="18"/>
                <w:szCs w:val="18"/>
              </w:rPr>
              <w:t>（股）</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78,495,500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78,495,500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总经理</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75,404,500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75,404,500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徐晓</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8"/>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袁姣</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主席</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吴慧敏</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谢雨汐</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41"/>
              <w:jc w:val="left"/>
              <w:rPr>
                <w:rFonts w:ascii="宋体" w:hAnsi="宋体" w:cs="宋体" w:eastAsia="宋体" w:hint="default"/>
                <w:sz w:val="18"/>
                <w:szCs w:val="18"/>
              </w:rPr>
            </w:pPr>
            <w:r>
              <w:rPr>
                <w:rFonts w:ascii="宋体" w:hAnsi="宋体" w:cs="宋体" w:eastAsia="宋体" w:hint="default"/>
                <w:sz w:val="18"/>
                <w:szCs w:val="18"/>
              </w:rPr>
              <w:t>职工监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秘书</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7"/>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48,000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财务总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998,592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683,592</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技术总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1,635,000</w:t>
            </w:r>
          </w:p>
        </w:tc>
      </w:tr>
      <w:tr>
        <w:trPr>
          <w:trHeight w:val="71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left"/>
              <w:rPr>
                <w:rFonts w:ascii="宋体" w:hAnsi="宋体" w:cs="宋体" w:eastAsia="宋体" w:hint="default"/>
                <w:sz w:val="18"/>
                <w:szCs w:val="18"/>
              </w:rPr>
            </w:pPr>
            <w:r>
              <w:rPr>
                <w:rFonts w:ascii="宋体" w:hAnsi="宋体" w:cs="宋体" w:eastAsia="宋体" w:hint="default"/>
                <w:sz w:val="18"/>
                <w:szCs w:val="18"/>
              </w:rPr>
              <w:t>行政总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7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177,037,592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176,267,592</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22"/>
          <w:pgSz w:w="11910" w:h="16840"/>
          <w:pgMar w:footer="979" w:header="863" w:top="1060" w:bottom="1160" w:left="980" w:right="0"/>
          <w:pgNumType w:start="101"/>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pStyle w:val="Heading2"/>
        <w:spacing w:line="240" w:lineRule="auto" w:before="141"/>
        <w:ind w:left="633" w:right="0"/>
        <w:jc w:val="left"/>
        <w:rPr>
          <w:b w:val="0"/>
          <w:bCs w:val="0"/>
        </w:rPr>
      </w:pPr>
      <w:r>
        <w:rPr/>
        <w:t>（一）董事</w:t>
      </w:r>
      <w:r>
        <w:rPr>
          <w:b w:val="0"/>
          <w:bCs w:val="0"/>
        </w:rPr>
      </w:r>
    </w:p>
    <w:p>
      <w:pPr>
        <w:pStyle w:val="BodyText"/>
        <w:spacing w:line="345" w:lineRule="auto" w:before="156"/>
        <w:ind w:right="0" w:firstLine="480"/>
        <w:jc w:val="left"/>
      </w:pPr>
      <w:r>
        <w:rPr>
          <w:rFonts w:ascii="Times New Roman" w:hAnsi="Times New Roman" w:cs="Times New Roman" w:eastAsia="Times New Roman" w:hint="default"/>
        </w:rPr>
        <w:t>1</w:t>
      </w:r>
      <w:r>
        <w:rPr/>
        <w:t>、孙屹峥先生：男，中国国籍，无境外永久居留权。</w:t>
      </w:r>
      <w:r>
        <w:rPr>
          <w:rFonts w:ascii="Times New Roman" w:hAnsi="Times New Roman" w:cs="Times New Roman" w:eastAsia="Times New Roman" w:hint="default"/>
        </w:rPr>
        <w:t>1960</w:t>
      </w:r>
      <w:r>
        <w:rPr/>
        <w:t>年生，本科学历。曾担任中电 集团天津第四十六研究所工程师、美国力博特公司成都办事处经理、成都启阳通信设备有限</w:t>
      </w:r>
      <w:r>
        <w:rPr>
          <w:spacing w:val="-93"/>
        </w:rPr>
        <w:t> </w:t>
      </w:r>
      <w:r>
        <w:rPr>
          <w:spacing w:val="-93"/>
        </w:rPr>
      </w:r>
      <w:r>
        <w:rPr/>
        <w:t>公司总经理等职。</w:t>
      </w:r>
      <w:r>
        <w:rPr>
          <w:rFonts w:ascii="Times New Roman" w:hAnsi="Times New Roman" w:cs="Times New Roman" w:eastAsia="Times New Roman" w:hint="default"/>
        </w:rPr>
        <w:t>2002</w:t>
      </w:r>
      <w:r>
        <w:rPr/>
        <w:t>年起任职于四川依米康制冷设备有限公司（依米康前身），历任总经</w:t>
      </w:r>
      <w:r>
        <w:rPr>
          <w:spacing w:val="-93"/>
        </w:rPr>
        <w:t> </w:t>
      </w:r>
      <w:r>
        <w:rPr>
          <w:spacing w:val="-93"/>
        </w:rPr>
      </w:r>
      <w:r>
        <w:rPr/>
        <w:t>理一职。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月起连任本公司董事长；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日起担任公司第四届董事会董事长，</w:t>
      </w:r>
      <w:r>
        <w:rPr>
          <w:spacing w:val="-92"/>
        </w:rPr>
        <w:t> </w:t>
      </w:r>
      <w:r>
        <w:rPr>
          <w:spacing w:val="-92"/>
        </w:rPr>
      </w:r>
      <w:r>
        <w:rPr/>
        <w:t>任期三年。另外兼任公司全资子公司桑瑞思的副董事长、智能工程董事，公司控股公司江苏</w:t>
      </w:r>
      <w:r>
        <w:rPr>
          <w:spacing w:val="-93"/>
        </w:rPr>
        <w:t> </w:t>
      </w:r>
      <w:r>
        <w:rPr>
          <w:spacing w:val="-93"/>
        </w:rPr>
      </w:r>
      <w:r>
        <w:rPr/>
        <w:t>亿金董事长、依米康冷元董事长，以及参股公司</w:t>
      </w:r>
      <w:r>
        <w:rPr>
          <w:rFonts w:ascii="Times New Roman" w:hAnsi="Times New Roman" w:cs="Times New Roman" w:eastAsia="Times New Roman" w:hint="default"/>
        </w:rPr>
        <w:t>VBT</w:t>
      </w:r>
      <w:r>
        <w:rPr/>
        <w:t>的董事。</w:t>
      </w:r>
    </w:p>
    <w:p>
      <w:pPr>
        <w:pStyle w:val="BodyText"/>
        <w:spacing w:line="348" w:lineRule="auto" w:before="22"/>
        <w:ind w:right="1008" w:firstLine="480"/>
        <w:jc w:val="left"/>
      </w:pPr>
      <w:r>
        <w:rPr>
          <w:rFonts w:ascii="Times New Roman" w:hAnsi="Times New Roman" w:cs="Times New Roman" w:eastAsia="Times New Roman" w:hint="default"/>
        </w:rPr>
        <w:t>2</w:t>
      </w:r>
      <w:r>
        <w:rPr/>
        <w:t>、张菀女士：女，中国国籍，无境外永久居留权。</w:t>
      </w:r>
      <w:r>
        <w:rPr>
          <w:rFonts w:ascii="Times New Roman" w:hAnsi="Times New Roman" w:cs="Times New Roman" w:eastAsia="Times New Roman" w:hint="default"/>
        </w:rPr>
        <w:t>1962</w:t>
      </w:r>
      <w:r>
        <w:rPr/>
        <w:t>年生，研究生学历。曾担任中电 集团天津第四十六研究所工程师、美国力博特公司成都办事处办公室主任、成都启阳通信设</w:t>
      </w:r>
      <w:r>
        <w:rPr>
          <w:spacing w:val="-93"/>
        </w:rPr>
        <w:t> </w:t>
      </w:r>
      <w:r>
        <w:rPr>
          <w:spacing w:val="-93"/>
        </w:rPr>
      </w:r>
      <w:r>
        <w:rPr>
          <w:spacing w:val="-1"/>
        </w:rPr>
        <w:t>备有限公司副总经理等职。</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月担任四川依米康制冷设备有限公司法定代表人、</w:t>
      </w:r>
      <w:r>
        <w:rPr>
          <w:spacing w:val="-116"/>
        </w:rPr>
        <w:t> </w:t>
      </w:r>
      <w:r>
        <w:rPr>
          <w:spacing w:val="3"/>
        </w:rPr>
        <w:t>董事长（依米康前身），</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9</w:t>
      </w:r>
      <w:r>
        <w:rPr>
          <w:spacing w:val="3"/>
        </w:rPr>
        <w:t>月起连任公司法定代表人、董事兼总经理；</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19</w:t>
      </w:r>
      <w:r>
        <w:rPr>
          <w:rFonts w:ascii="Times New Roman" w:hAnsi="Times New Roman" w:cs="Times New Roman" w:eastAsia="Times New Roman" w:hint="default"/>
          <w:spacing w:val="-54"/>
        </w:rPr>
        <w:t> </w:t>
      </w:r>
      <w:r>
        <w:rPr/>
        <w:t>日起担任公司第四届董事会董事兼总经理，任期三年；另兼任公司全资子公司深圳龙控董事</w:t>
      </w:r>
      <w:r>
        <w:rPr>
          <w:spacing w:val="-93"/>
        </w:rPr>
        <w:t> </w:t>
      </w:r>
      <w:r>
        <w:rPr>
          <w:spacing w:val="-93"/>
        </w:rPr>
      </w:r>
      <w:r>
        <w:rPr/>
        <w:t>长、依米康企业管理法定代表人及执行董事兼经理、智能工程董事长，全资孙公司沈阳桑瑞</w:t>
      </w:r>
      <w:r>
        <w:rPr>
          <w:spacing w:val="-93"/>
        </w:rPr>
        <w:t> </w:t>
      </w:r>
      <w:r>
        <w:rPr>
          <w:spacing w:val="-93"/>
        </w:rPr>
      </w:r>
      <w:r>
        <w:rPr/>
        <w:t>思监事，控股公司江苏亿金董事、依米康冷元董事，商投资本董事。</w:t>
      </w:r>
    </w:p>
    <w:p>
      <w:pPr>
        <w:pStyle w:val="BodyText"/>
        <w:spacing w:line="343" w:lineRule="auto" w:before="44"/>
        <w:ind w:right="1128" w:firstLine="480"/>
        <w:jc w:val="both"/>
      </w:pPr>
      <w:r>
        <w:rPr>
          <w:rFonts w:ascii="Times New Roman" w:hAnsi="Times New Roman" w:cs="Times New Roman" w:eastAsia="Times New Roman" w:hint="default"/>
          <w:spacing w:val="-2"/>
        </w:rPr>
        <w:t>3</w:t>
      </w:r>
      <w:r>
        <w:rPr>
          <w:spacing w:val="-2"/>
        </w:rPr>
        <w:t>、徐晓先生：男，中国国籍，无境外永久居留权。</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8</w:t>
      </w:r>
      <w:r>
        <w:rPr>
          <w:spacing w:val="-2"/>
        </w:rPr>
        <w:t>月出生，</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7</w:t>
      </w:r>
      <w:r>
        <w:rPr>
          <w:spacing w:val="-2"/>
        </w:rPr>
        <w:t>月本科毕业</w:t>
      </w:r>
      <w:r>
        <w:rPr/>
        <w:t> 于同济大学计算机及应用专业并获工学学士学位；</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月至 </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月，在上海社会科</w:t>
      </w:r>
      <w:r>
        <w:rPr>
          <w:spacing w:val="-93"/>
        </w:rPr>
        <w:t> </w:t>
      </w:r>
      <w:r>
        <w:rPr>
          <w:spacing w:val="-93"/>
        </w:rPr>
      </w:r>
      <w:r>
        <w:rPr/>
        <w:t>学院进修，学习产业经济学并获毕业证书。</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月，历任申银万国证券投资</w:t>
      </w:r>
      <w:r>
        <w:rPr>
          <w:spacing w:val="-91"/>
        </w:rPr>
        <w:t> </w:t>
      </w:r>
      <w:r>
        <w:rPr>
          <w:spacing w:val="-91"/>
        </w:rPr>
      </w:r>
      <w:r>
        <w:rPr>
          <w:spacing w:val="-2"/>
        </w:rPr>
        <w:t>银行部项目经理、部门经理；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9</w:t>
      </w:r>
      <w:r>
        <w:rPr>
          <w:spacing w:val="-2"/>
        </w:rPr>
        <w:t>月至今，任上海亨升投资管理有限公司投资经理、投资</w:t>
      </w:r>
      <w:r>
        <w:rPr>
          <w:spacing w:val="-117"/>
        </w:rPr>
        <w:t> </w:t>
      </w:r>
      <w:r>
        <w:rPr>
          <w:spacing w:val="-117"/>
        </w:rPr>
      </w:r>
      <w:r>
        <w:rPr>
          <w:spacing w:val="-5"/>
        </w:rPr>
        <w:t>总监。徐晓在投行业务、股权投资方面有着丰富的实务经验，曾先后参加、主持了通宝能源、</w:t>
      </w:r>
      <w:r>
        <w:rPr/>
        <w:t> 南京中北、南京医药、南京中达、精工科技、南通机床、江南高纤、同济科技、上海梅林等</w:t>
      </w:r>
      <w:r>
        <w:rPr>
          <w:spacing w:val="-93"/>
        </w:rPr>
        <w:t> </w:t>
      </w:r>
      <w:r>
        <w:rPr>
          <w:spacing w:val="-93"/>
        </w:rPr>
      </w:r>
      <w:r>
        <w:rPr>
          <w:spacing w:val="-3"/>
        </w:rPr>
        <w:t>多个</w:t>
      </w:r>
      <w:r>
        <w:rPr>
          <w:rFonts w:ascii="Times New Roman" w:hAnsi="Times New Roman" w:cs="Times New Roman" w:eastAsia="Times New Roman" w:hint="default"/>
          <w:spacing w:val="-3"/>
        </w:rPr>
        <w:t>IPO</w:t>
      </w:r>
      <w:r>
        <w:rPr>
          <w:spacing w:val="-3"/>
        </w:rPr>
        <w:t>、配股、增发、资产重组及股改项目；加盟上海亨升投资管理有限公司后，凭借丰富</w:t>
      </w:r>
      <w:r>
        <w:rPr>
          <w:spacing w:val="-110"/>
        </w:rPr>
        <w:t> </w:t>
      </w:r>
      <w:r>
        <w:rPr>
          <w:spacing w:val="-110"/>
        </w:rPr>
      </w:r>
      <w:r>
        <w:rPr>
          <w:spacing w:val="-2"/>
        </w:rPr>
        <w:t>的行业和资本市场经验，帮助依米康在内的多家公司完成了融资工作。</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月至今担任本</w:t>
      </w:r>
      <w:r>
        <w:rPr/>
        <w:t> </w:t>
      </w:r>
      <w:r>
        <w:rPr>
          <w:spacing w:val="-2"/>
        </w:rPr>
        <w:t>公司董事；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31</w:t>
      </w:r>
      <w:r>
        <w:rPr>
          <w:spacing w:val="-2"/>
        </w:rPr>
        <w:t>日起连任公司董事，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日担任公司第四届董事会董事，任</w:t>
      </w:r>
      <w:r>
        <w:rPr>
          <w:spacing w:val="-110"/>
        </w:rPr>
        <w:t> </w:t>
      </w:r>
      <w:r>
        <w:rPr>
          <w:spacing w:val="-110"/>
        </w:rPr>
      </w:r>
      <w:r>
        <w:rPr/>
        <w:t>期三年。</w:t>
      </w:r>
    </w:p>
    <w:p>
      <w:pPr>
        <w:pStyle w:val="BodyText"/>
        <w:spacing w:line="348" w:lineRule="auto" w:before="48"/>
        <w:ind w:right="1132" w:firstLine="480"/>
        <w:jc w:val="both"/>
      </w:pPr>
      <w:r>
        <w:rPr>
          <w:rFonts w:ascii="Times New Roman" w:hAnsi="Times New Roman" w:cs="Times New Roman" w:eastAsia="Times New Roman" w:hint="default"/>
          <w:spacing w:val="-8"/>
        </w:rPr>
        <w:t>4</w:t>
      </w:r>
      <w:r>
        <w:rPr>
          <w:spacing w:val="-8"/>
        </w:rPr>
        <w:t>、周勇先生：男，中国国籍，无境外永久居留权。</w:t>
      </w:r>
      <w:r>
        <w:rPr>
          <w:rFonts w:ascii="Times New Roman" w:hAnsi="Times New Roman" w:cs="Times New Roman" w:eastAsia="Times New Roman" w:hint="default"/>
          <w:spacing w:val="-8"/>
        </w:rPr>
        <w:t>1966</w:t>
      </w:r>
      <w:r>
        <w:rPr>
          <w:spacing w:val="-8"/>
        </w:rPr>
        <w:t>年出生，中共党员，研究生学历，</w:t>
      </w:r>
      <w:r>
        <w:rPr/>
        <w:t> 具有注册咨询工程师、研究员级高级工程师等专业资格。长期在央企从事产业经济、企业运</w:t>
      </w:r>
      <w:r>
        <w:rPr>
          <w:spacing w:val="-93"/>
        </w:rPr>
        <w:t> </w:t>
      </w:r>
      <w:r>
        <w:rPr>
          <w:spacing w:val="-93"/>
        </w:rPr>
      </w:r>
      <w:r>
        <w:rPr/>
        <w:t>营和项目可行性研究、评审，对企业和项目的技术经济财务评价、风险分析和管控、战略发</w:t>
      </w:r>
    </w:p>
    <w:p>
      <w:pPr>
        <w:spacing w:after="0" w:line="348"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38" w:lineRule="auto"/>
        <w:ind w:right="1128"/>
        <w:jc w:val="both"/>
      </w:pPr>
      <w:r>
        <w:rPr/>
        <w:t>展和路径有深入的研究和实践。</w:t>
      </w:r>
      <w:r>
        <w:rPr>
          <w:rFonts w:ascii="Times New Roman" w:hAnsi="Times New Roman" w:cs="Times New Roman" w:eastAsia="Times New Roman" w:hint="default"/>
        </w:rPr>
        <w:t>1988</w:t>
      </w:r>
      <w:r>
        <w:rPr/>
        <w:t>年至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月先后任中国国际工程咨询公司工程师、</w:t>
      </w:r>
      <w:r>
        <w:rPr>
          <w:spacing w:val="-90"/>
        </w:rPr>
        <w:t> </w:t>
      </w:r>
      <w:r>
        <w:rPr>
          <w:spacing w:val="-90"/>
        </w:rPr>
      </w:r>
      <w:r>
        <w:rPr>
          <w:spacing w:val="-2"/>
        </w:rPr>
        <w:t>副处长、处长、互联网领域负责人等职务；</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月兼任北京中咨海外咨询有</w:t>
      </w:r>
      <w:r>
        <w:rPr>
          <w:spacing w:val="-110"/>
        </w:rPr>
        <w:t> </w:t>
      </w:r>
      <w:r>
        <w:rPr/>
        <w:t>限公司副总经理职务；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月至今任重庆猪八戒网络有限公司副总裁；另兼任重庆天蓬</w:t>
      </w:r>
      <w:r>
        <w:rPr>
          <w:spacing w:val="-92"/>
        </w:rPr>
        <w:t> </w:t>
      </w:r>
      <w:r>
        <w:rPr>
          <w:spacing w:val="-92"/>
        </w:rPr>
      </w:r>
      <w:r>
        <w:rPr/>
        <w:t>网络有限公司法定代表人、执行董事兼总经理。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日起担任公司第四届董事会独</w:t>
      </w:r>
      <w:r>
        <w:rPr>
          <w:spacing w:val="-91"/>
        </w:rPr>
        <w:t> </w:t>
      </w:r>
      <w:r>
        <w:rPr>
          <w:spacing w:val="-91"/>
        </w:rPr>
      </w:r>
      <w:r>
        <w:rPr/>
        <w:t>立董事，任期三年。</w:t>
      </w:r>
    </w:p>
    <w:p>
      <w:pPr>
        <w:pStyle w:val="BodyText"/>
        <w:spacing w:line="340" w:lineRule="auto" w:before="53"/>
        <w:ind w:right="1123" w:firstLine="480"/>
        <w:jc w:val="both"/>
      </w:pPr>
      <w:r>
        <w:rPr>
          <w:rFonts w:ascii="Times New Roman" w:hAnsi="Times New Roman" w:cs="Times New Roman" w:eastAsia="Times New Roman" w:hint="default"/>
          <w:spacing w:val="-2"/>
        </w:rPr>
        <w:t>5</w:t>
      </w:r>
      <w:r>
        <w:rPr>
          <w:spacing w:val="-2"/>
        </w:rPr>
        <w:t>、赵洪功先生：男，中国国籍，无境外永久居留权。</w:t>
      </w:r>
      <w:r>
        <w:rPr>
          <w:rFonts w:ascii="Times New Roman" w:hAnsi="Times New Roman" w:cs="Times New Roman" w:eastAsia="Times New Roman" w:hint="default"/>
          <w:spacing w:val="-2"/>
        </w:rPr>
        <w:t>1967</w:t>
      </w:r>
      <w:r>
        <w:rPr>
          <w:spacing w:val="-2"/>
        </w:rPr>
        <w:t>年生，中国农工党党员，研究</w:t>
      </w:r>
      <w:r>
        <w:rPr/>
        <w:t> 生学历，高级会计师。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月取得独立董事资格证书。</w:t>
      </w:r>
      <w:r>
        <w:rPr>
          <w:rFonts w:ascii="Times New Roman" w:hAnsi="Times New Roman" w:cs="Times New Roman" w:eastAsia="Times New Roman" w:hint="default"/>
        </w:rPr>
        <w:t>1987</w:t>
      </w:r>
      <w:r>
        <w:rPr/>
        <w:t>年至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12</w:t>
      </w:r>
      <w:r>
        <w:rPr/>
        <w:t>月，先后任职</w:t>
      </w:r>
      <w:r>
        <w:rPr>
          <w:spacing w:val="-91"/>
        </w:rPr>
        <w:t> </w:t>
      </w:r>
      <w:r>
        <w:rPr>
          <w:spacing w:val="-91"/>
        </w:rPr>
      </w:r>
      <w:r>
        <w:rPr/>
        <w:t>原四川省苍溪县罐头食品厂、原四川省苍溪县猕猴桃食品饮料厂、原四川省温江金属制桶厂</w:t>
      </w:r>
      <w:r>
        <w:rPr>
          <w:spacing w:val="-93"/>
        </w:rPr>
        <w:t> </w:t>
      </w:r>
      <w:r>
        <w:rPr>
          <w:spacing w:val="-93"/>
        </w:rPr>
      </w:r>
      <w:r>
        <w:rPr>
          <w:spacing w:val="-2"/>
        </w:rPr>
        <w:t>财务、副科长、主任、厂长、财务管理等职务；</w:t>
      </w:r>
      <w:r>
        <w:rPr>
          <w:rFonts w:ascii="Times New Roman" w:hAnsi="Times New Roman" w:cs="Times New Roman" w:eastAsia="Times New Roman" w:hint="default"/>
          <w:spacing w:val="-2"/>
        </w:rPr>
        <w:t>1995</w:t>
      </w:r>
      <w:r>
        <w:rPr>
          <w:spacing w:val="-2"/>
        </w:rPr>
        <w:t>年至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8</w:t>
      </w:r>
      <w:r>
        <w:rPr>
          <w:spacing w:val="-2"/>
        </w:rPr>
        <w:t>月任职原四川省审计事务所</w:t>
      </w:r>
      <w:r>
        <w:rPr>
          <w:spacing w:val="-113"/>
        </w:rPr>
        <w:t> </w:t>
      </w:r>
      <w:r>
        <w:rPr/>
        <w:t>项目经理；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月至今任四川省投资集团有限责任公司财务管理职位；</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3"/>
        </w:rPr>
        <w:t>年</w:t>
      </w:r>
      <w:r>
        <w:rPr>
          <w:rFonts w:ascii="Times New Roman" w:hAnsi="Times New Roman" w:cs="Times New Roman" w:eastAsia="Times New Roman" w:hint="default"/>
          <w:spacing w:val="-3"/>
        </w:rPr>
        <w:t>5</w:t>
      </w:r>
      <w:r>
        <w:rPr>
          <w:spacing w:val="-3"/>
        </w:rPr>
        <w:t>月曾任川投水务财务经理、副总会计师，四川省房地产开发投资有限公司财务经理、总会</w:t>
      </w:r>
      <w:r>
        <w:rPr>
          <w:spacing w:val="-84"/>
        </w:rPr>
        <w:t> </w:t>
      </w:r>
      <w:r>
        <w:rPr>
          <w:spacing w:val="-84"/>
        </w:rPr>
      </w:r>
      <w:r>
        <w:rPr>
          <w:spacing w:val="-2"/>
        </w:rPr>
        <w:t>计师，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月至今任展利国际有限公司总会计师；</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月任成都川投空港建设有限公</w:t>
      </w:r>
      <w:r>
        <w:rPr>
          <w:spacing w:val="-114"/>
        </w:rPr>
        <w:t> </w:t>
      </w:r>
      <w:r>
        <w:rPr/>
        <w:t>司财务总监。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月曾担任本公司第二届董事会独立董事；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w:t>
      </w:r>
      <w:r>
        <w:rPr>
          <w:spacing w:val="-91"/>
        </w:rPr>
        <w:t> </w:t>
      </w:r>
      <w:r>
        <w:rPr/>
        <w:t>起担任公司第四届董事会独立董事，任期三年。</w:t>
      </w:r>
    </w:p>
    <w:p>
      <w:pPr>
        <w:pStyle w:val="Heading2"/>
        <w:spacing w:line="240" w:lineRule="auto" w:before="55"/>
        <w:ind w:left="633" w:right="0"/>
        <w:jc w:val="left"/>
        <w:rPr>
          <w:b w:val="0"/>
          <w:bCs w:val="0"/>
        </w:rPr>
      </w:pPr>
      <w:r>
        <w:rPr/>
        <w:t>（二）监事</w:t>
      </w:r>
      <w:r>
        <w:rPr>
          <w:b w:val="0"/>
          <w:bCs w:val="0"/>
        </w:rPr>
      </w:r>
    </w:p>
    <w:p>
      <w:pPr>
        <w:pStyle w:val="BodyText"/>
        <w:spacing w:line="338" w:lineRule="auto" w:before="151"/>
        <w:ind w:right="1127" w:firstLine="480"/>
        <w:jc w:val="both"/>
      </w:pPr>
      <w:r>
        <w:rPr>
          <w:rFonts w:ascii="Times New Roman" w:hAnsi="Times New Roman" w:cs="Times New Roman" w:eastAsia="Times New Roman" w:hint="default"/>
          <w:spacing w:val="-8"/>
        </w:rPr>
        <w:t>1</w:t>
      </w:r>
      <w:r>
        <w:rPr>
          <w:spacing w:val="-8"/>
        </w:rPr>
        <w:t>、袁姣女士：女，中国国籍，无境外永久居留权。</w:t>
      </w:r>
      <w:r>
        <w:rPr>
          <w:rFonts w:ascii="Times New Roman" w:hAnsi="Times New Roman" w:cs="Times New Roman" w:eastAsia="Times New Roman" w:hint="default"/>
          <w:spacing w:val="-8"/>
        </w:rPr>
        <w:t>1987</w:t>
      </w:r>
      <w:r>
        <w:rPr>
          <w:spacing w:val="-8"/>
        </w:rPr>
        <w:t>年生，中共党员，大专学历。</w:t>
      </w:r>
      <w:r>
        <w:rPr>
          <w:rFonts w:ascii="Times New Roman" w:hAnsi="Times New Roman" w:cs="Times New Roman" w:eastAsia="Times New Roman" w:hint="default"/>
          <w:spacing w:val="-8"/>
        </w:rPr>
        <w:t>2013</w:t>
      </w:r>
      <w:r>
        <w:rPr>
          <w:rFonts w:ascii="Times New Roman" w:hAnsi="Times New Roman" w:cs="Times New Roman" w:eastAsia="Times New Roman" w:hint="default"/>
        </w:rPr>
        <w:t> </w:t>
      </w:r>
      <w:r>
        <w:rPr/>
        <w:t>至</w:t>
      </w:r>
      <w:r>
        <w:rPr>
          <w:rFonts w:ascii="Times New Roman" w:hAnsi="Times New Roman" w:cs="Times New Roman" w:eastAsia="Times New Roman" w:hint="default"/>
        </w:rPr>
        <w:t>2017</w:t>
      </w:r>
      <w:r>
        <w:rPr/>
        <w:t>年间曾担任凯德商用租赁主任；</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月任职依米康科技集团股份有限公司行政经</w:t>
      </w:r>
      <w:r>
        <w:rPr>
          <w:spacing w:val="-91"/>
        </w:rPr>
        <w:t> </w:t>
      </w:r>
      <w:r>
        <w:rPr>
          <w:spacing w:val="-91"/>
        </w:rPr>
      </w:r>
      <w:r>
        <w:rPr/>
        <w:t>理，现任供应链中心总监助理一职。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日起担任公司第四届监事会监事会主席，</w:t>
      </w:r>
      <w:r>
        <w:rPr>
          <w:spacing w:val="-91"/>
        </w:rPr>
        <w:t> </w:t>
      </w:r>
      <w:r>
        <w:rPr>
          <w:spacing w:val="-91"/>
        </w:rPr>
      </w:r>
      <w:r>
        <w:rPr/>
        <w:t>任期三年。</w:t>
      </w:r>
    </w:p>
    <w:p>
      <w:pPr>
        <w:pStyle w:val="BodyText"/>
        <w:spacing w:line="240" w:lineRule="auto" w:before="53"/>
        <w:ind w:left="633" w:right="0"/>
        <w:jc w:val="left"/>
      </w:pPr>
      <w:r>
        <w:rPr>
          <w:rFonts w:ascii="Times New Roman" w:hAnsi="Times New Roman" w:cs="Times New Roman" w:eastAsia="Times New Roman" w:hint="default"/>
        </w:rPr>
        <w:t>2</w:t>
      </w:r>
      <w:r>
        <w:rPr/>
        <w:t>、吴慧敏女士：女，中国国籍，无境外永久居留权。</w:t>
      </w:r>
      <w:r>
        <w:rPr>
          <w:rFonts w:ascii="Times New Roman" w:hAnsi="Times New Roman" w:cs="Times New Roman" w:eastAsia="Times New Roman" w:hint="default"/>
        </w:rPr>
        <w:t>1988</w:t>
      </w:r>
      <w:r>
        <w:rPr/>
        <w:t>年生，中共党员，本科学历。</w:t>
      </w:r>
    </w:p>
    <w:p>
      <w:pPr>
        <w:pStyle w:val="BodyText"/>
        <w:spacing w:line="338" w:lineRule="auto" w:before="138"/>
        <w:ind w:right="1127"/>
        <w:jc w:val="both"/>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2017</w:t>
      </w:r>
      <w:r>
        <w:rPr>
          <w:spacing w:val="-2"/>
        </w:rPr>
        <w:t>年先后取得证券从业资格证书、基金从业资格证书。</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月取得董事会秘书</w:t>
      </w:r>
      <w:r>
        <w:rPr>
          <w:spacing w:val="-111"/>
        </w:rPr>
        <w:t> </w:t>
      </w:r>
      <w:r>
        <w:rPr/>
        <w:t>资格证书。</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月曾任成都云图控股股份有限公司证券事务专员职位，</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26"/>
        </w:rPr>
        <w:t> </w:t>
      </w:r>
      <w:r>
        <w:rPr/>
        <w:t>月至今任职依米康科技集团股份有限公司董办专员，</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日起担任公司第四届监事</w:t>
      </w:r>
      <w:r>
        <w:rPr>
          <w:spacing w:val="-91"/>
        </w:rPr>
        <w:t> </w:t>
      </w:r>
      <w:r>
        <w:rPr>
          <w:spacing w:val="-91"/>
        </w:rPr>
      </w:r>
      <w:r>
        <w:rPr/>
        <w:t>会监事，任期三年。</w:t>
      </w:r>
    </w:p>
    <w:p>
      <w:pPr>
        <w:pStyle w:val="BodyText"/>
        <w:spacing w:line="338" w:lineRule="auto" w:before="58"/>
        <w:ind w:right="1122" w:firstLine="480"/>
        <w:jc w:val="both"/>
      </w:pPr>
      <w:r>
        <w:rPr>
          <w:rFonts w:ascii="Times New Roman" w:hAnsi="Times New Roman" w:cs="Times New Roman" w:eastAsia="Times New Roman" w:hint="default"/>
          <w:spacing w:val="-2"/>
        </w:rPr>
        <w:t>3</w:t>
      </w:r>
      <w:r>
        <w:rPr>
          <w:spacing w:val="-2"/>
        </w:rPr>
        <w:t>、谢雨汐女士：女，中国国籍，无境外永久居留权。</w:t>
      </w:r>
      <w:r>
        <w:rPr>
          <w:rFonts w:ascii="Times New Roman" w:hAnsi="Times New Roman" w:cs="Times New Roman" w:eastAsia="Times New Roman" w:hint="default"/>
          <w:spacing w:val="-2"/>
        </w:rPr>
        <w:t>1989</w:t>
      </w:r>
      <w:r>
        <w:rPr>
          <w:spacing w:val="-2"/>
        </w:rPr>
        <w:t>年生，本科学历。</w:t>
      </w:r>
      <w:r>
        <w:rPr>
          <w:rFonts w:ascii="Times New Roman" w:hAnsi="Times New Roman" w:cs="Times New Roman" w:eastAsia="Times New Roman" w:hint="default"/>
          <w:spacing w:val="-2"/>
        </w:rPr>
        <w:t>2011</w:t>
      </w:r>
      <w:r>
        <w:rPr>
          <w:spacing w:val="-2"/>
        </w:rPr>
        <w:t>年至今</w:t>
      </w:r>
      <w:r>
        <w:rPr/>
        <w:t> 担任依米康科技集团股份有限公司资金会计一职，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日起担任公司第四届监事会</w:t>
      </w:r>
      <w:r>
        <w:rPr>
          <w:spacing w:val="-91"/>
        </w:rPr>
        <w:t> </w:t>
      </w:r>
      <w:r>
        <w:rPr>
          <w:spacing w:val="-91"/>
        </w:rPr>
      </w:r>
      <w:r>
        <w:rPr/>
        <w:t>职工代表监事，任期三年。</w:t>
      </w:r>
    </w:p>
    <w:p>
      <w:pPr>
        <w:pStyle w:val="Heading2"/>
        <w:spacing w:line="240" w:lineRule="auto" w:before="53"/>
        <w:ind w:left="633" w:right="0"/>
        <w:jc w:val="left"/>
        <w:rPr>
          <w:b w:val="0"/>
          <w:bCs w:val="0"/>
        </w:rPr>
      </w:pPr>
      <w:r>
        <w:rPr/>
        <w:t>（三）高级管理人员</w:t>
      </w:r>
      <w:r>
        <w:rPr>
          <w:b w:val="0"/>
          <w:bCs w:val="0"/>
        </w:rPr>
      </w:r>
    </w:p>
    <w:p>
      <w:pPr>
        <w:pStyle w:val="BodyText"/>
        <w:spacing w:line="240" w:lineRule="auto" w:before="156"/>
        <w:ind w:left="633" w:right="0"/>
        <w:jc w:val="left"/>
      </w:pPr>
      <w:r>
        <w:rPr>
          <w:rFonts w:ascii="Times New Roman" w:hAnsi="Times New Roman" w:cs="Times New Roman" w:eastAsia="Times New Roman" w:hint="default"/>
        </w:rPr>
        <w:t>1</w:t>
      </w:r>
      <w:r>
        <w:rPr/>
        <w:t>、张菀女士：总经理，见上述董事关于张菀的相关介绍。</w:t>
      </w:r>
    </w:p>
    <w:p>
      <w:pPr>
        <w:spacing w:after="0" w:line="240" w:lineRule="auto"/>
        <w:jc w:val="left"/>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38" w:lineRule="auto"/>
        <w:ind w:right="1125" w:firstLine="480"/>
        <w:jc w:val="both"/>
      </w:pPr>
      <w:r>
        <w:rPr>
          <w:rFonts w:ascii="Times New Roman" w:hAnsi="Times New Roman" w:cs="Times New Roman" w:eastAsia="Times New Roman" w:hint="default"/>
          <w:spacing w:val="-3"/>
        </w:rPr>
        <w:t>2</w:t>
      </w:r>
      <w:r>
        <w:rPr>
          <w:spacing w:val="-3"/>
        </w:rPr>
        <w:t>、李华楠先生：男，中国国籍，无境外永久居留权。</w:t>
      </w:r>
      <w:r>
        <w:rPr>
          <w:rFonts w:ascii="Times New Roman" w:hAnsi="Times New Roman" w:cs="Times New Roman" w:eastAsia="Times New Roman" w:hint="default"/>
          <w:spacing w:val="-3"/>
        </w:rPr>
        <w:t>1975</w:t>
      </w:r>
      <w:r>
        <w:rPr>
          <w:spacing w:val="-3"/>
        </w:rPr>
        <w:t>年生，毕业于西南财经大学投</w:t>
      </w:r>
      <w:r>
        <w:rPr/>
        <w:t> </w:t>
      </w:r>
      <w:r>
        <w:rPr>
          <w:spacing w:val="-1"/>
        </w:rPr>
        <w:t>资经济管理专业，本科学历。</w:t>
      </w:r>
      <w:r>
        <w:rPr>
          <w:rFonts w:ascii="Times New Roman" w:hAnsi="Times New Roman" w:cs="Times New Roman" w:eastAsia="Times New Roman" w:hint="default"/>
          <w:spacing w:val="-1"/>
        </w:rPr>
        <w:t>1997-2016</w:t>
      </w:r>
      <w:r>
        <w:rPr>
          <w:spacing w:val="-1"/>
        </w:rPr>
        <w:t>年在华夏证券（现中信建投）、华西证券、长江证券</w:t>
      </w:r>
      <w:r>
        <w:rPr>
          <w:spacing w:val="-113"/>
        </w:rPr>
        <w:t> </w:t>
      </w:r>
      <w:r>
        <w:rPr>
          <w:spacing w:val="-113"/>
        </w:rPr>
      </w:r>
      <w:r>
        <w:rPr/>
        <w:t>等单位履职。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月加入公司，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月至今担任公司董事会秘书。</w:t>
      </w:r>
    </w:p>
    <w:p>
      <w:pPr>
        <w:pStyle w:val="BodyText"/>
        <w:spacing w:line="343" w:lineRule="auto" w:before="24"/>
        <w:ind w:right="1123" w:firstLine="480"/>
        <w:jc w:val="both"/>
      </w:pPr>
      <w:r>
        <w:rPr>
          <w:rFonts w:ascii="Times New Roman" w:hAnsi="Times New Roman" w:cs="Times New Roman" w:eastAsia="Times New Roman" w:hint="default"/>
          <w:spacing w:val="-2"/>
        </w:rPr>
        <w:t>3</w:t>
      </w:r>
      <w:r>
        <w:rPr>
          <w:spacing w:val="-2"/>
        </w:rPr>
        <w:t>、黄建军先生：男，中国国籍，无境外永久居留权。</w:t>
      </w:r>
      <w:r>
        <w:rPr>
          <w:rFonts w:ascii="Times New Roman" w:hAnsi="Times New Roman" w:cs="Times New Roman" w:eastAsia="Times New Roman" w:hint="default"/>
          <w:spacing w:val="-2"/>
        </w:rPr>
        <w:t>1971</w:t>
      </w:r>
      <w:r>
        <w:rPr>
          <w:spacing w:val="-2"/>
        </w:rPr>
        <w:t>年生，本科学历。曾担任成都</w:t>
      </w:r>
      <w:r>
        <w:rPr/>
        <w:t> 数字天下软件有限责任公司财务总监；</w:t>
      </w:r>
      <w:r>
        <w:rPr>
          <w:rFonts w:ascii="Times New Roman" w:hAnsi="Times New Roman" w:cs="Times New Roman" w:eastAsia="Times New Roman" w:hint="default"/>
        </w:rPr>
        <w:t>2007</w:t>
      </w:r>
      <w:r>
        <w:rPr/>
        <w:t>年起任职于四川依米康制冷设备有限公司（依米</w:t>
      </w:r>
      <w:r>
        <w:rPr>
          <w:spacing w:val="-91"/>
        </w:rPr>
        <w:t> </w:t>
      </w:r>
      <w:r>
        <w:rPr>
          <w:spacing w:val="-91"/>
        </w:rPr>
      </w:r>
      <w:r>
        <w:rPr/>
        <w:t>康前身），任财务部经理、财务总监；</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日至今连任公司财务总监；另兼任公司全</w:t>
      </w:r>
      <w:r>
        <w:rPr>
          <w:spacing w:val="-91"/>
        </w:rPr>
        <w:t> </w:t>
      </w:r>
      <w:r>
        <w:rPr>
          <w:spacing w:val="-91"/>
        </w:rPr>
      </w:r>
      <w:r>
        <w:rPr/>
        <w:t>资子公司智能工程的法定代表人、董事兼总经理，全资孙公司沈阳桑瑞思法定代表人、执行</w:t>
      </w:r>
      <w:r>
        <w:rPr>
          <w:spacing w:val="-93"/>
        </w:rPr>
        <w:t> </w:t>
      </w:r>
      <w:r>
        <w:rPr>
          <w:spacing w:val="-93"/>
        </w:rPr>
      </w:r>
      <w:r>
        <w:rPr/>
        <w:t>董事兼经理，控股公司江苏亿金董事。</w:t>
      </w:r>
    </w:p>
    <w:p>
      <w:pPr>
        <w:pStyle w:val="BodyText"/>
        <w:spacing w:line="338" w:lineRule="auto" w:before="53"/>
        <w:ind w:right="1123" w:firstLine="480"/>
        <w:jc w:val="both"/>
      </w:pPr>
      <w:r>
        <w:rPr>
          <w:rFonts w:ascii="Times New Roman" w:hAnsi="Times New Roman" w:cs="Times New Roman" w:eastAsia="Times New Roman" w:hint="default"/>
          <w:spacing w:val="-2"/>
        </w:rPr>
        <w:t>4</w:t>
      </w:r>
      <w:r>
        <w:rPr>
          <w:spacing w:val="-2"/>
        </w:rPr>
        <w:t>、王倩先生：男，中国国籍，无境外永久居留权。</w:t>
      </w:r>
      <w:r>
        <w:rPr>
          <w:rFonts w:ascii="Times New Roman" w:hAnsi="Times New Roman" w:cs="Times New Roman" w:eastAsia="Times New Roman" w:hint="default"/>
          <w:spacing w:val="-2"/>
        </w:rPr>
        <w:t>1958</w:t>
      </w:r>
      <w:r>
        <w:rPr>
          <w:spacing w:val="-2"/>
        </w:rPr>
        <w:t>年生，专科学历，高级工程师职</w:t>
      </w:r>
      <w:r>
        <w:rPr/>
        <w:t> 称。曾担任广东省煤炭部物探队技术员、成都机器厂工程师。</w:t>
      </w:r>
      <w:r>
        <w:rPr>
          <w:rFonts w:ascii="Times New Roman" w:hAnsi="Times New Roman" w:cs="Times New Roman" w:eastAsia="Times New Roman" w:hint="default"/>
        </w:rPr>
        <w:t>2002</w:t>
      </w:r>
      <w:r>
        <w:rPr/>
        <w:t>年起任职于四川依米康制</w:t>
      </w:r>
      <w:r>
        <w:rPr>
          <w:spacing w:val="-90"/>
        </w:rPr>
        <w:t> </w:t>
      </w:r>
      <w:r>
        <w:rPr>
          <w:spacing w:val="-90"/>
        </w:rPr>
      </w:r>
      <w:r>
        <w:rPr/>
        <w:t>冷设备有限公司（依米康前身），历任董事兼副总经理、技术总监等职。</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日至今</w:t>
      </w:r>
      <w:r>
        <w:rPr>
          <w:spacing w:val="-89"/>
        </w:rPr>
        <w:t> </w:t>
      </w:r>
      <w:r>
        <w:rPr/>
        <w:t>连任本公司技术总监，另兼任公司全资子公司桑瑞思的监事。</w:t>
      </w:r>
    </w:p>
    <w:p>
      <w:pPr>
        <w:pStyle w:val="BodyText"/>
        <w:spacing w:line="343" w:lineRule="auto" w:before="58"/>
        <w:ind w:right="1122" w:firstLine="480"/>
        <w:jc w:val="both"/>
      </w:pPr>
      <w:r>
        <w:rPr>
          <w:rFonts w:ascii="Times New Roman" w:hAnsi="Times New Roman" w:cs="Times New Roman" w:eastAsia="Times New Roman" w:hint="default"/>
          <w:spacing w:val="-8"/>
        </w:rPr>
        <w:t>5</w:t>
      </w:r>
      <w:r>
        <w:rPr>
          <w:spacing w:val="-8"/>
        </w:rPr>
        <w:t>、孙晶晶女士：女，中国国籍，无境外永久居留权。</w:t>
      </w:r>
      <w:r>
        <w:rPr>
          <w:rFonts w:ascii="Times New Roman" w:hAnsi="Times New Roman" w:cs="Times New Roman" w:eastAsia="Times New Roman" w:hint="default"/>
          <w:spacing w:val="-8"/>
        </w:rPr>
        <w:t>1988</w:t>
      </w:r>
      <w:r>
        <w:rPr>
          <w:spacing w:val="-8"/>
        </w:rPr>
        <w:t>年生，毕业于英国阿斯顿大学，</w:t>
      </w:r>
      <w:r>
        <w:rPr/>
        <w:t> </w:t>
      </w:r>
      <w:r>
        <w:rPr>
          <w:spacing w:val="-2"/>
        </w:rPr>
        <w:t>本科学历。曾在英特尔产品（成都）有限公司任职，</w:t>
      </w:r>
      <w:r>
        <w:rPr>
          <w:rFonts w:ascii="Times New Roman" w:hAnsi="Times New Roman" w:cs="Times New Roman" w:eastAsia="Times New Roman" w:hint="default"/>
          <w:spacing w:val="-2"/>
        </w:rPr>
        <w:t>2013</w:t>
      </w:r>
      <w:r>
        <w:rPr>
          <w:spacing w:val="-2"/>
        </w:rPr>
        <w:t>年任职依米康总经办经理；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47"/>
        </w:rPr>
        <w:t> </w:t>
      </w:r>
      <w:r>
        <w:rPr/>
        <w:t>月</w:t>
      </w:r>
      <w:r>
        <w:rPr>
          <w:rFonts w:ascii="Times New Roman" w:hAnsi="Times New Roman" w:cs="Times New Roman" w:eastAsia="Times New Roman" w:hint="default"/>
        </w:rPr>
        <w:t>31</w:t>
      </w:r>
      <w:r>
        <w:rPr/>
        <w:t>日起至今连任公司行政总监；另兼任全资子公司智云科技法定代表人、执行董事兼总经</w:t>
      </w:r>
      <w:r>
        <w:rPr>
          <w:spacing w:val="-93"/>
        </w:rPr>
        <w:t> </w:t>
      </w:r>
      <w:r>
        <w:rPr>
          <w:spacing w:val="-93"/>
        </w:rPr>
      </w:r>
      <w:r>
        <w:rPr/>
        <w:t>理，全资子公司深圳龙控董事，控股子公司依米康冷元董事，子公司依米康智成、依米康智</w:t>
      </w:r>
      <w:r>
        <w:rPr>
          <w:spacing w:val="-93"/>
        </w:rPr>
        <w:t> </w:t>
      </w:r>
      <w:r>
        <w:rPr>
          <w:spacing w:val="-93"/>
        </w:rPr>
      </w:r>
      <w:r>
        <w:rPr/>
        <w:t>控的执行事务合伙人。</w:t>
      </w:r>
    </w:p>
    <w:p>
      <w:pPr>
        <w:spacing w:before="6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193"/>
        <w:gridCol w:w="1061"/>
        <w:gridCol w:w="1196"/>
        <w:gridCol w:w="1335"/>
        <w:gridCol w:w="1584"/>
      </w:tblGrid>
      <w:tr>
        <w:trPr>
          <w:trHeight w:val="713"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6" w:right="70"/>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341" w:right="60" w:hanging="274"/>
              <w:jc w:val="left"/>
              <w:rPr>
                <w:rFonts w:ascii="宋体" w:hAnsi="宋体" w:cs="宋体" w:eastAsia="宋体" w:hint="default"/>
                <w:sz w:val="18"/>
                <w:szCs w:val="18"/>
              </w:rPr>
            </w:pPr>
            <w:r>
              <w:rPr>
                <w:rFonts w:ascii="宋体" w:hAnsi="宋体" w:cs="宋体" w:eastAsia="宋体" w:hint="default"/>
                <w:spacing w:val="-2"/>
                <w:sz w:val="18"/>
                <w:szCs w:val="18"/>
              </w:rPr>
              <w:t>在股东单位是否领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取报酬津贴</w:t>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徐晓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3"/>
                <w:sz w:val="18"/>
                <w:szCs w:val="18"/>
              </w:rPr>
              <w:t>上海亨升投资管理有限公司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5"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在股东单位任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36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在其他单位任职情况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850"/>
        <w:gridCol w:w="2838"/>
        <w:gridCol w:w="1416"/>
        <w:gridCol w:w="1546"/>
        <w:gridCol w:w="1575"/>
        <w:gridCol w:w="1344"/>
      </w:tblGrid>
      <w:tr>
        <w:trPr>
          <w:trHeight w:val="715"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0" w:right="51" w:hanging="178"/>
              <w:jc w:val="left"/>
              <w:rPr>
                <w:rFonts w:ascii="宋体" w:hAnsi="宋体" w:cs="宋体" w:eastAsia="宋体" w:hint="default"/>
                <w:sz w:val="18"/>
                <w:szCs w:val="18"/>
              </w:rPr>
            </w:pPr>
            <w:r>
              <w:rPr>
                <w:rFonts w:ascii="宋体" w:hAnsi="宋体" w:cs="宋体" w:eastAsia="宋体" w:hint="default"/>
                <w:sz w:val="18"/>
                <w:szCs w:val="18"/>
              </w:rPr>
              <w:t>任职人员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姓名</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65" w:hanging="360"/>
              <w:jc w:val="left"/>
              <w:rPr>
                <w:rFonts w:ascii="宋体" w:hAnsi="宋体" w:cs="宋体" w:eastAsia="宋体" w:hint="default"/>
                <w:sz w:val="18"/>
                <w:szCs w:val="18"/>
              </w:rPr>
            </w:pPr>
            <w:r>
              <w:rPr>
                <w:rFonts w:ascii="宋体" w:hAnsi="宋体" w:cs="宋体" w:eastAsia="宋体" w:hint="default"/>
                <w:spacing w:val="-3"/>
                <w:sz w:val="18"/>
                <w:szCs w:val="18"/>
              </w:rPr>
              <w:t>在其他单位担任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的职务</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0" w:right="31" w:hanging="92"/>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四川桑瑞思环境技术工程有限公司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依米康智能工程有限公司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江苏亿金环保科技有限公司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依米康冷元节能科技（上海）有限</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50"/>
        <w:gridCol w:w="2838"/>
        <w:gridCol w:w="1416"/>
        <w:gridCol w:w="1546"/>
        <w:gridCol w:w="1575"/>
        <w:gridCol w:w="1344"/>
      </w:tblGrid>
      <w:tr>
        <w:trPr>
          <w:trHeight w:val="360" w:hRule="exact"/>
        </w:trPr>
        <w:tc>
          <w:tcPr>
            <w:tcW w:w="850"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pacing w:val="-5"/>
                <w:sz w:val="18"/>
              </w:rPr>
              <w:t>VALUEBIOTECH</w:t>
            </w:r>
            <w:r>
              <w:rPr>
                <w:rFonts w:ascii="Times New Roman"/>
                <w:spacing w:val="30"/>
                <w:sz w:val="18"/>
              </w:rPr>
              <w:t> </w:t>
            </w:r>
            <w:r>
              <w:rPr>
                <w:rFonts w:ascii="Times New Roman"/>
                <w:sz w:val="18"/>
              </w:rPr>
              <w:t>S.R.L.</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四川依米康企业管理有限公司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法定代表人、执行</w:t>
            </w:r>
            <w:r>
              <w:rPr>
                <w:rFonts w:ascii="宋体" w:hAnsi="宋体" w:cs="宋体" w:eastAsia="宋体" w:hint="default"/>
                <w:w w:val="101"/>
                <w:sz w:val="18"/>
                <w:szCs w:val="18"/>
              </w:rPr>
              <w:t> </w:t>
            </w:r>
            <w:r>
              <w:rPr>
                <w:rFonts w:ascii="宋体" w:hAnsi="宋体" w:cs="宋体" w:eastAsia="宋体" w:hint="default"/>
                <w:sz w:val="18"/>
                <w:szCs w:val="18"/>
              </w:rPr>
              <w:t>董事、总经理</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深圳市龙控智能技术有限公司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依米康智能工程有限公司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江苏亿金环保科技有限公司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99"/>
              <w:jc w:val="left"/>
              <w:rPr>
                <w:rFonts w:ascii="宋体" w:hAnsi="宋体" w:cs="宋体" w:eastAsia="宋体" w:hint="default"/>
                <w:sz w:val="18"/>
                <w:szCs w:val="18"/>
              </w:rPr>
            </w:pPr>
            <w:r>
              <w:rPr>
                <w:rFonts w:ascii="宋体" w:hAnsi="宋体" w:cs="宋体" w:eastAsia="宋体" w:hint="default"/>
                <w:spacing w:val="-3"/>
                <w:sz w:val="18"/>
                <w:szCs w:val="18"/>
              </w:rPr>
              <w:t>依米康冷元节能科技（上海）有限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pacing w:val="-3"/>
                <w:sz w:val="18"/>
                <w:szCs w:val="18"/>
              </w:rPr>
              <w:t>四川商投资本股权投资基金管理有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沈阳桑瑞思环境技术工程有限公司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重庆猪八戒网络有限公司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重庆天蓬网络有限公司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法定代表人、执行</w:t>
            </w:r>
            <w:r>
              <w:rPr>
                <w:rFonts w:ascii="宋体" w:hAnsi="宋体" w:cs="宋体" w:eastAsia="宋体" w:hint="default"/>
                <w:w w:val="101"/>
                <w:sz w:val="18"/>
                <w:szCs w:val="18"/>
              </w:rPr>
              <w:t> </w:t>
            </w:r>
            <w:r>
              <w:rPr>
                <w:rFonts w:ascii="宋体" w:hAnsi="宋体" w:cs="宋体" w:eastAsia="宋体" w:hint="default"/>
                <w:sz w:val="18"/>
                <w:szCs w:val="18"/>
              </w:rPr>
              <w:t>董事、总经理</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成都川投空港建设有限公司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9"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川投集团展利国际有限公司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四川川投国际贸易有限公司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依米康智能工程有限公司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18"/>
              <w:jc w:val="left"/>
              <w:rPr>
                <w:rFonts w:ascii="宋体" w:hAnsi="宋体" w:cs="宋体" w:eastAsia="宋体" w:hint="default"/>
                <w:sz w:val="18"/>
                <w:szCs w:val="18"/>
              </w:rPr>
            </w:pPr>
            <w:r>
              <w:rPr>
                <w:rFonts w:ascii="宋体" w:hAnsi="宋体" w:cs="宋体" w:eastAsia="宋体" w:hint="default"/>
                <w:spacing w:val="-3"/>
                <w:sz w:val="18"/>
                <w:szCs w:val="18"/>
              </w:rPr>
              <w:t>法定代表人、董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事、总经理</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沈阳桑瑞思环境技术工程有限公司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法定代表人、执行</w:t>
            </w:r>
            <w:r>
              <w:rPr>
                <w:rFonts w:ascii="宋体" w:hAnsi="宋体" w:cs="宋体" w:eastAsia="宋体" w:hint="default"/>
                <w:w w:val="101"/>
                <w:sz w:val="18"/>
                <w:szCs w:val="18"/>
              </w:rPr>
              <w:t> </w:t>
            </w:r>
            <w:r>
              <w:rPr>
                <w:rFonts w:ascii="宋体" w:hAnsi="宋体" w:cs="宋体" w:eastAsia="宋体" w:hint="default"/>
                <w:sz w:val="18"/>
                <w:szCs w:val="18"/>
              </w:rPr>
              <w:t>董事、经理</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江苏亿金环保科技有限公司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四川桑瑞思环境技术工程有限公司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四川依米康智云科技有限公司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17"/>
              <w:jc w:val="left"/>
              <w:rPr>
                <w:rFonts w:ascii="宋体" w:hAnsi="宋体" w:cs="宋体" w:eastAsia="宋体" w:hint="default"/>
                <w:sz w:val="18"/>
                <w:szCs w:val="18"/>
              </w:rPr>
            </w:pPr>
            <w:r>
              <w:rPr>
                <w:rFonts w:ascii="宋体" w:hAnsi="宋体" w:cs="宋体" w:eastAsia="宋体" w:hint="default"/>
                <w:spacing w:val="-12"/>
                <w:w w:val="101"/>
                <w:sz w:val="18"/>
                <w:szCs w:val="18"/>
              </w:rPr>
              <w:t>法定代表人、执行</w:t>
            </w:r>
            <w:r>
              <w:rPr>
                <w:rFonts w:ascii="宋体" w:hAnsi="宋体" w:cs="宋体" w:eastAsia="宋体" w:hint="default"/>
                <w:w w:val="101"/>
                <w:sz w:val="18"/>
                <w:szCs w:val="18"/>
              </w:rPr>
              <w:t> </w:t>
            </w:r>
            <w:r>
              <w:rPr>
                <w:rFonts w:ascii="宋体" w:hAnsi="宋体" w:cs="宋体" w:eastAsia="宋体" w:hint="default"/>
                <w:sz w:val="18"/>
                <w:szCs w:val="18"/>
              </w:rPr>
              <w:t>董事、总经理</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深圳市龙控智能技术有限公司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9"/>
              <w:jc w:val="left"/>
              <w:rPr>
                <w:rFonts w:ascii="宋体" w:hAnsi="宋体" w:cs="宋体" w:eastAsia="宋体" w:hint="default"/>
                <w:sz w:val="18"/>
                <w:szCs w:val="18"/>
              </w:rPr>
            </w:pPr>
            <w:r>
              <w:rPr>
                <w:rFonts w:ascii="宋体" w:hAnsi="宋体" w:cs="宋体" w:eastAsia="宋体" w:hint="default"/>
                <w:spacing w:val="-3"/>
                <w:sz w:val="18"/>
                <w:szCs w:val="18"/>
              </w:rPr>
              <w:t>依米康冷元节能科技（上海）有限</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99"/>
              <w:jc w:val="left"/>
              <w:rPr>
                <w:rFonts w:ascii="宋体" w:hAnsi="宋体" w:cs="宋体" w:eastAsia="宋体" w:hint="default"/>
                <w:sz w:val="18"/>
                <w:szCs w:val="18"/>
              </w:rPr>
            </w:pPr>
            <w:r>
              <w:rPr>
                <w:rFonts w:ascii="宋体" w:hAnsi="宋体" w:cs="宋体" w:eastAsia="宋体" w:hint="default"/>
                <w:spacing w:val="-3"/>
                <w:sz w:val="18"/>
                <w:szCs w:val="18"/>
              </w:rPr>
              <w:t>曲水依米康智控企业管理中心（有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执行事务合伙人</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99"/>
              <w:jc w:val="left"/>
              <w:rPr>
                <w:rFonts w:ascii="宋体" w:hAnsi="宋体" w:cs="宋体" w:eastAsia="宋体" w:hint="default"/>
                <w:sz w:val="18"/>
                <w:szCs w:val="18"/>
              </w:rPr>
            </w:pPr>
            <w:r>
              <w:rPr>
                <w:rFonts w:ascii="宋体" w:hAnsi="宋体" w:cs="宋体" w:eastAsia="宋体" w:hint="default"/>
                <w:spacing w:val="-3"/>
                <w:sz w:val="18"/>
                <w:szCs w:val="18"/>
              </w:rPr>
              <w:t>曲水依米康智成企业管理中心（有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限合伙）</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执行事务合伙人</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四川凝菀科技有限公司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7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89"/>
              <w:jc w:val="both"/>
              <w:rPr>
                <w:rFonts w:ascii="宋体" w:hAnsi="宋体" w:cs="宋体" w:eastAsia="宋体" w:hint="default"/>
                <w:sz w:val="18"/>
                <w:szCs w:val="18"/>
              </w:rPr>
            </w:pPr>
            <w:r>
              <w:rPr>
                <w:rFonts w:ascii="宋体" w:hAnsi="宋体" w:cs="宋体" w:eastAsia="宋体" w:hint="default"/>
                <w:sz w:val="18"/>
                <w:szCs w:val="18"/>
              </w:rPr>
              <w:t>在其他单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位任职情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况的说明</w:t>
            </w:r>
          </w:p>
        </w:tc>
        <w:tc>
          <w:tcPr>
            <w:tcW w:w="8720"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董事、监事、高级管理人员报酬的决策程序、确定依据、实际支付情况</w:t>
      </w:r>
    </w:p>
    <w:p>
      <w:pPr>
        <w:spacing w:line="240" w:lineRule="auto" w:before="13"/>
        <w:rPr>
          <w:rFonts w:ascii="宋体" w:hAnsi="宋体" w:cs="宋体" w:eastAsia="宋体" w:hint="default"/>
          <w:sz w:val="9"/>
          <w:szCs w:val="9"/>
        </w:rPr>
      </w:pPr>
    </w:p>
    <w:p>
      <w:pPr>
        <w:spacing w:before="46"/>
        <w:ind w:left="0" w:right="1114" w:firstLine="0"/>
        <w:jc w:val="right"/>
        <w:rPr>
          <w:rFonts w:ascii="宋体" w:hAnsi="宋体" w:cs="宋体" w:eastAsia="宋体" w:hint="default"/>
          <w:sz w:val="18"/>
          <w:szCs w:val="18"/>
        </w:rPr>
      </w:pPr>
      <w:r>
        <w:rPr/>
        <w:pict>
          <v:shape style="position:absolute;margin-left:56.304001pt;margin-top:-1.588291pt;width:479.45pt;height:142.8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2"/>
                    <w:gridCol w:w="7015"/>
                  </w:tblGrid>
                  <w:tr>
                    <w:trPr>
                      <w:trHeight w:val="739" w:hRule="exact"/>
                    </w:trPr>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63"/>
                          <w:ind w:left="2" w:right="0"/>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董事、监事、高级管理人员报酬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的决策程序</w:t>
                        </w:r>
                      </w:p>
                    </w:tc>
                    <w:tc>
                      <w:tcPr>
                        <w:tcW w:w="7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86"/>
                          <w:jc w:val="left"/>
                          <w:rPr>
                            <w:rFonts w:ascii="宋体" w:hAnsi="宋体" w:cs="宋体" w:eastAsia="宋体" w:hint="default"/>
                            <w:sz w:val="18"/>
                            <w:szCs w:val="18"/>
                          </w:rPr>
                        </w:pPr>
                        <w:r>
                          <w:rPr>
                            <w:rFonts w:ascii="宋体" w:hAnsi="宋体" w:cs="宋体" w:eastAsia="宋体" w:hint="default"/>
                            <w:spacing w:val="-6"/>
                            <w:sz w:val="18"/>
                            <w:szCs w:val="18"/>
                          </w:rPr>
                          <w:t>公司董事、监事、高级管理人员的薪酬（包括津贴）由薪酬与考核委员会提出，经董事会</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监事会批准后，提交股东大会审议通过后实施。</w:t>
                        </w:r>
                      </w:p>
                    </w:tc>
                  </w:tr>
                  <w:tr>
                    <w:trPr>
                      <w:trHeight w:val="1364" w:hRule="exact"/>
                    </w:trPr>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left="2" w:right="0"/>
                          <w:jc w:val="left"/>
                          <w:rPr>
                            <w:rFonts w:ascii="宋体" w:hAnsi="宋体" w:cs="宋体" w:eastAsia="宋体" w:hint="default"/>
                            <w:sz w:val="18"/>
                            <w:szCs w:val="18"/>
                          </w:rPr>
                        </w:pPr>
                        <w:r>
                          <w:rPr>
                            <w:rFonts w:ascii="宋体" w:hAnsi="宋体" w:cs="宋体" w:eastAsia="宋体" w:hint="default"/>
                            <w:spacing w:val="-2"/>
                            <w:sz w:val="18"/>
                            <w:szCs w:val="18"/>
                          </w:rPr>
                          <w:t>董事、监事、高级管理人员报酬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确定依据</w:t>
                        </w:r>
                      </w:p>
                    </w:tc>
                    <w:tc>
                      <w:tcPr>
                        <w:tcW w:w="701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3"/>
                          <w:ind w:left="4" w:right="-10"/>
                          <w:jc w:val="left"/>
                          <w:rPr>
                            <w:rFonts w:ascii="宋体" w:hAnsi="宋体" w:cs="宋体" w:eastAsia="宋体" w:hint="default"/>
                            <w:sz w:val="18"/>
                            <w:szCs w:val="18"/>
                          </w:rPr>
                        </w:pPr>
                        <w:r>
                          <w:rPr>
                            <w:rFonts w:ascii="宋体" w:hAnsi="宋体" w:cs="宋体" w:eastAsia="宋体" w:hint="default"/>
                            <w:spacing w:val="-1"/>
                            <w:sz w:val="18"/>
                            <w:szCs w:val="18"/>
                          </w:rPr>
                          <w:t>公司于</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日召开</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年第三次临时股东大会审议通过了公司《关于＜董事、监</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1"/>
                            <w:sz w:val="18"/>
                            <w:szCs w:val="18"/>
                          </w:rPr>
                          <w:t>事、高级管理人员薪酬管理办法＞的议案》；</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日，公司召开</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年度股东大</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6"/>
                            <w:sz w:val="18"/>
                            <w:szCs w:val="18"/>
                          </w:rPr>
                          <w:t>会审议通过了《关于＜董事、监事、高级管理人员</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年度薪酬方案＞的议案》。报告期</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公司董事、监事、高管人员的薪酬均依此为依据发放。</w:t>
                        </w:r>
                      </w:p>
                    </w:tc>
                  </w:tr>
                  <w:tr>
                    <w:trPr>
                      <w:trHeight w:val="740" w:hRule="exact"/>
                    </w:trPr>
                    <w:tc>
                      <w:tcPr>
                        <w:tcW w:w="25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63"/>
                          <w:ind w:left="2" w:right="0"/>
                          <w:jc w:val="left"/>
                          <w:rPr>
                            <w:rFonts w:ascii="宋体" w:hAnsi="宋体" w:cs="宋体" w:eastAsia="宋体" w:hint="default"/>
                            <w:sz w:val="18"/>
                            <w:szCs w:val="18"/>
                          </w:rPr>
                        </w:pPr>
                        <w:r>
                          <w:rPr>
                            <w:rFonts w:ascii="宋体" w:hAnsi="宋体" w:cs="宋体" w:eastAsia="宋体" w:hint="default"/>
                            <w:spacing w:val="-2"/>
                            <w:sz w:val="18"/>
                            <w:szCs w:val="18"/>
                          </w:rPr>
                          <w:t>董事、监事和高级管理人员报酬</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的实际支付情况</w:t>
                        </w:r>
                      </w:p>
                    </w:tc>
                    <w:tc>
                      <w:tcPr>
                        <w:tcW w:w="7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年，公司严格按照经股东大会审议通过的报酬标准执行。</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spacing w:before="46"/>
        <w:ind w:left="0" w:right="1113" w:firstLine="0"/>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92"/>
              <w:jc w:val="right"/>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60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徐晓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袁姣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吴慧敏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9.30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谢雨汐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6.76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李华楠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黄建军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技术总监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62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孙晶晶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行政总监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sz w:val="18"/>
              </w:rPr>
              <w:t>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92"/>
              <w:jc w:val="righ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276.21</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61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员工数量、专业构成及教育程度" w:id="126"/>
      <w:bookmarkEnd w:id="1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39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588</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661</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1,249</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1,249</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7"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452</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215</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405</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44</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133</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1,249</w:t>
            </w:r>
          </w:p>
        </w:tc>
      </w:tr>
      <w:tr>
        <w:trPr>
          <w:trHeight w:val="394"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30</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412</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351</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中专及高中</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188</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高中以下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268</w:t>
            </w:r>
          </w:p>
        </w:tc>
      </w:tr>
      <w:tr>
        <w:trPr>
          <w:trHeight w:val="39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1,249</w:t>
            </w:r>
          </w:p>
        </w:tc>
      </w:tr>
    </w:tbl>
    <w:p>
      <w:pPr>
        <w:spacing w:line="240" w:lineRule="auto" w:before="3"/>
        <w:rPr>
          <w:rFonts w:ascii="宋体" w:hAnsi="宋体" w:cs="宋体" w:eastAsia="宋体" w:hint="default"/>
          <w:b/>
          <w:bCs/>
          <w:sz w:val="19"/>
          <w:szCs w:val="19"/>
        </w:rPr>
      </w:pPr>
    </w:p>
    <w:p>
      <w:pPr>
        <w:spacing w:before="36"/>
        <w:ind w:left="153" w:right="0" w:firstLine="0"/>
        <w:jc w:val="both"/>
        <w:rPr>
          <w:rFonts w:ascii="宋体" w:hAnsi="宋体" w:cs="宋体" w:eastAsia="宋体" w:hint="default"/>
          <w:sz w:val="21"/>
          <w:szCs w:val="21"/>
        </w:rPr>
      </w:pPr>
      <w:bookmarkStart w:name="2、薪酬政策" w:id="127"/>
      <w:bookmarkEnd w:id="12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0"/>
        <w:rPr>
          <w:rFonts w:ascii="宋体" w:hAnsi="宋体" w:cs="宋体" w:eastAsia="宋体" w:hint="default"/>
          <w:b/>
          <w:bCs/>
          <w:sz w:val="29"/>
          <w:szCs w:val="29"/>
        </w:rPr>
      </w:pPr>
    </w:p>
    <w:p>
      <w:pPr>
        <w:pStyle w:val="BodyText"/>
        <w:spacing w:line="336" w:lineRule="auto" w:before="0"/>
        <w:ind w:left="633" w:right="113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7"/>
        </w:rPr>
        <w:t> </w:t>
      </w:r>
      <w:r>
        <w:rPr>
          <w:rFonts w:ascii="宋体" w:hAnsi="宋体" w:cs="宋体" w:eastAsia="宋体" w:hint="default"/>
          <w:b/>
          <w:bCs/>
        </w:rPr>
        <w:t>总则</w:t>
      </w:r>
      <w:r>
        <w:rPr>
          <w:rFonts w:ascii="宋体" w:hAnsi="宋体" w:cs="宋体" w:eastAsia="宋体" w:hint="default"/>
          <w:b/>
          <w:bCs/>
          <w:w w:val="99"/>
        </w:rPr>
        <w:t> </w:t>
      </w:r>
      <w:r>
        <w:rPr/>
        <w:t>薪酬制度关系到公司能否吸引合适人才、留住关键人才、保持合格员工队伍，关系到能</w:t>
      </w:r>
    </w:p>
    <w:p>
      <w:pPr>
        <w:pStyle w:val="BodyText"/>
        <w:spacing w:line="357" w:lineRule="auto" w:before="60"/>
        <w:ind w:right="1136"/>
        <w:jc w:val="both"/>
      </w:pPr>
      <w:r>
        <w:rPr/>
        <w:t>否正确处理好公司与员工之间的物质利益关系以有效地调动员工积极性、创造性，关系到能</w:t>
      </w:r>
      <w:r>
        <w:rPr>
          <w:spacing w:val="-93"/>
        </w:rPr>
        <w:t> </w:t>
      </w:r>
      <w:r>
        <w:rPr>
          <w:spacing w:val="-93"/>
        </w:rPr>
      </w:r>
      <w:r>
        <w:rPr/>
        <w:t>否将员工的工作绩效与公司的经营目标、经营理念和企业文化有机结合，关系到员工个人发</w:t>
      </w:r>
      <w:r>
        <w:rPr>
          <w:spacing w:val="-93"/>
        </w:rPr>
        <w:t> </w:t>
      </w:r>
      <w:r>
        <w:rPr>
          <w:spacing w:val="-93"/>
        </w:rPr>
      </w:r>
      <w:r>
        <w:rPr/>
        <w:t>展能否与公司的发展有机结合。</w:t>
      </w:r>
    </w:p>
    <w:p>
      <w:pPr>
        <w:pStyle w:val="BodyText"/>
        <w:spacing w:line="360" w:lineRule="auto" w:before="34"/>
        <w:ind w:right="0" w:firstLine="480"/>
        <w:jc w:val="left"/>
      </w:pPr>
      <w:r>
        <w:rPr/>
        <w:t>为了完善与公司经营、管理需要相适应的薪酬分配体系，建立和改进内部激励机制，加 强员工绩效管理，提高全体员工的工作素质，激发员工工作热情，提高公司整体竞争能力，</w:t>
      </w:r>
    </w:p>
    <w:p>
      <w:pPr>
        <w:spacing w:after="0" w:line="360" w:lineRule="auto"/>
        <w:jc w:val="left"/>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57" w:lineRule="auto"/>
        <w:ind w:right="1136"/>
        <w:jc w:val="both"/>
      </w:pPr>
      <w:r>
        <w:rPr/>
        <w:t>人力资源部每年在原有薪酬制度基础上结合公司的经营状况、年度经营管理目标、员工个人</w:t>
      </w:r>
      <w:r>
        <w:rPr>
          <w:spacing w:val="-93"/>
        </w:rPr>
        <w:t> </w:t>
      </w:r>
      <w:r>
        <w:rPr>
          <w:spacing w:val="-93"/>
        </w:rPr>
      </w:r>
      <w:r>
        <w:rPr/>
        <w:t>工作绩效表现、人力资源市场供求情况及行业薪酬水平等因素组织各单位编制员工薪酬年度</w:t>
      </w:r>
      <w:r>
        <w:rPr>
          <w:spacing w:val="-93"/>
        </w:rPr>
        <w:t> </w:t>
      </w:r>
      <w:r>
        <w:rPr>
          <w:spacing w:val="-93"/>
        </w:rPr>
      </w:r>
      <w:r>
        <w:rPr/>
        <w:t>预算方案，报公司审批后执行。</w:t>
      </w:r>
    </w:p>
    <w:p>
      <w:pPr>
        <w:pStyle w:val="BodyText"/>
        <w:spacing w:line="340" w:lineRule="auto" w:before="34"/>
        <w:ind w:left="633" w:right="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）薪酬策略</w:t>
      </w:r>
      <w:r>
        <w:rPr>
          <w:rFonts w:ascii="宋体" w:hAnsi="宋体" w:cs="宋体" w:eastAsia="宋体" w:hint="default"/>
          <w:b/>
          <w:bCs/>
          <w:w w:val="99"/>
        </w:rPr>
        <w:t> </w:t>
      </w:r>
      <w:r>
        <w:rPr/>
        <w:t>公司薪资水平是以市场行情为基准，着重考虑公司支付能力以及员工所在岗位的责任轻</w:t>
      </w:r>
    </w:p>
    <w:p>
      <w:pPr>
        <w:pStyle w:val="BodyText"/>
        <w:spacing w:line="357" w:lineRule="auto" w:before="50"/>
        <w:ind w:right="993"/>
        <w:jc w:val="left"/>
      </w:pPr>
      <w:r>
        <w:rPr/>
        <w:t>重、难易程度、司龄、知识、经验、工作绩效等因素并参考社会物价水平进行综合核定。以</w:t>
      </w:r>
      <w:r>
        <w:rPr>
          <w:spacing w:val="-88"/>
        </w:rPr>
        <w:t> </w:t>
      </w:r>
      <w:r>
        <w:rPr>
          <w:spacing w:val="-88"/>
        </w:rPr>
      </w:r>
      <w:r>
        <w:rPr>
          <w:spacing w:val="-2"/>
        </w:rPr>
        <w:t>市场行情为基准是指以同类型行业的薪酬水平为参考，一般岗位以市场薪酬平均水平为基础，</w:t>
      </w:r>
      <w:r>
        <w:rPr/>
        <w:t> 作为高新科技类企业，我们更加关注技术研发类岗位、关键性管理岗位，在高于一般市场水</w:t>
      </w:r>
      <w:r>
        <w:rPr>
          <w:spacing w:val="-93"/>
        </w:rPr>
        <w:t> </w:t>
      </w:r>
      <w:r>
        <w:rPr>
          <w:spacing w:val="-93"/>
        </w:rPr>
      </w:r>
      <w:r>
        <w:rPr/>
        <w:t>平的基础上，结合各种激励手段，吸引和留住核心人才。匹配公司战略发展，引进特殊人才</w:t>
      </w:r>
      <w:r>
        <w:rPr>
          <w:spacing w:val="-93"/>
        </w:rPr>
        <w:t> </w:t>
      </w:r>
      <w:r>
        <w:rPr>
          <w:spacing w:val="-93"/>
        </w:rPr>
      </w:r>
      <w:r>
        <w:rPr/>
        <w:t>时，薪酬需报董事会特批。力求做到公平、公正，并具有一定的竞争性。</w:t>
      </w:r>
    </w:p>
    <w:p>
      <w:pPr>
        <w:pStyle w:val="Heading2"/>
        <w:spacing w:line="240" w:lineRule="auto" w:before="38"/>
        <w:ind w:left="633" w:right="0"/>
        <w:jc w:val="left"/>
        <w:rPr>
          <w:b w:val="0"/>
          <w:bCs w:val="0"/>
        </w:rPr>
      </w:pPr>
      <w:r>
        <w:rPr/>
        <w:t>（</w:t>
      </w:r>
      <w:r>
        <w:rPr>
          <w:rFonts w:ascii="Times New Roman" w:hAnsi="Times New Roman" w:cs="Times New Roman" w:eastAsia="Times New Roman" w:hint="default"/>
        </w:rPr>
        <w:t>3</w:t>
      </w:r>
      <w:r>
        <w:rPr/>
        <w:t>）薪酬原则</w:t>
      </w:r>
      <w:r>
        <w:rPr>
          <w:b w:val="0"/>
          <w:bCs w:val="0"/>
        </w:rPr>
      </w:r>
    </w:p>
    <w:p>
      <w:pPr>
        <w:pStyle w:val="BodyText"/>
        <w:spacing w:line="348" w:lineRule="auto" w:before="133"/>
        <w:ind w:right="1134" w:firstLine="480"/>
        <w:jc w:val="both"/>
      </w:pPr>
      <w:r>
        <w:rPr>
          <w:rFonts w:ascii="Times New Roman" w:hAnsi="Times New Roman" w:cs="Times New Roman" w:eastAsia="Times New Roman" w:hint="default"/>
        </w:rPr>
        <w:t>1</w:t>
      </w:r>
      <w:r>
        <w:rPr/>
        <w:t>）实行</w:t>
      </w:r>
      <w:r>
        <w:rPr>
          <w:rFonts w:ascii="Times New Roman" w:hAnsi="Times New Roman" w:cs="Times New Roman" w:eastAsia="Times New Roman" w:hint="default"/>
        </w:rPr>
        <w:t>“</w:t>
      </w:r>
      <w:r>
        <w:rPr/>
        <w:t>以岗位定薪，以技能定薪，以绩效定薪</w:t>
      </w:r>
      <w:r>
        <w:rPr>
          <w:rFonts w:ascii="Times New Roman" w:hAnsi="Times New Roman" w:cs="Times New Roman" w:eastAsia="Times New Roman" w:hint="default"/>
        </w:rPr>
        <w:t>”</w:t>
      </w:r>
      <w:r>
        <w:rPr/>
        <w:t>的原则。</w:t>
      </w:r>
      <w:r>
        <w:rPr>
          <w:spacing w:val="39"/>
        </w:rPr>
        <w:t> </w:t>
      </w:r>
      <w:r>
        <w:rPr/>
        <w:t>因事设岗，因岗定薪，依照</w:t>
      </w:r>
      <w:r>
        <w:rPr/>
        <w:t> 岗位的重要程度、责任大小、难度高低等因素，由人力资源部制定各岗位薪酬标准，报公司</w:t>
      </w:r>
      <w:r>
        <w:rPr>
          <w:spacing w:val="-93"/>
        </w:rPr>
        <w:t> </w:t>
      </w:r>
      <w:r>
        <w:rPr>
          <w:spacing w:val="-93"/>
        </w:rPr>
      </w:r>
      <w:r>
        <w:rPr/>
        <w:t>总经办审批。</w:t>
      </w:r>
    </w:p>
    <w:p>
      <w:pPr>
        <w:pStyle w:val="BodyText"/>
        <w:spacing w:line="240" w:lineRule="auto" w:before="48"/>
        <w:ind w:left="633" w:right="0"/>
        <w:jc w:val="left"/>
      </w:pPr>
      <w:r>
        <w:rPr>
          <w:rFonts w:ascii="Times New Roman" w:hAnsi="Times New Roman" w:cs="Times New Roman" w:eastAsia="Times New Roman" w:hint="default"/>
          <w:spacing w:val="-9"/>
        </w:rPr>
        <w:t>2</w:t>
      </w:r>
      <w:r>
        <w:rPr>
          <w:spacing w:val="-9"/>
        </w:rPr>
        <w:t>）薪随岗移，易岗易薪，不同岗位不同薪酬，同一岗位员工薪酬随能力和绩效不同而异。</w:t>
      </w:r>
    </w:p>
    <w:p>
      <w:pPr>
        <w:pStyle w:val="BodyText"/>
        <w:spacing w:line="340" w:lineRule="auto" w:before="133"/>
        <w:ind w:right="1135" w:firstLine="480"/>
        <w:jc w:val="both"/>
      </w:pPr>
      <w:r>
        <w:rPr>
          <w:rFonts w:ascii="Times New Roman" w:hAnsi="Times New Roman" w:cs="Times New Roman" w:eastAsia="Times New Roman" w:hint="default"/>
          <w:spacing w:val="-3"/>
        </w:rPr>
        <w:t>3</w:t>
      </w:r>
      <w:r>
        <w:rPr>
          <w:spacing w:val="-3"/>
        </w:rPr>
        <w:t>）考核上岗、能上能下，岗变薪动。以《岗位说明书》、《绩效考核》作为员工上岗或</w:t>
      </w:r>
      <w:r>
        <w:rPr/>
        <w:t> 易岗的考核和评估依据，只有通过岗位考核和评估的，才能取得上岗资格。</w:t>
      </w:r>
    </w:p>
    <w:p>
      <w:pPr>
        <w:pStyle w:val="BodyText"/>
        <w:spacing w:line="352" w:lineRule="auto" w:before="51"/>
        <w:ind w:right="1130" w:firstLine="480"/>
        <w:jc w:val="both"/>
      </w:pPr>
      <w:r>
        <w:rPr>
          <w:rFonts w:ascii="Times New Roman" w:hAnsi="Times New Roman" w:cs="Times New Roman" w:eastAsia="Times New Roman" w:hint="default"/>
          <w:spacing w:val="-3"/>
        </w:rPr>
        <w:t>4</w:t>
      </w:r>
      <w:r>
        <w:rPr>
          <w:spacing w:val="-3"/>
        </w:rPr>
        <w:t>）工作绩效不同薪酬不同。依米康倡导以激励创造价值的奋斗者为导向，定期对员工在</w:t>
      </w:r>
      <w:r>
        <w:rPr/>
        <w:t> </w:t>
      </w:r>
      <w:r>
        <w:rPr>
          <w:spacing w:val="-5"/>
        </w:rPr>
        <w:t>岗工作期间的业绩进行考核，进行动态调整。完成任务突出者，进行绩效奖励，或岗位晋升；</w:t>
      </w:r>
      <w:r>
        <w:rPr>
          <w:spacing w:val="-118"/>
        </w:rPr>
        <w:t> </w:t>
      </w:r>
      <w:r>
        <w:rPr>
          <w:spacing w:val="-118"/>
        </w:rPr>
      </w:r>
      <w:r>
        <w:rPr/>
        <w:t>完不成任务或者表现欠佳者，进行绩效扣罚，或调整其工作岗位，并按调整后的岗位重新核</w:t>
      </w:r>
      <w:r>
        <w:rPr>
          <w:spacing w:val="-93"/>
        </w:rPr>
        <w:t> </w:t>
      </w:r>
      <w:r>
        <w:rPr>
          <w:spacing w:val="-93"/>
        </w:rPr>
      </w:r>
      <w:r>
        <w:rPr/>
        <w:t>定薪酬标准。</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2"/>
          <w:szCs w:val="2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40" w:lineRule="auto" w:before="8"/>
        <w:rPr>
          <w:rFonts w:ascii="宋体" w:hAnsi="宋体" w:cs="宋体" w:eastAsia="宋体" w:hint="default"/>
          <w:sz w:val="15"/>
          <w:szCs w:val="15"/>
        </w:rPr>
      </w:pPr>
    </w:p>
    <w:p>
      <w:pPr>
        <w:pStyle w:val="BodyText"/>
        <w:spacing w:line="338" w:lineRule="auto" w:before="0"/>
        <w:ind w:right="1122" w:firstLine="480"/>
        <w:jc w:val="both"/>
      </w:pPr>
      <w:r>
        <w:rPr>
          <w:spacing w:val="-1"/>
        </w:rPr>
        <w:t>报告期内，公司职工薪酬总额</w:t>
      </w:r>
      <w:r>
        <w:rPr>
          <w:rFonts w:ascii="Times New Roman" w:hAnsi="Times New Roman" w:cs="Times New Roman" w:eastAsia="Times New Roman" w:hint="default"/>
          <w:spacing w:val="-1"/>
        </w:rPr>
        <w:t>156,649,445.29</w:t>
      </w:r>
      <w:r>
        <w:rPr>
          <w:spacing w:val="-1"/>
        </w:rPr>
        <w:t>元，占公司总成本的比重为</w:t>
      </w:r>
      <w:r>
        <w:rPr>
          <w:rFonts w:ascii="Times New Roman" w:hAnsi="Times New Roman" w:cs="Times New Roman" w:eastAsia="Times New Roman" w:hint="default"/>
          <w:spacing w:val="-1"/>
        </w:rPr>
        <w:t>12.77%</w:t>
      </w:r>
      <w:r>
        <w:rPr>
          <w:spacing w:val="-1"/>
        </w:rPr>
        <w:t>；上年同</w:t>
      </w:r>
      <w:r>
        <w:rPr/>
        <w:t> </w:t>
      </w:r>
      <w:r>
        <w:rPr>
          <w:spacing w:val="-1"/>
        </w:rPr>
        <w:t>期，公司职工薪酬总额</w:t>
      </w:r>
      <w:r>
        <w:rPr>
          <w:rFonts w:ascii="Times New Roman" w:hAnsi="Times New Roman" w:cs="Times New Roman" w:eastAsia="Times New Roman" w:hint="default"/>
          <w:spacing w:val="-1"/>
        </w:rPr>
        <w:t>140,775,145.37</w:t>
      </w:r>
      <w:r>
        <w:rPr>
          <w:spacing w:val="-1"/>
        </w:rPr>
        <w:t>元，占公司总成本的比重为</w:t>
      </w:r>
      <w:r>
        <w:rPr>
          <w:rFonts w:ascii="Times New Roman" w:hAnsi="Times New Roman" w:cs="Times New Roman" w:eastAsia="Times New Roman" w:hint="default"/>
          <w:spacing w:val="-1"/>
        </w:rPr>
        <w:t>10.41%</w:t>
      </w:r>
      <w:r>
        <w:rPr>
          <w:spacing w:val="-1"/>
        </w:rPr>
        <w:t>。公司利润对职工薪</w:t>
      </w:r>
      <w:r>
        <w:rPr>
          <w:spacing w:val="-109"/>
        </w:rPr>
        <w:t> </w:t>
      </w:r>
      <w:r>
        <w:rPr>
          <w:spacing w:val="-109"/>
        </w:rPr>
      </w:r>
      <w:r>
        <w:rPr/>
        <w:t>酬总额变化敏感度较低，职工薪酬对公司财务状况和经营成果不构成重大影响。</w:t>
      </w:r>
    </w:p>
    <w:p>
      <w:pPr>
        <w:pStyle w:val="BodyText"/>
        <w:spacing w:line="336" w:lineRule="auto" w:before="58"/>
        <w:ind w:right="0" w:firstLine="480"/>
        <w:jc w:val="left"/>
      </w:pPr>
      <w:r>
        <w:rPr>
          <w:spacing w:val="-6"/>
        </w:rPr>
        <w:t>报告期内，公司核心技术人员数量占比为</w:t>
      </w:r>
      <w:r>
        <w:rPr>
          <w:rFonts w:ascii="Times New Roman" w:hAnsi="Times New Roman" w:cs="Times New Roman" w:eastAsia="Times New Roman" w:hint="default"/>
          <w:spacing w:val="-6"/>
        </w:rPr>
        <w:t>24.18%</w:t>
      </w:r>
      <w:r>
        <w:rPr>
          <w:spacing w:val="-6"/>
        </w:rPr>
        <w:t>、去年同期为</w:t>
      </w:r>
      <w:r>
        <w:rPr>
          <w:rFonts w:ascii="Times New Roman" w:hAnsi="Times New Roman" w:cs="Times New Roman" w:eastAsia="Times New Roman" w:hint="default"/>
          <w:spacing w:val="-6"/>
        </w:rPr>
        <w:t>24.78%</w:t>
      </w:r>
      <w:r>
        <w:rPr>
          <w:spacing w:val="-6"/>
        </w:rPr>
        <w:t>，减少比例为</w:t>
      </w:r>
      <w:r>
        <w:rPr>
          <w:rFonts w:ascii="Times New Roman" w:hAnsi="Times New Roman" w:cs="Times New Roman" w:eastAsia="Times New Roman" w:hint="default"/>
          <w:spacing w:val="-6"/>
        </w:rPr>
        <w:t>0.60%</w:t>
      </w:r>
      <w:r>
        <w:rPr>
          <w:spacing w:val="-6"/>
        </w:rPr>
        <w:t>；</w:t>
      </w:r>
      <w:r>
        <w:rPr/>
        <w:t> 上年同期，公司核心技术人员薪资占比为</w:t>
      </w:r>
      <w:r>
        <w:rPr>
          <w:rFonts w:ascii="Times New Roman" w:hAnsi="Times New Roman" w:cs="Times New Roman" w:eastAsia="Times New Roman" w:hint="default"/>
        </w:rPr>
        <w:t>25.48%</w:t>
      </w:r>
      <w:r>
        <w:rPr/>
        <w:t>、去年同期为</w:t>
      </w:r>
      <w:r>
        <w:rPr>
          <w:rFonts w:ascii="Times New Roman" w:hAnsi="Times New Roman" w:cs="Times New Roman" w:eastAsia="Times New Roman" w:hint="default"/>
        </w:rPr>
        <w:t>26.90%</w:t>
      </w:r>
      <w:r>
        <w:rPr/>
        <w:t>，减少比例为</w:t>
      </w:r>
      <w:r>
        <w:rPr>
          <w:rFonts w:ascii="Times New Roman" w:hAnsi="Times New Roman" w:cs="Times New Roman" w:eastAsia="Times New Roman" w:hint="default"/>
        </w:rPr>
        <w:t>1.42%</w:t>
      </w:r>
      <w:r>
        <w:rPr/>
        <w:t>。</w:t>
      </w:r>
    </w:p>
    <w:p>
      <w:pPr>
        <w:spacing w:after="0" w:line="336" w:lineRule="auto"/>
        <w:jc w:val="left"/>
        <w:sectPr>
          <w:pgSz w:w="11910" w:h="16840"/>
          <w:pgMar w:header="863"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both"/>
        <w:rPr>
          <w:rFonts w:ascii="宋体" w:hAnsi="宋体" w:cs="宋体" w:eastAsia="宋体" w:hint="default"/>
          <w:sz w:val="21"/>
          <w:szCs w:val="21"/>
        </w:rPr>
      </w:pPr>
      <w:bookmarkStart w:name="3、培训计划" w:id="128"/>
      <w:bookmarkEnd w:id="12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before="0"/>
        <w:ind w:right="1136" w:firstLine="480"/>
        <w:jc w:val="both"/>
      </w:pPr>
      <w:r>
        <w:rPr/>
        <w:t>公司十分注重员工培训工作，建立了完善的培训体系，报告期内制定并实施了针对各岗 位人员的培训计划，包括入职培训、法律法规及内部管理制度培训、专业技能培训、素质培</w:t>
      </w:r>
      <w:r>
        <w:rPr>
          <w:spacing w:val="-93"/>
        </w:rPr>
        <w:t> </w:t>
      </w:r>
      <w:r>
        <w:rPr>
          <w:spacing w:val="-93"/>
        </w:rPr>
      </w:r>
      <w:r>
        <w:rPr/>
        <w:t>训及针对中级管理人员综合培训等多种形式、多层次的培训，进一步提升了员工的专业技能</w:t>
      </w:r>
      <w:r>
        <w:rPr>
          <w:spacing w:val="-93"/>
        </w:rPr>
        <w:t> </w:t>
      </w:r>
      <w:r>
        <w:rPr>
          <w:spacing w:val="-93"/>
        </w:rPr>
      </w:r>
      <w:r>
        <w:rPr/>
        <w:t>和整体素质，促进员工和公司共同发展，确保公司各项经营计划的顺利开展。</w:t>
      </w:r>
    </w:p>
    <w:p>
      <w:pPr>
        <w:spacing w:line="336" w:lineRule="auto" w:before="39"/>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）培训管理的原则</w:t>
      </w:r>
      <w:r>
        <w:rPr>
          <w:rFonts w:ascii="宋体" w:hAnsi="宋体" w:cs="宋体" w:eastAsia="宋体" w:hint="default"/>
          <w:b/>
          <w:bCs/>
          <w:w w:val="99"/>
          <w:sz w:val="24"/>
          <w:szCs w:val="24"/>
        </w:rPr>
        <w:t> </w:t>
      </w:r>
      <w:r>
        <w:rPr>
          <w:rFonts w:ascii="宋体" w:hAnsi="宋体" w:cs="宋体" w:eastAsia="宋体" w:hint="default"/>
          <w:sz w:val="24"/>
          <w:szCs w:val="24"/>
        </w:rPr>
        <w:t>本着培训以人才发展与梯队建设为导向，能力素质与岗位职责匹配的原则；全面提升公</w:t>
      </w:r>
    </w:p>
    <w:p>
      <w:pPr>
        <w:pStyle w:val="BodyText"/>
        <w:spacing w:line="357" w:lineRule="auto" w:before="60"/>
        <w:ind w:right="1130"/>
        <w:jc w:val="both"/>
      </w:pPr>
      <w:r>
        <w:rPr/>
        <w:t>司员工的综合素质与职业素养，开展以深化基础知识及提升项目把控能力为目的的教育培训</w:t>
      </w:r>
      <w:r>
        <w:rPr>
          <w:spacing w:val="-93"/>
        </w:rPr>
        <w:t> </w:t>
      </w:r>
      <w:r>
        <w:rPr>
          <w:spacing w:val="-93"/>
        </w:rPr>
      </w:r>
      <w:r>
        <w:rPr>
          <w:spacing w:val="-5"/>
        </w:rPr>
        <w:t>工作，实现公司人才开发到战略目标落地的转化，形成公司独特的执行文化和人才发展氛围，</w:t>
      </w:r>
      <w:r>
        <w:rPr>
          <w:spacing w:val="-117"/>
        </w:rPr>
        <w:t> </w:t>
      </w:r>
      <w:r>
        <w:rPr>
          <w:spacing w:val="-117"/>
        </w:rPr>
      </w:r>
      <w:r>
        <w:rPr/>
        <w:t>确保公司能在市场竞争、项目谈判、成果交付上体现出良好的专业水平与竞争能力。</w:t>
      </w:r>
    </w:p>
    <w:p>
      <w:pPr>
        <w:spacing w:line="340" w:lineRule="auto" w:before="34"/>
        <w:ind w:left="633"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）培训开展的策略</w:t>
      </w:r>
      <w:r>
        <w:rPr>
          <w:rFonts w:ascii="宋体" w:hAnsi="宋体" w:cs="宋体" w:eastAsia="宋体" w:hint="default"/>
          <w:b/>
          <w:bCs/>
          <w:w w:val="99"/>
          <w:sz w:val="24"/>
          <w:szCs w:val="24"/>
        </w:rPr>
        <w:t> </w:t>
      </w:r>
      <w:r>
        <w:rPr>
          <w:rFonts w:ascii="宋体" w:hAnsi="宋体" w:cs="宋体" w:eastAsia="宋体" w:hint="default"/>
          <w:sz w:val="24"/>
          <w:szCs w:val="24"/>
        </w:rPr>
        <w:t>公司的入职基础、必备知识、职业素养等培训均采用线上平台、视频教学等方式，以应</w:t>
      </w:r>
    </w:p>
    <w:p>
      <w:pPr>
        <w:pStyle w:val="BodyText"/>
        <w:spacing w:line="357" w:lineRule="auto" w:before="50"/>
        <w:ind w:right="1135"/>
        <w:jc w:val="both"/>
      </w:pPr>
      <w:r>
        <w:rPr/>
        <w:t>对公司在培训开展中时间空间的局限性。策略上，提升类培训均采用内训为主、外训为辅的</w:t>
      </w:r>
      <w:r>
        <w:rPr>
          <w:spacing w:val="-93"/>
        </w:rPr>
        <w:t> </w:t>
      </w:r>
      <w:r>
        <w:rPr>
          <w:spacing w:val="-93"/>
        </w:rPr>
      </w:r>
      <w:r>
        <w:rPr/>
        <w:t>大方针，资质审核、专项发展、高管进修等项目均以企业发展的硬需求为准则。在培训开展</w:t>
      </w:r>
      <w:r>
        <w:rPr>
          <w:spacing w:val="-92"/>
        </w:rPr>
        <w:t> </w:t>
      </w:r>
      <w:r>
        <w:rPr>
          <w:spacing w:val="-92"/>
        </w:rPr>
      </w:r>
      <w:r>
        <w:rPr/>
        <w:t>的有效性上，通过跟进与评估、复盘、优化等科学手段将每一个培训主题切实落地。</w:t>
      </w:r>
    </w:p>
    <w:p>
      <w:pPr>
        <w:spacing w:line="240" w:lineRule="auto" w:before="10"/>
        <w:rPr>
          <w:rFonts w:ascii="宋体" w:hAnsi="宋体" w:cs="宋体" w:eastAsia="宋体" w:hint="default"/>
          <w:sz w:val="21"/>
          <w:szCs w:val="21"/>
        </w:rPr>
      </w:pPr>
    </w:p>
    <w:p>
      <w:pPr>
        <w:spacing w:before="0"/>
        <w:ind w:left="153" w:right="0" w:firstLine="0"/>
        <w:jc w:val="both"/>
        <w:rPr>
          <w:rFonts w:ascii="宋体" w:hAnsi="宋体" w:cs="宋体" w:eastAsia="宋体" w:hint="default"/>
          <w:sz w:val="21"/>
          <w:szCs w:val="21"/>
        </w:rPr>
      </w:pPr>
      <w:bookmarkStart w:name="4、劳务外包情况" w:id="129"/>
      <w:bookmarkEnd w:id="12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969"/>
        <w:jc w:val="center"/>
        <w:rPr>
          <w:b w:val="0"/>
          <w:bCs w:val="0"/>
        </w:rPr>
      </w:pPr>
      <w:bookmarkStart w:name="第十节公司治理" w:id="130"/>
      <w:bookmarkEnd w:id="130"/>
      <w:r>
        <w:rPr>
          <w:b w:val="0"/>
          <w:bCs w:val="0"/>
        </w:rPr>
      </w:r>
      <w:bookmarkStart w:name="_bookmark9" w:id="131"/>
      <w:bookmarkEnd w:id="131"/>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7"/>
        <w:rPr>
          <w:rFonts w:ascii="宋体" w:hAnsi="宋体" w:cs="宋体" w:eastAsia="宋体" w:hint="default"/>
          <w:b/>
          <w:bCs/>
          <w:sz w:val="29"/>
          <w:szCs w:val="29"/>
        </w:rPr>
      </w:pPr>
    </w:p>
    <w:p>
      <w:pPr>
        <w:pStyle w:val="BodyText"/>
        <w:spacing w:line="357" w:lineRule="auto" w:before="0"/>
        <w:ind w:right="1136" w:firstLine="480"/>
        <w:jc w:val="both"/>
      </w:pPr>
      <w:r>
        <w:rPr/>
        <w:t>报告期内，公司严格按照《公司法》、《证券法》、《上市公司治理准则》、《深圳证 券交易所创业板股票上市规则》、《深圳证券交易所创业板上市公司规范运作指引》等相关</w:t>
      </w:r>
      <w:r>
        <w:rPr>
          <w:spacing w:val="-93"/>
        </w:rPr>
        <w:t> </w:t>
      </w:r>
      <w:r>
        <w:rPr>
          <w:spacing w:val="-93"/>
        </w:rPr>
      </w:r>
      <w:r>
        <w:rPr/>
        <w:t>法律法规、规范性文件的要求，不断建立、健全公司的法人治理制度，不断完善公司治理结</w:t>
      </w:r>
      <w:r>
        <w:rPr>
          <w:spacing w:val="-93"/>
        </w:rPr>
        <w:t> </w:t>
      </w:r>
      <w:r>
        <w:rPr>
          <w:spacing w:val="-93"/>
        </w:rPr>
      </w:r>
      <w:r>
        <w:rPr/>
        <w:t>构，并有效的贯彻执行，进一步提高了公司规范运作水平和风险防范能力。</w:t>
      </w:r>
    </w:p>
    <w:p>
      <w:pPr>
        <w:spacing w:line="336" w:lineRule="auto" w:before="38"/>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、关于股东与股东大会</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报告期内，公司严格按照《上市公司股东大会规则》、《公司章程》、《股东大会议事</w:t>
      </w:r>
    </w:p>
    <w:p>
      <w:pPr>
        <w:pStyle w:val="BodyText"/>
        <w:spacing w:line="350" w:lineRule="auto" w:before="60"/>
        <w:ind w:right="1122"/>
        <w:jc w:val="both"/>
      </w:pPr>
      <w:r>
        <w:rPr>
          <w:spacing w:val="-2"/>
        </w:rPr>
        <w:t>规则》等规定召集、召开股东大会，共召开了</w:t>
      </w:r>
      <w:r>
        <w:rPr>
          <w:rFonts w:ascii="Times New Roman" w:hAnsi="Times New Roman" w:cs="Times New Roman" w:eastAsia="Times New Roman" w:hint="default"/>
          <w:spacing w:val="-2"/>
        </w:rPr>
        <w:t>3</w:t>
      </w:r>
      <w:r>
        <w:rPr>
          <w:spacing w:val="-2"/>
        </w:rPr>
        <w:t>次股东大会，会议均由董事会召集召开，现场</w:t>
      </w:r>
      <w:r>
        <w:rPr>
          <w:spacing w:val="-117"/>
        </w:rPr>
        <w:t> </w:t>
      </w:r>
      <w:r>
        <w:rPr>
          <w:spacing w:val="-117"/>
        </w:rPr>
      </w:r>
      <w:r>
        <w:rPr/>
        <w:t>有见证律师出具法律意见书；未发生单独或合并持有本公司有表决权股份总数</w:t>
      </w:r>
      <w:r>
        <w:rPr>
          <w:spacing w:val="-34"/>
        </w:rPr>
        <w:t> </w:t>
      </w:r>
      <w:r>
        <w:rPr>
          <w:rFonts w:ascii="Times New Roman" w:hAnsi="Times New Roman" w:cs="Times New Roman" w:eastAsia="Times New Roman" w:hint="default"/>
        </w:rPr>
        <w:t>10%</w:t>
      </w:r>
      <w:r>
        <w:rPr/>
        <w:t>以上的股 东请求召开临时股东大会的情形，也无因监事会提议召开的股东大会。根据上述相关法律法</w:t>
      </w:r>
      <w:r>
        <w:rPr>
          <w:spacing w:val="-93"/>
        </w:rPr>
        <w:t> </w:t>
      </w:r>
      <w:r>
        <w:rPr>
          <w:spacing w:val="-93"/>
        </w:rPr>
      </w:r>
      <w:r>
        <w:rPr/>
        <w:t>规及规范性文件规定应由股东大会审议的重大事项，公司均经董事会审议通过后提交股东大</w:t>
      </w:r>
      <w:r>
        <w:rPr>
          <w:spacing w:val="-93"/>
        </w:rPr>
        <w:t> </w:t>
      </w:r>
      <w:r>
        <w:rPr>
          <w:spacing w:val="-93"/>
        </w:rPr>
      </w:r>
      <w:r>
        <w:rPr/>
        <w:t>会审议，不存在绕过股东大会的情况，也不存在先实施后审议的情况；公司平等对待所有股</w:t>
      </w:r>
      <w:r>
        <w:rPr>
          <w:spacing w:val="-93"/>
        </w:rPr>
        <w:t> </w:t>
      </w:r>
      <w:r>
        <w:rPr>
          <w:spacing w:val="-93"/>
        </w:rPr>
      </w:r>
      <w:r>
        <w:rPr/>
        <w:t>东，并采用现场结合网络投票的方式为股东参加股东大会提供便利，确保全体股东特别是中</w:t>
      </w:r>
      <w:r>
        <w:rPr>
          <w:spacing w:val="-93"/>
        </w:rPr>
        <w:t> </w:t>
      </w:r>
      <w:r>
        <w:rPr>
          <w:spacing w:val="-93"/>
        </w:rPr>
      </w:r>
      <w:r>
        <w:rPr/>
        <w:t>小股东享有平等地位，充分行使股东的权力。</w:t>
      </w:r>
    </w:p>
    <w:p>
      <w:pPr>
        <w:spacing w:line="340" w:lineRule="auto" w:before="41"/>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、关于公司与控股股东、实际控制人</w:t>
      </w:r>
      <w:r>
        <w:rPr>
          <w:rFonts w:ascii="宋体" w:hAnsi="宋体" w:cs="宋体" w:eastAsia="宋体" w:hint="default"/>
          <w:b/>
          <w:bCs/>
          <w:w w:val="99"/>
          <w:sz w:val="24"/>
          <w:szCs w:val="24"/>
        </w:rPr>
        <w:t> </w:t>
      </w:r>
      <w:r>
        <w:rPr>
          <w:rFonts w:ascii="宋体" w:hAnsi="宋体" w:cs="宋体" w:eastAsia="宋体" w:hint="default"/>
          <w:sz w:val="24"/>
          <w:szCs w:val="24"/>
        </w:rPr>
        <w:t>公司控股股东、实际控制人为孙屹峥、张菀夫妇，孙屹峥先生担任公司董事长，张菀女</w:t>
      </w:r>
    </w:p>
    <w:p>
      <w:pPr>
        <w:pStyle w:val="BodyText"/>
        <w:spacing w:line="357" w:lineRule="auto" w:before="50"/>
        <w:ind w:right="1136"/>
        <w:jc w:val="both"/>
      </w:pPr>
      <w:r>
        <w:rPr/>
        <w:t>士担任公司董事兼总经理。两人在共同控制公司期间，严格规范自身行为，依法行使其权利</w:t>
      </w:r>
      <w:r>
        <w:rPr>
          <w:spacing w:val="-93"/>
        </w:rPr>
        <w:t> </w:t>
      </w:r>
      <w:r>
        <w:rPr>
          <w:spacing w:val="-93"/>
        </w:rPr>
      </w:r>
      <w:r>
        <w:rPr/>
        <w:t>并承担相应义务，不存在超越公司股东大会直接或间接干预公司的决策和经营的行为，未损</w:t>
      </w:r>
      <w:r>
        <w:rPr>
          <w:spacing w:val="-93"/>
        </w:rPr>
        <w:t> </w:t>
      </w:r>
      <w:r>
        <w:rPr>
          <w:spacing w:val="-93"/>
        </w:rPr>
      </w:r>
      <w:r>
        <w:rPr/>
        <w:t>害公司及其他股东的利益，不存在控股股东占用公司资金的现象，公司亦无为控股股东提供</w:t>
      </w:r>
      <w:r>
        <w:rPr>
          <w:spacing w:val="-93"/>
        </w:rPr>
        <w:t> </w:t>
      </w:r>
      <w:r>
        <w:rPr>
          <w:spacing w:val="-93"/>
        </w:rPr>
      </w:r>
      <w:r>
        <w:rPr/>
        <w:t>担保的情形。公司拥有独立完整的业务和自主经营能力，在业务、资产、人员、机构、财务</w:t>
      </w:r>
      <w:r>
        <w:rPr>
          <w:spacing w:val="-93"/>
        </w:rPr>
        <w:t> </w:t>
      </w:r>
      <w:r>
        <w:rPr>
          <w:spacing w:val="-93"/>
        </w:rPr>
      </w:r>
      <w:r>
        <w:rPr/>
        <w:t>上与控股股东及实际控制人完全独立，公司董事会、监事会和内部机构亦独立运作。</w:t>
      </w:r>
    </w:p>
    <w:p>
      <w:pPr>
        <w:spacing w:line="336" w:lineRule="auto" w:before="38"/>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、关于董事和董事会</w:t>
      </w:r>
      <w:r>
        <w:rPr>
          <w:rFonts w:ascii="宋体" w:hAnsi="宋体" w:cs="宋体" w:eastAsia="宋体" w:hint="default"/>
          <w:b/>
          <w:bCs/>
          <w:w w:val="99"/>
          <w:sz w:val="24"/>
          <w:szCs w:val="24"/>
        </w:rPr>
        <w:t> </w:t>
      </w:r>
      <w:r>
        <w:rPr>
          <w:rFonts w:ascii="宋体" w:hAnsi="宋体" w:cs="宋体" w:eastAsia="宋体" w:hint="default"/>
          <w:sz w:val="24"/>
          <w:szCs w:val="24"/>
        </w:rPr>
        <w:t>公司董事会设董事</w:t>
      </w:r>
      <w:r>
        <w:rPr>
          <w:rFonts w:ascii="Times New Roman" w:hAnsi="Times New Roman" w:cs="Times New Roman" w:eastAsia="Times New Roman" w:hint="default"/>
          <w:sz w:val="24"/>
          <w:szCs w:val="24"/>
        </w:rPr>
        <w:t>5</w:t>
      </w:r>
      <w:r>
        <w:rPr>
          <w:rFonts w:ascii="宋体" w:hAnsi="宋体" w:cs="宋体" w:eastAsia="宋体" w:hint="default"/>
          <w:sz w:val="24"/>
          <w:szCs w:val="24"/>
        </w:rPr>
        <w:t>名，其中独立董事</w:t>
      </w:r>
      <w:r>
        <w:rPr>
          <w:rFonts w:ascii="Times New Roman" w:hAnsi="Times New Roman" w:cs="Times New Roman" w:eastAsia="Times New Roman" w:hint="default"/>
          <w:sz w:val="24"/>
          <w:szCs w:val="24"/>
        </w:rPr>
        <w:t>2</w:t>
      </w:r>
      <w:r>
        <w:rPr>
          <w:rFonts w:ascii="宋体" w:hAnsi="宋体" w:cs="宋体" w:eastAsia="宋体" w:hint="default"/>
          <w:sz w:val="24"/>
          <w:szCs w:val="24"/>
        </w:rPr>
        <w:t>名，董事会的人数及人员构成符合法律、法规和</w:t>
      </w:r>
    </w:p>
    <w:p>
      <w:pPr>
        <w:pStyle w:val="BodyText"/>
        <w:spacing w:line="357" w:lineRule="auto" w:before="32"/>
        <w:ind w:right="1136"/>
        <w:jc w:val="both"/>
      </w:pPr>
      <w:r>
        <w:rPr/>
        <w:t>《公司章程》的要求。公司董事会下设战略委员会、审计委员会、薪酬与考核委员会、提名</w:t>
      </w:r>
      <w:r>
        <w:rPr>
          <w:spacing w:val="-93"/>
        </w:rPr>
        <w:t> </w:t>
      </w:r>
      <w:r>
        <w:rPr>
          <w:spacing w:val="-93"/>
        </w:rPr>
      </w:r>
      <w:r>
        <w:rPr/>
        <w:t>委员会四个专门委员会，专门委员会委员由公司董事、独立董事担任，专门委员会的构成符</w:t>
      </w:r>
      <w:r>
        <w:rPr>
          <w:spacing w:val="-93"/>
        </w:rPr>
        <w:t> </w:t>
      </w:r>
      <w:r>
        <w:rPr>
          <w:spacing w:val="-93"/>
        </w:rPr>
      </w:r>
      <w:r>
        <w:rPr/>
        <w:t>合法律、法规和《公司章程》的要求。</w:t>
      </w:r>
    </w:p>
    <w:p>
      <w:pPr>
        <w:spacing w:after="0" w:line="357"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55" w:lineRule="auto"/>
        <w:ind w:right="1129" w:firstLine="480"/>
        <w:jc w:val="both"/>
      </w:pPr>
      <w:r>
        <w:rPr/>
        <w:t>公司董事会成员严格按照相关法律法规及《公司章程》、《董事会议事规则》、《独立 董事制度》、《董事会战略委员会工作细则》、《董事会审计委员会工作细则》、《董事会</w:t>
      </w:r>
      <w:r>
        <w:rPr>
          <w:spacing w:val="-93"/>
        </w:rPr>
        <w:t> </w:t>
      </w:r>
      <w:r>
        <w:rPr>
          <w:spacing w:val="-93"/>
        </w:rPr>
      </w:r>
      <w:r>
        <w:rPr/>
        <w:t>薪酬与考核委员会工作细则》、《董事会提名委员会工作细则》等规定开展工作，召集（出</w:t>
      </w:r>
      <w:r>
        <w:rPr>
          <w:spacing w:val="-93"/>
        </w:rPr>
        <w:t> </w:t>
      </w:r>
      <w:r>
        <w:rPr>
          <w:spacing w:val="-93"/>
        </w:rPr>
      </w:r>
      <w:r>
        <w:rPr/>
        <w:t>席）股东大会、董事会和董事会专门委员会议，同时积极参加相关培训，提高自身的专业技</w:t>
      </w:r>
      <w:r>
        <w:rPr>
          <w:spacing w:val="-93"/>
        </w:rPr>
        <w:t> </w:t>
      </w:r>
      <w:r>
        <w:rPr>
          <w:spacing w:val="-93"/>
        </w:rPr>
      </w:r>
      <w:r>
        <w:rPr/>
        <w:t>能和工作素质，勤勉尽责地履行职责和义务，切实发挥了董事会在公司规范运作中的重要作</w:t>
      </w:r>
      <w:r>
        <w:rPr>
          <w:spacing w:val="-93"/>
        </w:rPr>
        <w:t> </w:t>
      </w:r>
      <w:r>
        <w:rPr>
          <w:spacing w:val="-93"/>
        </w:rPr>
      </w:r>
      <w:r>
        <w:rPr>
          <w:spacing w:val="-5"/>
        </w:rPr>
        <w:t>用。报告期内，公司共召开</w:t>
      </w:r>
      <w:r>
        <w:rPr>
          <w:rFonts w:ascii="Times New Roman" w:hAnsi="Times New Roman" w:cs="Times New Roman" w:eastAsia="Times New Roman" w:hint="default"/>
          <w:spacing w:val="-5"/>
        </w:rPr>
        <w:t>12</w:t>
      </w:r>
      <w:r>
        <w:rPr>
          <w:spacing w:val="-5"/>
        </w:rPr>
        <w:t>次董事会，均严格按照相关规定召集、召开和表决，运作顺畅，</w:t>
      </w:r>
      <w:r>
        <w:rPr>
          <w:spacing w:val="-115"/>
        </w:rPr>
        <w:t> </w:t>
      </w:r>
      <w:r>
        <w:rPr>
          <w:spacing w:val="-115"/>
        </w:rPr>
      </w:r>
      <w:r>
        <w:rPr/>
        <w:t>未出现越权行使股东大会授权权限的行为，也未出现越权干预监事会运作和经营管理层的行</w:t>
      </w:r>
      <w:r>
        <w:rPr>
          <w:spacing w:val="-93"/>
        </w:rPr>
        <w:t> </w:t>
      </w:r>
      <w:r>
        <w:rPr>
          <w:spacing w:val="-93"/>
        </w:rPr>
      </w:r>
      <w:r>
        <w:rPr/>
        <w:t>为。</w:t>
      </w:r>
    </w:p>
    <w:p>
      <w:pPr>
        <w:spacing w:line="336" w:lineRule="auto" w:before="41"/>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、关于监事和监事会</w:t>
      </w:r>
      <w:r>
        <w:rPr>
          <w:rFonts w:ascii="宋体" w:hAnsi="宋体" w:cs="宋体" w:eastAsia="宋体" w:hint="default"/>
          <w:b/>
          <w:bCs/>
          <w:w w:val="99"/>
          <w:sz w:val="24"/>
          <w:szCs w:val="24"/>
        </w:rPr>
        <w:t> </w:t>
      </w:r>
      <w:r>
        <w:rPr>
          <w:rFonts w:ascii="宋体" w:hAnsi="宋体" w:cs="宋体" w:eastAsia="宋体" w:hint="default"/>
          <w:sz w:val="24"/>
          <w:szCs w:val="24"/>
        </w:rPr>
        <w:t>公司监事会设监事</w:t>
      </w:r>
      <w:r>
        <w:rPr>
          <w:rFonts w:ascii="Times New Roman" w:hAnsi="Times New Roman" w:cs="Times New Roman" w:eastAsia="Times New Roman" w:hint="default"/>
          <w:sz w:val="24"/>
          <w:szCs w:val="24"/>
        </w:rPr>
        <w:t>3</w:t>
      </w:r>
      <w:r>
        <w:rPr>
          <w:rFonts w:ascii="宋体" w:hAnsi="宋体" w:cs="宋体" w:eastAsia="宋体" w:hint="default"/>
          <w:sz w:val="24"/>
          <w:szCs w:val="24"/>
        </w:rPr>
        <w:t>名，其中职工代表监事</w:t>
      </w:r>
      <w:r>
        <w:rPr>
          <w:rFonts w:ascii="Times New Roman" w:hAnsi="Times New Roman" w:cs="Times New Roman" w:eastAsia="Times New Roman" w:hint="default"/>
          <w:sz w:val="24"/>
          <w:szCs w:val="24"/>
        </w:rPr>
        <w:t>1</w:t>
      </w:r>
      <w:r>
        <w:rPr>
          <w:rFonts w:ascii="宋体" w:hAnsi="宋体" w:cs="宋体" w:eastAsia="宋体" w:hint="default"/>
          <w:sz w:val="24"/>
          <w:szCs w:val="24"/>
        </w:rPr>
        <w:t>名，监事会的人数和构成符合法律、法规的</w:t>
      </w:r>
    </w:p>
    <w:p>
      <w:pPr>
        <w:pStyle w:val="BodyText"/>
        <w:spacing w:line="352" w:lineRule="auto" w:before="32"/>
        <w:ind w:right="1122"/>
        <w:jc w:val="both"/>
      </w:pPr>
      <w:r>
        <w:rPr>
          <w:spacing w:val="-5"/>
        </w:rPr>
        <w:t>要求。公司监事会成员严格按照相关法律法规及《公司章程》、《监事会议事规则》的规定，</w:t>
      </w:r>
      <w:r>
        <w:rPr/>
        <w:t> 认真履行职责，关注公司定期报告、利润分配、关联交易、对外担保、非公开发行可转债、</w:t>
      </w:r>
      <w:r>
        <w:rPr>
          <w:spacing w:val="-93"/>
        </w:rPr>
        <w:t> </w:t>
      </w:r>
      <w:r>
        <w:rPr>
          <w:spacing w:val="-93"/>
        </w:rPr>
      </w:r>
      <w:r>
        <w:rPr/>
        <w:t>会计政策变更、股权激励等重大事项并发表审核意见，同时对公司董事、高管人员履行职责</w:t>
      </w:r>
      <w:r>
        <w:rPr>
          <w:spacing w:val="-93"/>
        </w:rPr>
        <w:t> </w:t>
      </w:r>
      <w:r>
        <w:rPr>
          <w:spacing w:val="-93"/>
        </w:rPr>
      </w:r>
      <w:r>
        <w:rPr>
          <w:spacing w:val="-2"/>
        </w:rPr>
        <w:t>的合法合规性进行监督，维护公司和股东的合法权益。报告期内，公司共召开</w:t>
      </w:r>
      <w:r>
        <w:rPr>
          <w:rFonts w:ascii="Times New Roman" w:hAnsi="Times New Roman" w:cs="Times New Roman" w:eastAsia="Times New Roman" w:hint="default"/>
          <w:spacing w:val="-2"/>
        </w:rPr>
        <w:t>9</w:t>
      </w:r>
      <w:r>
        <w:rPr>
          <w:spacing w:val="-2"/>
        </w:rPr>
        <w:t>次监事会，均</w:t>
      </w:r>
      <w:r>
        <w:rPr>
          <w:spacing w:val="-116"/>
        </w:rPr>
        <w:t> </w:t>
      </w:r>
      <w:r>
        <w:rPr>
          <w:spacing w:val="-116"/>
        </w:rPr>
      </w:r>
      <w:r>
        <w:rPr/>
        <w:t>严格按照相关规定召集、召开，监事会的各项工作能够独立有效地开展。</w:t>
      </w:r>
    </w:p>
    <w:p>
      <w:pPr>
        <w:spacing w:line="340" w:lineRule="auto" w:before="38"/>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、关于绩效评价与激励约束机制</w:t>
      </w:r>
      <w:r>
        <w:rPr>
          <w:rFonts w:ascii="宋体" w:hAnsi="宋体" w:cs="宋体" w:eastAsia="宋体" w:hint="default"/>
          <w:b/>
          <w:bCs/>
          <w:w w:val="99"/>
          <w:sz w:val="24"/>
          <w:szCs w:val="24"/>
        </w:rPr>
        <w:t> </w:t>
      </w:r>
      <w:r>
        <w:rPr>
          <w:rFonts w:ascii="宋体" w:hAnsi="宋体" w:cs="宋体" w:eastAsia="宋体" w:hint="default"/>
          <w:spacing w:val="-9"/>
          <w:sz w:val="24"/>
          <w:szCs w:val="24"/>
        </w:rPr>
        <w:t>公司董事会下设薪酬与考核委员会，由</w:t>
      </w:r>
      <w:r>
        <w:rPr>
          <w:rFonts w:ascii="Times New Roman" w:hAnsi="Times New Roman" w:cs="Times New Roman" w:eastAsia="Times New Roman" w:hint="default"/>
          <w:spacing w:val="-9"/>
          <w:sz w:val="24"/>
          <w:szCs w:val="24"/>
        </w:rPr>
        <w:t>3</w:t>
      </w:r>
      <w:r>
        <w:rPr>
          <w:rFonts w:ascii="宋体" w:hAnsi="宋体" w:cs="宋体" w:eastAsia="宋体" w:hint="default"/>
          <w:spacing w:val="-9"/>
          <w:sz w:val="24"/>
          <w:szCs w:val="24"/>
        </w:rPr>
        <w:t>名董事组成，独立董事担任主任委员（召集人）；</w:t>
      </w:r>
    </w:p>
    <w:p>
      <w:pPr>
        <w:pStyle w:val="BodyText"/>
        <w:spacing w:line="352" w:lineRule="auto" w:before="22"/>
        <w:ind w:right="1130"/>
        <w:jc w:val="both"/>
      </w:pPr>
      <w:r>
        <w:rPr/>
        <w:t>根据《薪酬与考核委员会工作细则》，公司建立了董事及高级管理人员绩效评价与激励约束</w:t>
      </w:r>
      <w:r>
        <w:rPr>
          <w:spacing w:val="-93"/>
        </w:rPr>
        <w:t> </w:t>
      </w:r>
      <w:r>
        <w:rPr>
          <w:spacing w:val="-93"/>
        </w:rPr>
      </w:r>
      <w:r>
        <w:rPr/>
        <w:t>机制，制定了《董事、监事、高级管理人员</w:t>
      </w:r>
      <w:r>
        <w:rPr>
          <w:rFonts w:ascii="Times New Roman" w:hAnsi="Times New Roman" w:cs="Times New Roman" w:eastAsia="Times New Roman" w:hint="default"/>
        </w:rPr>
        <w:t>2019</w:t>
      </w:r>
      <w:r>
        <w:rPr/>
        <w:t>年度薪酬方案》，大力推行高级管理人员绩</w:t>
      </w:r>
      <w:r>
        <w:rPr>
          <w:spacing w:val="-91"/>
        </w:rPr>
        <w:t> </w:t>
      </w:r>
      <w:r>
        <w:rPr>
          <w:spacing w:val="-91"/>
        </w:rPr>
      </w:r>
      <w:r>
        <w:rPr/>
        <w:t>效目标管理制，通过明确绩效考核及考评标准，实施薪酬直接与其业绩挂钩，高级管理人员</w:t>
      </w:r>
      <w:r>
        <w:rPr>
          <w:spacing w:val="-93"/>
        </w:rPr>
        <w:t> </w:t>
      </w:r>
      <w:r>
        <w:rPr>
          <w:spacing w:val="-93"/>
        </w:rPr>
      </w:r>
      <w:r>
        <w:rPr/>
        <w:t>的聘任能够做到公开、透明，符合法律、法规的规定。公司严格按照规定对高级管理人员进</w:t>
      </w:r>
      <w:r>
        <w:rPr>
          <w:spacing w:val="-93"/>
        </w:rPr>
        <w:t> </w:t>
      </w:r>
      <w:r>
        <w:rPr>
          <w:spacing w:val="-93"/>
        </w:rPr>
      </w:r>
      <w:r>
        <w:rPr>
          <w:spacing w:val="-5"/>
        </w:rPr>
        <w:t>行绩效评价与考核，在强化对高级管理人员的考评激励作用的同时，以确保公司目标的达成。</w:t>
      </w:r>
    </w:p>
    <w:p>
      <w:pPr>
        <w:spacing w:line="336" w:lineRule="auto" w:before="43"/>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、关于信息披露与透明度</w:t>
      </w:r>
      <w:r>
        <w:rPr>
          <w:rFonts w:ascii="宋体" w:hAnsi="宋体" w:cs="宋体" w:eastAsia="宋体" w:hint="default"/>
          <w:b/>
          <w:bCs/>
          <w:w w:val="99"/>
          <w:sz w:val="24"/>
          <w:szCs w:val="24"/>
        </w:rPr>
        <w:t> </w:t>
      </w:r>
      <w:r>
        <w:rPr>
          <w:rFonts w:ascii="宋体" w:hAnsi="宋体" w:cs="宋体" w:eastAsia="宋体" w:hint="default"/>
          <w:sz w:val="24"/>
          <w:szCs w:val="24"/>
        </w:rPr>
        <w:t>公司严格按照有关法律法规以及《信息披露管理制度》、《投资者关系管理制度》等要</w:t>
      </w:r>
    </w:p>
    <w:p>
      <w:pPr>
        <w:pStyle w:val="BodyText"/>
        <w:spacing w:line="357" w:lineRule="auto" w:before="60"/>
        <w:ind w:right="1131"/>
        <w:jc w:val="both"/>
      </w:pPr>
      <w:r>
        <w:rPr/>
        <w:t>求，真实、准确、完整、及时、公平地披露有关信息，同时按规定向中国证监会、四川证监</w:t>
      </w:r>
      <w:r>
        <w:rPr>
          <w:spacing w:val="-93"/>
        </w:rPr>
        <w:t> </w:t>
      </w:r>
      <w:r>
        <w:rPr>
          <w:spacing w:val="-93"/>
        </w:rPr>
      </w:r>
      <w:r>
        <w:rPr/>
        <w:t>局、深圳证券交易所报告有关情况及报备相关材料。公司董事长作为信息披露第一责任人、</w:t>
      </w:r>
      <w:r>
        <w:rPr>
          <w:spacing w:val="-92"/>
        </w:rPr>
        <w:t> </w:t>
      </w:r>
      <w:r>
        <w:rPr>
          <w:spacing w:val="-92"/>
        </w:rPr>
      </w:r>
      <w:r>
        <w:rPr/>
        <w:t>董事会秘书作为信息披露的组织者，全面负责信息披露具体工作，对公开信息披露和重大内</w:t>
      </w:r>
      <w:r>
        <w:rPr>
          <w:spacing w:val="-93"/>
        </w:rPr>
        <w:t> </w:t>
      </w:r>
      <w:r>
        <w:rPr>
          <w:spacing w:val="-93"/>
        </w:rPr>
      </w:r>
      <w:r>
        <w:rPr/>
        <w:t>部事项沟通进行全程、有效的控制。公司及时回复投资者各种形式的咨询，妥善接待投资者</w:t>
      </w:r>
      <w:r>
        <w:rPr>
          <w:spacing w:val="-93"/>
        </w:rPr>
        <w:t> </w:t>
      </w:r>
      <w:r>
        <w:rPr>
          <w:spacing w:val="-93"/>
        </w:rPr>
      </w:r>
      <w:r>
        <w:rPr>
          <w:spacing w:val="-2"/>
        </w:rPr>
        <w:t>来访，向投资者提供公司已披露的资料，及时对投资者在深交所网站业务平台上的</w:t>
      </w:r>
      <w:r>
        <w:rPr>
          <w:rFonts w:ascii="Times New Roman" w:hAnsi="Times New Roman" w:cs="Times New Roman" w:eastAsia="Times New Roman" w:hint="default"/>
          <w:spacing w:val="-2"/>
        </w:rPr>
        <w:t>“</w:t>
      </w:r>
      <w:r>
        <w:rPr>
          <w:spacing w:val="-2"/>
        </w:rPr>
        <w:t>投资者互</w:t>
      </w:r>
    </w:p>
    <w:p>
      <w:pPr>
        <w:spacing w:after="0" w:line="357"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348" w:lineRule="auto"/>
        <w:ind w:right="1129"/>
        <w:jc w:val="both"/>
      </w:pPr>
      <w:r>
        <w:rPr>
          <w:spacing w:val="-2"/>
        </w:rPr>
        <w:t>动平台</w:t>
      </w:r>
      <w:r>
        <w:rPr>
          <w:rFonts w:ascii="Times New Roman" w:hAnsi="Times New Roman" w:cs="Times New Roman" w:eastAsia="Times New Roman" w:hint="default"/>
          <w:spacing w:val="-2"/>
        </w:rPr>
        <w:t>”</w:t>
      </w:r>
      <w:r>
        <w:rPr>
          <w:spacing w:val="-2"/>
        </w:rPr>
        <w:t>提出的问题进行回复，积极通过路演、反向路演、策略会等多种形式与投资者进行沟</w:t>
      </w:r>
      <w:r>
        <w:rPr>
          <w:spacing w:val="-107"/>
        </w:rPr>
        <w:t> </w:t>
      </w:r>
      <w:r>
        <w:rPr>
          <w:spacing w:val="-107"/>
        </w:rPr>
      </w:r>
      <w:r>
        <w:rPr/>
        <w:t>通；同时公司网站设立了投资者关系专栏，并通过专线电话、电子信箱、传真、微信公众号</w:t>
      </w:r>
      <w:r>
        <w:rPr>
          <w:spacing w:val="-93"/>
        </w:rPr>
        <w:t> </w:t>
      </w:r>
      <w:r>
        <w:rPr>
          <w:spacing w:val="-93"/>
        </w:rPr>
      </w:r>
      <w:r>
        <w:rPr/>
        <w:t>等多种渠道加强与投资者的沟通，确保公司与广大中小投资者进行及时、有效的沟通。</w:t>
      </w:r>
    </w:p>
    <w:p>
      <w:pPr>
        <w:pStyle w:val="BodyText"/>
        <w:spacing w:line="240" w:lineRule="auto" w:before="43"/>
        <w:ind w:left="633" w:right="0"/>
        <w:jc w:val="left"/>
      </w:pPr>
      <w:r>
        <w:rPr/>
        <w:t>公司指定巨潮咨讯</w:t>
      </w:r>
      <w:r>
        <w:rPr>
          <w:spacing w:val="-96"/>
        </w:rPr>
        <w:t>网</w:t>
      </w:r>
      <w:r>
        <w:rPr/>
        <w:t>（</w:t>
      </w:r>
      <w:hyperlink r:id="rId9">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w:t>
        </w:r>
        <w:r>
          <w:rPr>
            <w:rFonts w:ascii="Times New Roman" w:hAnsi="Times New Roman" w:cs="Times New Roman" w:eastAsia="Times New Roman" w:hint="default"/>
            <w:w w:val="99"/>
          </w:rPr>
          <w:t>w</w:t>
        </w:r>
        <w:r>
          <w:rPr>
            <w:rFonts w:ascii="Times New Roman" w:hAnsi="Times New Roman" w:cs="Times New Roman" w:eastAsia="Times New Roman" w:hint="default"/>
            <w:spacing w:val="1"/>
            <w:w w:val="99"/>
          </w:rPr>
          <w:t>.</w:t>
        </w:r>
        <w:r>
          <w:rPr>
            <w:rFonts w:ascii="Times New Roman" w:hAnsi="Times New Roman" w:cs="Times New Roman" w:eastAsia="Times New Roman" w:hint="default"/>
            <w:spacing w:val="-1"/>
          </w:rPr>
          <w:t>c</w:t>
        </w:r>
        <w:r>
          <w:rPr>
            <w:rFonts w:ascii="Times New Roman" w:hAnsi="Times New Roman" w:cs="Times New Roman" w:eastAsia="Times New Roman" w:hint="default"/>
          </w:rPr>
          <w:t>n</w:t>
        </w:r>
        <w:r>
          <w:rPr>
            <w:rFonts w:ascii="Times New Roman" w:hAnsi="Times New Roman" w:cs="Times New Roman" w:eastAsia="Times New Roman" w:hint="default"/>
            <w:spacing w:val="-5"/>
          </w:rPr>
          <w:t>i</w:t>
        </w:r>
        <w:r>
          <w:rPr>
            <w:rFonts w:ascii="Times New Roman" w:hAnsi="Times New Roman" w:cs="Times New Roman" w:eastAsia="Times New Roman" w:hint="default"/>
            <w:spacing w:val="4"/>
          </w:rPr>
          <w:t>n</w:t>
        </w:r>
        <w:r>
          <w:rPr>
            <w:rFonts w:ascii="Times New Roman" w:hAnsi="Times New Roman" w:cs="Times New Roman" w:eastAsia="Times New Roman" w:hint="default"/>
            <w:spacing w:val="-8"/>
          </w:rPr>
          <w:t>f</w:t>
        </w:r>
        <w:r>
          <w:rPr>
            <w:rFonts w:ascii="Times New Roman" w:hAnsi="Times New Roman" w:cs="Times New Roman" w:eastAsia="Times New Roman" w:hint="default"/>
            <w:spacing w:val="4"/>
          </w:rPr>
          <w:t>o</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c</w:t>
        </w:r>
        <w:r>
          <w:rPr>
            <w:rFonts w:ascii="Times New Roman" w:hAnsi="Times New Roman" w:cs="Times New Roman" w:eastAsia="Times New Roman" w:hint="default"/>
            <w:spacing w:val="4"/>
          </w:rPr>
          <w:t>o</w:t>
        </w:r>
        <w:r>
          <w:rPr>
            <w:rFonts w:ascii="Times New Roman" w:hAnsi="Times New Roman" w:cs="Times New Roman" w:eastAsia="Times New Roman" w:hint="default"/>
            <w:spacing w:val="-10"/>
          </w:rPr>
          <w:t>m</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
          </w:rPr>
          <w:t>c</w:t>
        </w:r>
        <w:r>
          <w:rPr>
            <w:rFonts w:ascii="Times New Roman" w:hAnsi="Times New Roman" w:cs="Times New Roman" w:eastAsia="Times New Roman" w:hint="default"/>
            <w:spacing w:val="-3"/>
          </w:rPr>
          <w:t>n</w:t>
        </w:r>
      </w:hyperlink>
      <w:r>
        <w:rPr>
          <w:spacing w:val="-96"/>
        </w:rPr>
        <w:t>）</w:t>
      </w:r>
      <w:r>
        <w:rPr/>
        <w:t>为</w:t>
      </w:r>
      <w:r>
        <w:rPr>
          <w:spacing w:val="4"/>
        </w:rPr>
        <w:t>公</w:t>
      </w:r>
      <w:r>
        <w:rPr/>
        <w:t>司信息披露的指定网站</w:t>
      </w:r>
      <w:r>
        <w:rPr>
          <w:spacing w:val="-192"/>
        </w:rPr>
        <w:t>，</w:t>
      </w:r>
      <w:r>
        <w:rPr/>
        <w:t>《中国证券报</w:t>
      </w:r>
      <w:r>
        <w:rPr>
          <w:spacing w:val="-96"/>
        </w:rPr>
        <w:t>》</w:t>
      </w:r>
      <w:r>
        <w:rPr/>
        <w:t>、</w:t>
      </w:r>
    </w:p>
    <w:p>
      <w:pPr>
        <w:pStyle w:val="BodyText"/>
        <w:spacing w:line="355" w:lineRule="auto" w:before="138"/>
        <w:ind w:right="1136"/>
        <w:jc w:val="both"/>
      </w:pPr>
      <w:r>
        <w:rPr/>
        <w:t>《证券时报》为公司定期报告披露的指定报刊，确保公司所有股东能够以平等的机会获得信</w:t>
      </w:r>
      <w:r>
        <w:rPr>
          <w:spacing w:val="-93"/>
        </w:rPr>
        <w:t> </w:t>
      </w:r>
      <w:r>
        <w:rPr>
          <w:spacing w:val="-93"/>
        </w:rPr>
      </w:r>
      <w:r>
        <w:rPr/>
        <w:t>息。</w:t>
      </w:r>
    </w:p>
    <w:p>
      <w:pPr>
        <w:spacing w:line="336" w:lineRule="auto" w:before="41"/>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、关于相关利益者</w:t>
      </w:r>
      <w:r>
        <w:rPr>
          <w:rFonts w:ascii="宋体" w:hAnsi="宋体" w:cs="宋体" w:eastAsia="宋体" w:hint="default"/>
          <w:b/>
          <w:bCs/>
          <w:w w:val="99"/>
          <w:sz w:val="24"/>
          <w:szCs w:val="24"/>
        </w:rPr>
        <w:t> </w:t>
      </w:r>
      <w:r>
        <w:rPr>
          <w:rFonts w:ascii="宋体" w:hAnsi="宋体" w:cs="宋体" w:eastAsia="宋体" w:hint="default"/>
          <w:sz w:val="24"/>
          <w:szCs w:val="24"/>
        </w:rPr>
        <w:t>公司充分尊重和维护相关利益者的合法权益，积极促进与相关利益者合作，加强与各方</w:t>
      </w:r>
    </w:p>
    <w:p>
      <w:pPr>
        <w:pStyle w:val="BodyText"/>
        <w:spacing w:line="355" w:lineRule="auto" w:before="60"/>
        <w:ind w:right="1136"/>
        <w:jc w:val="both"/>
      </w:pPr>
      <w:r>
        <w:rPr/>
        <w:t>的沟通交流，实现投资者、股东、客户、用户、供应商、员工及社会各方利益的协调平衡，</w:t>
      </w:r>
      <w:r>
        <w:rPr>
          <w:spacing w:val="-93"/>
        </w:rPr>
        <w:t> </w:t>
      </w:r>
      <w:r>
        <w:rPr>
          <w:spacing w:val="-93"/>
        </w:rPr>
      </w:r>
      <w:r>
        <w:rPr/>
        <w:t>共同推动公司持续、稳定、健康发展。</w:t>
      </w:r>
    </w:p>
    <w:p>
      <w:pPr>
        <w:spacing w:line="240" w:lineRule="auto" w:before="0"/>
        <w:rPr>
          <w:rFonts w:ascii="宋体" w:hAnsi="宋体" w:cs="宋体" w:eastAsia="宋体" w:hint="default"/>
          <w:sz w:val="24"/>
          <w:szCs w:val="24"/>
        </w:rPr>
      </w:pPr>
    </w:p>
    <w:p>
      <w:pPr>
        <w:spacing w:before="205"/>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38" w:lineRule="auto" w:before="119"/>
        <w:ind w:left="153" w:right="29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9"/>
          <w:szCs w:val="29"/>
        </w:rPr>
      </w:pPr>
    </w:p>
    <w:p>
      <w:pPr>
        <w:pStyle w:val="BodyText"/>
        <w:spacing w:line="357" w:lineRule="auto" w:before="0"/>
        <w:ind w:right="1130" w:firstLine="480"/>
        <w:jc w:val="both"/>
      </w:pPr>
      <w:r>
        <w:rPr>
          <w:spacing w:val="-6"/>
        </w:rPr>
        <w:t>公司严格按照《公司法》、《证券法》等有关法律法规和《公司章程》的要求规范运作，</w:t>
      </w:r>
      <w:r>
        <w:rPr/>
        <w:t> 建立并不断完善了公司法人治理结构，业务、人员、资产、机构、财务等方面与控股股东及</w:t>
      </w:r>
      <w:r>
        <w:rPr>
          <w:spacing w:val="-93"/>
        </w:rPr>
        <w:t> </w:t>
      </w:r>
      <w:r>
        <w:rPr>
          <w:spacing w:val="-93"/>
        </w:rPr>
      </w:r>
      <w:r>
        <w:rPr/>
        <w:t>实际控制人完全独立，具有完整的业务体系及面向市场独立经营的能力，不存在被控股股东</w:t>
      </w:r>
      <w:r>
        <w:rPr>
          <w:spacing w:val="-93"/>
        </w:rPr>
        <w:t> </w:t>
      </w:r>
      <w:r>
        <w:rPr>
          <w:spacing w:val="-93"/>
        </w:rPr>
      </w:r>
      <w:r>
        <w:rPr/>
        <w:t>及实际控制人及其关联方控制和占用资金、资产及其他资源的情况。</w:t>
      </w:r>
    </w:p>
    <w:p>
      <w:pPr>
        <w:pStyle w:val="BodyText"/>
        <w:spacing w:line="336" w:lineRule="auto" w:before="38"/>
        <w:ind w:left="633" w:right="0"/>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w w:val="99"/>
        </w:rPr>
        <w:t> </w:t>
      </w:r>
      <w:r>
        <w:rPr/>
        <w:t>公司业务涉及信息数据、医疗健康、环保治理三大板块业务领域，拥有市场营销、技术</w:t>
      </w:r>
    </w:p>
    <w:p>
      <w:pPr>
        <w:pStyle w:val="BodyText"/>
        <w:spacing w:line="348" w:lineRule="auto" w:before="60"/>
        <w:ind w:right="1134"/>
        <w:jc w:val="both"/>
      </w:pPr>
      <w:r>
        <w:rPr>
          <w:spacing w:val="-3"/>
        </w:rPr>
        <w:t>研发、产品生产</w:t>
      </w:r>
      <w:r>
        <w:rPr>
          <w:rFonts w:ascii="Times New Roman" w:hAnsi="Times New Roman" w:cs="Times New Roman" w:eastAsia="Times New Roman" w:hint="default"/>
          <w:spacing w:val="-3"/>
        </w:rPr>
        <w:t>/</w:t>
      </w:r>
      <w:r>
        <w:rPr>
          <w:spacing w:val="-3"/>
        </w:rPr>
        <w:t>安装</w:t>
      </w:r>
      <w:r>
        <w:rPr>
          <w:rFonts w:ascii="Times New Roman" w:hAnsi="Times New Roman" w:cs="Times New Roman" w:eastAsia="Times New Roman" w:hint="default"/>
          <w:spacing w:val="-3"/>
        </w:rPr>
        <w:t>/</w:t>
      </w:r>
      <w:r>
        <w:rPr>
          <w:spacing w:val="-3"/>
        </w:rPr>
        <w:t>调试、工程实施及售后服务等完整的运营管理体系，具有直接面向市场</w:t>
      </w:r>
      <w:r>
        <w:rPr>
          <w:spacing w:val="-96"/>
        </w:rPr>
        <w:t> </w:t>
      </w:r>
      <w:r>
        <w:rPr>
          <w:spacing w:val="-96"/>
        </w:rPr>
      </w:r>
      <w:r>
        <w:rPr/>
        <w:t>独立经营的能力，不存在其他需要依赖控股股东、实际控制人及其控制的其他企业进行经营</w:t>
      </w:r>
      <w:r>
        <w:rPr>
          <w:spacing w:val="-93"/>
        </w:rPr>
        <w:t> </w:t>
      </w:r>
      <w:r>
        <w:rPr>
          <w:spacing w:val="-93"/>
        </w:rPr>
      </w:r>
      <w:r>
        <w:rPr/>
        <w:t>活动的情况，能独立开展各项经营活动。</w:t>
      </w:r>
    </w:p>
    <w:p>
      <w:pPr>
        <w:pStyle w:val="BodyText"/>
        <w:spacing w:line="340" w:lineRule="auto" w:before="43"/>
        <w:ind w:left="633" w:right="0"/>
        <w:jc w:val="left"/>
      </w:pPr>
      <w:r>
        <w:rPr>
          <w:rFonts w:ascii="Times New Roman" w:hAnsi="Times New Roman" w:cs="Times New Roman" w:eastAsia="Times New Roman" w:hint="default"/>
          <w:b/>
          <w:bCs/>
        </w:rPr>
        <w:t>2</w:t>
      </w:r>
      <w:r>
        <w:rPr>
          <w:rFonts w:ascii="宋体" w:hAnsi="宋体" w:cs="宋体" w:eastAsia="宋体" w:hint="default"/>
          <w:b/>
          <w:bCs/>
        </w:rPr>
        <w:t>、人员独立</w:t>
      </w:r>
      <w:r>
        <w:rPr>
          <w:rFonts w:ascii="宋体" w:hAnsi="宋体" w:cs="宋体" w:eastAsia="宋体" w:hint="default"/>
          <w:b/>
          <w:bCs/>
          <w:w w:val="99"/>
        </w:rPr>
        <w:t> </w:t>
      </w:r>
      <w:r>
        <w:rPr/>
        <w:t>公司设有人力资源管理部门，公司在劳动、人事、社会保障及工资管理体系等方面均完</w:t>
      </w:r>
    </w:p>
    <w:p>
      <w:pPr>
        <w:pStyle w:val="BodyText"/>
        <w:spacing w:line="357" w:lineRule="auto" w:before="50"/>
        <w:ind w:right="1132"/>
        <w:jc w:val="both"/>
      </w:pPr>
      <w:r>
        <w:rPr/>
        <w:t>全独立。公司严格依照与员工签署劳动合同来约定双方的权利和义务，不存在受控股股东及</w:t>
      </w:r>
      <w:r>
        <w:rPr>
          <w:spacing w:val="-93"/>
        </w:rPr>
        <w:t> </w:t>
      </w:r>
      <w:r>
        <w:rPr>
          <w:spacing w:val="-93"/>
        </w:rPr>
      </w:r>
      <w:r>
        <w:rPr/>
        <w:t>实际控制人控制或者约束。公司董事、监事及高级管理人员均严格按照《公司法》、《公司</w:t>
      </w:r>
      <w:r>
        <w:rPr>
          <w:spacing w:val="-89"/>
        </w:rPr>
        <w:t> </w:t>
      </w:r>
      <w:r>
        <w:rPr>
          <w:spacing w:val="-89"/>
        </w:rPr>
      </w:r>
      <w:r>
        <w:rPr/>
        <w:t>章程》的有关规定选举产生，控股股东没有干预公司董事会和股东大会已经作出的人事任免</w:t>
      </w:r>
    </w:p>
    <w:p>
      <w:pPr>
        <w:spacing w:after="0" w:line="357"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pStyle w:val="BodyText"/>
        <w:spacing w:line="240" w:lineRule="auto"/>
        <w:ind w:right="0"/>
        <w:jc w:val="both"/>
      </w:pPr>
      <w:r>
        <w:rPr/>
        <w:t>决定。</w:t>
      </w:r>
    </w:p>
    <w:p>
      <w:pPr>
        <w:pStyle w:val="BodyText"/>
        <w:spacing w:line="340" w:lineRule="auto" w:before="151"/>
        <w:ind w:left="633" w:right="0"/>
        <w:jc w:val="left"/>
      </w:pPr>
      <w:r>
        <w:rPr>
          <w:rFonts w:ascii="Times New Roman" w:hAnsi="Times New Roman" w:cs="Times New Roman" w:eastAsia="Times New Roman" w:hint="default"/>
          <w:b/>
          <w:bCs/>
        </w:rPr>
        <w:t>3</w:t>
      </w:r>
      <w:r>
        <w:rPr>
          <w:rFonts w:ascii="宋体" w:hAnsi="宋体" w:cs="宋体" w:eastAsia="宋体" w:hint="default"/>
          <w:b/>
          <w:bCs/>
        </w:rPr>
        <w:t>、资产独立</w:t>
      </w:r>
      <w:r>
        <w:rPr>
          <w:rFonts w:ascii="宋体" w:hAnsi="宋体" w:cs="宋体" w:eastAsia="宋体" w:hint="default"/>
          <w:b/>
          <w:bCs/>
          <w:w w:val="99"/>
        </w:rPr>
        <w:t> </w:t>
      </w:r>
      <w:r>
        <w:rPr/>
        <w:t>公司拥有开展生产经营所必备的独立完整的资产，合法拥有与生产经营相关的生产经营</w:t>
      </w:r>
    </w:p>
    <w:p>
      <w:pPr>
        <w:pStyle w:val="BodyText"/>
        <w:spacing w:line="357" w:lineRule="auto" w:before="50"/>
        <w:ind w:right="1136"/>
        <w:jc w:val="both"/>
      </w:pPr>
      <w:r>
        <w:rPr/>
        <w:t>资质、生产经营场所、生产经营资产、采购销售系统及与生产经营有关的生产系统、辅助生</w:t>
      </w:r>
      <w:r>
        <w:rPr>
          <w:spacing w:val="-93"/>
        </w:rPr>
        <w:t> </w:t>
      </w:r>
      <w:r>
        <w:rPr>
          <w:spacing w:val="-93"/>
        </w:rPr>
      </w:r>
      <w:r>
        <w:rPr/>
        <w:t>产系统和配套设施，相关资产不存在权属纠纷，不存在被控股股东或其他关联方违规占用资</w:t>
      </w:r>
      <w:r>
        <w:rPr>
          <w:spacing w:val="-93"/>
        </w:rPr>
        <w:t> </w:t>
      </w:r>
      <w:r>
        <w:rPr>
          <w:spacing w:val="-93"/>
        </w:rPr>
      </w:r>
      <w:r>
        <w:rPr/>
        <w:t>金、资产及其他资源的情形。</w:t>
      </w:r>
    </w:p>
    <w:p>
      <w:pPr>
        <w:pStyle w:val="BodyText"/>
        <w:spacing w:line="336" w:lineRule="auto" w:before="39"/>
        <w:ind w:left="633" w:right="0"/>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99"/>
        </w:rPr>
        <w:t> </w:t>
      </w:r>
      <w:r>
        <w:rPr>
          <w:spacing w:val="-6"/>
        </w:rPr>
        <w:t>公司具有健全的组织结构，已根据《公司章程》规定建立了股东大会、董事会、监事会、</w:t>
      </w:r>
    </w:p>
    <w:p>
      <w:pPr>
        <w:pStyle w:val="BodyText"/>
        <w:spacing w:line="352" w:lineRule="auto" w:before="60"/>
        <w:ind w:right="1001"/>
        <w:jc w:val="left"/>
      </w:pPr>
      <w:r>
        <w:rPr/>
        <w:t>独立董事、董事会秘书等完善的法人治理结构；董事会下设战略委员会、提名委员会、薪酬</w:t>
      </w:r>
      <w:r>
        <w:rPr>
          <w:spacing w:val="-93"/>
        </w:rPr>
        <w:t> </w:t>
      </w:r>
      <w:r>
        <w:rPr>
          <w:spacing w:val="-93"/>
        </w:rPr>
      </w:r>
      <w:r>
        <w:rPr>
          <w:spacing w:val="-5"/>
        </w:rPr>
        <w:t>与考核委员会、审计委员会</w:t>
      </w:r>
      <w:r>
        <w:rPr>
          <w:rFonts w:ascii="Times New Roman" w:hAnsi="Times New Roman" w:cs="Times New Roman" w:eastAsia="Times New Roman" w:hint="default"/>
          <w:spacing w:val="-5"/>
        </w:rPr>
        <w:t>4</w:t>
      </w:r>
      <w:r>
        <w:rPr>
          <w:spacing w:val="-5"/>
        </w:rPr>
        <w:t>个专业委员会。公司独立董事人数占董事会成员的三分之一以上，</w:t>
      </w:r>
      <w:r>
        <w:rPr>
          <w:spacing w:val="-112"/>
        </w:rPr>
        <w:t> </w:t>
      </w:r>
      <w:r>
        <w:rPr>
          <w:spacing w:val="-112"/>
        </w:rPr>
      </w:r>
      <w:r>
        <w:rPr/>
        <w:t>确保董事会相对独立于控股股东、实际控制人，从而进一步保证董事会对公司各项事务做出</w:t>
      </w:r>
      <w:r>
        <w:rPr>
          <w:spacing w:val="-93"/>
        </w:rPr>
        <w:t> </w:t>
      </w:r>
      <w:r>
        <w:rPr>
          <w:spacing w:val="-93"/>
        </w:rPr>
      </w:r>
      <w:r>
        <w:rPr/>
        <w:t>独立、客观决策，维护公司全体股东共同利益。公司自成立以来，已逐步建立并完善了适应</w:t>
      </w:r>
      <w:r>
        <w:rPr>
          <w:spacing w:val="-93"/>
        </w:rPr>
        <w:t> </w:t>
      </w:r>
      <w:r>
        <w:rPr>
          <w:spacing w:val="-93"/>
        </w:rPr>
      </w:r>
      <w:r>
        <w:rPr/>
        <w:t>公司发展及市场竞争需要的独立的组织机构，明确了各机构的职能，各职能机构在公司管理</w:t>
      </w:r>
      <w:r>
        <w:rPr>
          <w:spacing w:val="-93"/>
        </w:rPr>
        <w:t> </w:t>
      </w:r>
      <w:r>
        <w:rPr>
          <w:spacing w:val="-93"/>
        </w:rPr>
      </w:r>
      <w:r>
        <w:rPr/>
        <w:t>层统一领导下规范、有效运作。</w:t>
      </w:r>
    </w:p>
    <w:p>
      <w:pPr>
        <w:pStyle w:val="BodyText"/>
        <w:spacing w:line="336" w:lineRule="auto" w:before="43"/>
        <w:ind w:left="633" w:right="0"/>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w w:val="99"/>
        </w:rPr>
        <w:t> </w:t>
      </w:r>
      <w:r>
        <w:rPr/>
        <w:t>公司设立了独立的财务部门，配备了专职财务人员，建立了独立的财务核算体系，具有</w:t>
      </w:r>
    </w:p>
    <w:p>
      <w:pPr>
        <w:pStyle w:val="BodyText"/>
        <w:spacing w:line="357" w:lineRule="auto" w:before="60"/>
        <w:ind w:right="1136"/>
        <w:jc w:val="both"/>
      </w:pPr>
      <w:r>
        <w:rPr/>
        <w:t>规范的财务会计制度和对子公司的财务管理制度，独立进行财务决策，不存在公司股东干预</w:t>
      </w:r>
      <w:r>
        <w:rPr>
          <w:spacing w:val="-93"/>
        </w:rPr>
        <w:t> </w:t>
      </w:r>
      <w:r>
        <w:rPr>
          <w:spacing w:val="-93"/>
        </w:rPr>
      </w:r>
      <w:r>
        <w:rPr/>
        <w:t>公司投资和资金使用安排的情况；公司开立独立的银行账户，未与其他任何单位共用银行账</w:t>
      </w:r>
      <w:r>
        <w:rPr>
          <w:spacing w:val="-93"/>
        </w:rPr>
        <w:t> </w:t>
      </w:r>
      <w:r>
        <w:rPr>
          <w:spacing w:val="-93"/>
        </w:rPr>
      </w:r>
      <w:r>
        <w:rPr/>
        <w:t>户；公司依法独立进行纳税申报和履行纳税义务；公司在财务上完全独立。</w:t>
      </w:r>
    </w:p>
    <w:p>
      <w:pPr>
        <w:spacing w:line="240" w:lineRule="auto" w:before="1"/>
        <w:rPr>
          <w:rFonts w:ascii="宋体" w:hAnsi="宋体" w:cs="宋体" w:eastAsia="宋体" w:hint="default"/>
          <w:sz w:val="19"/>
          <w:szCs w:val="19"/>
        </w:rPr>
      </w:pPr>
    </w:p>
    <w:p>
      <w:pPr>
        <w:pStyle w:val="Heading2"/>
        <w:spacing w:line="240" w:lineRule="auto"/>
        <w:ind w:right="0"/>
        <w:jc w:val="both"/>
        <w:rPr>
          <w:b w:val="0"/>
          <w:bCs w:val="0"/>
        </w:rPr>
      </w:pPr>
      <w:bookmarkStart w:name="三、同业竞争情况" w:id="134"/>
      <w:bookmarkEnd w:id="134"/>
      <w:r>
        <w:rPr>
          <w:b w:val="0"/>
          <w:bCs w:val="0"/>
        </w:rPr>
      </w:r>
      <w:r>
        <w:rPr/>
        <w:t>三、同业竞争情况</w:t>
      </w:r>
      <w:r>
        <w:rPr>
          <w:b w:val="0"/>
          <w:bCs w:val="0"/>
        </w:rPr>
      </w:r>
    </w:p>
    <w:p>
      <w:pPr>
        <w:spacing w:line="240" w:lineRule="auto" w:before="8"/>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4"/>
        <w:rPr>
          <w:rFonts w:ascii="宋体" w:hAnsi="宋体" w:cs="宋体" w:eastAsia="宋体" w:hint="default"/>
          <w:b/>
          <w:bCs/>
          <w:sz w:val="25"/>
          <w:szCs w:val="25"/>
        </w:rPr>
      </w:pPr>
    </w:p>
    <w:p>
      <w:pPr>
        <w:spacing w:before="0"/>
        <w:ind w:left="153" w:right="0" w:firstLine="0"/>
        <w:jc w:val="both"/>
        <w:rPr>
          <w:rFonts w:ascii="宋体" w:hAnsi="宋体" w:cs="宋体" w:eastAsia="宋体" w:hint="default"/>
          <w:sz w:val="21"/>
          <w:szCs w:val="21"/>
        </w:rPr>
      </w:pPr>
      <w:bookmarkStart w:name="1、本报告期股东大会情况" w:id="136"/>
      <w:bookmarkEnd w:id="13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239"/>
        <w:gridCol w:w="1417"/>
        <w:gridCol w:w="1561"/>
        <w:gridCol w:w="1561"/>
        <w:gridCol w:w="2267"/>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45.25%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10"/>
              <w:jc w:val="center"/>
              <w:rPr>
                <w:rFonts w:ascii="宋体" w:hAnsi="宋体" w:cs="宋体" w:eastAsia="宋体" w:hint="default"/>
                <w:sz w:val="18"/>
                <w:szCs w:val="18"/>
              </w:rPr>
            </w:pPr>
            <w:r>
              <w:rPr>
                <w:rFonts w:ascii="宋体" w:hAnsi="宋体" w:cs="宋体" w:eastAsia="宋体" w:hint="default"/>
                <w:spacing w:val="-3"/>
                <w:sz w:val="18"/>
                <w:szCs w:val="18"/>
              </w:rPr>
              <w:t>（</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年度股东大会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45.82%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81"/>
              <w:ind w:left="23" w:right="-10"/>
              <w:jc w:val="center"/>
              <w:rPr>
                <w:rFonts w:ascii="宋体" w:hAnsi="宋体" w:cs="宋体" w:eastAsia="宋体" w:hint="default"/>
                <w:sz w:val="18"/>
                <w:szCs w:val="18"/>
              </w:rPr>
            </w:pPr>
            <w:r>
              <w:rPr>
                <w:rFonts w:ascii="宋体" w:hAnsi="宋体" w:cs="宋体" w:eastAsia="宋体" w:hint="default"/>
                <w:spacing w:val="-3"/>
                <w:sz w:val="18"/>
                <w:szCs w:val="18"/>
              </w:rPr>
              <w:t>（</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年第二次临时</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z w:val="18"/>
              </w:rPr>
              <w:t>46.02%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8"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239"/>
        <w:gridCol w:w="1417"/>
        <w:gridCol w:w="1561"/>
        <w:gridCol w:w="1561"/>
        <w:gridCol w:w="2267"/>
      </w:tblGrid>
      <w:tr>
        <w:trPr>
          <w:trHeight w:val="36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23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10"/>
              <w:jc w:val="left"/>
              <w:rPr>
                <w:rFonts w:ascii="宋体" w:hAnsi="宋体" w:cs="宋体" w:eastAsia="宋体" w:hint="default"/>
                <w:sz w:val="18"/>
                <w:szCs w:val="18"/>
              </w:rPr>
            </w:pPr>
            <w:r>
              <w:rPr>
                <w:rFonts w:ascii="宋体" w:hAnsi="宋体" w:cs="宋体" w:eastAsia="宋体" w:hint="default"/>
                <w:spacing w:val="-3"/>
                <w:sz w:val="18"/>
                <w:szCs w:val="18"/>
              </w:rPr>
              <w:t>（</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2、表决权恢复的优先股股东请求召开临时股东大会" w:id="137"/>
      <w:bookmarkEnd w:id="13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独立董事出席董事会及股东大会的情况" w:id="139"/>
      <w:bookmarkEnd w:id="13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赵洪功</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sz w:val="18"/>
              </w:rPr>
              <w:t>10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周勇</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spacing w:line="362" w:lineRule="auto" w:before="53"/>
        <w:ind w:left="153" w:right="7859"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不适用</w:t>
      </w:r>
    </w:p>
    <w:p>
      <w:pPr>
        <w:spacing w:line="240" w:lineRule="auto" w:before="4"/>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2、独立董事对公司有关事项提出异议的情况" w:id="140"/>
      <w:bookmarkEnd w:id="14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38" w:lineRule="auto" w:before="115"/>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报告期内独立董事对公司有关事项未提出异议。</w:t>
      </w:r>
    </w:p>
    <w:p>
      <w:pPr>
        <w:spacing w:line="240" w:lineRule="auto" w:before="0"/>
        <w:rPr>
          <w:rFonts w:ascii="宋体" w:hAnsi="宋体" w:cs="宋体" w:eastAsia="宋体" w:hint="default"/>
          <w:sz w:val="21"/>
          <w:szCs w:val="21"/>
        </w:rPr>
      </w:pPr>
    </w:p>
    <w:p>
      <w:pPr>
        <w:spacing w:before="0"/>
        <w:ind w:left="153" w:right="0" w:firstLine="0"/>
        <w:jc w:val="left"/>
        <w:rPr>
          <w:rFonts w:ascii="宋体" w:hAnsi="宋体" w:cs="宋体" w:eastAsia="宋体" w:hint="default"/>
          <w:sz w:val="21"/>
          <w:szCs w:val="21"/>
        </w:rPr>
      </w:pPr>
      <w:bookmarkStart w:name="3、独立董事履行职责的其他说明" w:id="141"/>
      <w:bookmarkEnd w:id="14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38" w:lineRule="auto" w:before="115"/>
        <w:ind w:left="153" w:right="62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否</w:t>
      </w:r>
      <w:r>
        <w:rPr>
          <w:rFonts w:ascii="宋体" w:hAnsi="宋体" w:cs="宋体" w:eastAsia="宋体" w:hint="default"/>
          <w:spacing w:val="-83"/>
          <w:sz w:val="18"/>
          <w:szCs w:val="18"/>
        </w:rPr>
        <w:t> </w:t>
      </w:r>
      <w:r>
        <w:rPr>
          <w:rFonts w:ascii="宋体" w:hAnsi="宋体" w:cs="宋体" w:eastAsia="宋体" w:hint="default"/>
          <w:spacing w:val="-3"/>
          <w:sz w:val="18"/>
          <w:szCs w:val="18"/>
        </w:rPr>
        <w:t>独立董事对公司有关建议被采纳或未被采纳的说明</w:t>
      </w:r>
    </w:p>
    <w:p>
      <w:pPr>
        <w:pStyle w:val="BodyText"/>
        <w:spacing w:line="357" w:lineRule="auto" w:before="71"/>
        <w:ind w:right="1134" w:firstLine="480"/>
        <w:jc w:val="both"/>
      </w:pPr>
      <w:r>
        <w:rPr/>
        <w:t>报告期内，公司独立董事严格按照中国证监会的相关规定及《公司章程》、《董事会议 事规则》和《独立董事制度》开展工作，勤勉尽责、独立履行职责，积极参加历次董事会和</w:t>
      </w:r>
      <w:r>
        <w:rPr>
          <w:spacing w:val="-93"/>
        </w:rPr>
        <w:t> </w:t>
      </w:r>
      <w:r>
        <w:rPr>
          <w:spacing w:val="-93"/>
        </w:rPr>
      </w:r>
      <w:r>
        <w:rPr/>
        <w:t>专委会审议各项议案，通过出席或列席董事会、董事会各专委会、股东大会、现场办公等方</w:t>
      </w:r>
      <w:r>
        <w:rPr>
          <w:spacing w:val="-93"/>
        </w:rPr>
        <w:t> </w:t>
      </w:r>
      <w:r>
        <w:rPr>
          <w:spacing w:val="-93"/>
        </w:rPr>
      </w:r>
      <w:r>
        <w:rPr/>
        <w:t>式，深入了解公司生产经营状况和内部控制的建设及董事会各项决议执行情况，并利用自已</w:t>
      </w:r>
      <w:r>
        <w:rPr>
          <w:spacing w:val="-93"/>
        </w:rPr>
        <w:t> </w:t>
      </w:r>
      <w:r>
        <w:rPr>
          <w:spacing w:val="-93"/>
        </w:rPr>
      </w:r>
      <w:r>
        <w:rPr/>
        <w:t>的专业优势对公司内部控制建设、管理体系建设、战略发展规划、对外投资、关联交易、对</w:t>
      </w:r>
      <w:r>
        <w:rPr>
          <w:spacing w:val="-93"/>
        </w:rPr>
        <w:t> </w:t>
      </w:r>
      <w:r>
        <w:rPr>
          <w:spacing w:val="-93"/>
        </w:rPr>
      </w:r>
      <w:r>
        <w:rPr/>
        <w:t>外担保、资产减值计提、利润分配、董监高薪酬制度、分子公司管控、激励和重大决策等方</w:t>
      </w:r>
      <w:r>
        <w:rPr>
          <w:spacing w:val="-93"/>
        </w:rPr>
        <w:t> </w:t>
      </w:r>
      <w:r>
        <w:rPr>
          <w:spacing w:val="-93"/>
        </w:rPr>
      </w:r>
      <w:r>
        <w:rPr/>
        <w:t>面提出了很多宝贵的专业性建议，对公司财务及经营活动进行了有效监督，提高了公司决策</w:t>
      </w:r>
      <w:r>
        <w:rPr>
          <w:spacing w:val="-91"/>
        </w:rPr>
        <w:t> </w:t>
      </w:r>
      <w:r>
        <w:rPr>
          <w:spacing w:val="-91"/>
        </w:rPr>
      </w:r>
      <w:r>
        <w:rPr/>
        <w:t>的科学性，为完善公司监督机制，维护公司和全体股东特别是中小股东的合法权益发挥了应</w:t>
      </w:r>
    </w:p>
    <w:p>
      <w:pPr>
        <w:spacing w:after="0" w:line="357" w:lineRule="auto"/>
        <w:jc w:val="both"/>
        <w:sectPr>
          <w:pgSz w:w="11910" w:h="16840"/>
          <w:pgMar w:header="863" w:footer="979" w:top="1060" w:bottom="1160" w:left="980" w:right="0"/>
        </w:sectPr>
      </w:pPr>
    </w:p>
    <w:p>
      <w:pPr>
        <w:spacing w:line="240" w:lineRule="auto" w:before="13"/>
        <w:rPr>
          <w:rFonts w:ascii="宋体" w:hAnsi="宋体" w:cs="宋体" w:eastAsia="宋体" w:hint="default"/>
          <w:sz w:val="29"/>
          <w:szCs w:val="29"/>
        </w:rPr>
      </w:pPr>
    </w:p>
    <w:p>
      <w:pPr>
        <w:spacing w:line="520" w:lineRule="auto" w:before="26"/>
        <w:ind w:left="153" w:right="5209" w:firstLine="0"/>
        <w:jc w:val="left"/>
        <w:rPr>
          <w:rFonts w:ascii="宋体" w:hAnsi="宋体" w:cs="宋体" w:eastAsia="宋体" w:hint="default"/>
          <w:sz w:val="24"/>
          <w:szCs w:val="24"/>
        </w:rPr>
      </w:pPr>
      <w:r>
        <w:rPr>
          <w:rFonts w:ascii="宋体" w:hAnsi="宋体" w:cs="宋体" w:eastAsia="宋体" w:hint="default"/>
          <w:sz w:val="24"/>
          <w:szCs w:val="24"/>
        </w:rPr>
        <w:t>有的作用。 </w:t>
      </w:r>
      <w:bookmarkStart w:name="六、董事会下设专门委员会在报告期内履行职责情况" w:id="142"/>
      <w:bookmarkEnd w:id="142"/>
      <w:r>
        <w:rPr>
          <w:rFonts w:ascii="宋体" w:hAnsi="宋体" w:cs="宋体" w:eastAsia="宋体" w:hint="default"/>
          <w:sz w:val="24"/>
          <w:szCs w:val="24"/>
        </w:rPr>
      </w:r>
      <w:r>
        <w:rPr>
          <w:rFonts w:ascii="宋体" w:hAnsi="宋体" w:cs="宋体" w:eastAsia="宋体" w:hint="default"/>
          <w:b/>
          <w:bCs/>
          <w:sz w:val="24"/>
          <w:szCs w:val="24"/>
        </w:rPr>
        <w:t>六、董事会下设专门委员会在报告期内履行职责情况</w:t>
      </w:r>
      <w:r>
        <w:rPr>
          <w:rFonts w:ascii="宋体" w:hAnsi="宋体" w:cs="宋体" w:eastAsia="宋体" w:hint="default"/>
          <w:sz w:val="24"/>
          <w:szCs w:val="24"/>
        </w:rPr>
      </w:r>
    </w:p>
    <w:p>
      <w:pPr>
        <w:pStyle w:val="BodyText"/>
        <w:spacing w:line="357" w:lineRule="auto" w:before="106"/>
        <w:ind w:right="1136" w:firstLine="480"/>
        <w:jc w:val="both"/>
      </w:pPr>
      <w:r>
        <w:rPr/>
        <w:t>公司董事会设立了审计、薪酬与考核、提名、战略四个专门委员会，各专门委员会按照 各专门委员会工作细则的相关要求，就专业性事项进行研究，提出意见及建议，供董事会决</w:t>
      </w:r>
      <w:r>
        <w:rPr>
          <w:spacing w:val="-93"/>
        </w:rPr>
        <w:t> </w:t>
      </w:r>
      <w:r>
        <w:rPr>
          <w:spacing w:val="-93"/>
        </w:rPr>
      </w:r>
      <w:r>
        <w:rPr/>
        <w:t>策参考。报告期内，董事会各专门委员会履职情况如下：</w:t>
      </w:r>
    </w:p>
    <w:p>
      <w:pPr>
        <w:spacing w:line="340" w:lineRule="auto" w:before="34"/>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、董事会审计委员会履职情况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报告期内，董事会审计委员会根据中国证监会、深交所的有关规定及公司《董事会审计</w:t>
      </w:r>
    </w:p>
    <w:p>
      <w:pPr>
        <w:pStyle w:val="BodyText"/>
        <w:spacing w:line="357" w:lineRule="auto" w:before="50"/>
        <w:ind w:right="1136"/>
        <w:jc w:val="both"/>
      </w:pPr>
      <w:r>
        <w:rPr/>
        <w:t>委员会工作细则》的规定，主要开展了内部审计与外部审计之间的沟通，监督公司内部审计</w:t>
      </w:r>
      <w:r>
        <w:rPr>
          <w:spacing w:val="-93"/>
        </w:rPr>
        <w:t> </w:t>
      </w:r>
      <w:r>
        <w:rPr>
          <w:spacing w:val="-93"/>
        </w:rPr>
      </w:r>
      <w:r>
        <w:rPr/>
        <w:t>制度的实施，审查公司内部控制制度的建立和执行情况，指导、监督内外审单位对公司对外</w:t>
      </w:r>
      <w:r>
        <w:rPr>
          <w:spacing w:val="-93"/>
        </w:rPr>
        <w:t> </w:t>
      </w:r>
      <w:r>
        <w:rPr>
          <w:spacing w:val="-93"/>
        </w:rPr>
      </w:r>
      <w:r>
        <w:rPr/>
        <w:t>投资、关联交易、对外担保、控股股东资金占用等情况进行审计，审核公司的财务信息及其</w:t>
      </w:r>
      <w:r>
        <w:rPr>
          <w:spacing w:val="-93"/>
        </w:rPr>
        <w:t> </w:t>
      </w:r>
      <w:r>
        <w:rPr>
          <w:spacing w:val="-93"/>
        </w:rPr>
      </w:r>
      <w:r>
        <w:rPr/>
        <w:t>披露内容；密切关注公司的内部控制体系和制度的完善和宣贯工作，并对公司内部控制实施</w:t>
      </w:r>
      <w:r>
        <w:rPr>
          <w:spacing w:val="-93"/>
        </w:rPr>
        <w:t> </w:t>
      </w:r>
      <w:r>
        <w:rPr>
          <w:spacing w:val="-93"/>
        </w:rPr>
      </w:r>
      <w:r>
        <w:rPr/>
        <w:t>情况强化了日常检查和指导，确保公司持续、健康发展，切实保障了公司整体利益和全体股</w:t>
      </w:r>
      <w:r>
        <w:rPr>
          <w:spacing w:val="-93"/>
        </w:rPr>
        <w:t> </w:t>
      </w:r>
      <w:r>
        <w:rPr>
          <w:spacing w:val="-93"/>
        </w:rPr>
      </w:r>
      <w:r>
        <w:rPr/>
        <w:t>东特别是中小股东的合法权益。</w:t>
      </w:r>
    </w:p>
    <w:p>
      <w:pPr>
        <w:spacing w:line="340" w:lineRule="auto" w:before="34"/>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、董事会薪酬与考核委员会履职情况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报告期内，董事会薪酬与考核委员会根据中国证监会、深交所的有关规定及公司《董事</w:t>
      </w:r>
    </w:p>
    <w:p>
      <w:pPr>
        <w:pStyle w:val="BodyText"/>
        <w:spacing w:line="360" w:lineRule="auto" w:before="50"/>
        <w:ind w:right="1136"/>
        <w:jc w:val="both"/>
      </w:pPr>
      <w:r>
        <w:rPr/>
        <w:t>会薪酬与考核委员会工作细则》的规定，对公司董事、监事、高级管理人员年度薪酬方案的</w:t>
      </w:r>
      <w:r>
        <w:rPr>
          <w:spacing w:val="-93"/>
        </w:rPr>
        <w:t> </w:t>
      </w:r>
      <w:r>
        <w:rPr>
          <w:spacing w:val="-93"/>
        </w:rPr>
      </w:r>
      <w:r>
        <w:rPr/>
        <w:t>制定及绩效评估进行审查并提出审查建议。</w:t>
      </w:r>
    </w:p>
    <w:p>
      <w:pPr>
        <w:spacing w:line="340" w:lineRule="auto" w:before="31"/>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、董事会提名委员会履职情况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报告期内，董事会提名委员会根据中国证监会、深交所的有关规定及公司《董事会提名</w:t>
      </w:r>
    </w:p>
    <w:p>
      <w:pPr>
        <w:pStyle w:val="BodyText"/>
        <w:spacing w:line="360" w:lineRule="auto" w:before="51"/>
        <w:ind w:right="1136"/>
        <w:jc w:val="both"/>
      </w:pPr>
      <w:r>
        <w:rPr/>
        <w:t>委员会工作细则》的规定，对公司董事会开展对外投资活动中派出的管理人员进行审查并提</w:t>
      </w:r>
      <w:r>
        <w:rPr>
          <w:spacing w:val="-93"/>
        </w:rPr>
        <w:t> </w:t>
      </w:r>
      <w:r>
        <w:rPr>
          <w:spacing w:val="-93"/>
        </w:rPr>
      </w:r>
      <w:r>
        <w:rPr/>
        <w:t>出审查建议。</w:t>
      </w:r>
    </w:p>
    <w:p>
      <w:pPr>
        <w:spacing w:line="340" w:lineRule="auto" w:before="31"/>
        <w:ind w:left="633"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、董事会战略委员会履职情况</w:t>
      </w:r>
      <w:r>
        <w:rPr>
          <w:rFonts w:ascii="宋体" w:hAnsi="宋体" w:cs="宋体" w:eastAsia="宋体" w:hint="default"/>
          <w:b/>
          <w:bCs/>
          <w:w w:val="99"/>
          <w:sz w:val="24"/>
          <w:szCs w:val="24"/>
        </w:rPr>
        <w:t> </w:t>
      </w:r>
      <w:r>
        <w:rPr>
          <w:rFonts w:ascii="宋体" w:hAnsi="宋体" w:cs="宋体" w:eastAsia="宋体" w:hint="default"/>
          <w:sz w:val="24"/>
          <w:szCs w:val="24"/>
        </w:rPr>
        <w:t>报告期内，董事会战略委员会根据中国证监会、深交所的有关规定及公司《董事会战略</w:t>
      </w:r>
    </w:p>
    <w:p>
      <w:pPr>
        <w:pStyle w:val="BodyText"/>
        <w:spacing w:line="357" w:lineRule="auto" w:before="51"/>
        <w:ind w:right="1132"/>
        <w:jc w:val="both"/>
      </w:pPr>
      <w:r>
        <w:rPr/>
        <w:t>委员会工作细则》的规定，运用自身的法律及企业管理知识，密切关注外部环境及市场变化</w:t>
      </w:r>
      <w:r>
        <w:rPr>
          <w:spacing w:val="-89"/>
        </w:rPr>
        <w:t> </w:t>
      </w:r>
      <w:r>
        <w:rPr>
          <w:spacing w:val="-89"/>
        </w:rPr>
      </w:r>
      <w:r>
        <w:rPr/>
        <w:t>对公司的影响，关注行业政策及公司产品、服务的发展趋势，积极参与公司发展战略规划和</w:t>
      </w:r>
      <w:r>
        <w:rPr>
          <w:spacing w:val="-93"/>
        </w:rPr>
        <w:t> </w:t>
      </w:r>
      <w:r>
        <w:rPr>
          <w:spacing w:val="-93"/>
        </w:rPr>
      </w:r>
      <w:r>
        <w:rPr/>
        <w:t>重大投资活动的研究并提出专业建议，较好地实施公司既定的发展战略规划，确保公司持续</w:t>
      </w:r>
      <w:r>
        <w:rPr>
          <w:spacing w:val="-93"/>
        </w:rPr>
        <w:t> </w:t>
      </w:r>
      <w:r>
        <w:rPr>
          <w:spacing w:val="-93"/>
        </w:rPr>
      </w:r>
      <w:r>
        <w:rPr/>
        <w:t>健康发展。</w:t>
      </w:r>
    </w:p>
    <w:p>
      <w:pPr>
        <w:spacing w:after="0" w:line="357" w:lineRule="auto"/>
        <w:jc w:val="both"/>
        <w:sectPr>
          <w:pgSz w:w="11910" w:h="16840"/>
          <w:pgMar w:header="863" w:footer="979" w:top="1060" w:bottom="1160" w:left="980" w:right="0"/>
        </w:sectPr>
      </w:pPr>
    </w:p>
    <w:p>
      <w:pPr>
        <w:spacing w:line="240" w:lineRule="auto" w:before="10"/>
        <w:rPr>
          <w:rFonts w:ascii="宋体" w:hAnsi="宋体" w:cs="宋体" w:eastAsia="宋体" w:hint="default"/>
          <w:sz w:val="23"/>
          <w:szCs w:val="23"/>
        </w:rPr>
      </w:pPr>
      <w:r>
        <w:rPr/>
        <w:pict>
          <v:group style="position:absolute;margin-left:327.480011pt;margin-top:625.846008pt;width:206.5pt;height:15.65pt;mso-position-horizontal-relative:page;mso-position-vertical-relative:page;z-index:-1180384" coordorigin="6550,12517" coordsize="4130,313">
            <v:shape style="position:absolute;left:6550;top:12517;width:4130;height:313" coordorigin="6550,12517" coordsize="4130,313" path="m6550,12829l10679,12829,10679,12517,6550,12517,6550,12829xe" filled="true" fillcolor="#ffffff" stroked="false">
              <v:path arrowok="t"/>
              <v:fill type="solid"/>
            </v:shape>
            <w10:wrap type="none"/>
          </v:group>
        </w:pict>
      </w:r>
      <w:r>
        <w:rPr/>
        <w:pict>
          <v:group style="position:absolute;margin-left:327.480011pt;margin-top:657.070007pt;width:206.5pt;height:15.6pt;mso-position-horizontal-relative:page;mso-position-vertical-relative:page;z-index:-1180360" coordorigin="6550,13141" coordsize="4130,312">
            <v:shape style="position:absolute;left:6550;top:13141;width:4130;height:312" coordorigin="6550,13141" coordsize="4130,312" path="m6550,13453l10679,13453,10679,13141,6550,13141,6550,13453xe" filled="true" fillcolor="#ffffff" stroked="false">
              <v:path arrowok="t"/>
              <v:fill type="solid"/>
            </v:shape>
            <w10:wrap type="none"/>
          </v:group>
        </w:pict>
      </w:r>
    </w:p>
    <w:p>
      <w:pPr>
        <w:pStyle w:val="Heading2"/>
        <w:spacing w:line="240" w:lineRule="auto" w:before="26"/>
        <w:ind w:right="0"/>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38" w:lineRule="auto" w:before="115"/>
        <w:ind w:left="153" w:right="66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否</w:t>
      </w:r>
      <w:r>
        <w:rPr>
          <w:rFonts w:ascii="宋体" w:hAnsi="宋体" w:cs="宋体" w:eastAsia="宋体" w:hint="default"/>
          <w:spacing w:val="-84"/>
          <w:sz w:val="18"/>
          <w:szCs w:val="18"/>
        </w:rPr>
        <w:t> </w:t>
      </w:r>
      <w:r>
        <w:rPr>
          <w:rFonts w:ascii="宋体" w:hAnsi="宋体" w:cs="宋体" w:eastAsia="宋体" w:hint="default"/>
          <w:spacing w:val="-3"/>
          <w:sz w:val="18"/>
          <w:szCs w:val="18"/>
        </w:rPr>
        <w:t>公司监事会对报告期内的监督事项无异议。</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29"/>
          <w:szCs w:val="29"/>
        </w:rPr>
      </w:pPr>
    </w:p>
    <w:p>
      <w:pPr>
        <w:pStyle w:val="BodyText"/>
        <w:spacing w:line="357" w:lineRule="auto" w:before="0"/>
        <w:ind w:right="1136" w:firstLine="480"/>
        <w:jc w:val="both"/>
      </w:pPr>
      <w:r>
        <w:rPr/>
        <w:t>公司建立了完善的绩效考核体系，公司董事会薪酬与考核委员会负责对高级管理人员的 年度业绩目标和工作计划进行审核，并对高级管理人员的工作能力、履职情况、责任目标完</w:t>
      </w:r>
      <w:r>
        <w:rPr>
          <w:spacing w:val="-93"/>
        </w:rPr>
        <w:t> </w:t>
      </w:r>
      <w:r>
        <w:rPr>
          <w:spacing w:val="-93"/>
        </w:rPr>
      </w:r>
      <w:r>
        <w:rPr/>
        <w:t>成情况等进行综合考评并制定薪酬方案并提交董事会，高级管理人员的收入与其工作业绩直</w:t>
      </w:r>
      <w:r>
        <w:rPr>
          <w:spacing w:val="-93"/>
        </w:rPr>
        <w:t> </w:t>
      </w:r>
      <w:r>
        <w:rPr>
          <w:spacing w:val="-93"/>
        </w:rPr>
      </w:r>
      <w:r>
        <w:rPr/>
        <w:t>接挂钩。公司注重对高管的激励，将会不断研究和完善高级管理人员的绩效评价标准、程序</w:t>
      </w:r>
      <w:r>
        <w:rPr>
          <w:spacing w:val="-93"/>
        </w:rPr>
        <w:t> </w:t>
      </w:r>
      <w:r>
        <w:rPr>
          <w:spacing w:val="-93"/>
        </w:rPr>
      </w:r>
      <w:r>
        <w:rPr/>
        <w:t>和相关激励与约束机制，使高级管理人员的考评及激励标准、制度化、程序化和合理化。</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期内发现的内部控制重大缺陷的具体情况" w:id="146"/>
      <w:bookmarkEnd w:id="1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内控自我评价报告" w:id="147"/>
      <w:bookmarkEnd w:id="1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17"/>
        <w:gridCol w:w="1767"/>
        <w:gridCol w:w="2216"/>
        <w:gridCol w:w="4170"/>
      </w:tblGrid>
      <w:tr>
        <w:trPr>
          <w:trHeight w:val="399"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8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8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11"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9">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715"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4"/>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财务报表资产总额的比例</w:t>
            </w:r>
          </w:p>
        </w:tc>
        <w:tc>
          <w:tcPr>
            <w:tcW w:w="638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100.00%</w:t>
            </w:r>
          </w:p>
        </w:tc>
      </w:tr>
      <w:tr>
        <w:trPr>
          <w:trHeight w:val="716" w:hRule="exact"/>
        </w:trPr>
        <w:tc>
          <w:tcPr>
            <w:tcW w:w="3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4"/>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财务报表营业收入的比例</w:t>
            </w:r>
          </w:p>
        </w:tc>
        <w:tc>
          <w:tcPr>
            <w:tcW w:w="6386"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8"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4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316" w:hRule="exact"/>
        </w:trPr>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3" w:type="dxa"/>
            <w:gridSpan w:val="2"/>
            <w:vMerge w:val="restart"/>
            <w:tcBorders>
              <w:top w:val="single" w:sz="4" w:space="0" w:color="000000"/>
              <w:left w:val="single" w:sz="10" w:space="0" w:color="D2D2D2"/>
              <w:right w:val="single" w:sz="13" w:space="0" w:color="FFFFFF"/>
            </w:tcBorders>
          </w:tcPr>
          <w:p>
            <w:pPr>
              <w:pStyle w:val="TableParagraph"/>
              <w:spacing w:line="240" w:lineRule="auto" w:before="73"/>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p>
          <w:p>
            <w:pPr>
              <w:pStyle w:val="TableParagraph"/>
              <w:spacing w:line="312" w:lineRule="auto" w:before="101"/>
              <w:ind w:left="16" w:right="-34"/>
              <w:jc w:val="both"/>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）法律法规方面：严重违反法律、法规、规章、</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5"/>
                <w:sz w:val="18"/>
                <w:szCs w:val="18"/>
              </w:rPr>
              <w:t>政府政策、其他规范性文件等，导致中央政府或监</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10"/>
                <w:sz w:val="18"/>
                <w:szCs w:val="18"/>
              </w:rPr>
              <w:t>管机构的调查，并被责令行业退出、吊销营业执照、</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9"/>
                <w:w w:val="101"/>
                <w:sz w:val="18"/>
                <w:szCs w:val="18"/>
              </w:rPr>
              <w:t>强制关闭等；（</w:t>
            </w:r>
            <w:r>
              <w:rPr>
                <w:rFonts w:ascii="Times New Roman" w:hAnsi="Times New Roman" w:cs="Times New Roman" w:eastAsia="Times New Roman" w:hint="default"/>
                <w:spacing w:val="-9"/>
                <w:w w:val="101"/>
                <w:sz w:val="18"/>
                <w:szCs w:val="18"/>
              </w:rPr>
              <w:t>2</w:t>
            </w:r>
            <w:r>
              <w:rPr>
                <w:rFonts w:ascii="宋体" w:hAnsi="宋体" w:cs="宋体" w:eastAsia="宋体" w:hint="default"/>
                <w:spacing w:val="-9"/>
                <w:w w:val="101"/>
                <w:sz w:val="18"/>
                <w:szCs w:val="18"/>
              </w:rPr>
              <w:t>）战略与运营目标方面：战略与运</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宋体" w:hAnsi="宋体" w:cs="宋体" w:eastAsia="宋体" w:hint="default"/>
                <w:spacing w:val="-5"/>
                <w:sz w:val="18"/>
                <w:szCs w:val="18"/>
              </w:rPr>
              <w:t>营目标或关键业绩指标的执行不合理，严重偏离且</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5"/>
                <w:sz w:val="18"/>
                <w:szCs w:val="18"/>
              </w:rPr>
              <w:t>存在方向性错误，对战略与运营目标的实现产生严</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z w:val="18"/>
                <w:szCs w:val="18"/>
              </w:rPr>
              <w:t>重负面作用。</w:t>
            </w:r>
          </w:p>
          <w:p>
            <w:pPr>
              <w:pStyle w:val="TableParagraph"/>
              <w:spacing w:line="240" w:lineRule="auto" w:before="60"/>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p>
        </w:tc>
        <w:tc>
          <w:tcPr>
            <w:tcW w:w="4170" w:type="dxa"/>
            <w:vMerge w:val="restart"/>
            <w:tcBorders>
              <w:top w:val="single" w:sz="4" w:space="0" w:color="000000"/>
              <w:left w:val="single" w:sz="13" w:space="0" w:color="FFFFFF"/>
              <w:right w:val="single" w:sz="4" w:space="0" w:color="000000"/>
            </w:tcBorders>
          </w:tcPr>
          <w:p>
            <w:pPr>
              <w:pStyle w:val="TableParagraph"/>
              <w:spacing w:line="240" w:lineRule="auto" w:before="53"/>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p>
          <w:p>
            <w:pPr>
              <w:pStyle w:val="TableParagraph"/>
              <w:spacing w:line="314" w:lineRule="auto" w:before="101"/>
              <w:ind w:left="-1" w:right="1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）法律法规方面：严重违反法律、法规、规章、</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政府政策、其他规范性文件等，导致中央政府或监管</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4"/>
                <w:sz w:val="18"/>
                <w:szCs w:val="18"/>
              </w:rPr>
              <w:t>机构的调查，并被责令行业退出、吊销营业执照、强</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z w:val="18"/>
                <w:szCs w:val="18"/>
              </w:rPr>
              <w:t>制关闭等；</w:t>
            </w:r>
          </w:p>
          <w:p>
            <w:pPr>
              <w:pStyle w:val="TableParagraph"/>
              <w:spacing w:line="312" w:lineRule="auto" w:before="54"/>
              <w:ind w:left="-1" w:right="9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）战略与运营目标方面：战略与运营目标或关键</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3"/>
                <w:sz w:val="18"/>
                <w:szCs w:val="18"/>
              </w:rPr>
              <w:t>业绩指标的执行不合理，严重偏离且存在方向性错</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误，对战略与运营目标的实现产生严重负面作用。</w:t>
            </w:r>
          </w:p>
          <w:p>
            <w:pPr>
              <w:pStyle w:val="TableParagraph"/>
              <w:spacing w:line="240" w:lineRule="auto" w:before="60"/>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p>
        </w:tc>
      </w:tr>
      <w:tr>
        <w:trPr>
          <w:trHeight w:val="389" w:hRule="exact"/>
        </w:trPr>
        <w:tc>
          <w:tcPr>
            <w:tcW w:w="14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983" w:type="dxa"/>
            <w:gridSpan w:val="2"/>
            <w:vMerge/>
            <w:tcBorders>
              <w:left w:val="single" w:sz="10" w:space="0" w:color="D2D2D2"/>
              <w:right w:val="single" w:sz="13" w:space="0" w:color="FFFFFF"/>
            </w:tcBorders>
          </w:tcPr>
          <w:p>
            <w:pPr/>
          </w:p>
        </w:tc>
        <w:tc>
          <w:tcPr>
            <w:tcW w:w="4170" w:type="dxa"/>
            <w:vMerge/>
            <w:tcBorders>
              <w:left w:val="single" w:sz="13" w:space="0" w:color="FFFFFF"/>
              <w:right w:val="single" w:sz="4" w:space="0" w:color="000000"/>
            </w:tcBorders>
          </w:tcPr>
          <w:p>
            <w:pPr/>
          </w:p>
        </w:tc>
      </w:tr>
      <w:tr>
        <w:trPr>
          <w:trHeight w:val="1316" w:hRule="exact"/>
        </w:trPr>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983" w:type="dxa"/>
            <w:gridSpan w:val="2"/>
            <w:vMerge/>
            <w:tcBorders>
              <w:left w:val="single" w:sz="10" w:space="0" w:color="D2D2D2"/>
              <w:bottom w:val="single" w:sz="4" w:space="0" w:color="000000"/>
              <w:right w:val="single" w:sz="13" w:space="0" w:color="FFFFFF"/>
            </w:tcBorders>
          </w:tcPr>
          <w:p>
            <w:pPr/>
          </w:p>
        </w:tc>
        <w:tc>
          <w:tcPr>
            <w:tcW w:w="4170" w:type="dxa"/>
            <w:vMerge/>
            <w:tcBorders>
              <w:left w:val="single" w:sz="13" w:space="0" w:color="FFFFFF"/>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17"/>
        <w:gridCol w:w="3971"/>
        <w:gridCol w:w="4182"/>
      </w:tblGrid>
      <w:tr>
        <w:trPr>
          <w:trHeight w:val="4268"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71" w:type="dxa"/>
            <w:tcBorders>
              <w:top w:val="single" w:sz="4" w:space="0" w:color="000000"/>
              <w:left w:val="single" w:sz="4" w:space="0" w:color="000000"/>
              <w:bottom w:val="single" w:sz="4" w:space="0" w:color="000000"/>
              <w:right w:val="single" w:sz="13" w:space="0" w:color="FFFFFF"/>
            </w:tcBorders>
          </w:tcPr>
          <w:p>
            <w:pPr>
              <w:pStyle w:val="TableParagraph"/>
              <w:spacing w:line="312" w:lineRule="auto" w:before="10"/>
              <w:ind w:left="23" w:right="6"/>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）法律法规方面：违反法律、法规、规章、政</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5"/>
                <w:sz w:val="18"/>
                <w:szCs w:val="18"/>
              </w:rPr>
              <w:t>府政策、其他规范性文件等，导致地方政府或监管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机构的调查，并被责令停业整顿等；</w:t>
            </w:r>
          </w:p>
          <w:p>
            <w:pPr>
              <w:pStyle w:val="TableParagraph"/>
              <w:spacing w:line="312" w:lineRule="auto" w:before="56"/>
              <w:ind w:left="23" w:right="6"/>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）战略与运营目标方面：战略与运营目标或关</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5"/>
                <w:sz w:val="18"/>
                <w:szCs w:val="18"/>
              </w:rPr>
              <w:t>键业绩指标执行不合理，严重偏离，对战略与运营</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目标的实现产生明显的消极作用。</w:t>
            </w:r>
          </w:p>
          <w:p>
            <w:pPr>
              <w:pStyle w:val="TableParagraph"/>
              <w:spacing w:line="240" w:lineRule="auto" w:before="6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p>
          <w:p>
            <w:pPr>
              <w:pStyle w:val="TableParagraph"/>
              <w:spacing w:line="312" w:lineRule="auto" w:before="96"/>
              <w:ind w:left="23" w:right="6"/>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）法律法规方面：违反法律、法规、规章、政</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5"/>
                <w:sz w:val="18"/>
                <w:szCs w:val="18"/>
              </w:rPr>
              <w:t>府政策、其他规范性文件等，导致地方政府或监管</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机构的调查，并被处以罚款或罚金；</w:t>
            </w:r>
          </w:p>
          <w:p>
            <w:pPr>
              <w:pStyle w:val="TableParagraph"/>
              <w:spacing w:line="312" w:lineRule="auto" w:before="56"/>
              <w:ind w:left="23" w:right="-4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）战略与运营目标方面：战略与运营目标或关</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键业绩的执行存在较小范围的不合理，目标偏离，</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pacing w:val="-3"/>
                <w:sz w:val="18"/>
                <w:szCs w:val="18"/>
              </w:rPr>
              <w:t>对战略与运营目标的实现影响轻微。</w:t>
            </w:r>
          </w:p>
        </w:tc>
        <w:tc>
          <w:tcPr>
            <w:tcW w:w="4182" w:type="dxa"/>
            <w:tcBorders>
              <w:top w:val="single" w:sz="4" w:space="0" w:color="000000"/>
              <w:left w:val="single" w:sz="13" w:space="0" w:color="FFFFFF"/>
              <w:bottom w:val="single" w:sz="4" w:space="0" w:color="000000"/>
              <w:right w:val="single" w:sz="4" w:space="0" w:color="000000"/>
            </w:tcBorders>
          </w:tcPr>
          <w:p>
            <w:pPr>
              <w:pStyle w:val="TableParagraph"/>
              <w:spacing w:line="312" w:lineRule="auto" w:before="10"/>
              <w:ind w:left="11" w:right="1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）法律法规方面：违反法律、法规、规章、政府</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政策、其他规范性文件等，导致地方政府或监管机构</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的调查，并被责令停业整顿等；</w:t>
            </w:r>
          </w:p>
          <w:p>
            <w:pPr>
              <w:pStyle w:val="TableParagraph"/>
              <w:spacing w:line="312" w:lineRule="auto" w:before="56"/>
              <w:ind w:left="11" w:right="1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）战略与运营目标方面：战略与运营目标或关键</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业绩指标执行不合理，严重偏离，对战略与运营目标</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的实现产生明显的消极作用。</w:t>
            </w:r>
          </w:p>
          <w:p>
            <w:pPr>
              <w:pStyle w:val="TableParagraph"/>
              <w:spacing w:line="240" w:lineRule="auto" w:before="65"/>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p>
          <w:p>
            <w:pPr>
              <w:pStyle w:val="TableParagraph"/>
              <w:spacing w:line="312" w:lineRule="auto" w:before="96"/>
              <w:ind w:left="11" w:right="17"/>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）法律法规方面：违反法律、法规、规章、政府</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政策、其他规范性文件等，导致地方政府或监管机构</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的调查，并被处以罚款或罚金；</w:t>
            </w:r>
          </w:p>
          <w:p>
            <w:pPr>
              <w:pStyle w:val="TableParagraph"/>
              <w:spacing w:line="312" w:lineRule="auto" w:before="56"/>
              <w:ind w:left="11" w:right="18"/>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）战略与运营目标方面：战略与运营目标或关键</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pacing w:val="-4"/>
                <w:sz w:val="18"/>
                <w:szCs w:val="18"/>
              </w:rPr>
              <w:t>业绩的执行存在较小范围的不合理，目标偏离，对战</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3"/>
                <w:sz w:val="18"/>
                <w:szCs w:val="18"/>
              </w:rPr>
              <w:t>略与运营目标的实现影响轻微。</w:t>
            </w:r>
          </w:p>
        </w:tc>
      </w:tr>
      <w:tr>
        <w:trPr>
          <w:trHeight w:val="8057"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p>
          <w:p>
            <w:pPr>
              <w:pStyle w:val="TableParagraph"/>
              <w:spacing w:line="304" w:lineRule="auto" w:before="101"/>
              <w:ind w:left="23" w:right="1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）利润总额潜在错报的金额，错报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合并会计报</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表利润总额的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304" w:lineRule="auto" w:before="42"/>
              <w:ind w:left="23" w:right="1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）资产总额潜在错报的金额，错报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合并会计报</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表资产总额</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p>
          <w:p>
            <w:pPr>
              <w:pStyle w:val="TableParagraph"/>
              <w:spacing w:line="324" w:lineRule="auto" w:before="43"/>
              <w:ind w:left="23" w:right="1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）经营收入潜在错报的金额，错报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合并会计报</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表主营业务收入或营业收入的</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p>
          <w:p>
            <w:pPr>
              <w:pStyle w:val="TableParagraph"/>
              <w:spacing w:line="302" w:lineRule="auto" w:before="26"/>
              <w:ind w:left="23" w:right="6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）利润总额潜在错报的金额，合并会计报表利</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润总额的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错报＜合并会计报表利润总额的</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302" w:lineRule="auto" w:before="44"/>
              <w:ind w:left="23" w:right="6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）资产总额潜在错报的金额，合并会计报表资</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产总额的</w:t>
            </w:r>
            <w:r>
              <w:rPr>
                <w:rFonts w:ascii="宋体" w:hAnsi="宋体" w:cs="宋体" w:eastAsia="宋体" w:hint="default"/>
                <w:spacing w:val="-32"/>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错报＜合并会计报表资产总额的</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314" w:lineRule="auto" w:before="49"/>
              <w:ind w:left="23" w:right="6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）经营收入潜在错报的金额，合并会计报表主</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营业务收入或营业收入的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错报＜合并会计报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表主营业务收入或营业收入的</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r>
              <w:rPr>
                <w:rFonts w:ascii="宋体" w:hAnsi="宋体" w:cs="宋体" w:eastAsia="宋体" w:hint="default"/>
                <w:spacing w:val="-7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p>
          <w:p>
            <w:pPr>
              <w:pStyle w:val="TableParagraph"/>
              <w:spacing w:line="304" w:lineRule="auto" w:before="34"/>
              <w:ind w:left="23" w:right="6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）利润总额潜在错报的金额，错报＜合并会计</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报表利润总额的</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p>
          <w:p>
            <w:pPr>
              <w:pStyle w:val="TableParagraph"/>
              <w:spacing w:line="304" w:lineRule="auto" w:before="48"/>
              <w:ind w:left="23" w:right="6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）资产总额潜在错报的金额，错报＜合并会计</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报表资产总额的</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w:t>
            </w:r>
          </w:p>
          <w:p>
            <w:pPr>
              <w:pStyle w:val="TableParagraph"/>
              <w:spacing w:line="304" w:lineRule="auto" w:before="42"/>
              <w:ind w:left="23" w:right="61"/>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）经营收入潜在错报的金额，错报＜合并会计</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报表主营业务收入或营业收入的</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p>
          <w:p>
            <w:pPr>
              <w:pStyle w:val="TableParagraph"/>
              <w:spacing w:line="304" w:lineRule="auto" w:before="96"/>
              <w:ind w:left="23" w:right="1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）利润总额潜在错报的金额，错报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合并会计报表</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利润总额的</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p>
          <w:p>
            <w:pPr>
              <w:pStyle w:val="TableParagraph"/>
              <w:spacing w:line="304" w:lineRule="auto" w:before="47"/>
              <w:ind w:left="23" w:right="1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）资产总额潜在错报的金额，错报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合并会计报表</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资产总额</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304" w:lineRule="auto" w:before="43"/>
              <w:ind w:left="23" w:right="17"/>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）经营收入潜在错报的金额，错报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合并会计报表</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主营业务收入或营业收入的</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4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p>
          <w:p>
            <w:pPr>
              <w:pStyle w:val="TableParagraph"/>
              <w:spacing w:line="304" w:lineRule="auto" w:before="101"/>
              <w:ind w:left="23" w:right="9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）利润总额潜在错报的金额，合并会计报表利润</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错报＜合并会计报表利润总额的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300" w:lineRule="auto" w:before="43"/>
              <w:ind w:left="23" w:right="9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）资产总额潜在错报的金额，合并会计报表资产</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总额的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错报＜合并会计报表资产总额的</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302" w:lineRule="auto" w:before="13"/>
              <w:ind w:left="23" w:right="9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）经营收入潜在错报的金额，合并会计报表主营</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业务收入或营业收入的</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错报＜合并会计报表主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营业务收入或营业收入的</w:t>
            </w:r>
            <w:r>
              <w:rPr>
                <w:rFonts w:ascii="宋体" w:hAnsi="宋体" w:cs="宋体" w:eastAsia="宋体" w:hint="default"/>
                <w:spacing w:val="-35"/>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w:t>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w:t>
            </w:r>
          </w:p>
          <w:p>
            <w:pPr>
              <w:pStyle w:val="TableParagraph"/>
              <w:spacing w:line="304" w:lineRule="auto" w:before="102"/>
              <w:ind w:left="23" w:right="9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）利润总额潜在错报的金额，错报＜合并会计报</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表利润总额的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304" w:lineRule="auto" w:before="42"/>
              <w:ind w:left="23" w:right="9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）资产总额潜在错报的金额，错报＜合并会计报</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表资产总额的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304" w:lineRule="auto" w:before="42"/>
              <w:ind w:left="23" w:right="9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）经营收入潜在错报的金额，错报＜合并会计报</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表主营业务收入或营业收入的</w:t>
            </w:r>
            <w:r>
              <w:rPr>
                <w:rFonts w:ascii="宋体" w:hAnsi="宋体" w:cs="宋体" w:eastAsia="宋体" w:hint="default"/>
                <w:spacing w:val="-36"/>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p>
        </w:tc>
      </w:tr>
      <w:tr>
        <w:trPr>
          <w:trHeight w:val="716"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24" w:right="118"/>
              <w:jc w:val="left"/>
              <w:rPr>
                <w:rFonts w:ascii="宋体" w:hAnsi="宋体" w:cs="宋体" w:eastAsia="宋体" w:hint="default"/>
                <w:sz w:val="18"/>
                <w:szCs w:val="18"/>
              </w:rPr>
            </w:pPr>
            <w:r>
              <w:rPr>
                <w:rFonts w:ascii="宋体" w:hAnsi="宋体" w:cs="宋体" w:eastAsia="宋体" w:hint="default"/>
                <w:spacing w:val="-3"/>
                <w:sz w:val="18"/>
                <w:szCs w:val="18"/>
              </w:rPr>
              <w:t>财务报告重大缺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陷数量（个）</w:t>
            </w:r>
          </w:p>
        </w:tc>
        <w:tc>
          <w:tcPr>
            <w:tcW w:w="8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非财务报告重大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缺陷数量（个）</w:t>
            </w:r>
          </w:p>
        </w:tc>
        <w:tc>
          <w:tcPr>
            <w:tcW w:w="8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07"/>
        <w:gridCol w:w="8163"/>
      </w:tblGrid>
      <w:tr>
        <w:trPr>
          <w:trHeight w:val="715"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pacing w:val="-3"/>
                <w:sz w:val="18"/>
                <w:szCs w:val="18"/>
              </w:rPr>
              <w:t>财务报告重要缺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陷数量（个）</w:t>
            </w:r>
          </w:p>
        </w:tc>
        <w:tc>
          <w:tcPr>
            <w:tcW w:w="8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08"/>
              <w:jc w:val="left"/>
              <w:rPr>
                <w:rFonts w:ascii="宋体" w:hAnsi="宋体" w:cs="宋体" w:eastAsia="宋体" w:hint="default"/>
                <w:sz w:val="18"/>
                <w:szCs w:val="18"/>
              </w:rPr>
            </w:pPr>
            <w:r>
              <w:rPr>
                <w:rFonts w:ascii="宋体" w:hAnsi="宋体" w:cs="宋体" w:eastAsia="宋体" w:hint="default"/>
                <w:spacing w:val="-3"/>
                <w:sz w:val="18"/>
                <w:szCs w:val="18"/>
              </w:rPr>
              <w:t>非财务报告重要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缺陷数量（个）</w:t>
            </w:r>
          </w:p>
        </w:tc>
        <w:tc>
          <w:tcPr>
            <w:tcW w:w="81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43" w:right="0"/>
        <w:jc w:val="left"/>
        <w:rPr>
          <w:b w:val="0"/>
          <w:bCs w:val="0"/>
        </w:rPr>
      </w:pPr>
      <w:bookmarkStart w:name="第十一节公司债券相关情况" w:id="149"/>
      <w:bookmarkEnd w:id="149"/>
      <w:r>
        <w:rPr>
          <w:b w:val="0"/>
          <w:bCs w:val="0"/>
        </w:rPr>
      </w:r>
      <w:bookmarkStart w:name="_bookmark10" w:id="150"/>
      <w:bookmarkEnd w:id="150"/>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53" w:right="211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730" w:right="4644"/>
        <w:jc w:val="center"/>
        <w:rPr>
          <w:b w:val="0"/>
          <w:bCs w:val="0"/>
        </w:rPr>
      </w:pPr>
      <w:bookmarkStart w:name="第十二节财务报告" w:id="151"/>
      <w:bookmarkEnd w:id="151"/>
      <w:r>
        <w:rPr>
          <w:b w:val="0"/>
          <w:bCs w:val="0"/>
        </w:rPr>
      </w:r>
      <w:bookmarkStart w:name="_bookmark11" w:id="152"/>
      <w:bookmarkEnd w:id="15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left="213" w:right="0"/>
        <w:jc w:val="left"/>
        <w:rPr>
          <w:b w:val="0"/>
          <w:bCs w:val="0"/>
        </w:rPr>
      </w:pPr>
      <w:bookmarkStart w:name="一、审计报告" w:id="153"/>
      <w:bookmarkEnd w:id="153"/>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20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信永中和会计师事务所（特殊普通合伙）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XYZH/2020CDA40093</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何勇 </w:t>
            </w:r>
            <w:r>
              <w:rPr>
                <w:rFonts w:ascii="宋体" w:hAnsi="宋体" w:cs="宋体" w:eastAsia="宋体" w:hint="default"/>
                <w:spacing w:val="4"/>
                <w:sz w:val="18"/>
                <w:szCs w:val="18"/>
              </w:rPr>
              <w:t> </w:t>
            </w:r>
            <w:r>
              <w:rPr>
                <w:rFonts w:ascii="宋体" w:hAnsi="宋体" w:cs="宋体" w:eastAsia="宋体" w:hint="default"/>
                <w:sz w:val="18"/>
                <w:szCs w:val="18"/>
              </w:rPr>
              <w:t>夏翠琼</w:t>
            </w:r>
          </w:p>
        </w:tc>
      </w:tr>
    </w:tbl>
    <w:p>
      <w:pPr>
        <w:spacing w:before="53"/>
        <w:ind w:left="3730" w:right="4643"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7"/>
        <w:rPr>
          <w:rFonts w:ascii="宋体" w:hAnsi="宋体" w:cs="宋体" w:eastAsia="宋体" w:hint="default"/>
          <w:sz w:val="14"/>
          <w:szCs w:val="14"/>
        </w:rPr>
      </w:pPr>
    </w:p>
    <w:p>
      <w:pPr>
        <w:spacing w:before="0"/>
        <w:ind w:left="3730" w:right="4644" w:firstLine="0"/>
        <w:jc w:val="center"/>
        <w:rPr>
          <w:rFonts w:ascii="宋体" w:hAnsi="宋体" w:cs="宋体" w:eastAsia="宋体" w:hint="default"/>
          <w:sz w:val="28"/>
          <w:szCs w:val="28"/>
        </w:rPr>
      </w:pPr>
      <w:r>
        <w:rPr>
          <w:rFonts w:ascii="宋体" w:hAnsi="宋体" w:cs="宋体" w:eastAsia="宋体" w:hint="default"/>
          <w:b/>
          <w:bCs/>
          <w:sz w:val="28"/>
          <w:szCs w:val="28"/>
        </w:rPr>
        <w:t>审计报告</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0"/>
          <w:szCs w:val="20"/>
        </w:rPr>
      </w:pPr>
    </w:p>
    <w:p>
      <w:pPr>
        <w:spacing w:before="32"/>
        <w:ind w:left="213" w:right="0" w:firstLine="0"/>
        <w:jc w:val="left"/>
        <w:rPr>
          <w:rFonts w:ascii="宋体" w:hAnsi="宋体" w:cs="宋体" w:eastAsia="宋体" w:hint="default"/>
          <w:sz w:val="22"/>
          <w:szCs w:val="22"/>
        </w:rPr>
      </w:pPr>
      <w:r>
        <w:rPr>
          <w:rFonts w:ascii="宋体" w:hAnsi="宋体" w:cs="宋体" w:eastAsia="宋体" w:hint="default"/>
          <w:b/>
          <w:bCs/>
          <w:sz w:val="22"/>
          <w:szCs w:val="22"/>
        </w:rPr>
        <w:t>依米康科技集团股份有限公司全体股东：</w:t>
      </w:r>
      <w:r>
        <w:rPr>
          <w:rFonts w:ascii="宋体" w:hAnsi="宋体" w:cs="宋体" w:eastAsia="宋体" w:hint="default"/>
          <w:sz w:val="22"/>
          <w:szCs w:val="22"/>
        </w:rPr>
      </w:r>
    </w:p>
    <w:p>
      <w:pPr>
        <w:spacing w:line="240" w:lineRule="auto" w:before="9"/>
        <w:rPr>
          <w:rFonts w:ascii="宋体" w:hAnsi="宋体" w:cs="宋体" w:eastAsia="宋体" w:hint="default"/>
          <w:b/>
          <w:bCs/>
          <w:sz w:val="25"/>
          <w:szCs w:val="25"/>
        </w:rPr>
      </w:pPr>
    </w:p>
    <w:p>
      <w:pPr>
        <w:spacing w:before="0"/>
        <w:ind w:left="213"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、审计意见</w:t>
      </w:r>
      <w:r>
        <w:rPr>
          <w:rFonts w:ascii="宋体" w:hAnsi="宋体" w:cs="宋体" w:eastAsia="宋体" w:hint="default"/>
          <w:sz w:val="22"/>
          <w:szCs w:val="22"/>
        </w:rPr>
      </w:r>
    </w:p>
    <w:p>
      <w:pPr>
        <w:spacing w:line="240" w:lineRule="auto" w:before="5"/>
        <w:rPr>
          <w:rFonts w:ascii="宋体" w:hAnsi="宋体" w:cs="宋体" w:eastAsia="宋体" w:hint="default"/>
          <w:b/>
          <w:bCs/>
          <w:sz w:val="24"/>
          <w:szCs w:val="24"/>
        </w:rPr>
      </w:pPr>
    </w:p>
    <w:p>
      <w:pPr>
        <w:spacing w:line="247" w:lineRule="auto" w:before="0"/>
        <w:ind w:left="213" w:right="1122" w:firstLine="441"/>
        <w:jc w:val="both"/>
        <w:rPr>
          <w:rFonts w:ascii="宋体" w:hAnsi="宋体" w:cs="宋体" w:eastAsia="宋体" w:hint="default"/>
          <w:sz w:val="22"/>
          <w:szCs w:val="22"/>
        </w:rPr>
      </w:pPr>
      <w:r>
        <w:rPr>
          <w:rFonts w:ascii="宋体" w:hAnsi="宋体" w:cs="宋体" w:eastAsia="宋体" w:hint="default"/>
          <w:spacing w:val="-2"/>
          <w:sz w:val="22"/>
          <w:szCs w:val="22"/>
        </w:rPr>
        <w:t>我们审计了依米康科技集团股份有限公司（以下简称依米康公司）财务报表，包括</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12</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31</w:t>
      </w:r>
      <w:r>
        <w:rPr>
          <w:rFonts w:ascii="Times New Roman" w:hAnsi="Times New Roman" w:cs="Times New Roman" w:eastAsia="Times New Roman" w:hint="default"/>
          <w:w w:val="100"/>
          <w:sz w:val="22"/>
          <w:szCs w:val="22"/>
        </w:rPr>
        <w:t> </w:t>
      </w:r>
      <w:r>
        <w:rPr>
          <w:rFonts w:ascii="宋体" w:hAnsi="宋体" w:cs="宋体" w:eastAsia="宋体" w:hint="default"/>
          <w:spacing w:val="-2"/>
          <w:sz w:val="22"/>
          <w:szCs w:val="22"/>
        </w:rPr>
        <w:t>日的合并及母公司资产负债表，</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年度的合并及母公司利润表、合并及母公司现金流量表、合并及</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母公司股东权益变动表，以及相关财务报表附注。</w:t>
      </w:r>
    </w:p>
    <w:p>
      <w:pPr>
        <w:spacing w:line="240" w:lineRule="auto" w:before="2"/>
        <w:rPr>
          <w:rFonts w:ascii="宋体" w:hAnsi="宋体" w:cs="宋体" w:eastAsia="宋体" w:hint="default"/>
          <w:sz w:val="25"/>
          <w:szCs w:val="25"/>
        </w:rPr>
      </w:pPr>
    </w:p>
    <w:p>
      <w:pPr>
        <w:spacing w:line="259" w:lineRule="auto" w:before="0"/>
        <w:ind w:left="21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我们认为，后附的财务报表在所有重大方面按照企业会计准则的规定编制，公允反映了依米康公</w:t>
      </w:r>
      <w:r>
        <w:rPr>
          <w:rFonts w:ascii="宋体" w:hAnsi="宋体" w:cs="宋体" w:eastAsia="宋体" w:hint="default"/>
          <w:w w:val="100"/>
          <w:sz w:val="22"/>
          <w:szCs w:val="22"/>
        </w:rPr>
        <w:t> </w:t>
      </w:r>
      <w:r>
        <w:rPr>
          <w:rFonts w:ascii="宋体" w:hAnsi="宋体" w:cs="宋体" w:eastAsia="宋体" w:hint="default"/>
          <w:sz w:val="22"/>
          <w:szCs w:val="22"/>
        </w:rPr>
        <w:t>司</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日的合并及母公司财务状况以及</w:t>
      </w:r>
      <w:r>
        <w:rPr>
          <w:rFonts w:ascii="Times New Roman" w:hAnsi="Times New Roman" w:cs="Times New Roman" w:eastAsia="Times New Roman" w:hint="default"/>
          <w:sz w:val="22"/>
          <w:szCs w:val="22"/>
        </w:rPr>
        <w:t>2019</w:t>
      </w:r>
      <w:r>
        <w:rPr>
          <w:rFonts w:ascii="宋体" w:hAnsi="宋体" w:cs="宋体" w:eastAsia="宋体" w:hint="default"/>
          <w:sz w:val="22"/>
          <w:szCs w:val="22"/>
        </w:rPr>
        <w:t>年度的合并及母公司经营成果和现金流量。</w:t>
      </w:r>
    </w:p>
    <w:p>
      <w:pPr>
        <w:spacing w:line="624" w:lineRule="exact" w:before="58"/>
        <w:ind w:left="654" w:right="0" w:hanging="442"/>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、形成审计意见的基础</w:t>
      </w:r>
      <w:r>
        <w:rPr>
          <w:rFonts w:ascii="宋体" w:hAnsi="宋体" w:cs="宋体" w:eastAsia="宋体" w:hint="default"/>
          <w:b/>
          <w:bCs/>
          <w:w w:val="99"/>
          <w:sz w:val="22"/>
          <w:szCs w:val="22"/>
        </w:rPr>
        <w:t> </w:t>
      </w:r>
      <w:r>
        <w:rPr>
          <w:rFonts w:ascii="宋体" w:hAnsi="宋体" w:cs="宋体" w:eastAsia="宋体" w:hint="default"/>
          <w:sz w:val="22"/>
          <w:szCs w:val="22"/>
        </w:rPr>
        <w:t>我们按照中国注册会计师审计准则的规定执行了审计工作。审计报告的</w:t>
      </w:r>
      <w:r>
        <w:rPr>
          <w:rFonts w:ascii="Times New Roman" w:hAnsi="Times New Roman" w:cs="Times New Roman" w:eastAsia="Times New Roman" w:hint="default"/>
          <w:sz w:val="22"/>
          <w:szCs w:val="22"/>
        </w:rPr>
        <w:t>“</w:t>
      </w:r>
      <w:r>
        <w:rPr>
          <w:rFonts w:ascii="宋体" w:hAnsi="宋体" w:cs="宋体" w:eastAsia="宋体" w:hint="default"/>
          <w:sz w:val="22"/>
          <w:szCs w:val="22"/>
        </w:rPr>
        <w:t>注册会计师对财务报表</w:t>
      </w:r>
    </w:p>
    <w:p>
      <w:pPr>
        <w:spacing w:line="235" w:lineRule="exact" w:before="0"/>
        <w:ind w:left="213" w:right="0" w:firstLine="0"/>
        <w:jc w:val="left"/>
        <w:rPr>
          <w:rFonts w:ascii="宋体" w:hAnsi="宋体" w:cs="宋体" w:eastAsia="宋体" w:hint="default"/>
          <w:sz w:val="22"/>
          <w:szCs w:val="22"/>
        </w:rPr>
      </w:pPr>
      <w:r>
        <w:rPr>
          <w:rFonts w:ascii="宋体" w:hAnsi="宋体" w:cs="宋体" w:eastAsia="宋体" w:hint="default"/>
          <w:sz w:val="22"/>
          <w:szCs w:val="22"/>
        </w:rPr>
        <w:t>审计的责任</w:t>
      </w:r>
      <w:r>
        <w:rPr>
          <w:rFonts w:ascii="Times New Roman" w:hAnsi="Times New Roman" w:cs="Times New Roman" w:eastAsia="Times New Roman" w:hint="default"/>
          <w:sz w:val="22"/>
          <w:szCs w:val="22"/>
        </w:rPr>
        <w:t>”</w:t>
      </w:r>
      <w:r>
        <w:rPr>
          <w:rFonts w:ascii="宋体" w:hAnsi="宋体" w:cs="宋体" w:eastAsia="宋体" w:hint="default"/>
          <w:sz w:val="22"/>
          <w:szCs w:val="22"/>
        </w:rPr>
        <w:t>部分进一步阐述了我们在这些准则下的责任。按照中国注册会计师职业道德守则，我们</w:t>
      </w:r>
    </w:p>
    <w:p>
      <w:pPr>
        <w:spacing w:line="261" w:lineRule="auto" w:before="7"/>
        <w:ind w:left="213" w:right="0" w:firstLine="0"/>
        <w:jc w:val="left"/>
        <w:rPr>
          <w:rFonts w:ascii="宋体" w:hAnsi="宋体" w:cs="宋体" w:eastAsia="宋体" w:hint="default"/>
          <w:sz w:val="22"/>
          <w:szCs w:val="22"/>
        </w:rPr>
      </w:pPr>
      <w:r>
        <w:rPr>
          <w:rFonts w:ascii="宋体" w:hAnsi="宋体" w:cs="宋体" w:eastAsia="宋体" w:hint="default"/>
          <w:spacing w:val="-2"/>
          <w:sz w:val="22"/>
          <w:szCs w:val="22"/>
        </w:rPr>
        <w:t>独立于依米康公司，并履行了职业道德方面的其他责任。我们相信，我们获取的审计证据是充分、适</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当的，为发表审计意见提供了基础。</w:t>
      </w:r>
    </w:p>
    <w:p>
      <w:pPr>
        <w:spacing w:line="600" w:lineRule="atLeast" w:before="21"/>
        <w:ind w:left="654" w:right="0" w:hanging="442"/>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、关键审计事项</w:t>
      </w:r>
      <w:r>
        <w:rPr>
          <w:rFonts w:ascii="宋体" w:hAnsi="宋体" w:cs="宋体" w:eastAsia="宋体" w:hint="default"/>
          <w:b/>
          <w:bCs/>
          <w:w w:val="99"/>
          <w:sz w:val="22"/>
          <w:szCs w:val="22"/>
        </w:rPr>
        <w:t> </w:t>
      </w:r>
      <w:r>
        <w:rPr>
          <w:rFonts w:ascii="宋体" w:hAnsi="宋体" w:cs="宋体" w:eastAsia="宋体" w:hint="default"/>
          <w:spacing w:val="-2"/>
          <w:sz w:val="22"/>
          <w:szCs w:val="22"/>
        </w:rPr>
        <w:t>关键审计事项是我们根据职业判断，认为对本期财务报表审计最为重要的事项。这些事项的应对</w:t>
      </w:r>
    </w:p>
    <w:p>
      <w:pPr>
        <w:spacing w:before="24"/>
        <w:ind w:left="213" w:right="0" w:firstLine="0"/>
        <w:jc w:val="left"/>
        <w:rPr>
          <w:rFonts w:ascii="宋体" w:hAnsi="宋体" w:cs="宋体" w:eastAsia="宋体" w:hint="default"/>
          <w:sz w:val="22"/>
          <w:szCs w:val="22"/>
        </w:rPr>
      </w:pPr>
      <w:r>
        <w:rPr>
          <w:rFonts w:ascii="宋体" w:hAnsi="宋体" w:cs="宋体" w:eastAsia="宋体" w:hint="default"/>
          <w:sz w:val="22"/>
          <w:szCs w:val="22"/>
        </w:rPr>
        <w:t>以对财务报表整体进行审计并形成审计意见为背景，我们不对这些事项单独发表意见。</w:t>
      </w:r>
    </w:p>
    <w:p>
      <w:pPr>
        <w:spacing w:line="240" w:lineRule="auto" w:before="7"/>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4386"/>
        <w:gridCol w:w="5114"/>
      </w:tblGrid>
      <w:tr>
        <w:trPr>
          <w:trHeight w:val="322" w:hRule="exact"/>
        </w:trPr>
        <w:tc>
          <w:tcPr>
            <w:tcW w:w="950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4" w:lineRule="exact"/>
              <w:ind w:left="165"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62"/>
                <w:sz w:val="20"/>
                <w:szCs w:val="20"/>
              </w:rPr>
              <w:t> </w:t>
            </w:r>
            <w:r>
              <w:rPr>
                <w:rFonts w:ascii="宋体" w:hAnsi="宋体" w:cs="宋体" w:eastAsia="宋体" w:hint="default"/>
                <w:sz w:val="20"/>
                <w:szCs w:val="20"/>
              </w:rPr>
              <w:t>收入的确认</w:t>
            </w:r>
          </w:p>
        </w:tc>
      </w:tr>
      <w:tr>
        <w:trPr>
          <w:trHeight w:val="322" w:hRule="exact"/>
        </w:trPr>
        <w:tc>
          <w:tcPr>
            <w:tcW w:w="43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4" w:lineRule="exact"/>
              <w:ind w:left="1" w:right="0"/>
              <w:jc w:val="center"/>
              <w:rPr>
                <w:rFonts w:ascii="宋体" w:hAnsi="宋体" w:cs="宋体" w:eastAsia="宋体" w:hint="default"/>
                <w:sz w:val="20"/>
                <w:szCs w:val="20"/>
              </w:rPr>
            </w:pPr>
            <w:r>
              <w:rPr>
                <w:rFonts w:ascii="宋体" w:hAnsi="宋体" w:cs="宋体" w:eastAsia="宋体" w:hint="default"/>
                <w:sz w:val="20"/>
                <w:szCs w:val="20"/>
              </w:rPr>
              <w:t>关键审计事项</w:t>
            </w:r>
          </w:p>
        </w:tc>
        <w:tc>
          <w:tcPr>
            <w:tcW w:w="51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审计中的应对</w:t>
            </w:r>
          </w:p>
        </w:tc>
      </w:tr>
      <w:tr>
        <w:trPr>
          <w:trHeight w:val="322" w:hRule="exact"/>
        </w:trPr>
        <w:tc>
          <w:tcPr>
            <w:tcW w:w="438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501" w:right="0"/>
              <w:jc w:val="left"/>
              <w:rPr>
                <w:rFonts w:ascii="宋体" w:hAnsi="宋体" w:cs="宋体" w:eastAsia="宋体" w:hint="default"/>
                <w:sz w:val="20"/>
                <w:szCs w:val="20"/>
              </w:rPr>
            </w:pPr>
            <w:r>
              <w:rPr>
                <w:rFonts w:ascii="宋体" w:hAnsi="宋体" w:cs="宋体" w:eastAsia="宋体" w:hint="default"/>
                <w:spacing w:val="-6"/>
                <w:sz w:val="20"/>
                <w:szCs w:val="20"/>
              </w:rPr>
              <w:t>如财务报表附注六、</w:t>
            </w:r>
            <w:r>
              <w:rPr>
                <w:rFonts w:ascii="Times New Roman" w:hAnsi="Times New Roman" w:cs="Times New Roman" w:eastAsia="Times New Roman" w:hint="default"/>
                <w:spacing w:val="-6"/>
                <w:sz w:val="20"/>
                <w:szCs w:val="20"/>
              </w:rPr>
              <w:t>37.</w:t>
            </w:r>
            <w:r>
              <w:rPr>
                <w:rFonts w:ascii="宋体" w:hAnsi="宋体" w:cs="宋体" w:eastAsia="宋体" w:hint="default"/>
                <w:spacing w:val="-6"/>
                <w:sz w:val="20"/>
                <w:szCs w:val="20"/>
              </w:rPr>
              <w:t>营业收入、营业成本</w:t>
            </w: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00" w:right="0"/>
              <w:jc w:val="left"/>
              <w:rPr>
                <w:rFonts w:ascii="宋体" w:hAnsi="宋体" w:cs="宋体" w:eastAsia="宋体" w:hint="default"/>
                <w:sz w:val="20"/>
                <w:szCs w:val="20"/>
              </w:rPr>
            </w:pPr>
            <w:r>
              <w:rPr>
                <w:rFonts w:ascii="宋体" w:hAnsi="宋体" w:cs="宋体" w:eastAsia="宋体" w:hint="default"/>
                <w:sz w:val="20"/>
                <w:szCs w:val="20"/>
              </w:rPr>
              <w:t>我们针对收入确认相关的主要审计程序包括：</w:t>
            </w:r>
          </w:p>
        </w:tc>
      </w:tr>
    </w:tbl>
    <w:p>
      <w:pPr>
        <w:spacing w:after="0" w:line="254" w:lineRule="exact"/>
        <w:jc w:val="left"/>
        <w:rPr>
          <w:rFonts w:ascii="宋体" w:hAnsi="宋体" w:cs="宋体" w:eastAsia="宋体" w:hint="default"/>
          <w:sz w:val="20"/>
          <w:szCs w:val="20"/>
        </w:rPr>
        <w:sectPr>
          <w:pgSz w:w="11910" w:h="16840"/>
          <w:pgMar w:header="863" w:footer="979" w:top="1060" w:bottom="1160" w:left="920" w:right="0"/>
        </w:sectPr>
      </w:pPr>
    </w:p>
    <w:p>
      <w:pPr>
        <w:spacing w:line="240" w:lineRule="auto" w:before="11"/>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4389"/>
        <w:gridCol w:w="5114"/>
      </w:tblGrid>
      <w:tr>
        <w:trPr>
          <w:trHeight w:val="3131" w:hRule="exact"/>
        </w:trPr>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ind w:left="105" w:right="65"/>
              <w:jc w:val="both"/>
              <w:rPr>
                <w:rFonts w:ascii="宋体" w:hAnsi="宋体" w:cs="宋体" w:eastAsia="宋体" w:hint="default"/>
                <w:sz w:val="20"/>
                <w:szCs w:val="20"/>
              </w:rPr>
            </w:pPr>
            <w:r>
              <w:rPr>
                <w:rFonts w:ascii="宋体" w:hAnsi="宋体" w:cs="宋体" w:eastAsia="宋体" w:hint="default"/>
                <w:spacing w:val="-1"/>
                <w:sz w:val="20"/>
                <w:szCs w:val="20"/>
              </w:rPr>
              <w:t>所示，</w:t>
            </w:r>
            <w:r>
              <w:rPr>
                <w:rFonts w:ascii="Times New Roman" w:hAnsi="Times New Roman" w:cs="Times New Roman" w:eastAsia="Times New Roman" w:hint="default"/>
                <w:spacing w:val="-1"/>
                <w:sz w:val="20"/>
                <w:szCs w:val="20"/>
              </w:rPr>
              <w:t>2019</w:t>
            </w:r>
            <w:r>
              <w:rPr>
                <w:rFonts w:ascii="宋体" w:hAnsi="宋体" w:cs="宋体" w:eastAsia="宋体" w:hint="default"/>
                <w:spacing w:val="-1"/>
                <w:sz w:val="20"/>
                <w:szCs w:val="20"/>
              </w:rPr>
              <w:t>年度营业收入为</w:t>
            </w:r>
            <w:r>
              <w:rPr>
                <w:rFonts w:ascii="Times New Roman" w:hAnsi="Times New Roman" w:cs="Times New Roman" w:eastAsia="Times New Roman" w:hint="default"/>
                <w:spacing w:val="-1"/>
                <w:sz w:val="20"/>
                <w:szCs w:val="20"/>
              </w:rPr>
              <w:t>1,179,354,900.26</w:t>
            </w:r>
            <w:r>
              <w:rPr>
                <w:rFonts w:ascii="宋体" w:hAnsi="宋体" w:cs="宋体" w:eastAsia="宋体" w:hint="default"/>
                <w:spacing w:val="-1"/>
                <w:sz w:val="20"/>
                <w:szCs w:val="20"/>
              </w:rPr>
              <w:t>元，</w:t>
            </w:r>
            <w:r>
              <w:rPr>
                <w:rFonts w:ascii="宋体" w:hAnsi="宋体" w:cs="宋体" w:eastAsia="宋体" w:hint="default"/>
                <w:spacing w:val="-66"/>
                <w:sz w:val="20"/>
                <w:szCs w:val="20"/>
              </w:rPr>
              <w:t> </w:t>
            </w:r>
            <w:r>
              <w:rPr>
                <w:rFonts w:ascii="宋体" w:hAnsi="宋体" w:cs="宋体" w:eastAsia="宋体" w:hint="default"/>
                <w:spacing w:val="5"/>
                <w:sz w:val="20"/>
                <w:szCs w:val="20"/>
              </w:rPr>
              <w:t>营业收入是否计入恰当的会计期间及是否有重</w:t>
            </w:r>
            <w:r>
              <w:rPr>
                <w:rFonts w:ascii="宋体" w:hAnsi="宋体" w:cs="宋体" w:eastAsia="宋体" w:hint="default"/>
                <w:spacing w:val="-43"/>
                <w:sz w:val="20"/>
                <w:szCs w:val="20"/>
              </w:rPr>
              <w:t> </w:t>
            </w:r>
            <w:r>
              <w:rPr>
                <w:rFonts w:ascii="宋体" w:hAnsi="宋体" w:cs="宋体" w:eastAsia="宋体" w:hint="default"/>
                <w:spacing w:val="-43"/>
                <w:sz w:val="20"/>
                <w:szCs w:val="20"/>
              </w:rPr>
            </w:r>
            <w:r>
              <w:rPr>
                <w:rFonts w:ascii="宋体" w:hAnsi="宋体" w:cs="宋体" w:eastAsia="宋体" w:hint="default"/>
                <w:spacing w:val="-4"/>
                <w:sz w:val="20"/>
                <w:szCs w:val="20"/>
              </w:rPr>
              <w:t>大错报对财务报表产生重大影响，因此，我们将</w:t>
            </w:r>
            <w:r>
              <w:rPr>
                <w:rFonts w:ascii="宋体" w:hAnsi="宋体" w:cs="宋体" w:eastAsia="宋体" w:hint="default"/>
                <w:spacing w:val="-48"/>
                <w:sz w:val="20"/>
                <w:szCs w:val="20"/>
              </w:rPr>
              <w:t> </w:t>
            </w:r>
            <w:r>
              <w:rPr>
                <w:rFonts w:ascii="宋体" w:hAnsi="宋体" w:cs="宋体" w:eastAsia="宋体" w:hint="default"/>
                <w:spacing w:val="-48"/>
                <w:sz w:val="20"/>
                <w:szCs w:val="20"/>
              </w:rPr>
            </w:r>
            <w:r>
              <w:rPr>
                <w:rFonts w:ascii="宋体" w:hAnsi="宋体" w:cs="宋体" w:eastAsia="宋体" w:hint="default"/>
                <w:sz w:val="20"/>
                <w:szCs w:val="20"/>
              </w:rPr>
              <w:t>收入的确认视为关键审计事项。</w:t>
            </w:r>
          </w:p>
        </w:tc>
        <w:tc>
          <w:tcPr>
            <w:tcW w:w="511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ind w:left="100" w:right="100"/>
              <w:jc w:val="left"/>
              <w:rPr>
                <w:rFonts w:ascii="宋体" w:hAnsi="宋体" w:cs="宋体" w:eastAsia="宋体" w:hint="default"/>
                <w:sz w:val="20"/>
                <w:szCs w:val="20"/>
              </w:rPr>
            </w:pPr>
            <w:r>
              <w:rPr>
                <w:rFonts w:ascii="Times New Roman" w:hAnsi="Times New Roman" w:cs="Times New Roman" w:eastAsia="Times New Roman" w:hint="default"/>
                <w:spacing w:val="-2"/>
                <w:sz w:val="20"/>
                <w:szCs w:val="20"/>
              </w:rPr>
              <w:t>1</w:t>
            </w:r>
            <w:r>
              <w:rPr>
                <w:rFonts w:ascii="宋体" w:hAnsi="宋体" w:cs="宋体" w:eastAsia="宋体" w:hint="default"/>
                <w:spacing w:val="-2"/>
                <w:sz w:val="20"/>
                <w:szCs w:val="20"/>
              </w:rPr>
              <w:t>）了解和测试销售与收款循环内部控制，对内部控制设</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计和运行有效性进行评估；</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Times New Roman" w:hAnsi="Times New Roman" w:cs="Times New Roman" w:eastAsia="Times New Roman" w:hint="default"/>
                <w:spacing w:val="-2"/>
                <w:sz w:val="20"/>
                <w:szCs w:val="20"/>
              </w:rPr>
              <w:t>2</w:t>
            </w:r>
            <w:r>
              <w:rPr>
                <w:rFonts w:ascii="宋体" w:hAnsi="宋体" w:cs="宋体" w:eastAsia="宋体" w:hint="default"/>
                <w:spacing w:val="-2"/>
                <w:sz w:val="20"/>
                <w:szCs w:val="20"/>
              </w:rPr>
              <w:t>）了解业务的商业实质，收集重要销售合同及对应销售</w:t>
            </w:r>
            <w:r>
              <w:rPr>
                <w:rFonts w:ascii="宋体" w:hAnsi="宋体" w:cs="宋体" w:eastAsia="宋体" w:hint="default"/>
                <w:spacing w:val="-51"/>
                <w:sz w:val="20"/>
                <w:szCs w:val="20"/>
              </w:rPr>
              <w:t> </w:t>
            </w:r>
            <w:r>
              <w:rPr>
                <w:rFonts w:ascii="宋体" w:hAnsi="宋体" w:cs="宋体" w:eastAsia="宋体" w:hint="default"/>
                <w:spacing w:val="-51"/>
                <w:sz w:val="20"/>
                <w:szCs w:val="20"/>
              </w:rPr>
            </w:r>
            <w:r>
              <w:rPr>
                <w:rFonts w:ascii="宋体" w:hAnsi="宋体" w:cs="宋体" w:eastAsia="宋体" w:hint="default"/>
                <w:sz w:val="20"/>
                <w:szCs w:val="20"/>
              </w:rPr>
              <w:t>发票、客户验收单等文件；</w:t>
            </w:r>
            <w:r>
              <w:rPr>
                <w:rFonts w:ascii="宋体" w:hAnsi="宋体" w:cs="宋体" w:eastAsia="宋体" w:hint="default"/>
                <w:spacing w:val="-96"/>
                <w:sz w:val="20"/>
                <w:szCs w:val="20"/>
              </w:rPr>
              <w:t> </w:t>
            </w:r>
            <w:r>
              <w:rPr>
                <w:rFonts w:ascii="宋体" w:hAnsi="宋体" w:cs="宋体" w:eastAsia="宋体" w:hint="default"/>
                <w:spacing w:val="-96"/>
                <w:sz w:val="20"/>
                <w:szCs w:val="20"/>
              </w:rPr>
            </w:r>
            <w:r>
              <w:rPr>
                <w:rFonts w:ascii="Times New Roman" w:hAnsi="Times New Roman" w:cs="Times New Roman" w:eastAsia="Times New Roman" w:hint="default"/>
                <w:spacing w:val="-2"/>
                <w:sz w:val="20"/>
                <w:szCs w:val="20"/>
              </w:rPr>
              <w:t>3</w:t>
            </w:r>
            <w:r>
              <w:rPr>
                <w:rFonts w:ascii="宋体" w:hAnsi="宋体" w:cs="宋体" w:eastAsia="宋体" w:hint="default"/>
                <w:spacing w:val="-2"/>
                <w:sz w:val="20"/>
                <w:szCs w:val="20"/>
              </w:rPr>
              <w:t>）选取重要工程项目进行走访，检查工程的进展情况；</w:t>
            </w:r>
          </w:p>
          <w:p>
            <w:pPr>
              <w:pStyle w:val="TableParagraph"/>
              <w:spacing w:line="277" w:lineRule="exact"/>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w:t>
            </w:r>
            <w:r>
              <w:rPr>
                <w:rFonts w:ascii="宋体" w:hAnsi="宋体" w:cs="宋体" w:eastAsia="宋体" w:hint="default"/>
                <w:sz w:val="20"/>
                <w:szCs w:val="20"/>
              </w:rPr>
              <w:t>）实施函证程序；</w:t>
            </w:r>
          </w:p>
          <w:p>
            <w:pPr>
              <w:pStyle w:val="TableParagraph"/>
              <w:spacing w:line="240" w:lineRule="auto" w:before="35"/>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）检查客户应收款回款情况；</w:t>
            </w:r>
          </w:p>
          <w:p>
            <w:pPr>
              <w:pStyle w:val="TableParagraph"/>
              <w:spacing w:line="240" w:lineRule="auto" w:before="35"/>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6</w:t>
            </w:r>
            <w:r>
              <w:rPr>
                <w:rFonts w:ascii="宋体" w:hAnsi="宋体" w:cs="宋体" w:eastAsia="宋体" w:hint="default"/>
                <w:sz w:val="20"/>
                <w:szCs w:val="20"/>
              </w:rPr>
              <w:t>）检查期后回款情况；</w:t>
            </w:r>
          </w:p>
          <w:p>
            <w:pPr>
              <w:pStyle w:val="TableParagraph"/>
              <w:spacing w:line="240" w:lineRule="auto" w:before="35"/>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宋体" w:hAnsi="宋体" w:cs="宋体" w:eastAsia="宋体" w:hint="default"/>
                <w:sz w:val="20"/>
                <w:szCs w:val="20"/>
              </w:rPr>
              <w:t>）对毛利率变动实施分析程序；</w:t>
            </w:r>
          </w:p>
          <w:p>
            <w:pPr>
              <w:pStyle w:val="TableParagraph"/>
              <w:spacing w:line="240" w:lineRule="auto" w:before="35"/>
              <w:ind w:left="100"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8</w:t>
            </w:r>
            <w:r>
              <w:rPr>
                <w:rFonts w:ascii="宋体" w:hAnsi="宋体" w:cs="宋体" w:eastAsia="宋体" w:hint="default"/>
                <w:sz w:val="20"/>
                <w:szCs w:val="20"/>
              </w:rPr>
              <w:t>）对收入进行截止测试。</w:t>
            </w:r>
          </w:p>
        </w:tc>
      </w:tr>
    </w:tbl>
    <w:p>
      <w:pPr>
        <w:spacing w:line="240" w:lineRule="auto" w:before="9"/>
        <w:rPr>
          <w:rFonts w:ascii="宋体" w:hAnsi="宋体" w:cs="宋体" w:eastAsia="宋体" w:hint="default"/>
          <w:sz w:val="19"/>
          <w:szCs w:val="19"/>
        </w:rPr>
      </w:pPr>
    </w:p>
    <w:p>
      <w:pPr>
        <w:spacing w:before="32"/>
        <w:ind w:left="233" w:right="0" w:firstLine="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4</w:t>
      </w:r>
      <w:r>
        <w:rPr>
          <w:rFonts w:ascii="宋体" w:hAnsi="宋体" w:cs="宋体" w:eastAsia="宋体" w:hint="default"/>
          <w:b/>
          <w:bCs/>
          <w:sz w:val="22"/>
          <w:szCs w:val="22"/>
        </w:rPr>
        <w:t>、其他信息</w:t>
      </w:r>
      <w:r>
        <w:rPr>
          <w:rFonts w:ascii="宋体" w:hAnsi="宋体" w:cs="宋体" w:eastAsia="宋体" w:hint="default"/>
          <w:sz w:val="22"/>
          <w:szCs w:val="22"/>
        </w:rPr>
      </w:r>
    </w:p>
    <w:p>
      <w:pPr>
        <w:spacing w:line="240" w:lineRule="auto" w:before="5"/>
        <w:rPr>
          <w:rFonts w:ascii="宋体" w:hAnsi="宋体" w:cs="宋体" w:eastAsia="宋体" w:hint="default"/>
          <w:b/>
          <w:bCs/>
          <w:sz w:val="24"/>
          <w:szCs w:val="24"/>
        </w:rPr>
      </w:pPr>
    </w:p>
    <w:p>
      <w:pPr>
        <w:spacing w:line="247" w:lineRule="auto" w:before="0"/>
        <w:ind w:left="233" w:right="0" w:firstLine="441"/>
        <w:jc w:val="left"/>
        <w:rPr>
          <w:rFonts w:ascii="宋体" w:hAnsi="宋体" w:cs="宋体" w:eastAsia="宋体" w:hint="default"/>
          <w:sz w:val="22"/>
          <w:szCs w:val="22"/>
        </w:rPr>
      </w:pPr>
      <w:r>
        <w:rPr>
          <w:rFonts w:ascii="宋体" w:hAnsi="宋体" w:cs="宋体" w:eastAsia="宋体" w:hint="default"/>
          <w:spacing w:val="-2"/>
          <w:sz w:val="22"/>
          <w:szCs w:val="22"/>
        </w:rPr>
        <w:t>依米康公司管理层（以下简称管理层）对其他信息负责。其他信息包括依米康公司</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年年度报</w:t>
      </w:r>
      <w:r>
        <w:rPr>
          <w:rFonts w:ascii="宋体" w:hAnsi="宋体" w:cs="宋体" w:eastAsia="宋体" w:hint="default"/>
          <w:w w:val="100"/>
          <w:sz w:val="22"/>
          <w:szCs w:val="22"/>
        </w:rPr>
        <w:t> </w:t>
      </w:r>
      <w:r>
        <w:rPr>
          <w:rFonts w:ascii="宋体" w:hAnsi="宋体" w:cs="宋体" w:eastAsia="宋体" w:hint="default"/>
          <w:sz w:val="22"/>
          <w:szCs w:val="22"/>
        </w:rPr>
        <w:t>告中涵盖的信息，但不包括财务报表和我们的审计报告。</w:t>
      </w:r>
    </w:p>
    <w:p>
      <w:pPr>
        <w:spacing w:line="624" w:lineRule="exact" w:before="87"/>
        <w:ind w:left="674" w:right="0" w:firstLine="0"/>
        <w:jc w:val="left"/>
        <w:rPr>
          <w:rFonts w:ascii="宋体" w:hAnsi="宋体" w:cs="宋体" w:eastAsia="宋体" w:hint="default"/>
          <w:sz w:val="22"/>
          <w:szCs w:val="22"/>
        </w:rPr>
      </w:pPr>
      <w:r>
        <w:rPr>
          <w:rFonts w:ascii="宋体" w:hAnsi="宋体" w:cs="宋体" w:eastAsia="宋体" w:hint="default"/>
          <w:spacing w:val="-2"/>
          <w:sz w:val="22"/>
          <w:szCs w:val="22"/>
        </w:rPr>
        <w:t>我们对财务报表发表的审计意见不涵盖其他信息，我们也不对其他信息发表任何形式的鉴证结论。</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结合我们对财务报表的审计，我们的责任是阅读其他信息，在此过程中，考虑其他信息是否与财</w:t>
      </w:r>
    </w:p>
    <w:p>
      <w:pPr>
        <w:spacing w:line="219" w:lineRule="exact" w:before="0"/>
        <w:ind w:left="233" w:right="0" w:firstLine="0"/>
        <w:jc w:val="left"/>
        <w:rPr>
          <w:rFonts w:ascii="宋体" w:hAnsi="宋体" w:cs="宋体" w:eastAsia="宋体" w:hint="default"/>
          <w:sz w:val="22"/>
          <w:szCs w:val="22"/>
        </w:rPr>
      </w:pPr>
      <w:r>
        <w:rPr>
          <w:rFonts w:ascii="宋体" w:hAnsi="宋体" w:cs="宋体" w:eastAsia="宋体" w:hint="default"/>
          <w:sz w:val="22"/>
          <w:szCs w:val="22"/>
        </w:rPr>
        <w:t>务报表或我们在审计过程中了解到的情况存在重大不一致或者似乎存在重大错报。</w:t>
      </w:r>
    </w:p>
    <w:p>
      <w:pPr>
        <w:spacing w:line="240" w:lineRule="auto" w:before="9"/>
        <w:rPr>
          <w:rFonts w:ascii="宋体" w:hAnsi="宋体" w:cs="宋体" w:eastAsia="宋体" w:hint="default"/>
          <w:sz w:val="25"/>
          <w:szCs w:val="25"/>
        </w:rPr>
      </w:pPr>
    </w:p>
    <w:p>
      <w:pPr>
        <w:spacing w:line="259" w:lineRule="auto" w:before="0"/>
        <w:ind w:left="233" w:right="0" w:firstLine="441"/>
        <w:jc w:val="left"/>
        <w:rPr>
          <w:rFonts w:ascii="宋体" w:hAnsi="宋体" w:cs="宋体" w:eastAsia="宋体" w:hint="default"/>
          <w:sz w:val="22"/>
          <w:szCs w:val="22"/>
        </w:rPr>
      </w:pPr>
      <w:r>
        <w:rPr>
          <w:rFonts w:ascii="宋体" w:hAnsi="宋体" w:cs="宋体" w:eastAsia="宋体" w:hint="default"/>
          <w:spacing w:val="-7"/>
          <w:sz w:val="22"/>
          <w:szCs w:val="22"/>
        </w:rPr>
        <w:t>基于我们已执行的工作，如果我们确定其他信息存在重大错报，我们应当报告该事实。在这方面，</w:t>
      </w:r>
      <w:r>
        <w:rPr>
          <w:rFonts w:ascii="宋体" w:hAnsi="宋体" w:cs="宋体" w:eastAsia="宋体" w:hint="default"/>
          <w:w w:val="100"/>
          <w:sz w:val="22"/>
          <w:szCs w:val="22"/>
        </w:rPr>
        <w:t> </w:t>
      </w:r>
      <w:r>
        <w:rPr>
          <w:rFonts w:ascii="宋体" w:hAnsi="宋体" w:cs="宋体" w:eastAsia="宋体" w:hint="default"/>
          <w:sz w:val="22"/>
          <w:szCs w:val="22"/>
        </w:rPr>
        <w:t>我们无任何事项需要报告。</w:t>
      </w:r>
    </w:p>
    <w:p>
      <w:pPr>
        <w:spacing w:line="600" w:lineRule="atLeast" w:before="23"/>
        <w:ind w:left="674" w:right="0" w:hanging="442"/>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5</w:t>
      </w:r>
      <w:r>
        <w:rPr>
          <w:rFonts w:ascii="宋体" w:hAnsi="宋体" w:cs="宋体" w:eastAsia="宋体" w:hint="default"/>
          <w:b/>
          <w:bCs/>
          <w:sz w:val="22"/>
          <w:szCs w:val="22"/>
        </w:rPr>
        <w:t>、管理层和治理层对财务报表的责任</w:t>
      </w:r>
      <w:r>
        <w:rPr>
          <w:rFonts w:ascii="宋体" w:hAnsi="宋体" w:cs="宋体" w:eastAsia="宋体" w:hint="default"/>
          <w:b/>
          <w:bCs/>
          <w:w w:val="99"/>
          <w:sz w:val="22"/>
          <w:szCs w:val="22"/>
        </w:rPr>
        <w:t> </w:t>
      </w:r>
      <w:r>
        <w:rPr>
          <w:rFonts w:ascii="宋体" w:hAnsi="宋体" w:cs="宋体" w:eastAsia="宋体" w:hint="default"/>
          <w:spacing w:val="-2"/>
          <w:sz w:val="22"/>
          <w:szCs w:val="22"/>
        </w:rPr>
        <w:t>管理层负责按照企业会计准则的规定编制财务报表，使其实现公允反映，并设计、执行和维护必</w:t>
      </w:r>
    </w:p>
    <w:p>
      <w:pPr>
        <w:spacing w:before="24"/>
        <w:ind w:left="233" w:right="0" w:firstLine="0"/>
        <w:jc w:val="left"/>
        <w:rPr>
          <w:rFonts w:ascii="宋体" w:hAnsi="宋体" w:cs="宋体" w:eastAsia="宋体" w:hint="default"/>
          <w:sz w:val="22"/>
          <w:szCs w:val="22"/>
        </w:rPr>
      </w:pPr>
      <w:r>
        <w:rPr>
          <w:rFonts w:ascii="宋体" w:hAnsi="宋体" w:cs="宋体" w:eastAsia="宋体" w:hint="default"/>
          <w:sz w:val="22"/>
          <w:szCs w:val="22"/>
        </w:rPr>
        <w:t>要的内部控制，以使财务报表不存在由于舞弊或错误导致的重大错报。</w:t>
      </w:r>
    </w:p>
    <w:p>
      <w:pPr>
        <w:spacing w:line="240" w:lineRule="auto" w:before="9"/>
        <w:rPr>
          <w:rFonts w:ascii="宋体" w:hAnsi="宋体" w:cs="宋体" w:eastAsia="宋体" w:hint="default"/>
          <w:sz w:val="25"/>
          <w:szCs w:val="25"/>
        </w:rPr>
      </w:pPr>
    </w:p>
    <w:p>
      <w:pPr>
        <w:spacing w:line="261" w:lineRule="auto" w:before="0"/>
        <w:ind w:left="233" w:right="0" w:firstLine="441"/>
        <w:jc w:val="left"/>
        <w:rPr>
          <w:rFonts w:ascii="宋体" w:hAnsi="宋体" w:cs="宋体" w:eastAsia="宋体" w:hint="default"/>
          <w:sz w:val="22"/>
          <w:szCs w:val="22"/>
        </w:rPr>
      </w:pPr>
      <w:r>
        <w:rPr>
          <w:rFonts w:ascii="宋体" w:hAnsi="宋体" w:cs="宋体" w:eastAsia="宋体" w:hint="default"/>
          <w:spacing w:val="-7"/>
          <w:w w:val="100"/>
          <w:sz w:val="22"/>
          <w:szCs w:val="22"/>
        </w:rPr>
        <w:t>在编制财务报表时，管理层负责评估依米康公司的持续经营能力，披露与持续经营相关的事项（如</w:t>
      </w:r>
      <w:r>
        <w:rPr>
          <w:rFonts w:ascii="宋体" w:hAnsi="宋体" w:cs="宋体" w:eastAsia="宋体" w:hint="default"/>
          <w:w w:val="100"/>
          <w:sz w:val="22"/>
          <w:szCs w:val="22"/>
        </w:rPr>
        <w:t> </w:t>
      </w:r>
      <w:r>
        <w:rPr>
          <w:rFonts w:ascii="宋体" w:hAnsi="宋体" w:cs="宋体" w:eastAsia="宋体" w:hint="default"/>
          <w:sz w:val="22"/>
          <w:szCs w:val="22"/>
        </w:rPr>
        <w:t>适用），并运用持续经营假设，除非管理层计划清算依米康公司、终止运营或别无其他现实的选择。</w:t>
      </w:r>
    </w:p>
    <w:p>
      <w:pPr>
        <w:spacing w:line="240" w:lineRule="auto" w:before="2"/>
        <w:rPr>
          <w:rFonts w:ascii="宋体" w:hAnsi="宋体" w:cs="宋体" w:eastAsia="宋体" w:hint="default"/>
          <w:sz w:val="24"/>
          <w:szCs w:val="24"/>
        </w:rPr>
      </w:pPr>
    </w:p>
    <w:p>
      <w:pPr>
        <w:spacing w:before="0"/>
        <w:ind w:left="674" w:right="0" w:firstLine="0"/>
        <w:jc w:val="left"/>
        <w:rPr>
          <w:rFonts w:ascii="宋体" w:hAnsi="宋体" w:cs="宋体" w:eastAsia="宋体" w:hint="default"/>
          <w:sz w:val="22"/>
          <w:szCs w:val="22"/>
        </w:rPr>
      </w:pPr>
      <w:r>
        <w:rPr>
          <w:rFonts w:ascii="宋体" w:hAnsi="宋体" w:cs="宋体" w:eastAsia="宋体" w:hint="default"/>
          <w:sz w:val="22"/>
          <w:szCs w:val="22"/>
        </w:rPr>
        <w:t>治理层负责监督依米康公司的财务报告过程。</w:t>
      </w:r>
    </w:p>
    <w:p>
      <w:pPr>
        <w:spacing w:line="600" w:lineRule="atLeast" w:before="40"/>
        <w:ind w:left="674" w:right="0" w:hanging="442"/>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6</w:t>
      </w:r>
      <w:r>
        <w:rPr>
          <w:rFonts w:ascii="宋体" w:hAnsi="宋体" w:cs="宋体" w:eastAsia="宋体" w:hint="default"/>
          <w:b/>
          <w:bCs/>
          <w:sz w:val="22"/>
          <w:szCs w:val="22"/>
        </w:rPr>
        <w:t>、注册会计师对财务报表审计的责任</w:t>
      </w:r>
      <w:r>
        <w:rPr>
          <w:rFonts w:ascii="宋体" w:hAnsi="宋体" w:cs="宋体" w:eastAsia="宋体" w:hint="default"/>
          <w:b/>
          <w:bCs/>
          <w:w w:val="99"/>
          <w:sz w:val="22"/>
          <w:szCs w:val="22"/>
        </w:rPr>
        <w:t> </w:t>
      </w:r>
      <w:r>
        <w:rPr>
          <w:rFonts w:ascii="宋体" w:hAnsi="宋体" w:cs="宋体" w:eastAsia="宋体" w:hint="default"/>
          <w:spacing w:val="-2"/>
          <w:sz w:val="22"/>
          <w:szCs w:val="22"/>
        </w:rPr>
        <w:t>我们的目标是对财务报表整体是否不存在由于舞弊或错误导致的重大错报获取合理保证，并出具</w:t>
      </w:r>
    </w:p>
    <w:p>
      <w:pPr>
        <w:spacing w:line="259" w:lineRule="auto" w:before="24"/>
        <w:ind w:left="233" w:right="1125" w:firstLine="0"/>
        <w:jc w:val="both"/>
        <w:rPr>
          <w:rFonts w:ascii="宋体" w:hAnsi="宋体" w:cs="宋体" w:eastAsia="宋体" w:hint="default"/>
          <w:sz w:val="22"/>
          <w:szCs w:val="22"/>
        </w:rPr>
      </w:pPr>
      <w:r>
        <w:rPr>
          <w:rFonts w:ascii="宋体" w:hAnsi="宋体" w:cs="宋体" w:eastAsia="宋体" w:hint="default"/>
          <w:spacing w:val="-2"/>
          <w:sz w:val="22"/>
          <w:szCs w:val="22"/>
        </w:rPr>
        <w:t>包含审计意见的审计报告。合理保证是高水平的保证，但并不能保证按照审计准则执行的审计在某一</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重大错报存在时总能发现。错报可能由于舞弊或错误导致，如果合理预期错报单独或汇总起来可能影</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响财务报表使用者依据财务报表作出的经济决策，则通常认为错报是重大的。</w:t>
      </w:r>
    </w:p>
    <w:p>
      <w:pPr>
        <w:spacing w:line="240" w:lineRule="auto" w:before="5"/>
        <w:rPr>
          <w:rFonts w:ascii="宋体" w:hAnsi="宋体" w:cs="宋体" w:eastAsia="宋体" w:hint="default"/>
          <w:sz w:val="24"/>
          <w:szCs w:val="24"/>
        </w:rPr>
      </w:pPr>
    </w:p>
    <w:p>
      <w:pPr>
        <w:spacing w:line="259" w:lineRule="auto" w:before="0"/>
        <w:ind w:left="233" w:right="0" w:firstLine="441"/>
        <w:jc w:val="left"/>
        <w:rPr>
          <w:rFonts w:ascii="宋体" w:hAnsi="宋体" w:cs="宋体" w:eastAsia="宋体" w:hint="default"/>
          <w:sz w:val="22"/>
          <w:szCs w:val="22"/>
        </w:rPr>
      </w:pPr>
      <w:r>
        <w:rPr>
          <w:rFonts w:ascii="宋体" w:hAnsi="宋体" w:cs="宋体" w:eastAsia="宋体" w:hint="default"/>
          <w:spacing w:val="-2"/>
          <w:sz w:val="22"/>
          <w:szCs w:val="22"/>
        </w:rPr>
        <w:t>在按照审计准则执行审计工作的过程中，我们运用职业判断，并保持职业怀疑。同时，我们也执</w:t>
      </w:r>
      <w:r>
        <w:rPr>
          <w:rFonts w:ascii="宋体" w:hAnsi="宋体" w:cs="宋体" w:eastAsia="宋体" w:hint="default"/>
          <w:w w:val="100"/>
          <w:sz w:val="22"/>
          <w:szCs w:val="22"/>
        </w:rPr>
        <w:t> </w:t>
      </w:r>
      <w:r>
        <w:rPr>
          <w:rFonts w:ascii="宋体" w:hAnsi="宋体" w:cs="宋体" w:eastAsia="宋体" w:hint="default"/>
          <w:sz w:val="22"/>
          <w:szCs w:val="22"/>
        </w:rPr>
        <w:t>行以下工作：</w:t>
      </w:r>
    </w:p>
    <w:p>
      <w:pPr>
        <w:spacing w:after="0" w:line="259" w:lineRule="auto"/>
        <w:jc w:val="left"/>
        <w:rPr>
          <w:rFonts w:ascii="宋体" w:hAnsi="宋体" w:cs="宋体" w:eastAsia="宋体" w:hint="default"/>
          <w:sz w:val="22"/>
          <w:szCs w:val="22"/>
        </w:rPr>
        <w:sectPr>
          <w:pgSz w:w="11910" w:h="16840"/>
          <w:pgMar w:header="863" w:footer="979" w:top="1060" w:bottom="1160" w:left="900" w:right="0"/>
        </w:sectPr>
      </w:pPr>
    </w:p>
    <w:p>
      <w:pPr>
        <w:spacing w:line="240" w:lineRule="auto" w:before="9"/>
        <w:rPr>
          <w:rFonts w:ascii="宋体" w:hAnsi="宋体" w:cs="宋体" w:eastAsia="宋体" w:hint="default"/>
          <w:sz w:val="24"/>
          <w:szCs w:val="24"/>
        </w:rPr>
      </w:pPr>
    </w:p>
    <w:p>
      <w:pPr>
        <w:spacing w:line="254" w:lineRule="auto" w:before="32"/>
        <w:ind w:left="153" w:right="0" w:firstLine="441"/>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）识别和评估由于舞弊或错误导致的财务报表重大错报风险，设计和实施审计程序以应对这</w:t>
      </w:r>
      <w:r>
        <w:rPr>
          <w:rFonts w:ascii="宋体" w:hAnsi="宋体" w:cs="宋体" w:eastAsia="宋体" w:hint="default"/>
          <w:w w:val="100"/>
          <w:sz w:val="22"/>
          <w:szCs w:val="22"/>
        </w:rPr>
        <w:t> </w:t>
      </w:r>
      <w:r>
        <w:rPr>
          <w:rFonts w:ascii="宋体" w:hAnsi="宋体" w:cs="宋体" w:eastAsia="宋体" w:hint="default"/>
          <w:sz w:val="22"/>
          <w:szCs w:val="22"/>
        </w:rPr>
        <w:t>些风险，并获取充分、适当的审计证据，作为发表审计意见的基础。由于舞弊可能涉及串通、伪造、</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pacing w:val="-2"/>
          <w:sz w:val="22"/>
          <w:szCs w:val="22"/>
        </w:rPr>
        <w:t>故意遗漏、虚假陈述或凌驾于内部控制之上，未能发现由于舞弊导致的重大错报的风险高于未能发现</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由于错误导致的重大错报的风险。</w:t>
      </w:r>
    </w:p>
    <w:p>
      <w:pPr>
        <w:spacing w:line="240" w:lineRule="auto" w:before="9"/>
        <w:rPr>
          <w:rFonts w:ascii="宋体" w:hAnsi="宋体" w:cs="宋体" w:eastAsia="宋体" w:hint="default"/>
          <w:sz w:val="24"/>
          <w:szCs w:val="24"/>
        </w:rPr>
      </w:pPr>
    </w:p>
    <w:p>
      <w:pPr>
        <w:spacing w:line="244" w:lineRule="auto" w:before="0"/>
        <w:ind w:left="153" w:right="1135"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）了解与审计相关的内部控制，以设计恰当的审计程序，但目的并非对内部控制的有效性发</w:t>
      </w:r>
      <w:r>
        <w:rPr>
          <w:rFonts w:ascii="宋体" w:hAnsi="宋体" w:cs="宋体" w:eastAsia="宋体" w:hint="default"/>
          <w:w w:val="100"/>
          <w:sz w:val="22"/>
          <w:szCs w:val="22"/>
        </w:rPr>
        <w:t> </w:t>
      </w:r>
      <w:r>
        <w:rPr>
          <w:rFonts w:ascii="宋体" w:hAnsi="宋体" w:cs="宋体" w:eastAsia="宋体" w:hint="default"/>
          <w:sz w:val="22"/>
          <w:szCs w:val="22"/>
        </w:rPr>
        <w:t>表意见。</w:t>
      </w:r>
    </w:p>
    <w:p>
      <w:pPr>
        <w:spacing w:line="240" w:lineRule="auto" w:before="5"/>
        <w:rPr>
          <w:rFonts w:ascii="宋体" w:hAnsi="宋体" w:cs="宋体" w:eastAsia="宋体" w:hint="default"/>
          <w:sz w:val="25"/>
          <w:szCs w:val="25"/>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）评价管理层选用会计政策的恰当性和作出会计估计及相关披露的合理性。</w:t>
      </w:r>
    </w:p>
    <w:p>
      <w:pPr>
        <w:spacing w:line="240" w:lineRule="auto" w:before="6"/>
        <w:rPr>
          <w:rFonts w:ascii="宋体" w:hAnsi="宋体" w:cs="宋体" w:eastAsia="宋体" w:hint="default"/>
          <w:sz w:val="24"/>
          <w:szCs w:val="24"/>
        </w:rPr>
      </w:pPr>
    </w:p>
    <w:p>
      <w:pPr>
        <w:spacing w:line="256" w:lineRule="auto" w:before="0"/>
        <w:ind w:left="153" w:right="1130"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）对管理层使用持续经营假设的恰当性得出结论。同时，根据获取的审计证据，就可能导致</w:t>
      </w:r>
      <w:r>
        <w:rPr>
          <w:rFonts w:ascii="宋体" w:hAnsi="宋体" w:cs="宋体" w:eastAsia="宋体" w:hint="default"/>
          <w:w w:val="100"/>
          <w:sz w:val="22"/>
          <w:szCs w:val="22"/>
        </w:rPr>
        <w:t> </w:t>
      </w:r>
      <w:r>
        <w:rPr>
          <w:rFonts w:ascii="宋体" w:hAnsi="宋体" w:cs="宋体" w:eastAsia="宋体" w:hint="default"/>
          <w:spacing w:val="-2"/>
          <w:sz w:val="22"/>
          <w:szCs w:val="22"/>
        </w:rPr>
        <w:t>对依米康公司持续经营能力产生重大疑虑的事项或情况是否存在重大不确定性得出结论。如果我们得</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出结论认为存在重大不确定性，审计准则要求我们在审计报告中提请报表使用者注意财务报表中的相</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关披露；如果披露不充分，我们应当发表非无保留意见。我们的结论基于截至审计报告日可获得的信</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息。然而，未来的事项或情况可能导致依米康公司不能持续经营。</w:t>
      </w:r>
    </w:p>
    <w:p>
      <w:pPr>
        <w:spacing w:line="240" w:lineRule="auto" w:before="7"/>
        <w:rPr>
          <w:rFonts w:ascii="宋体" w:hAnsi="宋体" w:cs="宋体" w:eastAsia="宋体" w:hint="default"/>
          <w:sz w:val="24"/>
          <w:szCs w:val="24"/>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）评价财务报表的总体列报、结构和内容，并评价财务报表是否公允反映相关交易和事项。</w:t>
      </w:r>
    </w:p>
    <w:p>
      <w:pPr>
        <w:spacing w:line="240" w:lineRule="auto" w:before="5"/>
        <w:rPr>
          <w:rFonts w:ascii="宋体" w:hAnsi="宋体" w:cs="宋体" w:eastAsia="宋体" w:hint="default"/>
          <w:sz w:val="24"/>
          <w:szCs w:val="24"/>
        </w:rPr>
      </w:pPr>
    </w:p>
    <w:p>
      <w:pPr>
        <w:spacing w:line="247" w:lineRule="auto" w:before="0"/>
        <w:ind w:left="153" w:right="1135"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）就依米康公司中实体或业务活动的财务信息获取充分、适当的审计证据，以对财务报表发</w:t>
      </w:r>
      <w:r>
        <w:rPr>
          <w:rFonts w:ascii="宋体" w:hAnsi="宋体" w:cs="宋体" w:eastAsia="宋体" w:hint="default"/>
          <w:w w:val="100"/>
          <w:sz w:val="22"/>
          <w:szCs w:val="22"/>
        </w:rPr>
        <w:t> </w:t>
      </w:r>
      <w:r>
        <w:rPr>
          <w:rFonts w:ascii="宋体" w:hAnsi="宋体" w:cs="宋体" w:eastAsia="宋体" w:hint="default"/>
          <w:sz w:val="22"/>
          <w:szCs w:val="22"/>
        </w:rPr>
        <w:t>表审计意见。我们负责指导、监督和执行集团审计，并对审计意见承担全部责任。</w:t>
      </w:r>
    </w:p>
    <w:p>
      <w:pPr>
        <w:spacing w:line="240" w:lineRule="auto" w:before="2"/>
        <w:rPr>
          <w:rFonts w:ascii="宋体" w:hAnsi="宋体" w:cs="宋体" w:eastAsia="宋体" w:hint="default"/>
          <w:sz w:val="25"/>
          <w:szCs w:val="25"/>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我们与治理层就计划的审计范围、时间安排和重大审计发现等事项进行沟通，包括沟通我们在审</w:t>
      </w:r>
      <w:r>
        <w:rPr>
          <w:rFonts w:ascii="宋体" w:hAnsi="宋体" w:cs="宋体" w:eastAsia="宋体" w:hint="default"/>
          <w:w w:val="100"/>
          <w:sz w:val="22"/>
          <w:szCs w:val="22"/>
        </w:rPr>
        <w:t> </w:t>
      </w:r>
      <w:r>
        <w:rPr>
          <w:rFonts w:ascii="宋体" w:hAnsi="宋体" w:cs="宋体" w:eastAsia="宋体" w:hint="default"/>
          <w:sz w:val="22"/>
          <w:szCs w:val="22"/>
        </w:rPr>
        <w:t>计中识别出的值得关注的内部控制缺陷。</w:t>
      </w:r>
    </w:p>
    <w:p>
      <w:pPr>
        <w:spacing w:line="240" w:lineRule="auto" w:before="4"/>
        <w:rPr>
          <w:rFonts w:ascii="宋体" w:hAnsi="宋体" w:cs="宋体" w:eastAsia="宋体" w:hint="default"/>
          <w:sz w:val="24"/>
          <w:szCs w:val="24"/>
        </w:rPr>
      </w:pPr>
    </w:p>
    <w:p>
      <w:pPr>
        <w:spacing w:line="261"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我们还就已遵守与独立性相关的职业道德要求向治理层提供声明，并与治理层沟通可能被合理认</w:t>
      </w:r>
      <w:r>
        <w:rPr>
          <w:rFonts w:ascii="宋体" w:hAnsi="宋体" w:cs="宋体" w:eastAsia="宋体" w:hint="default"/>
          <w:w w:val="100"/>
          <w:sz w:val="22"/>
          <w:szCs w:val="22"/>
        </w:rPr>
        <w:t> </w:t>
      </w:r>
      <w:r>
        <w:rPr>
          <w:rFonts w:ascii="宋体" w:hAnsi="宋体" w:cs="宋体" w:eastAsia="宋体" w:hint="default"/>
          <w:sz w:val="22"/>
          <w:szCs w:val="22"/>
        </w:rPr>
        <w:t>为影响我们独立性的所有关系和其他事项，以及相关的防范措施（如适用）。</w:t>
      </w:r>
    </w:p>
    <w:p>
      <w:pPr>
        <w:spacing w:line="240" w:lineRule="auto" w:before="2"/>
        <w:rPr>
          <w:rFonts w:ascii="宋体" w:hAnsi="宋体" w:cs="宋体" w:eastAsia="宋体" w:hint="default"/>
          <w:sz w:val="24"/>
          <w:szCs w:val="24"/>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从与治理层沟通过的事项中，我们确定哪些事项对本期财务报表审计最为重要，因而构成关键审</w:t>
      </w:r>
      <w:r>
        <w:rPr>
          <w:rFonts w:ascii="宋体" w:hAnsi="宋体" w:cs="宋体" w:eastAsia="宋体" w:hint="default"/>
          <w:w w:val="100"/>
          <w:sz w:val="22"/>
          <w:szCs w:val="22"/>
        </w:rPr>
        <w:t> </w:t>
      </w:r>
      <w:r>
        <w:rPr>
          <w:rFonts w:ascii="宋体" w:hAnsi="宋体" w:cs="宋体" w:eastAsia="宋体" w:hint="default"/>
          <w:spacing w:val="-7"/>
          <w:w w:val="100"/>
          <w:sz w:val="22"/>
          <w:szCs w:val="22"/>
        </w:rPr>
        <w:t>计事项。我们在审计报告中描述这些事项，除非法律法规禁止公开披露这些事项，或在极少数情形下，</w:t>
      </w:r>
      <w:r>
        <w:rPr>
          <w:rFonts w:ascii="宋体" w:hAnsi="宋体" w:cs="宋体" w:eastAsia="宋体" w:hint="default"/>
          <w:spacing w:val="-92"/>
          <w:w w:val="100"/>
          <w:sz w:val="22"/>
          <w:szCs w:val="22"/>
        </w:rPr>
        <w:t> </w:t>
      </w:r>
      <w:r>
        <w:rPr>
          <w:rFonts w:ascii="宋体" w:hAnsi="宋体" w:cs="宋体" w:eastAsia="宋体" w:hint="default"/>
          <w:spacing w:val="-92"/>
          <w:w w:val="100"/>
          <w:sz w:val="22"/>
          <w:szCs w:val="22"/>
        </w:rPr>
      </w:r>
      <w:r>
        <w:rPr>
          <w:rFonts w:ascii="宋体" w:hAnsi="宋体" w:cs="宋体" w:eastAsia="宋体" w:hint="default"/>
          <w:spacing w:val="-2"/>
          <w:sz w:val="22"/>
          <w:szCs w:val="22"/>
        </w:rPr>
        <w:t>如果合理预期在审计报告中沟通某事项造成的负面后果超过在公众利益方面产生的益处，我们确定不</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tbl>
      <w:tblPr>
        <w:tblW w:w="0" w:type="auto"/>
        <w:jc w:val="left"/>
        <w:tblInd w:w="678" w:type="dxa"/>
        <w:tblLayout w:type="fixed"/>
        <w:tblCellMar>
          <w:top w:w="0" w:type="dxa"/>
          <w:left w:w="0" w:type="dxa"/>
          <w:bottom w:w="0" w:type="dxa"/>
          <w:right w:w="0" w:type="dxa"/>
        </w:tblCellMar>
        <w:tblLook w:val="01E0"/>
      </w:tblPr>
      <w:tblGrid>
        <w:gridCol w:w="3054"/>
        <w:gridCol w:w="4678"/>
      </w:tblGrid>
      <w:tr>
        <w:trPr>
          <w:trHeight w:val="754"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21" w:lineRule="exact"/>
              <w:ind w:right="449"/>
              <w:jc w:val="center"/>
              <w:rPr>
                <w:rFonts w:ascii="宋体" w:hAnsi="宋体" w:cs="宋体" w:eastAsia="宋体" w:hint="default"/>
                <w:sz w:val="22"/>
                <w:szCs w:val="22"/>
              </w:rPr>
            </w:pPr>
            <w:r>
              <w:rPr>
                <w:rFonts w:ascii="宋体" w:hAnsi="宋体" w:cs="宋体" w:eastAsia="宋体" w:hint="default"/>
                <w:sz w:val="22"/>
                <w:szCs w:val="22"/>
              </w:rPr>
              <w:t>信永中和会计师事务所</w:t>
            </w:r>
          </w:p>
          <w:p>
            <w:pPr>
              <w:pStyle w:val="TableParagraph"/>
              <w:spacing w:line="240" w:lineRule="auto" w:before="24"/>
              <w:ind w:right="442"/>
              <w:jc w:val="center"/>
              <w:rPr>
                <w:rFonts w:ascii="宋体" w:hAnsi="宋体" w:cs="宋体" w:eastAsia="宋体" w:hint="default"/>
                <w:sz w:val="22"/>
                <w:szCs w:val="22"/>
              </w:rPr>
            </w:pPr>
            <w:r>
              <w:rPr>
                <w:rFonts w:ascii="宋体" w:hAnsi="宋体" w:cs="宋体" w:eastAsia="宋体" w:hint="default"/>
                <w:sz w:val="22"/>
                <w:szCs w:val="22"/>
              </w:rPr>
              <w:t>（特殊普通合伙）</w:t>
            </w:r>
          </w:p>
        </w:tc>
        <w:tc>
          <w:tcPr>
            <w:tcW w:w="4678" w:type="dxa"/>
            <w:tcBorders>
              <w:top w:val="nil" w:sz="6" w:space="0" w:color="auto"/>
              <w:left w:val="nil" w:sz="6" w:space="0" w:color="auto"/>
              <w:bottom w:val="nil" w:sz="6" w:space="0" w:color="auto"/>
              <w:right w:val="nil" w:sz="6" w:space="0" w:color="auto"/>
            </w:tcBorders>
          </w:tcPr>
          <w:p>
            <w:pPr>
              <w:pStyle w:val="TableParagraph"/>
              <w:spacing w:line="221" w:lineRule="exact"/>
              <w:ind w:left="651" w:right="0"/>
              <w:jc w:val="left"/>
              <w:rPr>
                <w:rFonts w:ascii="宋体" w:hAnsi="宋体" w:cs="宋体" w:eastAsia="宋体" w:hint="default"/>
                <w:sz w:val="22"/>
                <w:szCs w:val="22"/>
              </w:rPr>
            </w:pPr>
            <w:r>
              <w:rPr>
                <w:rFonts w:ascii="宋体" w:hAnsi="宋体" w:cs="宋体" w:eastAsia="宋体" w:hint="default"/>
                <w:sz w:val="22"/>
                <w:szCs w:val="22"/>
              </w:rPr>
              <w:t>中国注册会计师：</w:t>
            </w:r>
            <w:r>
              <w:rPr>
                <w:rFonts w:ascii="宋体" w:hAnsi="宋体" w:cs="宋体" w:eastAsia="宋体" w:hint="default"/>
                <w:spacing w:val="-25"/>
                <w:sz w:val="22"/>
                <w:szCs w:val="22"/>
              </w:rPr>
              <w:t> </w:t>
            </w:r>
            <w:r>
              <w:rPr>
                <w:rFonts w:ascii="宋体" w:hAnsi="宋体" w:cs="宋体" w:eastAsia="宋体" w:hint="default"/>
                <w:sz w:val="22"/>
                <w:szCs w:val="22"/>
              </w:rPr>
              <w:t>（项目合伙人）何勇</w:t>
            </w:r>
          </w:p>
        </w:tc>
      </w:tr>
      <w:tr>
        <w:trPr>
          <w:trHeight w:val="821" w:hRule="exact"/>
        </w:trPr>
        <w:tc>
          <w:tcPr>
            <w:tcW w:w="3054" w:type="dxa"/>
            <w:tcBorders>
              <w:top w:val="nil" w:sz="6" w:space="0" w:color="auto"/>
              <w:left w:val="nil" w:sz="6" w:space="0" w:color="auto"/>
              <w:bottom w:val="nil" w:sz="6" w:space="0" w:color="auto"/>
              <w:right w:val="nil" w:sz="6" w:space="0" w:color="auto"/>
            </w:tcBorders>
          </w:tcPr>
          <w:p>
            <w:pPr/>
          </w:p>
        </w:tc>
        <w:tc>
          <w:tcPr>
            <w:tcW w:w="4678"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651" w:right="0"/>
              <w:jc w:val="left"/>
              <w:rPr>
                <w:rFonts w:ascii="宋体" w:hAnsi="宋体" w:cs="宋体" w:eastAsia="宋体" w:hint="default"/>
                <w:sz w:val="22"/>
                <w:szCs w:val="22"/>
              </w:rPr>
            </w:pPr>
            <w:r>
              <w:rPr>
                <w:rFonts w:ascii="宋体" w:hAnsi="宋体" w:cs="宋体" w:eastAsia="宋体" w:hint="default"/>
                <w:sz w:val="22"/>
                <w:szCs w:val="22"/>
              </w:rPr>
              <w:t>中国注册会计师：夏翠琼</w:t>
            </w:r>
          </w:p>
        </w:tc>
      </w:tr>
      <w:tr>
        <w:trPr>
          <w:trHeight w:val="600" w:hRule="exact"/>
        </w:trPr>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tabs>
                <w:tab w:pos="1501" w:val="left" w:leader="none"/>
              </w:tabs>
              <w:spacing w:line="240" w:lineRule="auto"/>
              <w:ind w:left="661" w:right="0"/>
              <w:jc w:val="left"/>
              <w:rPr>
                <w:rFonts w:ascii="宋体" w:hAnsi="宋体" w:cs="宋体" w:eastAsia="宋体" w:hint="default"/>
                <w:sz w:val="22"/>
                <w:szCs w:val="22"/>
              </w:rPr>
            </w:pPr>
            <w:r>
              <w:rPr>
                <w:rFonts w:ascii="宋体" w:hAnsi="宋体" w:cs="宋体" w:eastAsia="宋体" w:hint="default"/>
                <w:sz w:val="22"/>
                <w:szCs w:val="22"/>
              </w:rPr>
              <w:t>中国</w:t>
              <w:tab/>
              <w:t>北京</w:t>
            </w:r>
          </w:p>
        </w:tc>
        <w:tc>
          <w:tcPr>
            <w:tcW w:w="46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871" w:right="0"/>
              <w:jc w:val="left"/>
              <w:rPr>
                <w:rFonts w:ascii="宋体" w:hAnsi="宋体" w:cs="宋体" w:eastAsia="宋体" w:hint="default"/>
                <w:sz w:val="22"/>
                <w:szCs w:val="22"/>
              </w:rPr>
            </w:pPr>
            <w:r>
              <w:rPr>
                <w:rFonts w:ascii="宋体" w:hAnsi="宋体" w:cs="宋体" w:eastAsia="宋体" w:hint="default"/>
                <w:sz w:val="22"/>
                <w:szCs w:val="22"/>
              </w:rPr>
              <w:t>二</w:t>
            </w:r>
            <w:r>
              <w:rPr>
                <w:rFonts w:ascii="宋体" w:hAnsi="宋体" w:cs="宋体" w:eastAsia="宋体" w:hint="default"/>
                <w:sz w:val="22"/>
                <w:szCs w:val="22"/>
              </w:rPr>
              <w:t>O</w:t>
            </w:r>
            <w:r>
              <w:rPr>
                <w:rFonts w:ascii="宋体" w:hAnsi="宋体" w:cs="宋体" w:eastAsia="宋体" w:hint="default"/>
                <w:sz w:val="22"/>
                <w:szCs w:val="22"/>
              </w:rPr>
              <w:t>二</w:t>
            </w:r>
            <w:r>
              <w:rPr>
                <w:rFonts w:ascii="宋体" w:hAnsi="宋体" w:cs="宋体" w:eastAsia="宋体" w:hint="default"/>
                <w:sz w:val="22"/>
                <w:szCs w:val="22"/>
              </w:rPr>
              <w:t>O</w:t>
            </w:r>
            <w:r>
              <w:rPr>
                <w:rFonts w:ascii="宋体" w:hAnsi="宋体" w:cs="宋体" w:eastAsia="宋体" w:hint="default"/>
                <w:sz w:val="22"/>
                <w:szCs w:val="22"/>
              </w:rPr>
              <w:t>年四月二十七日</w:t>
            </w:r>
          </w:p>
        </w:tc>
      </w:tr>
    </w:tbl>
    <w:p>
      <w:pPr>
        <w:spacing w:after="0" w:line="240" w:lineRule="auto"/>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54"/>
      <w:bookmarkEnd w:id="154"/>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1、合并资产负债表" w:id="155"/>
      <w:bookmarkEnd w:id="1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3"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编制单位：依米康科技集团股份有限公司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3"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399" w:space="678"/>
            <w:col w:w="1642" w:space="3203"/>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206,830,009.25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347,304,473.18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46,718,827.15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1,269,260.80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24,674,846.50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1,066,005,218.04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1,186,629,674.09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31,692,324.24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88,870,098.48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111,824,519.30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68,070,926.09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71,744,805.52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422,957,827.96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364,111,257.30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2,582,259.46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3,842,343.79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19,165,833.86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35,813,283.80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1,954,162,585.33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2,145,945,203.48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22,340,984.54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23,157,817.71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29,936,637.87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257,071,041.34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229,524,267.14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196,679,591.97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218,944,026.83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61,909,876.72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39,363,749.51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219,884,961.68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166,644,550.23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52,125,633.06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55,763,011.49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4,351,852.12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2,314,870.41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42,015,455.41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35,701,394.73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857,196,230.01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800,533,492.75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2,811,358,815.34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2,946,478,696.23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445,796,433.91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349,000,000.00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64,237,782.81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119,337,138.28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597,880,249.49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619,108,653.37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202,114,111.72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179,244,033.11</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14,917,153.78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12,045,613.92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18,320,299.49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21,918,725.67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77,074,338.75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165,137,910.29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1,517,060.14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105,293,507.68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87,575,046.76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62,879,814.76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97,950,781.61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1,588,513,692.39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1,651,317,903.01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67,450,000.00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74,000,000.00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124,765,890.49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177,401,140.25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18,488,919.89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8,638,920.06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33,656,482.21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34,937,625.09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244,361,292.59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294,977,685.40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1,832,874,984.98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1,946,295,588.41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437,470,194.00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445,987,594.00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64,625,943.82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111,699,891.57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52,055,456.00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-22,848.92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3,942,661.54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3,576,174.63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25,396,456.01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24,363,534.41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253,440,586.91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257,534,402.60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784,875,842.28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791,083,292.29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193,607,988.08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209,099,815.53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978,483,830.36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1,000,183,107.82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2,811,358,815.34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2,946,478,696.23</w:t>
            </w:r>
          </w:p>
        </w:tc>
      </w:tr>
    </w:tbl>
    <w:p>
      <w:pPr>
        <w:spacing w:line="240" w:lineRule="auto" w:before="2"/>
        <w:rPr>
          <w:rFonts w:ascii="Times New Roman" w:hAnsi="Times New Roman" w:cs="Times New Roman" w:eastAsia="Times New Roman" w:hint="default"/>
          <w:sz w:val="23"/>
          <w:szCs w:val="23"/>
        </w:rPr>
      </w:pPr>
    </w:p>
    <w:p>
      <w:pPr>
        <w:tabs>
          <w:tab w:pos="3332" w:val="left" w:leader="none"/>
          <w:tab w:pos="7567" w:val="left" w:leader="none"/>
        </w:tabs>
        <w:spacing w:before="46"/>
        <w:ind w:left="0" w:right="1218" w:firstLine="0"/>
        <w:jc w:val="right"/>
        <w:rPr>
          <w:rFonts w:ascii="宋体" w:hAnsi="宋体" w:cs="宋体" w:eastAsia="宋体" w:hint="default"/>
          <w:sz w:val="18"/>
          <w:szCs w:val="18"/>
        </w:rPr>
      </w:pPr>
      <w:r>
        <w:rPr>
          <w:rFonts w:ascii="宋体" w:hAnsi="宋体" w:cs="宋体" w:eastAsia="宋体" w:hint="default"/>
          <w:spacing w:val="-2"/>
          <w:sz w:val="18"/>
          <w:szCs w:val="18"/>
        </w:rPr>
        <w:t>法定代表人：张菀</w:t>
        <w:tab/>
      </w:r>
      <w:r>
        <w:rPr>
          <w:rFonts w:ascii="宋体" w:hAnsi="宋体" w:cs="宋体" w:eastAsia="宋体" w:hint="default"/>
          <w:spacing w:val="-3"/>
          <w:sz w:val="18"/>
          <w:szCs w:val="18"/>
        </w:rPr>
        <w:t>主管会计工作负责人：黄建军</w:t>
        <w:tab/>
        <w:t>会计机构负责人：汤华林</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母公司资产负债表" w:id="156"/>
      <w:bookmarkEnd w:id="1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120,813,841.35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187,034,485.85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46,278,973.00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819,910.80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9,363,597.90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205,653,122.18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223,861,485.47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3,476,481.53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12,591,103.62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26,112,892.40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163,116,495.07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63,997,391.24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17"/>
              <w:jc w:val="righ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16"/>
              <w:jc w:val="right"/>
              <w:rPr>
                <w:rFonts w:ascii="宋体" w:hAnsi="宋体" w:cs="宋体" w:eastAsia="宋体" w:hint="default"/>
                <w:sz w:val="18"/>
                <w:szCs w:val="18"/>
              </w:rPr>
            </w:pPr>
            <w:r>
              <w:rPr>
                <w:rFonts w:ascii="宋体" w:hAnsi="宋体" w:cs="宋体" w:eastAsia="宋体" w:hint="default"/>
                <w:spacing w:val="-2"/>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1,578,980.97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1,578,980.97</w:t>
            </w:r>
          </w:p>
        </w:tc>
      </w:tr>
      <w:tr>
        <w:trPr>
          <w:trHeight w:val="399"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142,154,311.09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126,715,563.48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487,893.30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695,392,131.94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637,085,416.34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21,879,732.08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23,157,817.71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28,232,450.29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554,057,600.91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527,457,600.91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8,278,858.73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8,670,475.83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93,550,486.22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92,901,420.34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23,143,765.73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2,819,223.45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20,558,847.68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22,081,837.54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1,871,489.15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269,477.71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6,128,515.87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5,665,618.03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730,747,382.00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709,977,836.18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1,426,139,513.94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1,347,063,252.52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189,900,000.00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133,000,000.00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5,558,795.50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18,798,946.82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169,179,783.54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86,033,015.91</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41,786,684.54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47,711,463.43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476,648.32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554,936.92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420,450.65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4,150,224.06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170,339,609.52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174,864,726.77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62,660,728.38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35,288,658.70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25,686,904.24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26,332,059.03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666,009,604.69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526,734,031.64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11,826,495.62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25,487,224.00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3,488,919.89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3,488,920.06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9,263,080.13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9,263,080.13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24,578,495.64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88,239,224.19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690,588,100.33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614,973,255.83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437,470,194.00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445,987,594.00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91,789,382.71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135,878,956.50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52,055,456.00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25,396,456.01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24,363,534.41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180,895,380.89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177,915,367.78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735,551,413.61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732,089,996.69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1,426,139,513.94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1,347,063,252.52</w:t>
            </w: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3、合并利润表" w:id="157"/>
      <w:bookmarkEnd w:id="15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1,179,354,900.26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1,371,177,902.80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1,179,354,900.26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1,371,177,902.80</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1,183,321,858.97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1,306,839,765.41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884,752,399.10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1,023,794,426.05</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9,517,366.01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8,838,867.03</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93,533,701.19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90,039,659.51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81,755,446.78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77,329,574.73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63,555,697.98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72,027,854.86</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50,207,247.91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34,809,383.23</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91"/>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50,584,720.85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37,922,309.81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6,114,995.91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9,150,432.18</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17,204,759.46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13,650,626.29</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21,079,512.60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4,865,894.22</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29999pt;margin-top:107.665985pt;width:158.950pt;height:20.7pt;mso-position-horizontal-relative:page;mso-position-vertical-relative:page;z-index:-1180336" coordorigin="4221,2153" coordsize="3179,414">
            <v:group style="position:absolute;left:4233;top:2165;width:2;height:390" coordorigin="4233,2165" coordsize="2,390">
              <v:shape style="position:absolute;left:4233;top:2165;width:2;height:390" coordorigin="4233,2165" coordsize="0,390" path="m4233,2165l4233,2555e" filled="false" stroked="true" strokeweight="1.2pt" strokecolor="#ffffff">
                <v:path arrowok="t"/>
              </v:shape>
            </v:group>
            <v:group style="position:absolute;left:4245;top:2165;width:3155;height:390" coordorigin="4245,2165" coordsize="3155,390">
              <v:shape style="position:absolute;left:4245;top:2165;width:3155;height:390" coordorigin="4245,2165" coordsize="3155,390" path="m4245,2555l7400,2555,7400,2165,4245,2165,4245,2555xe" filled="true" fillcolor="#ffffff" stroked="false">
                <v:path arrowok="t"/>
                <v:fill type="solid"/>
              </v:shape>
            </v:group>
            <w10:wrap type="none"/>
          </v:group>
        </w:pict>
      </w:r>
      <w:r>
        <w:rPr/>
        <w:pict>
          <v:group style="position:absolute;margin-left:211.029999pt;margin-top:366.695984pt;width:158.950pt;height:20.7pt;mso-position-horizontal-relative:page;mso-position-vertical-relative:page;z-index:-1180312" coordorigin="4221,7334" coordsize="3179,414">
            <v:group style="position:absolute;left:4233;top:7346;width:2;height:390" coordorigin="4233,7346" coordsize="2,390">
              <v:shape style="position:absolute;left:4233;top:7346;width:2;height:390" coordorigin="4233,7346" coordsize="0,390" path="m4233,7346l4233,7735e" filled="false" stroked="true" strokeweight="1.2pt" strokecolor="#ffffff">
                <v:path arrowok="t"/>
              </v:shape>
            </v:group>
            <v:group style="position:absolute;left:4245;top:7346;width:3155;height:390" coordorigin="4245,7346" coordsize="3155,390">
              <v:shape style="position:absolute;left:4245;top:7346;width:3155;height:390" coordorigin="4245,7346" coordsize="3155,390" path="m4245,7735l7400,7735,7400,7346,4245,7346,4245,7735xe" filled="true" fillcolor="#ffffff" stroked="false">
                <v:path arrowok="t"/>
                <v:fill type="solid"/>
              </v:shape>
            </v:group>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1136"/>
        <w:gridCol w:w="2084"/>
        <w:gridCol w:w="3279"/>
      </w:tblGrid>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0"/>
              <w:jc w:val="righ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1" w:right="5"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-21,398.31</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-28,726,069.93</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-14,255,230.01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-45,028,514.93</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92,007.71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-112,304.44</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-8,593,377.19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37,713,838.53</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7,277,059.21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75,031.60</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3,552,262.02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205,393.86</w:t>
            </w:r>
          </w:p>
        </w:tc>
      </w:tr>
      <w:tr>
        <w:trPr>
          <w:trHeight w:val="40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36"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9"/>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1056" w:right="0"/>
              <w:jc w:val="left"/>
              <w:rPr>
                <w:rFonts w:ascii="Times New Roman" w:hAnsi="Times New Roman" w:cs="Times New Roman" w:eastAsia="Times New Roman" w:hint="default"/>
                <w:sz w:val="18"/>
                <w:szCs w:val="18"/>
              </w:rPr>
            </w:pPr>
            <w:r>
              <w:rPr>
                <w:rFonts w:ascii="Times New Roman"/>
                <w:sz w:val="18"/>
              </w:rPr>
              <w:t>-4,868,580.00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37,583,476.27</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-2,115,531.83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314,776.96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-2,753,048.17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37,268,699.31</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-2,753,048.17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37,268,699.31</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3,278,236.16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38,278,594.81</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-6,031,284.33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-1,009,895.50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-6,779,564.72</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-6,759,973.66</w:t>
            </w: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4"/>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tc>
        <w:tc>
          <w:tcPr>
            <w:tcW w:w="3220" w:type="dxa"/>
            <w:gridSpan w:val="2"/>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36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-6,759,973.66</w:t>
            </w: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-22,848.92</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-6,737,124.74</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-19,591.06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-2,753,048.17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30,489,134.59</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3,278,236.16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31,518,621.15</w:t>
            </w: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9"/>
              <w:jc w:val="righ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-6,031,284.33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-1,029,486.56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0.0075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0.0875</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0.0075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0.0875</w:t>
            </w:r>
          </w:p>
        </w:tc>
      </w:tr>
    </w:tbl>
    <w:p>
      <w:pPr>
        <w:tabs>
          <w:tab w:pos="3485" w:val="left" w:leader="none"/>
          <w:tab w:pos="7720" w:val="left" w:leader="none"/>
        </w:tabs>
        <w:spacing w:line="590" w:lineRule="auto" w:before="54"/>
        <w:ind w:left="153" w:right="1218" w:firstLine="0"/>
        <w:jc w:val="left"/>
        <w:rPr>
          <w:rFonts w:ascii="宋体" w:hAnsi="宋体" w:cs="宋体" w:eastAsia="宋体" w:hint="default"/>
          <w:sz w:val="21"/>
          <w:szCs w:val="21"/>
        </w:rPr>
      </w:pPr>
      <w:r>
        <w:rPr>
          <w:rFonts w:ascii="宋体" w:hAnsi="宋体" w:cs="宋体" w:eastAsia="宋体" w:hint="default"/>
          <w:spacing w:val="-3"/>
          <w:sz w:val="18"/>
          <w:szCs w:val="18"/>
        </w:rPr>
        <w:t>本期发生同一控制下企业合并的，被合并方在合并前实现的净利润为：</w:t>
      </w:r>
      <w:r>
        <w:rPr>
          <w:rFonts w:ascii="Times New Roman" w:hAnsi="Times New Roman" w:cs="Times New Roman" w:eastAsia="Times New Roman" w:hint="default"/>
          <w:spacing w:val="-3"/>
          <w:sz w:val="18"/>
          <w:szCs w:val="18"/>
        </w:rPr>
        <w:t>0 </w:t>
      </w:r>
      <w:r>
        <w:rPr>
          <w:rFonts w:ascii="宋体" w:hAnsi="宋体" w:cs="宋体" w:eastAsia="宋体" w:hint="default"/>
          <w:spacing w:val="-3"/>
          <w:sz w:val="18"/>
          <w:szCs w:val="18"/>
        </w:rPr>
        <w:t>元，上期被合并方实现的净利润为：</w:t>
      </w:r>
      <w:r>
        <w:rPr>
          <w:rFonts w:ascii="Times New Roman" w:hAnsi="Times New Roman" w:cs="Times New Roman" w:eastAsia="Times New Roman" w:hint="default"/>
          <w:spacing w:val="-3"/>
          <w:sz w:val="18"/>
          <w:szCs w:val="18"/>
        </w:rPr>
        <w:t>0 </w:t>
      </w:r>
      <w:r>
        <w:rPr>
          <w:rFonts w:ascii="宋体" w:hAnsi="宋体" w:cs="宋体" w:eastAsia="宋体" w:hint="default"/>
          <w:spacing w:val="-5"/>
          <w:sz w:val="18"/>
          <w:szCs w:val="18"/>
        </w:rPr>
        <w:t>元。</w:t>
      </w:r>
      <w:r>
        <w:rPr>
          <w:rFonts w:ascii="宋体" w:hAnsi="宋体" w:cs="宋体" w:eastAsia="宋体" w:hint="default"/>
          <w:spacing w:val="65"/>
          <w:sz w:val="18"/>
          <w:szCs w:val="18"/>
        </w:rPr>
        <w:t> </w:t>
      </w:r>
      <w:r>
        <w:rPr>
          <w:rFonts w:ascii="宋体" w:hAnsi="宋体" w:cs="宋体" w:eastAsia="宋体" w:hint="default"/>
          <w:spacing w:val="-2"/>
          <w:sz w:val="18"/>
          <w:szCs w:val="18"/>
        </w:rPr>
        <w:t>法定代表人：张菀</w:t>
        <w:tab/>
      </w:r>
      <w:r>
        <w:rPr>
          <w:rFonts w:ascii="宋体" w:hAnsi="宋体" w:cs="宋体" w:eastAsia="宋体" w:hint="default"/>
          <w:spacing w:val="-3"/>
          <w:sz w:val="18"/>
          <w:szCs w:val="18"/>
        </w:rPr>
        <w:t>主管会计工作负责人：黄建军</w:t>
        <w:tab/>
        <w:t>会计机构负责人：汤华林</w:t>
      </w:r>
      <w:r>
        <w:rPr>
          <w:rFonts w:ascii="宋体" w:hAnsi="宋体" w:cs="宋体" w:eastAsia="宋体" w:hint="default"/>
          <w:spacing w:val="-56"/>
          <w:sz w:val="18"/>
          <w:szCs w:val="18"/>
        </w:rPr>
        <w:t> </w:t>
      </w:r>
      <w:r>
        <w:rPr>
          <w:rFonts w:ascii="宋体" w:hAnsi="宋体" w:cs="宋体" w:eastAsia="宋体" w:hint="default"/>
          <w:spacing w:val="-56"/>
          <w:sz w:val="18"/>
          <w:szCs w:val="18"/>
        </w:rPr>
      </w:r>
      <w:bookmarkStart w:name="4、母公司利润表" w:id="158"/>
      <w:bookmarkEnd w:id="158"/>
      <w:r>
        <w:rPr>
          <w:rFonts w:ascii="宋体" w:hAnsi="宋体" w:cs="宋体" w:eastAsia="宋体" w:hint="default"/>
          <w:spacing w:val="-56"/>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390,123,876.47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400,290,534.71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267,208,041.40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250,083,009.91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3,251,495.86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3,854,779.51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66,352,874.89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61,766,096.85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34,419,925.41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29,254,042.51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18,455,990.40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18,613,777.06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19,208,836.57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21,821,278.20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18,720,914.19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21,544,275.22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3,085,985.83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454,230.83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10,469,463.30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7,821,001.72</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21,079,512.60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18,609,469.11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-3,085,985.83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-5,948,999.36</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-11,857.00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-62,700.54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9,677,845.01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35,316,321.60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635,324.70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21,031.57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946,832.17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157,904.52</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9,366,337.54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35,179,448.65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-962,878.50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2,159,049.91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10,329,216.04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33,020,398.74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10,329,216.04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33,020,398.74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84" w:right="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36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-6,737,124.74</w:t>
            </w: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-6,737,124.74</w:t>
            </w: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-6,737,124.74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10,329,216.04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26,283,274.00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0.0236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0.0755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0.0236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0.0755</w:t>
            </w: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5、合并现金流量表" w:id="159"/>
      <w:bookmarkEnd w:id="15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1,122,957,216.66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1,274,317,103.53</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3,710,869.45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3,367,403.17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38,875,051.16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41,610,026.65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1,165,543,137.27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1,319,294,533.35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832,355,650.18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974,732,017.37</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151,224,070.68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139,668,026.30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45,305,478.86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54,089,064.62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101,962,256.65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126,675,184.74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1,130,847,456.37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1,295,164,293.03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34,695,680.90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24,130,240.32</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6,925,536.00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321,346.00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96,985.44</w:t>
            </w: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20,321,346.00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7,022,521.44</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102,951,393.92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129,756,468.64</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40,700,000.00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17,762,324.48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1,123,843.46</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143,651,393.92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148,642,636.58</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-123,330,047.92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-141,620,115.14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2,137,500.00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4,802,600.00</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530,503,887.88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392,000,000.00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76,797,559.85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258,630,439.20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609,438,947.73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655,433,039.20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441,707,453.97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254,400,000.00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41,242,111.19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49,985,408.96</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151,358,720.56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198,997,888.92</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634,308,285.72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503,383,297.88</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-24,869,337.99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152,049,741.32</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12,997.22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-113,503,705.01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34,572,863.72</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240,053,101.24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205,480,237.52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126,549,396.23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240,053,101.24</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9"/>
        <w:rPr>
          <w:rFonts w:ascii="Times New Roman" w:hAnsi="Times New Roman" w:cs="Times New Roman" w:eastAsia="Times New Roman" w:hint="default"/>
          <w:sz w:val="28"/>
          <w:szCs w:val="28"/>
        </w:rPr>
      </w:pPr>
    </w:p>
    <w:p>
      <w:pPr>
        <w:spacing w:before="36"/>
        <w:ind w:left="153" w:right="0" w:firstLine="0"/>
        <w:jc w:val="left"/>
        <w:rPr>
          <w:rFonts w:ascii="宋体" w:hAnsi="宋体" w:cs="宋体" w:eastAsia="宋体" w:hint="default"/>
          <w:sz w:val="21"/>
          <w:szCs w:val="21"/>
        </w:rPr>
      </w:pPr>
      <w:bookmarkStart w:name="6、母公司现金流量表" w:id="160"/>
      <w:bookmarkEnd w:id="16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39"/>
        <w:gridCol w:w="3321"/>
        <w:gridCol w:w="3299"/>
      </w:tblGrid>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406,475,315.88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380,203,670.46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127,241,260.65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270,136,965.20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533,716,576.53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650,340,635.66</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195,800,761.70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246,397,433.81</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71,349,242.98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61,426,678.39</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12,797,039.70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23,112,093.16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151,800,607.87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60,774,485.36</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431,747,652.25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391,710,690.72</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101,968,924.28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258,629,944.94</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6,925,536.00</w:t>
            </w: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19,000.00</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1,600,000.00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20,015,000.00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30,544,536.00</w:t>
            </w:r>
          </w:p>
        </w:tc>
      </w:tr>
      <w:tr>
        <w:trPr>
          <w:trHeight w:val="715"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15,361,508.16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38,390,055.56</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67,300,000.00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45,656,993.94</w:t>
            </w:r>
          </w:p>
        </w:tc>
      </w:tr>
      <w:tr>
        <w:trPr>
          <w:trHeight w:val="716"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29"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9"/>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82,661,508.16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84,047,049.50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-62,646,508.16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-53,502,513.50</w:t>
            </w:r>
          </w:p>
        </w:tc>
      </w:tr>
      <w:tr>
        <w:trPr>
          <w:trHeight w:val="40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21"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4,802,600.00</w:t>
            </w:r>
          </w:p>
        </w:tc>
      </w:tr>
      <w:tr>
        <w:trPr>
          <w:trHeight w:val="403"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128,292,715.56</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7,510,313.47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40,250,000.00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197,510,313.47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173,345,315.56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156,100,000.00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91,000,000.00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22,976,458.95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30,563,904.91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106,841,650.12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187,688,277.27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285,918,109.07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309,252,182.18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-88,407,795.60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-135,906,866.62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12,997.22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-49,085,379.48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69,233,562.04</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157,984,833.77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88,751,271.73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108,899,454.29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157,984,833.77</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7、合并所有者权益变动表" w:id="161"/>
      <w:bookmarkEnd w:id="16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41"/>
        <w:gridCol w:w="494"/>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41" w:type="dxa"/>
            <w:vMerge w:val="restart"/>
            <w:tcBorders>
              <w:top w:val="single" w:sz="4" w:space="0" w:color="000000"/>
              <w:left w:val="single" w:sz="4" w:space="0" w:color="000000"/>
              <w:right w:val="single" w:sz="4" w:space="0" w:color="000000"/>
            </w:tcBorders>
            <w:shd w:val="clear" w:color="auto" w:fill="D2D2D2"/>
          </w:tcPr>
          <w:p>
            <w:pPr/>
          </w:p>
        </w:tc>
        <w:tc>
          <w:tcPr>
            <w:tcW w:w="831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96" w:hRule="exact"/>
        </w:trPr>
        <w:tc>
          <w:tcPr>
            <w:tcW w:w="1241" w:type="dxa"/>
            <w:vMerge/>
            <w:tcBorders>
              <w:left w:val="single" w:sz="4" w:space="0" w:color="000000"/>
              <w:right w:val="single" w:sz="4" w:space="0" w:color="000000"/>
            </w:tcBorders>
            <w:shd w:val="clear" w:color="auto" w:fill="D2D2D2"/>
          </w:tcPr>
          <w:p>
            <w:pPr/>
          </w:p>
        </w:tc>
        <w:tc>
          <w:tcPr>
            <w:tcW w:w="7150"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241" w:type="dxa"/>
            <w:vMerge/>
            <w:tcBorders>
              <w:left w:val="single" w:sz="4" w:space="0" w:color="000000"/>
              <w:right w:val="single" w:sz="4" w:space="0" w:color="000000"/>
            </w:tcBorders>
            <w:shd w:val="clear" w:color="auto" w:fill="D2D2D2"/>
          </w:tcPr>
          <w:p>
            <w:pPr/>
          </w:p>
        </w:tc>
        <w:tc>
          <w:tcPr>
            <w:tcW w:w="7150" w:type="dxa"/>
            <w:gridSpan w:val="13"/>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54"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7150" w:type="dxa"/>
            <w:gridSpan w:val="13"/>
            <w:vMerge/>
            <w:tcBorders>
              <w:left w:val="single" w:sz="4" w:space="0" w:color="000000"/>
              <w:bottom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03"/>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tcBorders>
              <w:left w:val="single" w:sz="4" w:space="0" w:color="000000"/>
              <w:right w:val="single" w:sz="4" w:space="0" w:color="000000"/>
            </w:tcBorders>
            <w:shd w:val="clear" w:color="auto" w:fill="D2D2D2"/>
          </w:tcPr>
          <w:p>
            <w:pPr/>
          </w:p>
        </w:tc>
      </w:tr>
      <w:tr>
        <w:trPr>
          <w:trHeight w:val="206" w:hRule="exact"/>
        </w:trPr>
        <w:tc>
          <w:tcPr>
            <w:tcW w:w="12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64" w:hRule="exact"/>
        </w:trPr>
        <w:tc>
          <w:tcPr>
            <w:tcW w:w="1241" w:type="dxa"/>
            <w:vMerge/>
            <w:tcBorders>
              <w:left w:val="single" w:sz="4" w:space="0" w:color="000000"/>
              <w:bottom w:val="nil" w:sz="6" w:space="0" w:color="auto"/>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41"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7"/>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92"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32" w:hRule="exact"/>
        </w:trPr>
        <w:tc>
          <w:tcPr>
            <w:tcW w:w="1241"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26" w:hRule="exact"/>
        </w:trPr>
        <w:tc>
          <w:tcPr>
            <w:tcW w:w="1241" w:type="dxa"/>
            <w:vMerge/>
            <w:tcBorders>
              <w:left w:val="single" w:sz="4" w:space="0" w:color="000000"/>
              <w:right w:val="single" w:sz="4" w:space="0" w:color="000000"/>
            </w:tcBorders>
            <w:shd w:val="clear" w:color="auto" w:fill="D2D2D2"/>
          </w:tcPr>
          <w:p>
            <w:pPr/>
          </w:p>
        </w:tc>
        <w:tc>
          <w:tcPr>
            <w:tcW w:w="494"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r>
      <w:tr>
        <w:trPr>
          <w:trHeight w:val="91" w:hRule="exact"/>
        </w:trPr>
        <w:tc>
          <w:tcPr>
            <w:tcW w:w="1241"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445,9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87,59</w:t>
            </w:r>
          </w:p>
          <w:p>
            <w:pPr>
              <w:pStyle w:val="TableParagraph"/>
              <w:spacing w:line="240" w:lineRule="auto" w:before="110"/>
              <w:ind w:left="136" w:right="0"/>
              <w:jc w:val="left"/>
              <w:rPr>
                <w:rFonts w:ascii="Times New Roman" w:hAnsi="Times New Roman" w:cs="Times New Roman" w:eastAsia="Times New Roman" w:hint="default"/>
                <w:sz w:val="18"/>
                <w:szCs w:val="18"/>
              </w:rPr>
            </w:pPr>
            <w:r>
              <w:rPr>
                <w:rFonts w:ascii="Times New Roman"/>
                <w:sz w:val="18"/>
              </w:rPr>
              <w:t>4.00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pacing w:val="-4"/>
                <w:sz w:val="18"/>
              </w:rPr>
              <w:t>111,69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9,891.</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57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,456.0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vMerge w:val="restart"/>
            <w:tcBorders>
              <w:top w:val="single" w:sz="21" w:space="0" w:color="D2D2D2"/>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-22,84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8.92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3,576,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174.63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,534.4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74"/>
              <w:ind w:left="57" w:right="0"/>
              <w:jc w:val="left"/>
              <w:rPr>
                <w:rFonts w:ascii="Times New Roman" w:hAnsi="Times New Roman" w:cs="Times New Roman" w:eastAsia="Times New Roman" w:hint="default"/>
                <w:sz w:val="18"/>
                <w:szCs w:val="18"/>
              </w:rPr>
            </w:pPr>
            <w:r>
              <w:rPr>
                <w:rFonts w:ascii="Times New Roman"/>
                <w:sz w:val="18"/>
              </w:rPr>
              <w:t>257,53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4,402.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60</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791,08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3,292.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209,09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9,815.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53</w:t>
            </w:r>
          </w:p>
        </w:tc>
        <w:tc>
          <w:tcPr>
            <w:tcW w:w="576" w:type="dxa"/>
            <w:vMerge w:val="restart"/>
            <w:tcBorders>
              <w:top w:val="single" w:sz="38" w:space="0" w:color="D2D2D2"/>
              <w:left w:val="single" w:sz="4" w:space="0" w:color="000000"/>
              <w:right w:val="single" w:sz="4" w:space="0" w:color="000000"/>
            </w:tcBorders>
          </w:tcPr>
          <w:p>
            <w:pPr>
              <w:pStyle w:val="TableParagraph"/>
              <w:spacing w:line="240" w:lineRule="auto" w:before="52"/>
              <w:ind w:left="79"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183,10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7.82</w:t>
            </w:r>
          </w:p>
        </w:tc>
      </w:tr>
      <w:tr>
        <w:trPr>
          <w:trHeight w:val="706"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9"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22,848</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-22,84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8.92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3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3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41"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445,9</w:t>
            </w:r>
          </w:p>
          <w:p>
            <w:pPr>
              <w:pStyle w:val="TableParagraph"/>
              <w:spacing w:line="240" w:lineRule="auto" w:before="101"/>
              <w:ind w:left="50" w:right="0"/>
              <w:jc w:val="left"/>
              <w:rPr>
                <w:rFonts w:ascii="Times New Roman" w:hAnsi="Times New Roman" w:cs="Times New Roman" w:eastAsia="Times New Roman" w:hint="default"/>
                <w:sz w:val="18"/>
                <w:szCs w:val="18"/>
              </w:rPr>
            </w:pPr>
            <w:r>
              <w:rPr>
                <w:rFonts w:ascii="Times New Roman"/>
                <w:sz w:val="18"/>
              </w:rPr>
              <w:t>87,59</w:t>
            </w:r>
          </w:p>
          <w:p>
            <w:pPr>
              <w:pStyle w:val="TableParagraph"/>
              <w:spacing w:line="240" w:lineRule="auto" w:before="110"/>
              <w:ind w:left="136" w:right="0"/>
              <w:jc w:val="left"/>
              <w:rPr>
                <w:rFonts w:ascii="Times New Roman" w:hAnsi="Times New Roman" w:cs="Times New Roman" w:eastAsia="Times New Roman" w:hint="default"/>
                <w:sz w:val="18"/>
                <w:szCs w:val="18"/>
              </w:rPr>
            </w:pPr>
            <w:r>
              <w:rPr>
                <w:rFonts w:ascii="Times New Roman"/>
                <w:sz w:val="18"/>
              </w:rPr>
              <w:t>4.00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pacing w:val="-4"/>
                <w:sz w:val="18"/>
              </w:rPr>
              <w:t>111,69</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9,891.</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57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52,055</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,456.0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3,576,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174.63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24,363</w:t>
            </w:r>
          </w:p>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,534.4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257,51</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1,553.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68</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791,08</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3,292.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209,09</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9,815.</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53</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1"/>
              <w:ind w:left="38" w:right="0"/>
              <w:jc w:val="center"/>
              <w:rPr>
                <w:rFonts w:ascii="Times New Roman" w:hAnsi="Times New Roman" w:cs="Times New Roman" w:eastAsia="Times New Roman" w:hint="default"/>
                <w:sz w:val="18"/>
                <w:szCs w:val="18"/>
              </w:rPr>
            </w:pPr>
            <w:r>
              <w:rPr>
                <w:rFonts w:ascii="Times New Roman"/>
                <w:sz w:val="18"/>
              </w:rPr>
              <w:t>183,10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7.82</w:t>
            </w:r>
          </w:p>
        </w:tc>
      </w:tr>
      <w:tr>
        <w:trPr>
          <w:trHeight w:val="701" w:hRule="exact"/>
        </w:trPr>
        <w:tc>
          <w:tcPr>
            <w:tcW w:w="12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17"/>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41"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403"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1" w:right="0"/>
              <w:jc w:val="left"/>
              <w:rPr>
                <w:rFonts w:ascii="宋体" w:hAnsi="宋体" w:cs="宋体" w:eastAsia="宋体" w:hint="default"/>
                <w:sz w:val="18"/>
                <w:szCs w:val="18"/>
              </w:rPr>
            </w:pPr>
            <w:r>
              <w:rPr>
                <w:rFonts w:ascii="宋体" w:hAnsi="宋体" w:cs="宋体" w:eastAsia="宋体" w:hint="default"/>
                <w:spacing w:val="-12"/>
                <w:sz w:val="18"/>
                <w:szCs w:val="18"/>
              </w:rPr>
              <w:t>三、本期增减变</w:t>
            </w:r>
          </w:p>
        </w:tc>
        <w:tc>
          <w:tcPr>
            <w:tcW w:w="4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5"/>
              <w:ind w:left="74" w:right="0"/>
              <w:jc w:val="left"/>
              <w:rPr>
                <w:rFonts w:ascii="Times New Roman" w:hAnsi="Times New Roman" w:cs="Times New Roman" w:eastAsia="Times New Roman" w:hint="default"/>
                <w:sz w:val="18"/>
                <w:szCs w:val="18"/>
              </w:rPr>
            </w:pPr>
            <w:r>
              <w:rPr>
                <w:rFonts w:ascii="Times New Roman"/>
                <w:sz w:val="18"/>
              </w:rPr>
              <w:t>-8,51</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6" w:right="0"/>
              <w:jc w:val="left"/>
              <w:rPr>
                <w:rFonts w:ascii="Times New Roman" w:hAnsi="Times New Roman" w:cs="Times New Roman" w:eastAsia="Times New Roman" w:hint="default"/>
                <w:sz w:val="18"/>
                <w:szCs w:val="18"/>
              </w:rPr>
            </w:pPr>
            <w:r>
              <w:rPr>
                <w:rFonts w:ascii="Times New Roman"/>
                <w:sz w:val="18"/>
              </w:rPr>
              <w:t>-47,07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6" w:right="0"/>
              <w:jc w:val="left"/>
              <w:rPr>
                <w:rFonts w:ascii="Times New Roman" w:hAnsi="Times New Roman" w:cs="Times New Roman" w:eastAsia="Times New Roman" w:hint="default"/>
                <w:sz w:val="18"/>
                <w:szCs w:val="18"/>
              </w:rPr>
            </w:pPr>
            <w:r>
              <w:rPr>
                <w:rFonts w:ascii="Times New Roman"/>
                <w:sz w:val="18"/>
              </w:rPr>
              <w:t>-52,05</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7" w:right="0"/>
              <w:jc w:val="left"/>
              <w:rPr>
                <w:rFonts w:ascii="Times New Roman" w:hAnsi="Times New Roman" w:cs="Times New Roman" w:eastAsia="Times New Roman" w:hint="default"/>
                <w:sz w:val="18"/>
                <w:szCs w:val="18"/>
              </w:rPr>
            </w:pPr>
            <w:r>
              <w:rPr>
                <w:rFonts w:ascii="Times New Roman"/>
                <w:sz w:val="18"/>
              </w:rPr>
              <w:t>366,48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0" w:right="0"/>
              <w:jc w:val="left"/>
              <w:rPr>
                <w:rFonts w:ascii="Times New Roman" w:hAnsi="Times New Roman" w:cs="Times New Roman" w:eastAsia="Times New Roman" w:hint="default"/>
                <w:sz w:val="18"/>
                <w:szCs w:val="18"/>
              </w:rPr>
            </w:pPr>
            <w:r>
              <w:rPr>
                <w:rFonts w:ascii="Times New Roman"/>
                <w:sz w:val="18"/>
              </w:rPr>
              <w:t>1,032,</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-4,070,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-6,207,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6" w:right="0"/>
              <w:jc w:val="left"/>
              <w:rPr>
                <w:rFonts w:ascii="Times New Roman" w:hAnsi="Times New Roman" w:cs="Times New Roman" w:eastAsia="Times New Roman" w:hint="default"/>
                <w:sz w:val="18"/>
                <w:szCs w:val="18"/>
              </w:rPr>
            </w:pPr>
            <w:r>
              <w:rPr>
                <w:rFonts w:ascii="Times New Roman"/>
                <w:sz w:val="18"/>
              </w:rPr>
              <w:t>-15,49</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1" w:right="0"/>
              <w:jc w:val="left"/>
              <w:rPr>
                <w:rFonts w:ascii="Times New Roman" w:hAnsi="Times New Roman" w:cs="Times New Roman" w:eastAsia="Times New Roman" w:hint="default"/>
                <w:sz w:val="18"/>
                <w:szCs w:val="18"/>
              </w:rPr>
            </w:pPr>
            <w:r>
              <w:rPr>
                <w:rFonts w:ascii="Times New Roman"/>
                <w:sz w:val="18"/>
              </w:rPr>
              <w:t>-21,69</w:t>
            </w:r>
          </w:p>
        </w:tc>
      </w:tr>
    </w:tbl>
    <w:p>
      <w:pPr>
        <w:spacing w:after="0" w:line="240" w:lineRule="auto"/>
        <w:jc w:val="lef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67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2"/>
                <w:sz w:val="18"/>
                <w:szCs w:val="18"/>
              </w:rPr>
              <w:t>动金额（减少以</w:t>
            </w:r>
          </w:p>
          <w:p>
            <w:pPr>
              <w:pStyle w:val="TableParagraph"/>
              <w:spacing w:line="240" w:lineRule="auto" w:before="8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 w:right="0"/>
              <w:jc w:val="center"/>
              <w:rPr>
                <w:rFonts w:ascii="Times New Roman" w:hAnsi="Times New Roman" w:cs="Times New Roman" w:eastAsia="Times New Roman" w:hint="default"/>
                <w:sz w:val="18"/>
                <w:szCs w:val="18"/>
              </w:rPr>
            </w:pPr>
            <w:r>
              <w:rPr>
                <w:rFonts w:ascii="Times New Roman"/>
                <w:sz w:val="18"/>
              </w:rPr>
              <w:t>7,400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Times New Roman"/>
                <w:sz w:val="18"/>
              </w:rPr>
              <w:t>3,947.</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Times New Roman"/>
                <w:sz w:val="18"/>
              </w:rPr>
              <w:t>5,456.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5" w:right="0"/>
              <w:jc w:val="left"/>
              <w:rPr>
                <w:rFonts w:ascii="Times New Roman" w:hAnsi="Times New Roman" w:cs="Times New Roman" w:eastAsia="Times New Roman" w:hint="default"/>
                <w:sz w:val="18"/>
                <w:szCs w:val="18"/>
              </w:rPr>
            </w:pPr>
            <w:r>
              <w:rPr>
                <w:rFonts w:ascii="Times New Roman"/>
                <w:sz w:val="18"/>
              </w:rPr>
              <w:t>6.91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7" w:right="0"/>
              <w:jc w:val="left"/>
              <w:rPr>
                <w:rFonts w:ascii="Times New Roman" w:hAnsi="Times New Roman" w:cs="Times New Roman" w:eastAsia="Times New Roman" w:hint="default"/>
                <w:sz w:val="18"/>
                <w:szCs w:val="18"/>
              </w:rPr>
            </w:pPr>
            <w:r>
              <w:rPr>
                <w:rFonts w:ascii="Times New Roman"/>
                <w:sz w:val="18"/>
              </w:rPr>
              <w:t>921.60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7" w:right="0"/>
              <w:jc w:val="left"/>
              <w:rPr>
                <w:rFonts w:ascii="Times New Roman" w:hAnsi="Times New Roman" w:cs="Times New Roman" w:eastAsia="Times New Roman" w:hint="default"/>
                <w:sz w:val="18"/>
                <w:szCs w:val="18"/>
              </w:rPr>
            </w:pPr>
            <w:r>
              <w:rPr>
                <w:rFonts w:ascii="Times New Roman"/>
                <w:sz w:val="18"/>
              </w:rPr>
              <w:t>966.77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7" w:right="0"/>
              <w:jc w:val="left"/>
              <w:rPr>
                <w:rFonts w:ascii="Times New Roman" w:hAnsi="Times New Roman" w:cs="Times New Roman" w:eastAsia="Times New Roman" w:hint="default"/>
                <w:sz w:val="18"/>
                <w:szCs w:val="18"/>
              </w:rPr>
            </w:pPr>
            <w:r>
              <w:rPr>
                <w:rFonts w:ascii="Times New Roman"/>
                <w:sz w:val="18"/>
              </w:rPr>
              <w:t>450.01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Times New Roman"/>
                <w:sz w:val="18"/>
              </w:rPr>
              <w:t>1,827.</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45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6" w:right="0"/>
              <w:jc w:val="left"/>
              <w:rPr>
                <w:rFonts w:ascii="Times New Roman" w:hAnsi="Times New Roman" w:cs="Times New Roman" w:eastAsia="Times New Roman" w:hint="default"/>
                <w:sz w:val="18"/>
                <w:szCs w:val="18"/>
              </w:rPr>
            </w:pPr>
            <w:r>
              <w:rPr>
                <w:rFonts w:ascii="Times New Roman"/>
                <w:sz w:val="18"/>
              </w:rPr>
              <w:t>9,277.</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46</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3,278,</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236.16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3,278,</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236.16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-6,031,</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284.33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-2,753,</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048.17</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-8,51</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7,400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-38,20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9,302.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-52,05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5,456.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5,328,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753.89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2,137,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7,466,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253.89</w:t>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2,137,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500.00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z w:val="18"/>
              </w:rPr>
              <w:t>2,137,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500.00</w:t>
            </w: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6" w:right="0"/>
              <w:jc w:val="center"/>
              <w:rPr>
                <w:rFonts w:ascii="Times New Roman" w:hAnsi="Times New Roman" w:cs="Times New Roman" w:eastAsia="Times New Roman" w:hint="default"/>
                <w:sz w:val="18"/>
                <w:szCs w:val="18"/>
              </w:rPr>
            </w:pPr>
            <w:r>
              <w:rPr>
                <w:rFonts w:ascii="Times New Roman"/>
                <w:sz w:val="18"/>
              </w:rPr>
              <w:t>-8,51</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7,400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-38,20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9,302.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-52,05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5,456.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5,328,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753.89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5,328,</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753.89</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921.60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-7,349,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202.93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281.33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281.33</w:t>
            </w: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921.60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921.60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281.33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281.33</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281.33</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67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32"/>
              <w:jc w:val="left"/>
              <w:rPr>
                <w:rFonts w:ascii="宋体" w:hAnsi="宋体" w:cs="宋体" w:eastAsia="宋体" w:hint="default"/>
                <w:sz w:val="18"/>
                <w:szCs w:val="18"/>
              </w:rPr>
            </w:pPr>
            <w:r>
              <w:rPr>
                <w:rFonts w:ascii="宋体" w:hAnsi="宋体" w:cs="宋体" w:eastAsia="宋体" w:hint="default"/>
                <w:spacing w:val="-2"/>
                <w:sz w:val="18"/>
                <w:szCs w:val="18"/>
              </w:rPr>
              <w:t>益结转留存收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366,48</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6.91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366,48</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6.91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366,48</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6.91</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．本期提取</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366,48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6.91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366,48</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6.91</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366,48</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6.91</w:t>
            </w:r>
          </w:p>
        </w:tc>
      </w:tr>
      <w:tr>
        <w:trPr>
          <w:trHeight w:val="39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．本期使用</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-8,864,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645.64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-8,864,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645.64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pacing w:val="-3"/>
                <w:sz w:val="18"/>
              </w:rPr>
              <w:t>-11,59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8,043.</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12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-20,46</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2,688.</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76</w:t>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437,4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70,19</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4.00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64,625</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,943.8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3,942,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661.54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,456.0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253,44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0,586.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91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784,87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5,842.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28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193,60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7,988.</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08</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978,48</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3,830.</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36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91"/>
        <w:gridCol w:w="502"/>
        <w:gridCol w:w="447"/>
        <w:gridCol w:w="451"/>
        <w:gridCol w:w="490"/>
        <w:gridCol w:w="577"/>
        <w:gridCol w:w="576"/>
        <w:gridCol w:w="576"/>
        <w:gridCol w:w="581"/>
        <w:gridCol w:w="576"/>
        <w:gridCol w:w="576"/>
        <w:gridCol w:w="591"/>
        <w:gridCol w:w="566"/>
        <w:gridCol w:w="566"/>
        <w:gridCol w:w="644"/>
        <w:gridCol w:w="648"/>
      </w:tblGrid>
      <w:tr>
        <w:trPr>
          <w:trHeight w:val="403" w:hRule="exact"/>
        </w:trPr>
        <w:tc>
          <w:tcPr>
            <w:tcW w:w="1191" w:type="dxa"/>
            <w:vMerge w:val="restart"/>
            <w:tcBorders>
              <w:top w:val="single" w:sz="4" w:space="0" w:color="000000"/>
              <w:left w:val="single" w:sz="4" w:space="0" w:color="000000"/>
              <w:right w:val="single" w:sz="4" w:space="0" w:color="000000"/>
            </w:tcBorders>
            <w:shd w:val="clear" w:color="auto" w:fill="D2D2D2"/>
          </w:tcPr>
          <w:p>
            <w:pPr/>
          </w:p>
        </w:tc>
        <w:tc>
          <w:tcPr>
            <w:tcW w:w="8367"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250" w:hRule="exact"/>
        </w:trPr>
        <w:tc>
          <w:tcPr>
            <w:tcW w:w="1191" w:type="dxa"/>
            <w:vMerge/>
            <w:tcBorders>
              <w:left w:val="single" w:sz="4" w:space="0" w:color="000000"/>
              <w:right w:val="single" w:sz="4" w:space="0" w:color="000000"/>
            </w:tcBorders>
            <w:shd w:val="clear" w:color="auto" w:fill="D2D2D2"/>
          </w:tcPr>
          <w:p>
            <w:pPr/>
          </w:p>
        </w:tc>
        <w:tc>
          <w:tcPr>
            <w:tcW w:w="707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vMerge w:val="restart"/>
            <w:tcBorders>
              <w:top w:val="single" w:sz="4" w:space="0" w:color="000000"/>
              <w:left w:val="single" w:sz="4" w:space="0" w:color="000000"/>
              <w:right w:val="single" w:sz="4" w:space="0" w:color="000000"/>
            </w:tcBorders>
            <w:shd w:val="clear" w:color="auto" w:fill="D2D2D2"/>
          </w:tcPr>
          <w:p>
            <w:pP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7075" w:type="dxa"/>
            <w:gridSpan w:val="13"/>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4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206" w:hRule="exact"/>
        </w:trPr>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3"/>
              <w:ind w:left="48" w:right="41"/>
              <w:jc w:val="left"/>
              <w:rPr>
                <w:rFonts w:ascii="宋体" w:hAnsi="宋体" w:cs="宋体" w:eastAsia="宋体" w:hint="default"/>
                <w:sz w:val="18"/>
                <w:szCs w:val="18"/>
              </w:rPr>
            </w:pPr>
            <w:r>
              <w:rPr>
                <w:rFonts w:ascii="宋体" w:hAnsi="宋体" w:cs="宋体" w:eastAsia="宋体" w:hint="default"/>
                <w:sz w:val="18"/>
                <w:szCs w:val="18"/>
              </w:rPr>
              <w:t>少数股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东权益</w:t>
            </w:r>
          </w:p>
        </w:tc>
        <w:tc>
          <w:tcPr>
            <w:tcW w:w="648" w:type="dxa"/>
            <w:vMerge/>
            <w:tcBorders>
              <w:left w:val="single" w:sz="4" w:space="0" w:color="000000"/>
              <w:right w:val="single" w:sz="4" w:space="0" w:color="000000"/>
            </w:tcBorders>
            <w:shd w:val="clear" w:color="auto" w:fill="D2D2D2"/>
          </w:tcPr>
          <w:p>
            <w:pPr/>
          </w:p>
        </w:tc>
      </w:tr>
      <w:tr>
        <w:trPr>
          <w:trHeight w:val="167" w:hRule="exact"/>
        </w:trPr>
        <w:tc>
          <w:tcPr>
            <w:tcW w:w="1191" w:type="dxa"/>
            <w:vMerge/>
            <w:tcBorders>
              <w:left w:val="single" w:sz="4" w:space="0" w:color="000000"/>
              <w:bottom w:val="nil" w:sz="6" w:space="0" w:color="auto"/>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3" w:hRule="exact"/>
        </w:trPr>
        <w:tc>
          <w:tcPr>
            <w:tcW w:w="1191" w:type="dxa"/>
            <w:vMerge w:val="restart"/>
            <w:tcBorders>
              <w:top w:val="nil" w:sz="6" w:space="0" w:color="auto"/>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6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83"/>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4" w:space="0" w:color="000000"/>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92" w:hRule="exact"/>
        </w:trPr>
        <w:tc>
          <w:tcPr>
            <w:tcW w:w="1191"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4" w:space="0" w:color="000000"/>
              <w:bottom w:val="nil" w:sz="6" w:space="0" w:color="auto"/>
              <w:right w:val="single" w:sz="4" w:space="0" w:color="000000"/>
            </w:tcBorders>
            <w:shd w:val="clear" w:color="auto" w:fill="D2D2D2"/>
          </w:tcPr>
          <w:p>
            <w:pPr/>
          </w:p>
        </w:tc>
        <w:tc>
          <w:tcPr>
            <w:tcW w:w="648" w:type="dxa"/>
            <w:vMerge/>
            <w:tcBorders>
              <w:left w:val="single" w:sz="4" w:space="0" w:color="000000"/>
              <w:right w:val="single" w:sz="4" w:space="0" w:color="000000"/>
            </w:tcBorders>
            <w:shd w:val="clear" w:color="auto" w:fill="D2D2D2"/>
          </w:tcPr>
          <w:p>
            <w:pPr/>
          </w:p>
        </w:tc>
      </w:tr>
      <w:tr>
        <w:trPr>
          <w:trHeight w:val="132" w:hRule="exact"/>
        </w:trPr>
        <w:tc>
          <w:tcPr>
            <w:tcW w:w="1191"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val="restart"/>
            <w:tcBorders>
              <w:top w:val="nil" w:sz="6" w:space="0" w:color="auto"/>
              <w:left w:val="single" w:sz="4" w:space="0" w:color="000000"/>
              <w:right w:val="single" w:sz="4" w:space="0" w:color="000000"/>
            </w:tcBorders>
            <w:shd w:val="clear" w:color="auto" w:fill="D2D2D2"/>
          </w:tcPr>
          <w:p>
            <w:pPr/>
          </w:p>
        </w:tc>
        <w:tc>
          <w:tcPr>
            <w:tcW w:w="648" w:type="dxa"/>
            <w:vMerge/>
            <w:tcBorders>
              <w:left w:val="single" w:sz="4" w:space="0" w:color="000000"/>
              <w:bottom w:val="nil" w:sz="6" w:space="0" w:color="auto"/>
              <w:right w:val="single" w:sz="4" w:space="0" w:color="000000"/>
            </w:tcBorders>
            <w:shd w:val="clear" w:color="auto" w:fill="D2D2D2"/>
          </w:tcPr>
          <w:p>
            <w:pPr/>
          </w:p>
        </w:tc>
      </w:tr>
      <w:tr>
        <w:trPr>
          <w:trHeight w:val="217" w:hRule="exact"/>
        </w:trPr>
        <w:tc>
          <w:tcPr>
            <w:tcW w:w="1191"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446,1</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21,53</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4.00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pacing w:val="-4"/>
                <w:sz w:val="18"/>
              </w:rPr>
              <w:t>111,10</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0,240.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17</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69,146</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17" w:space="0" w:color="D2D2D2"/>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6,737,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124.74</w:t>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3,207,</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090.31</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21,061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,494.5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vMerge w:val="restart"/>
            <w:tcBorders>
              <w:top w:val="single" w:sz="17" w:space="0" w:color="D2D2D2"/>
              <w:left w:val="single" w:sz="4" w:space="0" w:color="000000"/>
              <w:right w:val="single" w:sz="4" w:space="0" w:color="000000"/>
            </w:tcBorders>
          </w:tcPr>
          <w:p>
            <w:pPr/>
          </w:p>
        </w:tc>
        <w:tc>
          <w:tcPr>
            <w:tcW w:w="591" w:type="dxa"/>
            <w:vMerge w:val="restart"/>
            <w:tcBorders>
              <w:top w:val="single" w:sz="17" w:space="0" w:color="D2D2D2"/>
              <w:left w:val="single" w:sz="4" w:space="0" w:color="000000"/>
              <w:right w:val="single" w:sz="4" w:space="0" w:color="000000"/>
            </w:tcBorders>
          </w:tcPr>
          <w:p>
            <w:pPr>
              <w:pStyle w:val="TableParagraph"/>
              <w:spacing w:line="240" w:lineRule="auto" w:before="79"/>
              <w:ind w:left="62" w:right="0"/>
              <w:jc w:val="left"/>
              <w:rPr>
                <w:rFonts w:ascii="Times New Roman" w:hAnsi="Times New Roman" w:cs="Times New Roman" w:eastAsia="Times New Roman" w:hint="default"/>
                <w:sz w:val="18"/>
                <w:szCs w:val="18"/>
              </w:rPr>
            </w:pPr>
            <w:r>
              <w:rPr>
                <w:rFonts w:ascii="Times New Roman"/>
                <w:sz w:val="18"/>
              </w:rPr>
              <w:t>233,71</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0,754.</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52</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752,79</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1,958.</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28</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207,695</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,006.51</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960,486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,964.79</w:t>
            </w:r>
          </w:p>
        </w:tc>
      </w:tr>
      <w:tr>
        <w:trPr>
          <w:trHeight w:val="70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3" w:space="0" w:color="D2D2D2"/>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446,1</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21,53</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4.00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pacing w:val="-4"/>
                <w:sz w:val="18"/>
              </w:rPr>
              <w:t>111,10</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0,240.</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17</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69,146</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,280.0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6,737,</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124.74</w:t>
            </w: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3,207,</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090.31</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21,061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,494.5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233,71</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0,754.</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52</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752,79</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1,958.</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28</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207,695</w:t>
            </w:r>
          </w:p>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,006.51</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960,486</w:t>
            </w:r>
          </w:p>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,964.79</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3"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3"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4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8"/>
              <w:ind w:left="11" w:right="8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940.0</w:t>
            </w: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599,65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1.40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-17,09</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0,824.</w:t>
            </w:r>
          </w:p>
          <w:p>
            <w:pPr>
              <w:pStyle w:val="TableParagraph"/>
              <w:spacing w:line="240" w:lineRule="auto" w:before="109"/>
              <w:ind w:left="36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-6,759,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973.66</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369,08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4.32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3,302,</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039.87</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23,823</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,648.0</w:t>
            </w:r>
          </w:p>
          <w:p>
            <w:pPr>
              <w:pStyle w:val="TableParagraph"/>
              <w:spacing w:line="240" w:lineRule="auto" w:before="109"/>
              <w:ind w:right="22"/>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38,291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,334.0</w:t>
            </w: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1,404,8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09.02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39,696,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143.03</w:t>
            </w:r>
          </w:p>
        </w:tc>
      </w:tr>
    </w:tbl>
    <w:p>
      <w:pPr>
        <w:spacing w:after="0" w:line="240" w:lineRule="auto"/>
        <w:jc w:val="lef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-6,759,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973.66</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38,278</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,594.8</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31,518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,621.1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-1,029,</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486.56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30,489,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134.59</w:t>
            </w: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9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599,65</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1.40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-17,09</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0,824.</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17,556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,535.4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2,434,2</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95.58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19,990,</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830.98</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3" w:right="0"/>
              <w:jc w:val="center"/>
              <w:rPr>
                <w:rFonts w:ascii="Times New Roman" w:hAnsi="Times New Roman" w:cs="Times New Roman" w:eastAsia="Times New Roman" w:hint="default"/>
                <w:sz w:val="18"/>
                <w:szCs w:val="18"/>
              </w:rPr>
            </w:pPr>
            <w:r>
              <w:rPr>
                <w:rFonts w:ascii="Times New Roman"/>
                <w:sz w:val="18"/>
              </w:rPr>
              <w:t>2,434,2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95.58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7" w:right="0"/>
              <w:jc w:val="center"/>
              <w:rPr>
                <w:rFonts w:ascii="Times New Roman" w:hAnsi="Times New Roman" w:cs="Times New Roman" w:eastAsia="Times New Roman" w:hint="default"/>
                <w:sz w:val="18"/>
                <w:szCs w:val="18"/>
              </w:rPr>
            </w:pPr>
            <w:r>
              <w:rPr>
                <w:rFonts w:ascii="Times New Roman"/>
                <w:sz w:val="18"/>
              </w:rPr>
              <w:t>2,434,2</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95.58</w:t>
            </w: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940.0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599,65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1.40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-17,09</w:t>
            </w:r>
          </w:p>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z w:val="18"/>
              </w:rPr>
              <w:t>0,824.</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17,556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,535.4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17,556,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535.40</w:t>
            </w: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3,302,</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039.87</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-14,45</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4,946.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73</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pacing w:val="-3"/>
                <w:sz w:val="18"/>
              </w:rPr>
              <w:t>-11,15</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2,906.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86</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-11,152,</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906.86</w:t>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3,302,</w:t>
            </w:r>
          </w:p>
          <w:p>
            <w:pPr>
              <w:pStyle w:val="TableParagraph"/>
              <w:spacing w:line="240" w:lineRule="auto" w:before="110"/>
              <w:ind w:left="47" w:right="0"/>
              <w:jc w:val="left"/>
              <w:rPr>
                <w:rFonts w:ascii="Times New Roman" w:hAnsi="Times New Roman" w:cs="Times New Roman" w:eastAsia="Times New Roman" w:hint="default"/>
                <w:sz w:val="18"/>
                <w:szCs w:val="18"/>
              </w:rPr>
            </w:pPr>
            <w:r>
              <w:rPr>
                <w:rFonts w:ascii="Times New Roman"/>
                <w:sz w:val="18"/>
              </w:rPr>
              <w:t>039.87</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-3,302,</w:t>
            </w:r>
          </w:p>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039.87</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pacing w:val="-3"/>
                <w:sz w:val="18"/>
              </w:rPr>
              <w:t>-11,15</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2,906.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86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pacing w:val="-3"/>
                <w:sz w:val="18"/>
              </w:rPr>
              <w:t>-11,15</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2,906.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86</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-11,152,</w:t>
            </w:r>
          </w:p>
          <w:p>
            <w:pPr>
              <w:pStyle w:val="TableParagraph"/>
              <w:spacing w:line="240" w:lineRule="auto" w:before="110"/>
              <w:ind w:left="110" w:right="0"/>
              <w:jc w:val="center"/>
              <w:rPr>
                <w:rFonts w:ascii="Times New Roman" w:hAnsi="Times New Roman" w:cs="Times New Roman" w:eastAsia="Times New Roman" w:hint="default"/>
                <w:sz w:val="18"/>
                <w:szCs w:val="18"/>
              </w:rPr>
            </w:pPr>
            <w:r>
              <w:rPr>
                <w:rFonts w:ascii="Times New Roman"/>
                <w:sz w:val="18"/>
              </w:rPr>
              <w:t>906.86</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center"/>
              <w:rPr>
                <w:rFonts w:ascii="Times New Roman" w:hAnsi="Times New Roman" w:cs="Times New Roman" w:eastAsia="Times New Roman" w:hint="default"/>
                <w:sz w:val="18"/>
                <w:szCs w:val="18"/>
              </w:rPr>
            </w:pPr>
            <w:r>
              <w:rPr>
                <w:rFonts w:ascii="Times New Roman"/>
                <w:sz w:val="18"/>
              </w:rPr>
              <w:t>369,08</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4.32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369,08</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4.32</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 w:right="0"/>
              <w:jc w:val="left"/>
              <w:rPr>
                <w:rFonts w:ascii="Times New Roman" w:hAnsi="Times New Roman" w:cs="Times New Roman" w:eastAsia="Times New Roman" w:hint="default"/>
                <w:sz w:val="18"/>
                <w:szCs w:val="18"/>
              </w:rPr>
            </w:pPr>
            <w:r>
              <w:rPr>
                <w:rFonts w:ascii="Times New Roman"/>
                <w:sz w:val="18"/>
              </w:rPr>
              <w:t>369,084</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.32</w:t>
            </w: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369,08</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4.32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 w:right="0"/>
              <w:jc w:val="center"/>
              <w:rPr>
                <w:rFonts w:ascii="Times New Roman" w:hAnsi="Times New Roman" w:cs="Times New Roman" w:eastAsia="Times New Roman" w:hint="default"/>
                <w:sz w:val="18"/>
                <w:szCs w:val="18"/>
              </w:rPr>
            </w:pPr>
            <w:r>
              <w:rPr>
                <w:rFonts w:ascii="Times New Roman"/>
                <w:sz w:val="18"/>
              </w:rPr>
              <w:t>369,08</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4.32</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369,084</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.32</w:t>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445,9</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87,59</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4.00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pacing w:val="-4"/>
                <w:sz w:val="18"/>
              </w:rPr>
              <w:t>111,69</w:t>
            </w:r>
          </w:p>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z w:val="18"/>
              </w:rPr>
              <w:t>9,891.</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57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52,055</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,456.0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-22,84</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8.92</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3,576,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174.63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24,363</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,534.4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 w:right="0"/>
              <w:jc w:val="left"/>
              <w:rPr>
                <w:rFonts w:ascii="Times New Roman" w:hAnsi="Times New Roman" w:cs="Times New Roman" w:eastAsia="Times New Roman" w:hint="default"/>
                <w:sz w:val="18"/>
                <w:szCs w:val="18"/>
              </w:rPr>
            </w:pPr>
            <w:r>
              <w:rPr>
                <w:rFonts w:ascii="Times New Roman"/>
                <w:sz w:val="18"/>
              </w:rPr>
              <w:t>257,53</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4,402.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60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8" w:right="0"/>
              <w:jc w:val="left"/>
              <w:rPr>
                <w:rFonts w:ascii="Times New Roman" w:hAnsi="Times New Roman" w:cs="Times New Roman" w:eastAsia="Times New Roman" w:hint="default"/>
                <w:sz w:val="18"/>
                <w:szCs w:val="18"/>
              </w:rPr>
            </w:pPr>
            <w:r>
              <w:rPr>
                <w:rFonts w:ascii="Times New Roman"/>
                <w:sz w:val="18"/>
              </w:rPr>
              <w:t>791,08</w:t>
            </w:r>
          </w:p>
          <w:p>
            <w:pPr>
              <w:pStyle w:val="TableParagraph"/>
              <w:spacing w:line="240" w:lineRule="auto" w:before="100"/>
              <w:ind w:left="81" w:right="0"/>
              <w:jc w:val="left"/>
              <w:rPr>
                <w:rFonts w:ascii="Times New Roman" w:hAnsi="Times New Roman" w:cs="Times New Roman" w:eastAsia="Times New Roman" w:hint="default"/>
                <w:sz w:val="18"/>
                <w:szCs w:val="18"/>
              </w:rPr>
            </w:pPr>
            <w:r>
              <w:rPr>
                <w:rFonts w:ascii="Times New Roman"/>
                <w:sz w:val="18"/>
              </w:rPr>
              <w:t>3,292.</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29</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209,099</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,815.53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1,000,1</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83,107.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82</w:t>
            </w:r>
          </w:p>
        </w:tc>
      </w:tr>
    </w:tbl>
    <w:p>
      <w:pPr>
        <w:spacing w:line="240" w:lineRule="auto" w:before="10"/>
        <w:rPr>
          <w:rFonts w:ascii="Times New Roman" w:hAnsi="Times New Roman" w:cs="Times New Roman" w:eastAsia="Times New Roman" w:hint="default"/>
          <w:sz w:val="21"/>
          <w:szCs w:val="21"/>
        </w:rPr>
      </w:pPr>
    </w:p>
    <w:p>
      <w:pPr>
        <w:spacing w:before="36"/>
        <w:ind w:left="153" w:right="0" w:firstLine="0"/>
        <w:jc w:val="left"/>
        <w:rPr>
          <w:rFonts w:ascii="宋体" w:hAnsi="宋体" w:cs="宋体" w:eastAsia="宋体" w:hint="default"/>
          <w:sz w:val="21"/>
          <w:szCs w:val="21"/>
        </w:rPr>
      </w:pPr>
      <w:bookmarkStart w:name="8、母公司所有者权益变动表" w:id="162"/>
      <w:bookmarkEnd w:id="16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82"/>
        <w:gridCol w:w="641"/>
        <w:gridCol w:w="605"/>
        <w:gridCol w:w="605"/>
        <w:gridCol w:w="605"/>
        <w:gridCol w:w="725"/>
        <w:gridCol w:w="725"/>
        <w:gridCol w:w="730"/>
        <w:gridCol w:w="725"/>
        <w:gridCol w:w="725"/>
        <w:gridCol w:w="614"/>
        <w:gridCol w:w="711"/>
        <w:gridCol w:w="864"/>
      </w:tblGrid>
      <w:tr>
        <w:trPr>
          <w:trHeight w:val="403"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7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06" w:hRule="exact"/>
        </w:trPr>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97"/>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2" w:hRule="exact"/>
        </w:trPr>
        <w:tc>
          <w:tcPr>
            <w:tcW w:w="1282" w:type="dxa"/>
            <w:vMerge/>
            <w:tcBorders>
              <w:left w:val="single" w:sz="4" w:space="0" w:color="000000"/>
              <w:bottom w:val="nil" w:sz="6" w:space="0" w:color="auto"/>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82" w:type="dxa"/>
            <w:vMerge w:val="restart"/>
            <w:tcBorders>
              <w:top w:val="nil" w:sz="6" w:space="0" w:color="auto"/>
              <w:left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2" w:hRule="exact"/>
        </w:trPr>
        <w:tc>
          <w:tcPr>
            <w:tcW w:w="1282" w:type="dxa"/>
            <w:vMerge/>
            <w:tcBorders>
              <w:left w:val="single" w:sz="4" w:space="0" w:color="000000"/>
              <w:bottom w:val="single" w:sz="4" w:space="0" w:color="000000"/>
              <w:right w:val="single" w:sz="4" w:space="0" w:color="000000"/>
            </w:tcBorders>
            <w:shd w:val="clear" w:color="auto" w:fill="D2D2D2"/>
          </w:tcPr>
          <w:p>
            <w:pPr/>
          </w:p>
        </w:tc>
        <w:tc>
          <w:tcPr>
            <w:tcW w:w="6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0" w:space="0" w:color="D2D2D2"/>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445,98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7,594.0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135,878,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956.50</w:t>
            </w:r>
          </w:p>
        </w:tc>
        <w:tc>
          <w:tcPr>
            <w:tcW w:w="725"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52,055,4</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56.00</w:t>
            </w:r>
          </w:p>
        </w:tc>
        <w:tc>
          <w:tcPr>
            <w:tcW w:w="730" w:type="dxa"/>
            <w:vMerge w:val="restart"/>
            <w:tcBorders>
              <w:top w:val="single" w:sz="23" w:space="0" w:color="D2D2D2"/>
              <w:left w:val="single" w:sz="4" w:space="0" w:color="000000"/>
              <w:right w:val="single" w:sz="4" w:space="0" w:color="000000"/>
            </w:tcBorders>
          </w:tcPr>
          <w:p>
            <w:pPr/>
          </w:p>
        </w:tc>
        <w:tc>
          <w:tcPr>
            <w:tcW w:w="725" w:type="dxa"/>
            <w:vMerge w:val="restart"/>
            <w:tcBorders>
              <w:top w:val="single" w:sz="23" w:space="0" w:color="D2D2D2"/>
              <w:left w:val="single" w:sz="4" w:space="0" w:color="000000"/>
              <w:right w:val="single" w:sz="4" w:space="0" w:color="000000"/>
            </w:tcBorders>
          </w:tcPr>
          <w:p>
            <w:pPr/>
          </w:p>
        </w:tc>
        <w:tc>
          <w:tcPr>
            <w:tcW w:w="725"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24,363,5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34.41</w:t>
            </w:r>
          </w:p>
        </w:tc>
        <w:tc>
          <w:tcPr>
            <w:tcW w:w="614" w:type="dxa"/>
            <w:vMerge w:val="restart"/>
            <w:tcBorders>
              <w:top w:val="single" w:sz="23" w:space="0" w:color="D2D2D2"/>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177,91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5,367.7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23"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732,089,9</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96.69</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7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1" w:type="dxa"/>
            <w:vMerge w:val="restart"/>
            <w:tcBorders>
              <w:top w:val="single" w:sz="4" w:space="0" w:color="000000"/>
              <w:left w:val="single" w:sz="13"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445,98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7,594.0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135,878,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956.50</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52,055,4</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56.00</w:t>
            </w: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24,363,5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34.41</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177,91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5,367.7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732,089,9</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96.69</w:t>
            </w:r>
          </w:p>
        </w:tc>
      </w:tr>
      <w:tr>
        <w:trPr>
          <w:trHeight w:val="706" w:hRule="exact"/>
        </w:trPr>
        <w:tc>
          <w:tcPr>
            <w:tcW w:w="12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41" w:type="dxa"/>
            <w:vMerge/>
            <w:tcBorders>
              <w:left w:val="single" w:sz="13"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1" w:type="dxa"/>
            <w:vMerge/>
            <w:tcBorders>
              <w:left w:val="single" w:sz="13"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7"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-8,517,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-44,089,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573.79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-52,055,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456.00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1,032,92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1.60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center"/>
              <w:rPr>
                <w:rFonts w:ascii="Times New Roman" w:hAnsi="Times New Roman" w:cs="Times New Roman" w:eastAsia="Times New Roman" w:hint="default"/>
                <w:sz w:val="18"/>
                <w:szCs w:val="18"/>
              </w:rPr>
            </w:pPr>
            <w:r>
              <w:rPr>
                <w:rFonts w:ascii="Times New Roman"/>
                <w:sz w:val="18"/>
              </w:rPr>
              <w:t>2,980,0</w:t>
            </w:r>
          </w:p>
          <w:p>
            <w:pPr>
              <w:pStyle w:val="TableParagraph"/>
              <w:spacing w:line="240" w:lineRule="auto" w:before="105"/>
              <w:ind w:left="163" w:right="0"/>
              <w:jc w:val="center"/>
              <w:rPr>
                <w:rFonts w:ascii="Times New Roman" w:hAnsi="Times New Roman" w:cs="Times New Roman" w:eastAsia="Times New Roman" w:hint="default"/>
                <w:sz w:val="18"/>
                <w:szCs w:val="18"/>
              </w:rPr>
            </w:pPr>
            <w:r>
              <w:rPr>
                <w:rFonts w:ascii="Times New Roman"/>
                <w:sz w:val="18"/>
              </w:rPr>
              <w:t>13.11</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3,461,416.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r>
      <w:tr>
        <w:trPr>
          <w:trHeight w:val="716"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10,329,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216.04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10,329,21</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6.04</w:t>
            </w:r>
          </w:p>
        </w:tc>
      </w:tr>
      <w:tr>
        <w:trPr>
          <w:trHeight w:val="715" w:hRule="exact"/>
        </w:trPr>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41"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-38,209,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302.11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-52,055,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456.00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13,846,15</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3.89</w:t>
            </w:r>
          </w:p>
        </w:tc>
      </w:tr>
    </w:tbl>
    <w:p>
      <w:pPr>
        <w:spacing w:after="0" w:line="240" w:lineRule="auto"/>
        <w:jc w:val="lef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-38,209,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302.11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-52,055,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456.00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13,846,15</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3.89</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1,032,92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1.60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-7,349,</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202.93</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-6,316,281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1,032,92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1.60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921.60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-6,316,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281.33</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-6,316,281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-8,517,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-8,517,400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left"/>
              <w:rPr>
                <w:rFonts w:ascii="Times New Roman" w:hAnsi="Times New Roman" w:cs="Times New Roman" w:eastAsia="Times New Roman" w:hint="default"/>
                <w:sz w:val="18"/>
                <w:szCs w:val="18"/>
              </w:rPr>
            </w:pPr>
            <w:r>
              <w:rPr>
                <w:rFonts w:ascii="Times New Roman"/>
                <w:sz w:val="18"/>
              </w:rPr>
              <w:t>-8,517,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-8,517,400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1" w:right="0"/>
              <w:jc w:val="center"/>
              <w:rPr>
                <w:rFonts w:ascii="Times New Roman" w:hAnsi="Times New Roman" w:cs="Times New Roman" w:eastAsia="Times New Roman" w:hint="default"/>
                <w:sz w:val="18"/>
                <w:szCs w:val="18"/>
              </w:rPr>
            </w:pPr>
            <w:r>
              <w:rPr>
                <w:rFonts w:ascii="Times New Roman"/>
                <w:sz w:val="18"/>
              </w:rPr>
              <w:t>-5,880,2</w:t>
            </w:r>
          </w:p>
          <w:p>
            <w:pPr>
              <w:pStyle w:val="TableParagraph"/>
              <w:spacing w:line="240" w:lineRule="auto" w:before="105"/>
              <w:ind w:left="278" w:right="0"/>
              <w:jc w:val="center"/>
              <w:rPr>
                <w:rFonts w:ascii="Times New Roman" w:hAnsi="Times New Roman" w:cs="Times New Roman" w:eastAsia="Times New Roman" w:hint="default"/>
                <w:sz w:val="18"/>
                <w:szCs w:val="18"/>
              </w:rPr>
            </w:pPr>
            <w:r>
              <w:rPr>
                <w:rFonts w:ascii="Times New Roman"/>
                <w:sz w:val="18"/>
              </w:rPr>
              <w:t>71.68</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-5,880,271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437,47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0,194.0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91,789,3</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82.71</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25,396,4</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56.01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180,89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5,380.8</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735,551,4</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13.61</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0"/>
        <w:gridCol w:w="602"/>
        <w:gridCol w:w="572"/>
        <w:gridCol w:w="576"/>
        <w:gridCol w:w="572"/>
        <w:gridCol w:w="682"/>
        <w:gridCol w:w="687"/>
        <w:gridCol w:w="686"/>
        <w:gridCol w:w="783"/>
        <w:gridCol w:w="662"/>
        <w:gridCol w:w="802"/>
        <w:gridCol w:w="797"/>
        <w:gridCol w:w="926"/>
      </w:tblGrid>
      <w:tr>
        <w:trPr>
          <w:trHeight w:val="398" w:hRule="exact"/>
        </w:trPr>
        <w:tc>
          <w:tcPr>
            <w:tcW w:w="1210" w:type="dxa"/>
            <w:vMerge w:val="restart"/>
            <w:tcBorders>
              <w:top w:val="single" w:sz="4" w:space="0" w:color="000000"/>
              <w:left w:val="single" w:sz="4" w:space="0" w:color="000000"/>
              <w:right w:val="single" w:sz="4" w:space="0" w:color="000000"/>
            </w:tcBorders>
            <w:shd w:val="clear" w:color="auto" w:fill="D2D2D2"/>
          </w:tcPr>
          <w:p>
            <w:pPr/>
          </w:p>
        </w:tc>
        <w:tc>
          <w:tcPr>
            <w:tcW w:w="834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87"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6" w:hRule="exact"/>
        </w:trPr>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2"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5"/>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8" w:hRule="exact"/>
        </w:trPr>
        <w:tc>
          <w:tcPr>
            <w:tcW w:w="1210" w:type="dxa"/>
            <w:vMerge/>
            <w:tcBorders>
              <w:left w:val="single" w:sz="4" w:space="0" w:color="000000"/>
              <w:bottom w:val="nil" w:sz="6" w:space="0" w:color="auto"/>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75"/>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5"/>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000000"/>
              <w:right w:val="single" w:sz="4" w:space="0" w:color="000000"/>
            </w:tcBorders>
            <w:shd w:val="clear" w:color="auto" w:fill="D2D2D2"/>
          </w:tcPr>
          <w:p>
            <w:pPr/>
          </w:p>
        </w:tc>
      </w:tr>
      <w:tr>
        <w:trPr>
          <w:trHeight w:val="197" w:hRule="exact"/>
        </w:trPr>
        <w:tc>
          <w:tcPr>
            <w:tcW w:w="1210" w:type="dxa"/>
            <w:vMerge w:val="restart"/>
            <w:tcBorders>
              <w:top w:val="nil" w:sz="6" w:space="0" w:color="auto"/>
              <w:left w:val="single" w:sz="4" w:space="0" w:color="000000"/>
              <w:right w:val="single" w:sz="4" w:space="0" w:color="000000"/>
            </w:tcBorders>
            <w:shd w:val="clear" w:color="auto" w:fill="D2D2D2"/>
          </w:tcPr>
          <w:p>
            <w:pPr/>
          </w:p>
        </w:tc>
        <w:tc>
          <w:tcPr>
            <w:tcW w:w="602"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r>
      <w:tr>
        <w:trPr>
          <w:trHeight w:val="154" w:hRule="exact"/>
        </w:trPr>
        <w:tc>
          <w:tcPr>
            <w:tcW w:w="1210" w:type="dxa"/>
            <w:vMerge/>
            <w:tcBorders>
              <w:left w:val="single" w:sz="4" w:space="0" w:color="000000"/>
              <w:right w:val="single" w:sz="4" w:space="0" w:color="000000"/>
            </w:tcBorders>
            <w:shd w:val="clear" w:color="auto" w:fill="D2D2D2"/>
          </w:tcPr>
          <w:p>
            <w:pPr/>
          </w:p>
        </w:tc>
        <w:tc>
          <w:tcPr>
            <w:tcW w:w="602"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10" w:type="dxa"/>
            <w:vMerge/>
            <w:tcBorders>
              <w:left w:val="single" w:sz="4" w:space="0" w:color="000000"/>
              <w:bottom w:val="single" w:sz="4" w:space="0" w:color="000000"/>
              <w:right w:val="single" w:sz="4" w:space="0" w:color="000000"/>
            </w:tcBorders>
            <w:shd w:val="clear" w:color="auto" w:fill="D2D2D2"/>
          </w:tcPr>
          <w:p>
            <w:pPr/>
          </w:p>
        </w:tc>
        <w:tc>
          <w:tcPr>
            <w:tcW w:w="602"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446,12</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1,534.</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135,279</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,305.10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69,146,2</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80.00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6,737,1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24.74</w:t>
            </w: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21,061,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494.54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159,349,9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15.77</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699,403,09</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4.15</w:t>
            </w:r>
          </w:p>
        </w:tc>
      </w:tr>
      <w:tr>
        <w:trPr>
          <w:trHeight w:val="701"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1"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1"/>
              <w:jc w:val="right"/>
              <w:rPr>
                <w:rFonts w:ascii="宋体" w:hAnsi="宋体" w:cs="宋体" w:eastAsia="宋体" w:hint="default"/>
                <w:sz w:val="18"/>
                <w:szCs w:val="18"/>
              </w:rPr>
            </w:pPr>
            <w:r>
              <w:rPr>
                <w:rFonts w:ascii="宋体" w:hAnsi="宋体" w:cs="宋体" w:eastAsia="宋体" w:hint="default"/>
                <w:sz w:val="18"/>
                <w:szCs w:val="18"/>
              </w:rPr>
              <w:t>其他</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446,12</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1,534.</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135,279</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,305.10</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69,146,2</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80.00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6,737,1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24.74</w:t>
            </w: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21,061,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494.54</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159,349,9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15.77</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699,403,09</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4.15</w:t>
            </w:r>
          </w:p>
        </w:tc>
      </w:tr>
      <w:tr>
        <w:trPr>
          <w:trHeight w:val="701"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10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110"/>
              <w:ind w:left="163" w:right="0"/>
              <w:jc w:val="left"/>
              <w:rPr>
                <w:rFonts w:ascii="Times New Roman" w:hAnsi="Times New Roman" w:cs="Times New Roman" w:eastAsia="Times New Roman" w:hint="default"/>
                <w:sz w:val="18"/>
                <w:szCs w:val="18"/>
              </w:rPr>
            </w:pPr>
            <w:r>
              <w:rPr>
                <w:rFonts w:ascii="Times New Roman"/>
                <w:sz w:val="18"/>
              </w:rPr>
              <w:t>40.00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599,651</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.40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-17,090,</w:t>
            </w:r>
          </w:p>
          <w:p>
            <w:pPr>
              <w:pStyle w:val="TableParagraph"/>
              <w:spacing w:line="240" w:lineRule="auto" w:before="110"/>
              <w:ind w:left="138" w:right="0"/>
              <w:jc w:val="center"/>
              <w:rPr>
                <w:rFonts w:ascii="Times New Roman" w:hAnsi="Times New Roman" w:cs="Times New Roman" w:eastAsia="Times New Roman" w:hint="default"/>
                <w:sz w:val="18"/>
                <w:szCs w:val="18"/>
              </w:rPr>
            </w:pPr>
            <w:r>
              <w:rPr>
                <w:rFonts w:ascii="Times New Roman"/>
                <w:sz w:val="18"/>
              </w:rPr>
              <w:t>824.00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-6,737,1</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24.74</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3,302,0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39.87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18,565,45</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2.01</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32,686,902.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54</w:t>
            </w:r>
          </w:p>
        </w:tc>
      </w:tr>
      <w:tr>
        <w:trPr>
          <w:trHeight w:val="710"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-6,737,1</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24.74</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33,020,39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26,283,274.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5"/>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110"/>
              <w:ind w:left="163" w:right="0"/>
              <w:jc w:val="left"/>
              <w:rPr>
                <w:rFonts w:ascii="Times New Roman" w:hAnsi="Times New Roman" w:cs="Times New Roman" w:eastAsia="Times New Roman" w:hint="default"/>
                <w:sz w:val="18"/>
                <w:szCs w:val="18"/>
              </w:rPr>
            </w:pPr>
            <w:r>
              <w:rPr>
                <w:rFonts w:ascii="Times New Roman"/>
                <w:sz w:val="18"/>
              </w:rPr>
              <w:t>40.00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599,651</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.40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0" w:right="0"/>
              <w:jc w:val="center"/>
              <w:rPr>
                <w:rFonts w:ascii="Times New Roman" w:hAnsi="Times New Roman" w:cs="Times New Roman" w:eastAsia="Times New Roman" w:hint="default"/>
                <w:sz w:val="18"/>
                <w:szCs w:val="18"/>
              </w:rPr>
            </w:pPr>
            <w:r>
              <w:rPr>
                <w:rFonts w:ascii="Times New Roman"/>
                <w:sz w:val="18"/>
              </w:rPr>
              <w:t>-17,090,</w:t>
            </w:r>
          </w:p>
          <w:p>
            <w:pPr>
              <w:pStyle w:val="TableParagraph"/>
              <w:spacing w:line="240" w:lineRule="auto" w:before="110"/>
              <w:ind w:left="138" w:right="0"/>
              <w:jc w:val="center"/>
              <w:rPr>
                <w:rFonts w:ascii="Times New Roman" w:hAnsi="Times New Roman" w:cs="Times New Roman" w:eastAsia="Times New Roman" w:hint="default"/>
                <w:sz w:val="18"/>
                <w:szCs w:val="18"/>
              </w:rPr>
            </w:pPr>
            <w:r>
              <w:rPr>
                <w:rFonts w:ascii="Times New Roman"/>
                <w:sz w:val="18"/>
              </w:rPr>
              <w:t>824.00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17,556,535.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40</w:t>
            </w:r>
          </w:p>
        </w:tc>
      </w:tr>
      <w:tr>
        <w:trPr>
          <w:trHeight w:val="715"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1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-133,9</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599,651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.40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-17,090,</w:t>
            </w:r>
          </w:p>
          <w:p>
            <w:pPr>
              <w:pStyle w:val="TableParagraph"/>
              <w:spacing w:line="240" w:lineRule="auto" w:before="105"/>
              <w:ind w:left="138" w:right="0"/>
              <w:jc w:val="center"/>
              <w:rPr>
                <w:rFonts w:ascii="Times New Roman" w:hAnsi="Times New Roman" w:cs="Times New Roman" w:eastAsia="Times New Roman" w:hint="default"/>
                <w:sz w:val="18"/>
                <w:szCs w:val="18"/>
              </w:rPr>
            </w:pPr>
            <w:r>
              <w:rPr>
                <w:rFonts w:ascii="Times New Roman"/>
                <w:sz w:val="18"/>
              </w:rPr>
              <w:t>824.00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17,556,535.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64" w:hRule="exact"/>
        </w:trPr>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10" w:space="0" w:color="D2D2D2"/>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3,302,0</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39.87</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-14,454,9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46.73</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-11,152,906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.86</w:t>
            </w:r>
          </w:p>
        </w:tc>
      </w:tr>
      <w:tr>
        <w:trPr>
          <w:trHeight w:val="389" w:hRule="exact"/>
        </w:trPr>
        <w:tc>
          <w:tcPr>
            <w:tcW w:w="12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righ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602"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63" w:hRule="exact"/>
        </w:trPr>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403"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10"/>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p>
        </w:tc>
        <w:tc>
          <w:tcPr>
            <w:tcW w:w="602"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5" w:right="0"/>
              <w:jc w:val="left"/>
              <w:rPr>
                <w:rFonts w:ascii="Times New Roman" w:hAnsi="Times New Roman" w:cs="Times New Roman" w:eastAsia="Times New Roman" w:hint="default"/>
                <w:sz w:val="18"/>
                <w:szCs w:val="18"/>
              </w:rPr>
            </w:pPr>
            <w:r>
              <w:rPr>
                <w:rFonts w:ascii="Times New Roman"/>
                <w:sz w:val="18"/>
              </w:rPr>
              <w:t>3,302,0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7" w:right="0"/>
              <w:jc w:val="left"/>
              <w:rPr>
                <w:rFonts w:ascii="Times New Roman" w:hAnsi="Times New Roman" w:cs="Times New Roman" w:eastAsia="Times New Roman" w:hint="default"/>
                <w:sz w:val="18"/>
                <w:szCs w:val="18"/>
              </w:rPr>
            </w:pPr>
            <w:r>
              <w:rPr>
                <w:rFonts w:ascii="Times New Roman"/>
                <w:sz w:val="18"/>
              </w:rPr>
              <w:t>-3,302,03</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36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积</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0" w:right="0"/>
              <w:jc w:val="left"/>
              <w:rPr>
                <w:rFonts w:ascii="Times New Roman" w:hAnsi="Times New Roman" w:cs="Times New Roman" w:eastAsia="Times New Roman" w:hint="default"/>
                <w:sz w:val="18"/>
                <w:szCs w:val="18"/>
              </w:rPr>
            </w:pPr>
            <w:r>
              <w:rPr>
                <w:rFonts w:ascii="Times New Roman"/>
                <w:sz w:val="18"/>
              </w:rPr>
              <w:t>39.87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8"/>
                <w:szCs w:val="18"/>
              </w:rPr>
            </w:pPr>
            <w:r>
              <w:rPr>
                <w:rFonts w:ascii="Times New Roman"/>
                <w:sz w:val="18"/>
              </w:rPr>
              <w:t>9.87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-11,152,9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06.86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-11,152,906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.86</w:t>
            </w: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445,98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7,594.</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135,878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,956.50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52,055,4</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56.00</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24,363,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534.41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177,915,3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67.78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732,089,99</w:t>
            </w:r>
          </w:p>
          <w:p>
            <w:pPr>
              <w:pStyle w:val="TableParagraph"/>
              <w:spacing w:line="240" w:lineRule="auto" w:before="105"/>
              <w:ind w:left="580" w:right="0"/>
              <w:jc w:val="left"/>
              <w:rPr>
                <w:rFonts w:ascii="Times New Roman" w:hAnsi="Times New Roman" w:cs="Times New Roman" w:eastAsia="Times New Roman" w:hint="default"/>
                <w:sz w:val="18"/>
                <w:szCs w:val="18"/>
              </w:rPr>
            </w:pPr>
            <w:r>
              <w:rPr>
                <w:rFonts w:ascii="Times New Roman"/>
                <w:sz w:val="18"/>
              </w:rPr>
              <w:t>6.69</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5"/>
        <w:rPr>
          <w:rFonts w:ascii="宋体" w:hAnsi="宋体" w:cs="宋体" w:eastAsia="宋体" w:hint="default"/>
          <w:b/>
          <w:bCs/>
          <w:sz w:val="24"/>
          <w:szCs w:val="24"/>
        </w:rPr>
      </w:pPr>
    </w:p>
    <w:p>
      <w:pPr>
        <w:spacing w:line="247" w:lineRule="auto" w:before="0"/>
        <w:ind w:left="258" w:right="1122" w:firstLine="441"/>
        <w:jc w:val="both"/>
        <w:rPr>
          <w:rFonts w:ascii="宋体" w:hAnsi="宋体" w:cs="宋体" w:eastAsia="宋体" w:hint="default"/>
          <w:sz w:val="22"/>
          <w:szCs w:val="22"/>
        </w:rPr>
      </w:pPr>
      <w:r>
        <w:rPr>
          <w:rFonts w:ascii="宋体" w:hAnsi="宋体" w:cs="宋体" w:eastAsia="宋体" w:hint="default"/>
          <w:spacing w:val="-2"/>
          <w:sz w:val="22"/>
          <w:szCs w:val="22"/>
        </w:rPr>
        <w:t>依米康科技集团股份有限公司（以下简称本公司，在包含子公司时统称本集团）是根据</w:t>
      </w:r>
      <w:r>
        <w:rPr>
          <w:rFonts w:ascii="Times New Roman" w:hAnsi="Times New Roman" w:cs="Times New Roman" w:eastAsia="Times New Roman" w:hint="default"/>
          <w:spacing w:val="-2"/>
          <w:sz w:val="22"/>
          <w:szCs w:val="22"/>
        </w:rPr>
        <w:t>2009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8</w:t>
      </w:r>
      <w:r>
        <w:rPr>
          <w:rFonts w:ascii="Times New Roman" w:hAnsi="Times New Roman" w:cs="Times New Roman" w:eastAsia="Times New Roman" w:hint="default"/>
          <w:w w:val="100"/>
          <w:sz w:val="22"/>
          <w:szCs w:val="22"/>
        </w:rPr>
        <w:t> </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31</w:t>
      </w:r>
      <w:r>
        <w:rPr>
          <w:rFonts w:ascii="宋体" w:hAnsi="宋体" w:cs="宋体" w:eastAsia="宋体" w:hint="default"/>
          <w:spacing w:val="-2"/>
          <w:sz w:val="22"/>
          <w:szCs w:val="22"/>
        </w:rPr>
        <w:t>日公司创立大会决议，将四川依米康制冷设备有限公司截至</w:t>
      </w:r>
      <w:r>
        <w:rPr>
          <w:rFonts w:ascii="Times New Roman" w:hAnsi="Times New Roman" w:cs="Times New Roman" w:eastAsia="Times New Roman" w:hint="default"/>
          <w:spacing w:val="-2"/>
          <w:sz w:val="22"/>
          <w:szCs w:val="22"/>
        </w:rPr>
        <w:t>2009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7</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31</w:t>
      </w:r>
      <w:r>
        <w:rPr>
          <w:rFonts w:ascii="宋体" w:hAnsi="宋体" w:cs="宋体" w:eastAsia="宋体" w:hint="default"/>
          <w:spacing w:val="-2"/>
          <w:sz w:val="22"/>
          <w:szCs w:val="22"/>
        </w:rPr>
        <w:t>日经审计后的净资产折</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合股份整体变更设立的，注册资本</w:t>
      </w:r>
      <w:r>
        <w:rPr>
          <w:rFonts w:ascii="Times New Roman" w:hAnsi="Times New Roman" w:cs="Times New Roman" w:eastAsia="Times New Roman" w:hint="default"/>
          <w:sz w:val="22"/>
          <w:szCs w:val="22"/>
        </w:rPr>
        <w:t>5,800.00</w:t>
      </w:r>
      <w:r>
        <w:rPr>
          <w:rFonts w:ascii="宋体" w:hAnsi="宋体" w:cs="宋体" w:eastAsia="宋体" w:hint="default"/>
          <w:sz w:val="22"/>
          <w:szCs w:val="22"/>
        </w:rPr>
        <w:t>万元，于</w:t>
      </w:r>
      <w:r>
        <w:rPr>
          <w:rFonts w:ascii="Times New Roman" w:hAnsi="Times New Roman" w:cs="Times New Roman" w:eastAsia="Times New Roman" w:hint="default"/>
          <w:sz w:val="22"/>
          <w:szCs w:val="22"/>
        </w:rPr>
        <w:t>2009</w:t>
      </w:r>
      <w:r>
        <w:rPr>
          <w:rFonts w:ascii="宋体" w:hAnsi="宋体" w:cs="宋体" w:eastAsia="宋体" w:hint="default"/>
          <w:sz w:val="22"/>
          <w:szCs w:val="22"/>
        </w:rPr>
        <w:t>年</w:t>
      </w:r>
      <w:r>
        <w:rPr>
          <w:rFonts w:ascii="Times New Roman" w:hAnsi="Times New Roman" w:cs="Times New Roman" w:eastAsia="Times New Roman" w:hint="default"/>
          <w:sz w:val="22"/>
          <w:szCs w:val="22"/>
        </w:rPr>
        <w:t>9</w:t>
      </w:r>
      <w:r>
        <w:rPr>
          <w:rFonts w:ascii="宋体" w:hAnsi="宋体" w:cs="宋体" w:eastAsia="宋体" w:hint="default"/>
          <w:sz w:val="22"/>
          <w:szCs w:val="22"/>
        </w:rPr>
        <w:t>月</w:t>
      </w:r>
      <w:r>
        <w:rPr>
          <w:rFonts w:ascii="Times New Roman" w:hAnsi="Times New Roman" w:cs="Times New Roman" w:eastAsia="Times New Roman" w:hint="default"/>
          <w:sz w:val="22"/>
          <w:szCs w:val="22"/>
        </w:rPr>
        <w:t>21</w:t>
      </w:r>
      <w:r>
        <w:rPr>
          <w:rFonts w:ascii="宋体" w:hAnsi="宋体" w:cs="宋体" w:eastAsia="宋体" w:hint="default"/>
          <w:sz w:val="22"/>
          <w:szCs w:val="22"/>
        </w:rPr>
        <w:t>日取得成都市工商行政管理局核发</w:t>
      </w:r>
      <w:r>
        <w:rPr>
          <w:rFonts w:ascii="宋体" w:hAnsi="宋体" w:cs="宋体" w:eastAsia="宋体" w:hint="default"/>
          <w:spacing w:val="-47"/>
          <w:sz w:val="22"/>
          <w:szCs w:val="22"/>
        </w:rPr>
        <w:t> </w:t>
      </w:r>
      <w:r>
        <w:rPr>
          <w:rFonts w:ascii="宋体" w:hAnsi="宋体" w:cs="宋体" w:eastAsia="宋体" w:hint="default"/>
          <w:spacing w:val="-47"/>
          <w:sz w:val="22"/>
          <w:szCs w:val="22"/>
        </w:rPr>
      </w:r>
      <w:r>
        <w:rPr>
          <w:rFonts w:ascii="宋体" w:hAnsi="宋体" w:cs="宋体" w:eastAsia="宋体" w:hint="default"/>
          <w:sz w:val="22"/>
          <w:szCs w:val="22"/>
        </w:rPr>
        <w:t>的</w:t>
      </w:r>
      <w:r>
        <w:rPr>
          <w:rFonts w:ascii="Times New Roman" w:hAnsi="Times New Roman" w:cs="Times New Roman" w:eastAsia="Times New Roman" w:hint="default"/>
          <w:sz w:val="22"/>
          <w:szCs w:val="22"/>
        </w:rPr>
        <w:t>510100400013149</w:t>
      </w:r>
      <w:r>
        <w:rPr>
          <w:rFonts w:ascii="宋体" w:hAnsi="宋体" w:cs="宋体" w:eastAsia="宋体" w:hint="default"/>
          <w:sz w:val="22"/>
          <w:szCs w:val="22"/>
        </w:rPr>
        <w:t>号企业法人营业执照。根据本公司</w:t>
      </w: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5</w:t>
      </w:r>
      <w:r>
        <w:rPr>
          <w:rFonts w:ascii="宋体" w:hAnsi="宋体" w:cs="宋体" w:eastAsia="宋体" w:hint="default"/>
          <w:sz w:val="22"/>
          <w:szCs w:val="22"/>
        </w:rPr>
        <w:t>日第</w:t>
      </w:r>
      <w:r>
        <w:rPr>
          <w:rFonts w:ascii="Times New Roman" w:hAnsi="Times New Roman" w:cs="Times New Roman" w:eastAsia="Times New Roman" w:hint="default"/>
          <w:sz w:val="22"/>
          <w:szCs w:val="22"/>
        </w:rPr>
        <w:t>1</w:t>
      </w:r>
      <w:r>
        <w:rPr>
          <w:rFonts w:ascii="宋体" w:hAnsi="宋体" w:cs="宋体" w:eastAsia="宋体" w:hint="default"/>
          <w:sz w:val="22"/>
          <w:szCs w:val="22"/>
        </w:rPr>
        <w:t>次临时股东会决议，本公司</w:t>
      </w:r>
      <w:r>
        <w:rPr>
          <w:rFonts w:ascii="宋体" w:hAnsi="宋体" w:cs="宋体" w:eastAsia="宋体" w:hint="default"/>
          <w:spacing w:val="-47"/>
          <w:sz w:val="22"/>
          <w:szCs w:val="22"/>
        </w:rPr>
        <w:t> </w:t>
      </w:r>
      <w:r>
        <w:rPr>
          <w:rFonts w:ascii="宋体" w:hAnsi="宋体" w:cs="宋体" w:eastAsia="宋体" w:hint="default"/>
          <w:spacing w:val="-47"/>
          <w:sz w:val="22"/>
          <w:szCs w:val="22"/>
        </w:rPr>
      </w:r>
      <w:r>
        <w:rPr>
          <w:rFonts w:ascii="宋体" w:hAnsi="宋体" w:cs="宋体" w:eastAsia="宋体" w:hint="default"/>
          <w:spacing w:val="-2"/>
          <w:sz w:val="22"/>
          <w:szCs w:val="22"/>
        </w:rPr>
        <w:t>申请增加注册资本人民币</w:t>
      </w:r>
      <w:r>
        <w:rPr>
          <w:rFonts w:ascii="Times New Roman" w:hAnsi="Times New Roman" w:cs="Times New Roman" w:eastAsia="Times New Roman" w:hint="default"/>
          <w:spacing w:val="-2"/>
          <w:sz w:val="22"/>
          <w:szCs w:val="22"/>
        </w:rPr>
        <w:t>80</w:t>
      </w:r>
      <w:r>
        <w:rPr>
          <w:rFonts w:ascii="宋体" w:hAnsi="宋体" w:cs="宋体" w:eastAsia="宋体" w:hint="default"/>
          <w:spacing w:val="-2"/>
          <w:sz w:val="22"/>
          <w:szCs w:val="22"/>
        </w:rPr>
        <w:t>万元，于</w:t>
      </w:r>
      <w:r>
        <w:rPr>
          <w:rFonts w:ascii="Times New Roman" w:hAnsi="Times New Roman" w:cs="Times New Roman" w:eastAsia="Times New Roman" w:hint="default"/>
          <w:spacing w:val="-2"/>
          <w:sz w:val="22"/>
          <w:szCs w:val="22"/>
        </w:rPr>
        <w:t>2010</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29</w:t>
      </w:r>
      <w:r>
        <w:rPr>
          <w:rFonts w:ascii="宋体" w:hAnsi="宋体" w:cs="宋体" w:eastAsia="宋体" w:hint="default"/>
          <w:spacing w:val="-2"/>
          <w:sz w:val="22"/>
          <w:szCs w:val="22"/>
        </w:rPr>
        <w:t>日取得变更后的企业法人营业执照，变更后本公司</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注册资本为</w:t>
      </w:r>
      <w:r>
        <w:rPr>
          <w:rFonts w:ascii="Times New Roman" w:hAnsi="Times New Roman" w:cs="Times New Roman" w:eastAsia="Times New Roman" w:hint="default"/>
          <w:sz w:val="22"/>
          <w:szCs w:val="22"/>
        </w:rPr>
        <w:t>5,880.00</w:t>
      </w:r>
      <w:r>
        <w:rPr>
          <w:rFonts w:ascii="宋体" w:hAnsi="宋体" w:cs="宋体" w:eastAsia="宋体" w:hint="default"/>
          <w:sz w:val="22"/>
          <w:szCs w:val="22"/>
        </w:rPr>
        <w:t>万元。</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2</w:t>
      </w:r>
      <w:r>
        <w:rPr>
          <w:rFonts w:ascii="宋体" w:hAnsi="宋体" w:cs="宋体" w:eastAsia="宋体" w:hint="default"/>
          <w:sz w:val="22"/>
          <w:szCs w:val="22"/>
        </w:rPr>
        <w:t>月</w:t>
      </w:r>
      <w:r>
        <w:rPr>
          <w:rFonts w:ascii="Times New Roman" w:hAnsi="Times New Roman" w:cs="Times New Roman" w:eastAsia="Times New Roman" w:hint="default"/>
          <w:sz w:val="22"/>
          <w:szCs w:val="22"/>
        </w:rPr>
        <w:t>23</w:t>
      </w:r>
      <w:r>
        <w:rPr>
          <w:rFonts w:ascii="宋体" w:hAnsi="宋体" w:cs="宋体" w:eastAsia="宋体" w:hint="default"/>
          <w:sz w:val="22"/>
          <w:szCs w:val="22"/>
        </w:rPr>
        <w:t>日，本公司名称由四川依米康环境科技股份有限公司变更为</w:t>
      </w:r>
      <w:r>
        <w:rPr>
          <w:rFonts w:ascii="宋体" w:hAnsi="宋体" w:cs="宋体" w:eastAsia="宋体" w:hint="default"/>
          <w:spacing w:val="-48"/>
          <w:sz w:val="22"/>
          <w:szCs w:val="22"/>
        </w:rPr>
        <w:t> </w:t>
      </w:r>
      <w:r>
        <w:rPr>
          <w:rFonts w:ascii="宋体" w:hAnsi="宋体" w:cs="宋体" w:eastAsia="宋体" w:hint="default"/>
          <w:spacing w:val="-48"/>
          <w:sz w:val="22"/>
          <w:szCs w:val="22"/>
        </w:rPr>
      </w:r>
      <w:r>
        <w:rPr>
          <w:rFonts w:ascii="宋体" w:hAnsi="宋体" w:cs="宋体" w:eastAsia="宋体" w:hint="default"/>
          <w:sz w:val="22"/>
          <w:szCs w:val="22"/>
        </w:rPr>
        <w:t>依米康科技集团股份有限公司，取得了成都市工商行政管理局核发的三证合一的营业执照，统一社</w:t>
      </w:r>
      <w:r>
        <w:rPr>
          <w:rFonts w:ascii="宋体" w:hAnsi="宋体" w:cs="宋体" w:eastAsia="宋体" w:hint="default"/>
          <w:spacing w:val="-48"/>
          <w:sz w:val="22"/>
          <w:szCs w:val="22"/>
        </w:rPr>
        <w:t> </w:t>
      </w:r>
      <w:r>
        <w:rPr>
          <w:rFonts w:ascii="宋体" w:hAnsi="宋体" w:cs="宋体" w:eastAsia="宋体" w:hint="default"/>
          <w:spacing w:val="-48"/>
          <w:sz w:val="22"/>
          <w:szCs w:val="22"/>
        </w:rPr>
      </w:r>
      <w:r>
        <w:rPr>
          <w:rFonts w:ascii="宋体" w:hAnsi="宋体" w:cs="宋体" w:eastAsia="宋体" w:hint="default"/>
          <w:spacing w:val="-5"/>
          <w:sz w:val="22"/>
          <w:szCs w:val="22"/>
        </w:rPr>
        <w:t>会信用代码：</w:t>
      </w:r>
      <w:r>
        <w:rPr>
          <w:rFonts w:ascii="Times New Roman" w:hAnsi="Times New Roman" w:cs="Times New Roman" w:eastAsia="Times New Roman" w:hint="default"/>
          <w:spacing w:val="-5"/>
          <w:sz w:val="22"/>
          <w:szCs w:val="22"/>
        </w:rPr>
        <w:t>91510100740327535Y</w:t>
      </w:r>
      <w:r>
        <w:rPr>
          <w:rFonts w:ascii="宋体" w:hAnsi="宋体" w:cs="宋体" w:eastAsia="宋体" w:hint="default"/>
          <w:spacing w:val="-5"/>
          <w:sz w:val="22"/>
          <w:szCs w:val="22"/>
        </w:rPr>
        <w:t>。公司注册地为成都高新区科园南二路二号，法定代表人为张菀。</w:t>
      </w:r>
    </w:p>
    <w:p>
      <w:pPr>
        <w:spacing w:after="0" w:line="247" w:lineRule="auto"/>
        <w:jc w:val="both"/>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44" w:lineRule="auto" w:before="32"/>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月经中国证券监督管理委员会《关于核准四川依米康环境科技股份有限公司首次公开发</w:t>
      </w:r>
      <w:r>
        <w:rPr>
          <w:rFonts w:ascii="宋体" w:hAnsi="宋体" w:cs="宋体" w:eastAsia="宋体" w:hint="default"/>
          <w:w w:val="100"/>
          <w:sz w:val="22"/>
          <w:szCs w:val="22"/>
        </w:rPr>
        <w:t> </w:t>
      </w:r>
      <w:r>
        <w:rPr>
          <w:rFonts w:ascii="宋体" w:hAnsi="宋体" w:cs="宋体" w:eastAsia="宋体" w:hint="default"/>
          <w:spacing w:val="-9"/>
          <w:w w:val="100"/>
          <w:sz w:val="22"/>
          <w:szCs w:val="22"/>
        </w:rPr>
        <w:t>行股票并在创业板上市的批复》（证监许可</w:t>
      </w:r>
      <w:r>
        <w:rPr>
          <w:rFonts w:ascii="Times New Roman" w:hAnsi="Times New Roman" w:cs="Times New Roman" w:eastAsia="Times New Roman" w:hint="default"/>
          <w:spacing w:val="-9"/>
          <w:w w:val="100"/>
          <w:sz w:val="22"/>
          <w:szCs w:val="22"/>
        </w:rPr>
        <w:t>[2011]1104</w:t>
      </w:r>
      <w:r>
        <w:rPr>
          <w:rFonts w:ascii="宋体" w:hAnsi="宋体" w:cs="宋体" w:eastAsia="宋体" w:hint="default"/>
          <w:spacing w:val="-9"/>
          <w:w w:val="100"/>
          <w:sz w:val="22"/>
          <w:szCs w:val="22"/>
        </w:rPr>
        <w:t>号）核准，公开发行人民币普通股（</w:t>
      </w:r>
      <w:r>
        <w:rPr>
          <w:rFonts w:ascii="Times New Roman" w:hAnsi="Times New Roman" w:cs="Times New Roman" w:eastAsia="Times New Roman" w:hint="default"/>
          <w:spacing w:val="-9"/>
          <w:w w:val="100"/>
          <w:sz w:val="22"/>
          <w:szCs w:val="22"/>
        </w:rPr>
        <w:t>A</w:t>
      </w:r>
      <w:r>
        <w:rPr>
          <w:rFonts w:ascii="宋体" w:hAnsi="宋体" w:cs="宋体" w:eastAsia="宋体" w:hint="default"/>
          <w:spacing w:val="-9"/>
          <w:w w:val="100"/>
          <w:sz w:val="22"/>
          <w:szCs w:val="22"/>
        </w:rPr>
        <w:t>股）</w:t>
      </w:r>
      <w:r>
        <w:rPr>
          <w:rFonts w:ascii="Times New Roman" w:hAnsi="Times New Roman" w:cs="Times New Roman" w:eastAsia="Times New Roman" w:hint="default"/>
          <w:spacing w:val="-9"/>
          <w:w w:val="100"/>
          <w:sz w:val="22"/>
          <w:szCs w:val="22"/>
        </w:rPr>
        <w:t>1,960.00</w:t>
      </w:r>
      <w:r>
        <w:rPr>
          <w:rFonts w:ascii="Times New Roman" w:hAnsi="Times New Roman" w:cs="Times New Roman" w:eastAsia="Times New Roman" w:hint="default"/>
          <w:spacing w:val="-43"/>
          <w:w w:val="100"/>
          <w:sz w:val="22"/>
          <w:szCs w:val="22"/>
        </w:rPr>
        <w:t> </w:t>
      </w:r>
      <w:r>
        <w:rPr>
          <w:rFonts w:ascii="Times New Roman" w:hAnsi="Times New Roman" w:cs="Times New Roman" w:eastAsia="Times New Roman" w:hint="default"/>
          <w:spacing w:val="-43"/>
          <w:w w:val="100"/>
          <w:sz w:val="22"/>
          <w:szCs w:val="22"/>
        </w:rPr>
      </w:r>
      <w:r>
        <w:rPr>
          <w:rFonts w:ascii="宋体" w:hAnsi="宋体" w:cs="宋体" w:eastAsia="宋体" w:hint="default"/>
          <w:sz w:val="22"/>
          <w:szCs w:val="22"/>
        </w:rPr>
        <w:t>万股，并于</w:t>
      </w: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3</w:t>
      </w:r>
      <w:r>
        <w:rPr>
          <w:rFonts w:ascii="宋体" w:hAnsi="宋体" w:cs="宋体" w:eastAsia="宋体" w:hint="default"/>
          <w:sz w:val="22"/>
          <w:szCs w:val="22"/>
        </w:rPr>
        <w:t>日在深圳证券交易所上市交易，公开发行后股本总额为</w:t>
      </w:r>
      <w:r>
        <w:rPr>
          <w:rFonts w:ascii="Times New Roman" w:hAnsi="Times New Roman" w:cs="Times New Roman" w:eastAsia="Times New Roman" w:hint="default"/>
          <w:sz w:val="22"/>
          <w:szCs w:val="22"/>
        </w:rPr>
        <w:t>7,840</w:t>
      </w:r>
      <w:r>
        <w:rPr>
          <w:rFonts w:ascii="宋体" w:hAnsi="宋体" w:cs="宋体" w:eastAsia="宋体" w:hint="default"/>
          <w:sz w:val="22"/>
          <w:szCs w:val="22"/>
        </w:rPr>
        <w:t>万股。</w:t>
      </w:r>
    </w:p>
    <w:p>
      <w:pPr>
        <w:spacing w:line="240" w:lineRule="auto" w:before="8"/>
        <w:rPr>
          <w:rFonts w:ascii="宋体" w:hAnsi="宋体" w:cs="宋体" w:eastAsia="宋体" w:hint="default"/>
          <w:sz w:val="18"/>
          <w:szCs w:val="18"/>
        </w:rPr>
      </w:pPr>
    </w:p>
    <w:p>
      <w:pPr>
        <w:spacing w:line="244" w:lineRule="auto" w:before="0"/>
        <w:ind w:left="153" w:right="1129"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2013</w:t>
      </w:r>
      <w:r>
        <w:rPr>
          <w:rFonts w:ascii="宋体" w:hAnsi="宋体" w:cs="宋体" w:eastAsia="宋体" w:hint="default"/>
          <w:sz w:val="22"/>
          <w:szCs w:val="22"/>
        </w:rPr>
        <w:t>年</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17</w:t>
      </w:r>
      <w:r>
        <w:rPr>
          <w:rFonts w:ascii="宋体" w:hAnsi="宋体" w:cs="宋体" w:eastAsia="宋体" w:hint="default"/>
          <w:sz w:val="22"/>
          <w:szCs w:val="22"/>
        </w:rPr>
        <w:t>日，根据本公司</w:t>
      </w:r>
      <w:r>
        <w:rPr>
          <w:rFonts w:ascii="Times New Roman" w:hAnsi="Times New Roman" w:cs="Times New Roman" w:eastAsia="Times New Roman" w:hint="default"/>
          <w:sz w:val="22"/>
          <w:szCs w:val="22"/>
        </w:rPr>
        <w:t>2012</w:t>
      </w:r>
      <w:r>
        <w:rPr>
          <w:rFonts w:ascii="宋体" w:hAnsi="宋体" w:cs="宋体" w:eastAsia="宋体" w:hint="default"/>
          <w:sz w:val="22"/>
          <w:szCs w:val="22"/>
        </w:rPr>
        <w:t>年度股东大会决议和修改后章程的规定，本公司申请增加注册</w:t>
      </w:r>
      <w:r>
        <w:rPr>
          <w:rFonts w:ascii="宋体" w:hAnsi="宋体" w:cs="宋体" w:eastAsia="宋体" w:hint="default"/>
          <w:w w:val="100"/>
          <w:sz w:val="22"/>
          <w:szCs w:val="22"/>
        </w:rPr>
        <w:t> </w:t>
      </w:r>
      <w:r>
        <w:rPr>
          <w:rFonts w:ascii="宋体" w:hAnsi="宋体" w:cs="宋体" w:eastAsia="宋体" w:hint="default"/>
          <w:spacing w:val="-2"/>
          <w:sz w:val="22"/>
          <w:szCs w:val="22"/>
        </w:rPr>
        <w:t>资本人民币</w:t>
      </w:r>
      <w:r>
        <w:rPr>
          <w:rFonts w:ascii="Times New Roman" w:hAnsi="Times New Roman" w:cs="Times New Roman" w:eastAsia="Times New Roman" w:hint="default"/>
          <w:spacing w:val="-2"/>
          <w:sz w:val="22"/>
          <w:szCs w:val="22"/>
        </w:rPr>
        <w:t>7,840.00</w:t>
      </w:r>
      <w:r>
        <w:rPr>
          <w:rFonts w:ascii="宋体" w:hAnsi="宋体" w:cs="宋体" w:eastAsia="宋体" w:hint="default"/>
          <w:spacing w:val="-2"/>
          <w:sz w:val="22"/>
          <w:szCs w:val="22"/>
        </w:rPr>
        <w:t>万元，由资本公积转增股本，转增基准日期为</w:t>
      </w:r>
      <w:r>
        <w:rPr>
          <w:rFonts w:ascii="Times New Roman" w:hAnsi="Times New Roman" w:cs="Times New Roman" w:eastAsia="Times New Roman" w:hint="default"/>
          <w:spacing w:val="-2"/>
          <w:sz w:val="22"/>
          <w:szCs w:val="22"/>
        </w:rPr>
        <w:t>2013</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5</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17</w:t>
      </w:r>
      <w:r>
        <w:rPr>
          <w:rFonts w:ascii="宋体" w:hAnsi="宋体" w:cs="宋体" w:eastAsia="宋体" w:hint="default"/>
          <w:spacing w:val="-2"/>
          <w:sz w:val="22"/>
          <w:szCs w:val="22"/>
        </w:rPr>
        <w:t>日，转增对象为</w:t>
      </w:r>
      <w:r>
        <w:rPr>
          <w:rFonts w:ascii="Times New Roman" w:hAnsi="Times New Roman" w:cs="Times New Roman" w:eastAsia="Times New Roman" w:hint="default"/>
          <w:spacing w:val="-2"/>
          <w:sz w:val="22"/>
          <w:szCs w:val="22"/>
        </w:rPr>
        <w:t>2013</w:t>
      </w:r>
      <w:r>
        <w:rPr>
          <w:rFonts w:ascii="宋体" w:hAnsi="宋体" w:cs="宋体" w:eastAsia="宋体" w:hint="default"/>
          <w:spacing w:val="-2"/>
          <w:sz w:val="22"/>
          <w:szCs w:val="22"/>
        </w:rPr>
        <w:t>年</w:t>
      </w:r>
      <w:r>
        <w:rPr>
          <w:rFonts w:ascii="宋体" w:hAnsi="宋体" w:cs="宋体" w:eastAsia="宋体" w:hint="default"/>
          <w:spacing w:val="-52"/>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16</w:t>
      </w:r>
      <w:r>
        <w:rPr>
          <w:rFonts w:ascii="宋体" w:hAnsi="宋体" w:cs="宋体" w:eastAsia="宋体" w:hint="default"/>
          <w:sz w:val="22"/>
          <w:szCs w:val="22"/>
        </w:rPr>
        <w:t>日下午深圳证券交易所收市后，在中国证券登记结算有限责任公司深圳分公司登记在册的本公</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司全体股东，变更后的注册资本为人民币</w:t>
      </w:r>
      <w:r>
        <w:rPr>
          <w:rFonts w:ascii="Times New Roman" w:hAnsi="Times New Roman" w:cs="Times New Roman" w:eastAsia="Times New Roman" w:hint="default"/>
          <w:sz w:val="22"/>
          <w:szCs w:val="22"/>
        </w:rPr>
        <w:t>15,680.00</w:t>
      </w:r>
      <w:r>
        <w:rPr>
          <w:rFonts w:ascii="宋体" w:hAnsi="宋体" w:cs="宋体" w:eastAsia="宋体" w:hint="default"/>
          <w:sz w:val="22"/>
          <w:szCs w:val="22"/>
        </w:rPr>
        <w:t>万元。</w:t>
      </w:r>
    </w:p>
    <w:p>
      <w:pPr>
        <w:spacing w:line="240" w:lineRule="auto" w:before="7"/>
        <w:rPr>
          <w:rFonts w:ascii="宋体" w:hAnsi="宋体" w:cs="宋体" w:eastAsia="宋体" w:hint="default"/>
          <w:sz w:val="18"/>
          <w:szCs w:val="18"/>
        </w:rPr>
      </w:pPr>
    </w:p>
    <w:p>
      <w:pPr>
        <w:spacing w:line="247" w:lineRule="auto" w:before="0"/>
        <w:ind w:left="153" w:right="1122" w:firstLine="441"/>
        <w:jc w:val="both"/>
        <w:rPr>
          <w:rFonts w:ascii="宋体" w:hAnsi="宋体" w:cs="宋体" w:eastAsia="宋体" w:hint="default"/>
          <w:sz w:val="22"/>
          <w:szCs w:val="22"/>
        </w:rPr>
      </w:pPr>
      <w:r>
        <w:rPr>
          <w:rFonts w:ascii="宋体" w:hAnsi="宋体" w:cs="宋体" w:eastAsia="宋体" w:hint="default"/>
          <w:spacing w:val="2"/>
          <w:sz w:val="22"/>
          <w:szCs w:val="22"/>
        </w:rPr>
        <w:t>根据本公司</w:t>
      </w:r>
      <w:r>
        <w:rPr>
          <w:rFonts w:ascii="Times New Roman" w:hAnsi="Times New Roman" w:cs="Times New Roman" w:eastAsia="Times New Roman" w:hint="default"/>
          <w:spacing w:val="2"/>
          <w:sz w:val="22"/>
          <w:szCs w:val="22"/>
        </w:rPr>
        <w:t>2014</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4</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8</w:t>
      </w:r>
      <w:r>
        <w:rPr>
          <w:rFonts w:ascii="宋体" w:hAnsi="宋体" w:cs="宋体" w:eastAsia="宋体" w:hint="default"/>
          <w:spacing w:val="2"/>
          <w:sz w:val="22"/>
          <w:szCs w:val="22"/>
        </w:rPr>
        <w:t>日第二届董事会第十六次会议决议以及</w:t>
      </w:r>
      <w:r>
        <w:rPr>
          <w:rFonts w:ascii="Times New Roman" w:hAnsi="Times New Roman" w:cs="Times New Roman" w:eastAsia="Times New Roman" w:hint="default"/>
          <w:spacing w:val="2"/>
          <w:sz w:val="22"/>
          <w:szCs w:val="22"/>
        </w:rPr>
        <w:t>2014</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10</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29</w:t>
      </w:r>
      <w:r>
        <w:rPr>
          <w:rFonts w:ascii="宋体" w:hAnsi="宋体" w:cs="宋体" w:eastAsia="宋体" w:hint="default"/>
          <w:spacing w:val="2"/>
          <w:sz w:val="22"/>
          <w:szCs w:val="22"/>
        </w:rPr>
        <w:t>日取得的中国证券</w:t>
      </w:r>
      <w:r>
        <w:rPr>
          <w:rFonts w:ascii="宋体" w:hAnsi="宋体" w:cs="宋体" w:eastAsia="宋体" w:hint="default"/>
          <w:w w:val="100"/>
          <w:sz w:val="22"/>
          <w:szCs w:val="22"/>
        </w:rPr>
        <w:t> </w:t>
      </w:r>
      <w:r>
        <w:rPr>
          <w:rFonts w:ascii="宋体" w:hAnsi="宋体" w:cs="宋体" w:eastAsia="宋体" w:hint="default"/>
          <w:spacing w:val="-2"/>
          <w:sz w:val="22"/>
          <w:szCs w:val="22"/>
        </w:rPr>
        <w:t>监督管理委员会《关于核准四川依米康环境科技股份有限公司向宋正兴等发行股份购买资产并募集配</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套资金的批复》（证监许可</w:t>
      </w:r>
      <w:r>
        <w:rPr>
          <w:rFonts w:ascii="Times New Roman" w:hAnsi="Times New Roman" w:cs="Times New Roman" w:eastAsia="Times New Roman" w:hint="default"/>
          <w:sz w:val="22"/>
          <w:szCs w:val="22"/>
        </w:rPr>
        <w:t>[2014]1139</w:t>
      </w:r>
      <w:r>
        <w:rPr>
          <w:rFonts w:ascii="宋体" w:hAnsi="宋体" w:cs="宋体" w:eastAsia="宋体" w:hint="default"/>
          <w:sz w:val="22"/>
          <w:szCs w:val="22"/>
        </w:rPr>
        <w:t>号），核准本公司向江苏亿金环保科技股份有限公司，后更名</w:t>
      </w:r>
      <w:r>
        <w:rPr>
          <w:rFonts w:ascii="宋体" w:hAnsi="宋体" w:cs="宋体" w:eastAsia="宋体" w:hint="default"/>
          <w:spacing w:val="-80"/>
          <w:sz w:val="22"/>
          <w:szCs w:val="22"/>
        </w:rPr>
        <w:t> </w:t>
      </w:r>
      <w:r>
        <w:rPr>
          <w:rFonts w:ascii="宋体" w:hAnsi="宋体" w:cs="宋体" w:eastAsia="宋体" w:hint="default"/>
          <w:sz w:val="22"/>
          <w:szCs w:val="22"/>
        </w:rPr>
        <w:t>为江苏亿金环保科技有限公司（以下简称江苏亿金）的股东宋正兴发行</w:t>
      </w:r>
      <w:r>
        <w:rPr>
          <w:rFonts w:ascii="Times New Roman" w:hAnsi="Times New Roman" w:cs="Times New Roman" w:eastAsia="Times New Roman" w:hint="default"/>
          <w:sz w:val="22"/>
          <w:szCs w:val="22"/>
        </w:rPr>
        <w:t>8,270,823</w:t>
      </w:r>
      <w:r>
        <w:rPr>
          <w:rFonts w:ascii="宋体" w:hAnsi="宋体" w:cs="宋体" w:eastAsia="宋体" w:hint="default"/>
          <w:sz w:val="22"/>
          <w:szCs w:val="22"/>
        </w:rPr>
        <w:t>股、向叶春娥发行</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Times New Roman" w:hAnsi="Times New Roman" w:cs="Times New Roman" w:eastAsia="Times New Roman" w:hint="default"/>
          <w:sz w:val="22"/>
          <w:szCs w:val="22"/>
        </w:rPr>
        <w:t>739,667</w:t>
      </w:r>
      <w:r>
        <w:rPr>
          <w:rFonts w:ascii="宋体" w:hAnsi="宋体" w:cs="宋体" w:eastAsia="宋体" w:hint="default"/>
          <w:sz w:val="22"/>
          <w:szCs w:val="22"/>
        </w:rPr>
        <w:t>股、向宋丽娜发行</w:t>
      </w:r>
      <w:r>
        <w:rPr>
          <w:rFonts w:ascii="Times New Roman" w:hAnsi="Times New Roman" w:cs="Times New Roman" w:eastAsia="Times New Roman" w:hint="default"/>
          <w:sz w:val="22"/>
          <w:szCs w:val="22"/>
        </w:rPr>
        <w:t>739,667</w:t>
      </w:r>
      <w:r>
        <w:rPr>
          <w:rFonts w:ascii="宋体" w:hAnsi="宋体" w:cs="宋体" w:eastAsia="宋体" w:hint="default"/>
          <w:sz w:val="22"/>
          <w:szCs w:val="22"/>
        </w:rPr>
        <w:t>股、向张家港市立业投资发展有限公司发行</w:t>
      </w:r>
      <w:r>
        <w:rPr>
          <w:rFonts w:ascii="Times New Roman" w:hAnsi="Times New Roman" w:cs="Times New Roman" w:eastAsia="Times New Roman" w:hint="default"/>
          <w:sz w:val="22"/>
          <w:szCs w:val="22"/>
        </w:rPr>
        <w:t>1,660,889</w:t>
      </w:r>
      <w:r>
        <w:rPr>
          <w:rFonts w:ascii="宋体" w:hAnsi="宋体" w:cs="宋体" w:eastAsia="宋体" w:hint="default"/>
          <w:sz w:val="22"/>
          <w:szCs w:val="22"/>
        </w:rPr>
        <w:t>股、向上海添</w:t>
      </w:r>
      <w:r>
        <w:rPr>
          <w:rFonts w:ascii="宋体" w:hAnsi="宋体" w:cs="宋体" w:eastAsia="宋体" w:hint="default"/>
          <w:spacing w:val="-50"/>
          <w:sz w:val="22"/>
          <w:szCs w:val="22"/>
        </w:rPr>
        <w:t> </w:t>
      </w:r>
      <w:r>
        <w:rPr>
          <w:rFonts w:ascii="宋体" w:hAnsi="宋体" w:cs="宋体" w:eastAsia="宋体" w:hint="default"/>
          <w:spacing w:val="-3"/>
          <w:sz w:val="22"/>
          <w:szCs w:val="22"/>
        </w:rPr>
        <w:t>惠投资管理有限公司发行</w:t>
      </w:r>
      <w:r>
        <w:rPr>
          <w:rFonts w:ascii="Times New Roman" w:hAnsi="Times New Roman" w:cs="Times New Roman" w:eastAsia="Times New Roman" w:hint="default"/>
          <w:spacing w:val="-3"/>
          <w:sz w:val="22"/>
          <w:szCs w:val="22"/>
        </w:rPr>
        <w:t>2,481,247</w:t>
      </w:r>
      <w:r>
        <w:rPr>
          <w:rFonts w:ascii="宋体" w:hAnsi="宋体" w:cs="宋体" w:eastAsia="宋体" w:hint="default"/>
          <w:spacing w:val="-3"/>
          <w:sz w:val="22"/>
          <w:szCs w:val="22"/>
        </w:rPr>
        <w:t>股、向张家港市福兴投资管理咨询有限公司发行</w:t>
      </w:r>
      <w:r>
        <w:rPr>
          <w:rFonts w:ascii="Times New Roman" w:hAnsi="Times New Roman" w:cs="Times New Roman" w:eastAsia="Times New Roman" w:hint="default"/>
          <w:spacing w:val="-3"/>
          <w:sz w:val="22"/>
          <w:szCs w:val="22"/>
        </w:rPr>
        <w:t>941,395</w:t>
      </w:r>
      <w:r>
        <w:rPr>
          <w:rFonts w:ascii="宋体" w:hAnsi="宋体" w:cs="宋体" w:eastAsia="宋体" w:hint="default"/>
          <w:spacing w:val="-3"/>
          <w:sz w:val="22"/>
          <w:szCs w:val="22"/>
        </w:rPr>
        <w:t>股、向张家</w:t>
      </w:r>
      <w:r>
        <w:rPr>
          <w:rFonts w:ascii="宋体" w:hAnsi="宋体" w:cs="宋体" w:eastAsia="宋体" w:hint="default"/>
          <w:spacing w:val="-45"/>
          <w:sz w:val="22"/>
          <w:szCs w:val="22"/>
        </w:rPr>
        <w:t> </w:t>
      </w:r>
      <w:r>
        <w:rPr>
          <w:rFonts w:ascii="宋体" w:hAnsi="宋体" w:cs="宋体" w:eastAsia="宋体" w:hint="default"/>
          <w:spacing w:val="-45"/>
          <w:sz w:val="22"/>
          <w:szCs w:val="22"/>
        </w:rPr>
      </w:r>
      <w:r>
        <w:rPr>
          <w:rFonts w:ascii="宋体" w:hAnsi="宋体" w:cs="宋体" w:eastAsia="宋体" w:hint="default"/>
          <w:sz w:val="22"/>
          <w:szCs w:val="22"/>
        </w:rPr>
        <w:t>港市嘉明商贸有限公司发行</w:t>
      </w:r>
      <w:r>
        <w:rPr>
          <w:rFonts w:ascii="Times New Roman" w:hAnsi="Times New Roman" w:cs="Times New Roman" w:eastAsia="Times New Roman" w:hint="default"/>
          <w:sz w:val="22"/>
          <w:szCs w:val="22"/>
        </w:rPr>
        <w:t>672,425</w:t>
      </w:r>
      <w:r>
        <w:rPr>
          <w:rFonts w:ascii="宋体" w:hAnsi="宋体" w:cs="宋体" w:eastAsia="宋体" w:hint="default"/>
          <w:sz w:val="22"/>
          <w:szCs w:val="22"/>
        </w:rPr>
        <w:t>股、向上海同航投资管理有限公司发行</w:t>
      </w:r>
      <w:r>
        <w:rPr>
          <w:rFonts w:ascii="Times New Roman" w:hAnsi="Times New Roman" w:cs="Times New Roman" w:eastAsia="Times New Roman" w:hint="default"/>
          <w:sz w:val="22"/>
          <w:szCs w:val="22"/>
        </w:rPr>
        <w:t>605,182</w:t>
      </w:r>
      <w:r>
        <w:rPr>
          <w:rFonts w:ascii="宋体" w:hAnsi="宋体" w:cs="宋体" w:eastAsia="宋体" w:hint="default"/>
          <w:sz w:val="22"/>
          <w:szCs w:val="22"/>
        </w:rPr>
        <w:t>股股票用于收购其</w:t>
      </w:r>
      <w:r>
        <w:rPr>
          <w:rFonts w:ascii="宋体" w:hAnsi="宋体" w:cs="宋体" w:eastAsia="宋体" w:hint="default"/>
          <w:spacing w:val="-46"/>
          <w:sz w:val="22"/>
          <w:szCs w:val="22"/>
        </w:rPr>
        <w:t> </w:t>
      </w:r>
      <w:r>
        <w:rPr>
          <w:rFonts w:ascii="宋体" w:hAnsi="宋体" w:cs="宋体" w:eastAsia="宋体" w:hint="default"/>
          <w:spacing w:val="-46"/>
          <w:sz w:val="22"/>
          <w:szCs w:val="22"/>
        </w:rPr>
      </w:r>
      <w:r>
        <w:rPr>
          <w:rFonts w:ascii="宋体" w:hAnsi="宋体" w:cs="宋体" w:eastAsia="宋体" w:hint="default"/>
          <w:spacing w:val="-2"/>
          <w:sz w:val="22"/>
          <w:szCs w:val="22"/>
        </w:rPr>
        <w:t>合计持有的江苏亿金</w:t>
      </w:r>
      <w:r>
        <w:rPr>
          <w:rFonts w:ascii="Times New Roman" w:hAnsi="Times New Roman" w:cs="Times New Roman" w:eastAsia="Times New Roman" w:hint="default"/>
          <w:spacing w:val="-2"/>
          <w:sz w:val="22"/>
          <w:szCs w:val="22"/>
        </w:rPr>
        <w:t>53%</w:t>
      </w:r>
      <w:r>
        <w:rPr>
          <w:rFonts w:ascii="宋体" w:hAnsi="宋体" w:cs="宋体" w:eastAsia="宋体" w:hint="default"/>
          <w:spacing w:val="-2"/>
          <w:sz w:val="22"/>
          <w:szCs w:val="22"/>
        </w:rPr>
        <w:t>的股份；同意本公司非公开发行不超过</w:t>
      </w:r>
      <w:r>
        <w:rPr>
          <w:rFonts w:ascii="Times New Roman" w:hAnsi="Times New Roman" w:cs="Times New Roman" w:eastAsia="Times New Roman" w:hint="default"/>
          <w:spacing w:val="-2"/>
          <w:sz w:val="22"/>
          <w:szCs w:val="22"/>
        </w:rPr>
        <w:t>6,000,000.00</w:t>
      </w:r>
      <w:r>
        <w:rPr>
          <w:rFonts w:ascii="宋体" w:hAnsi="宋体" w:cs="宋体" w:eastAsia="宋体" w:hint="default"/>
          <w:spacing w:val="-2"/>
          <w:sz w:val="22"/>
          <w:szCs w:val="22"/>
        </w:rPr>
        <w:t>股新股募集本次发行股票</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购买资产的配套资金。</w:t>
      </w:r>
    </w:p>
    <w:p>
      <w:pPr>
        <w:spacing w:line="240" w:lineRule="auto" w:before="9"/>
        <w:rPr>
          <w:rFonts w:ascii="宋体" w:hAnsi="宋体" w:cs="宋体" w:eastAsia="宋体" w:hint="default"/>
          <w:sz w:val="19"/>
          <w:szCs w:val="19"/>
        </w:rPr>
      </w:pPr>
    </w:p>
    <w:p>
      <w:pPr>
        <w:spacing w:line="24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7"/>
          <w:sz w:val="22"/>
          <w:szCs w:val="22"/>
        </w:rPr>
        <w:t>截至</w:t>
      </w:r>
      <w:r>
        <w:rPr>
          <w:rFonts w:ascii="Times New Roman" w:hAnsi="Times New Roman" w:cs="Times New Roman" w:eastAsia="Times New Roman" w:hint="default"/>
          <w:spacing w:val="-7"/>
          <w:sz w:val="22"/>
          <w:szCs w:val="22"/>
        </w:rPr>
        <w:t>2014</w:t>
      </w:r>
      <w:r>
        <w:rPr>
          <w:rFonts w:ascii="宋体" w:hAnsi="宋体" w:cs="宋体" w:eastAsia="宋体" w:hint="default"/>
          <w:spacing w:val="-7"/>
          <w:sz w:val="22"/>
          <w:szCs w:val="22"/>
        </w:rPr>
        <w:t>年</w:t>
      </w:r>
      <w:r>
        <w:rPr>
          <w:rFonts w:ascii="Times New Roman" w:hAnsi="Times New Roman" w:cs="Times New Roman" w:eastAsia="Times New Roman" w:hint="default"/>
          <w:spacing w:val="-7"/>
          <w:sz w:val="22"/>
          <w:szCs w:val="22"/>
        </w:rPr>
        <w:t>11</w:t>
      </w:r>
      <w:r>
        <w:rPr>
          <w:rFonts w:ascii="宋体" w:hAnsi="宋体" w:cs="宋体" w:eastAsia="宋体" w:hint="default"/>
          <w:spacing w:val="-7"/>
          <w:sz w:val="22"/>
          <w:szCs w:val="22"/>
        </w:rPr>
        <w:t>月</w:t>
      </w:r>
      <w:r>
        <w:rPr>
          <w:rFonts w:ascii="Times New Roman" w:hAnsi="Times New Roman" w:cs="Times New Roman" w:eastAsia="Times New Roman" w:hint="default"/>
          <w:spacing w:val="-7"/>
          <w:sz w:val="22"/>
          <w:szCs w:val="22"/>
        </w:rPr>
        <w:t>26</w:t>
      </w:r>
      <w:r>
        <w:rPr>
          <w:rFonts w:ascii="宋体" w:hAnsi="宋体" w:cs="宋体" w:eastAsia="宋体" w:hint="default"/>
          <w:spacing w:val="-7"/>
          <w:sz w:val="22"/>
          <w:szCs w:val="22"/>
        </w:rPr>
        <w:t>日，江苏亿金股东宋正兴、叶春娥、宋丽娜、张家港市立业投资发展有限公司、</w:t>
      </w:r>
      <w:r>
        <w:rPr>
          <w:rFonts w:ascii="宋体" w:hAnsi="宋体" w:cs="宋体" w:eastAsia="宋体" w:hint="default"/>
          <w:w w:val="100"/>
          <w:sz w:val="22"/>
          <w:szCs w:val="22"/>
        </w:rPr>
        <w:t> </w:t>
      </w:r>
      <w:r>
        <w:rPr>
          <w:rFonts w:ascii="宋体" w:hAnsi="宋体" w:cs="宋体" w:eastAsia="宋体" w:hint="default"/>
          <w:sz w:val="22"/>
          <w:szCs w:val="22"/>
        </w:rPr>
        <w:t>上海添惠投资管理有限公司、张家港市福兴投资管理咨询有限公司、张家港市嘉明商贸有限公司、上</w:t>
      </w:r>
      <w:r>
        <w:rPr>
          <w:rFonts w:ascii="宋体" w:hAnsi="宋体" w:cs="宋体" w:eastAsia="宋体" w:hint="default"/>
          <w:w w:val="100"/>
          <w:sz w:val="22"/>
          <w:szCs w:val="22"/>
        </w:rPr>
        <w:t> </w:t>
      </w:r>
      <w:r>
        <w:rPr>
          <w:rFonts w:ascii="宋体" w:hAnsi="宋体" w:cs="宋体" w:eastAsia="宋体" w:hint="default"/>
          <w:sz w:val="22"/>
          <w:szCs w:val="22"/>
        </w:rPr>
        <w:t>海同航投资管理有限公司将其合计持有的亿金环保公司</w:t>
      </w:r>
      <w:r>
        <w:rPr>
          <w:rFonts w:ascii="Times New Roman" w:hAnsi="Times New Roman" w:cs="Times New Roman" w:eastAsia="Times New Roman" w:hint="default"/>
          <w:sz w:val="22"/>
          <w:szCs w:val="22"/>
        </w:rPr>
        <w:t>53%</w:t>
      </w:r>
      <w:r>
        <w:rPr>
          <w:rFonts w:ascii="宋体" w:hAnsi="宋体" w:cs="宋体" w:eastAsia="宋体" w:hint="default"/>
          <w:sz w:val="22"/>
          <w:szCs w:val="22"/>
        </w:rPr>
        <w:t>的股份过户给本公司，用于认购本公司向</w:t>
      </w:r>
      <w:r>
        <w:rPr>
          <w:rFonts w:ascii="宋体" w:hAnsi="宋体" w:cs="宋体" w:eastAsia="宋体" w:hint="default"/>
          <w:w w:val="100"/>
          <w:sz w:val="22"/>
          <w:szCs w:val="22"/>
        </w:rPr>
        <w:t> </w:t>
      </w:r>
      <w:r>
        <w:rPr>
          <w:rFonts w:ascii="宋体" w:hAnsi="宋体" w:cs="宋体" w:eastAsia="宋体" w:hint="default"/>
          <w:spacing w:val="-1"/>
          <w:sz w:val="22"/>
          <w:szCs w:val="22"/>
        </w:rPr>
        <w:t>其合计发行的人民币普通股</w:t>
      </w:r>
      <w:r>
        <w:rPr>
          <w:rFonts w:ascii="Times New Roman" w:hAnsi="Times New Roman" w:cs="Times New Roman" w:eastAsia="Times New Roman" w:hint="default"/>
          <w:spacing w:val="-1"/>
          <w:sz w:val="22"/>
          <w:szCs w:val="22"/>
        </w:rPr>
        <w:t>16,111,295</w:t>
      </w:r>
      <w:r>
        <w:rPr>
          <w:rFonts w:ascii="宋体" w:hAnsi="宋体" w:cs="宋体" w:eastAsia="宋体" w:hint="default"/>
          <w:spacing w:val="-1"/>
          <w:sz w:val="22"/>
          <w:szCs w:val="22"/>
        </w:rPr>
        <w:t>股股票，认购价为</w:t>
      </w:r>
      <w:r>
        <w:rPr>
          <w:rFonts w:ascii="Times New Roman" w:hAnsi="Times New Roman" w:cs="Times New Roman" w:eastAsia="Times New Roman" w:hint="default"/>
          <w:spacing w:val="-1"/>
          <w:sz w:val="22"/>
          <w:szCs w:val="22"/>
        </w:rPr>
        <w:t>8.95</w:t>
      </w:r>
      <w:r>
        <w:rPr>
          <w:rFonts w:ascii="宋体" w:hAnsi="宋体" w:cs="宋体" w:eastAsia="宋体" w:hint="default"/>
          <w:spacing w:val="-1"/>
          <w:sz w:val="22"/>
          <w:szCs w:val="22"/>
        </w:rPr>
        <w:t>元</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股，本公司增加股本</w:t>
      </w:r>
      <w:r>
        <w:rPr>
          <w:rFonts w:ascii="Times New Roman" w:hAnsi="Times New Roman" w:cs="Times New Roman" w:eastAsia="Times New Roman" w:hint="default"/>
          <w:spacing w:val="-1"/>
          <w:sz w:val="22"/>
          <w:szCs w:val="22"/>
        </w:rPr>
        <w:t>16,111,295.00</w:t>
      </w:r>
      <w:r>
        <w:rPr>
          <w:rFonts w:ascii="宋体" w:hAnsi="宋体" w:cs="宋体" w:eastAsia="宋体" w:hint="default"/>
          <w:spacing w:val="-1"/>
          <w:sz w:val="22"/>
          <w:szCs w:val="22"/>
        </w:rPr>
        <w:t>元，</w:t>
      </w:r>
      <w:r>
        <w:rPr>
          <w:rFonts w:ascii="宋体" w:hAnsi="宋体" w:cs="宋体" w:eastAsia="宋体" w:hint="default"/>
          <w:spacing w:val="-41"/>
          <w:sz w:val="22"/>
          <w:szCs w:val="22"/>
        </w:rPr>
        <w:t> </w:t>
      </w:r>
      <w:r>
        <w:rPr>
          <w:rFonts w:ascii="宋体" w:hAnsi="宋体" w:cs="宋体" w:eastAsia="宋体" w:hint="default"/>
          <w:sz w:val="22"/>
          <w:szCs w:val="22"/>
        </w:rPr>
        <w:t>增加资本公积</w:t>
      </w:r>
      <w:r>
        <w:rPr>
          <w:rFonts w:ascii="Times New Roman" w:hAnsi="Times New Roman" w:cs="Times New Roman" w:eastAsia="Times New Roman" w:hint="default"/>
          <w:sz w:val="22"/>
          <w:szCs w:val="22"/>
        </w:rPr>
        <w:t>128,084,795.25</w:t>
      </w:r>
      <w:r>
        <w:rPr>
          <w:rFonts w:ascii="宋体" w:hAnsi="宋体" w:cs="宋体" w:eastAsia="宋体" w:hint="default"/>
          <w:sz w:val="22"/>
          <w:szCs w:val="22"/>
        </w:rPr>
        <w:t>元。</w:t>
      </w:r>
    </w:p>
    <w:p>
      <w:pPr>
        <w:spacing w:line="240" w:lineRule="auto" w:before="2"/>
        <w:rPr>
          <w:rFonts w:ascii="宋体" w:hAnsi="宋体" w:cs="宋体" w:eastAsia="宋体" w:hint="default"/>
          <w:sz w:val="18"/>
          <w:szCs w:val="18"/>
        </w:rPr>
      </w:pPr>
    </w:p>
    <w:p>
      <w:pPr>
        <w:spacing w:line="249" w:lineRule="auto" w:before="0"/>
        <w:ind w:left="153" w:right="1122" w:firstLine="441"/>
        <w:jc w:val="right"/>
        <w:rPr>
          <w:rFonts w:ascii="宋体" w:hAnsi="宋体" w:cs="宋体" w:eastAsia="宋体" w:hint="default"/>
          <w:sz w:val="22"/>
          <w:szCs w:val="22"/>
        </w:rPr>
      </w:pPr>
      <w:r>
        <w:rPr>
          <w:rFonts w:ascii="宋体" w:hAnsi="宋体" w:cs="宋体" w:eastAsia="宋体" w:hint="default"/>
          <w:spacing w:val="-2"/>
          <w:sz w:val="22"/>
          <w:szCs w:val="22"/>
        </w:rPr>
        <w:t>截至</w:t>
      </w:r>
      <w:r>
        <w:rPr>
          <w:rFonts w:ascii="Times New Roman" w:hAnsi="Times New Roman" w:cs="Times New Roman" w:eastAsia="Times New Roman" w:hint="default"/>
          <w:spacing w:val="-2"/>
          <w:sz w:val="22"/>
          <w:szCs w:val="22"/>
        </w:rPr>
        <w:t>2014</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12</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10</w:t>
      </w:r>
      <w:r>
        <w:rPr>
          <w:rFonts w:ascii="宋体" w:hAnsi="宋体" w:cs="宋体" w:eastAsia="宋体" w:hint="default"/>
          <w:spacing w:val="-2"/>
          <w:sz w:val="22"/>
          <w:szCs w:val="22"/>
        </w:rPr>
        <w:t>日止，本公司非公开发行人民币普通股</w:t>
      </w:r>
      <w:r>
        <w:rPr>
          <w:rFonts w:ascii="Times New Roman" w:hAnsi="Times New Roman" w:cs="Times New Roman" w:eastAsia="Times New Roman" w:hint="default"/>
          <w:spacing w:val="-2"/>
          <w:sz w:val="22"/>
          <w:szCs w:val="22"/>
        </w:rPr>
        <w:t>3,061,484</w:t>
      </w:r>
      <w:r>
        <w:rPr>
          <w:rFonts w:ascii="宋体" w:hAnsi="宋体" w:cs="宋体" w:eastAsia="宋体" w:hint="default"/>
          <w:spacing w:val="-2"/>
          <w:sz w:val="22"/>
          <w:szCs w:val="22"/>
        </w:rPr>
        <w:t>股新股用于募集发行股份购买</w:t>
      </w:r>
      <w:r>
        <w:rPr>
          <w:rFonts w:ascii="宋体" w:hAnsi="宋体" w:cs="宋体" w:eastAsia="宋体" w:hint="default"/>
          <w:w w:val="100"/>
          <w:sz w:val="22"/>
          <w:szCs w:val="22"/>
        </w:rPr>
        <w:t> </w:t>
      </w:r>
      <w:r>
        <w:rPr>
          <w:rFonts w:ascii="宋体" w:hAnsi="宋体" w:cs="宋体" w:eastAsia="宋体" w:hint="default"/>
          <w:spacing w:val="-2"/>
          <w:sz w:val="22"/>
          <w:szCs w:val="22"/>
        </w:rPr>
        <w:t>资产的配套资金，分别由第一创业证券股份有限公司、财通基金管理有限公司及安信证券股份有限公</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pacing w:val="-1"/>
          <w:sz w:val="22"/>
          <w:szCs w:val="22"/>
        </w:rPr>
        <w:t>司以现金按人民币</w:t>
      </w:r>
      <w:r>
        <w:rPr>
          <w:rFonts w:ascii="Times New Roman" w:hAnsi="Times New Roman" w:cs="Times New Roman" w:eastAsia="Times New Roman" w:hint="default"/>
          <w:spacing w:val="-1"/>
          <w:sz w:val="22"/>
          <w:szCs w:val="22"/>
        </w:rPr>
        <w:t>15.7</w:t>
      </w:r>
      <w:r>
        <w:rPr>
          <w:rFonts w:ascii="宋体" w:hAnsi="宋体" w:cs="宋体" w:eastAsia="宋体" w:hint="default"/>
          <w:spacing w:val="-1"/>
          <w:sz w:val="22"/>
          <w:szCs w:val="22"/>
        </w:rPr>
        <w:t>元</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股认购，募集资金总额为人民币</w:t>
      </w:r>
      <w:r>
        <w:rPr>
          <w:rFonts w:ascii="Times New Roman" w:hAnsi="Times New Roman" w:cs="Times New Roman" w:eastAsia="Times New Roman" w:hint="default"/>
          <w:spacing w:val="-1"/>
          <w:sz w:val="22"/>
          <w:szCs w:val="22"/>
        </w:rPr>
        <w:t>48,065,298.80</w:t>
      </w:r>
      <w:r>
        <w:rPr>
          <w:rFonts w:ascii="宋体" w:hAnsi="宋体" w:cs="宋体" w:eastAsia="宋体" w:hint="default"/>
          <w:spacing w:val="-1"/>
          <w:sz w:val="22"/>
          <w:szCs w:val="22"/>
        </w:rPr>
        <w:t>元，扣除本次相关发行费后，</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4"/>
          <w:w w:val="100"/>
          <w:sz w:val="22"/>
          <w:szCs w:val="22"/>
        </w:rPr>
        <w:t>募集资金净额为人民币</w:t>
      </w:r>
      <w:r>
        <w:rPr>
          <w:rFonts w:ascii="Times New Roman" w:hAnsi="Times New Roman" w:cs="Times New Roman" w:eastAsia="Times New Roman" w:hint="default"/>
          <w:spacing w:val="-4"/>
          <w:w w:val="100"/>
          <w:sz w:val="22"/>
          <w:szCs w:val="22"/>
        </w:rPr>
        <w:t>41,510,366.02</w:t>
      </w:r>
      <w:r>
        <w:rPr>
          <w:rFonts w:ascii="宋体" w:hAnsi="宋体" w:cs="宋体" w:eastAsia="宋体" w:hint="default"/>
          <w:spacing w:val="-4"/>
          <w:w w:val="100"/>
          <w:sz w:val="22"/>
          <w:szCs w:val="22"/>
        </w:rPr>
        <w:t>元，其中增加股本</w:t>
      </w:r>
      <w:r>
        <w:rPr>
          <w:rFonts w:ascii="Times New Roman" w:hAnsi="Times New Roman" w:cs="Times New Roman" w:eastAsia="Times New Roman" w:hint="default"/>
          <w:spacing w:val="-4"/>
          <w:w w:val="100"/>
          <w:sz w:val="22"/>
          <w:szCs w:val="22"/>
        </w:rPr>
        <w:t>3,061,484.00</w:t>
      </w:r>
      <w:r>
        <w:rPr>
          <w:rFonts w:ascii="宋体" w:hAnsi="宋体" w:cs="宋体" w:eastAsia="宋体" w:hint="default"/>
          <w:spacing w:val="-4"/>
          <w:w w:val="100"/>
          <w:sz w:val="22"/>
          <w:szCs w:val="22"/>
        </w:rPr>
        <w:t>元，增加资本公积</w:t>
      </w:r>
      <w:r>
        <w:rPr>
          <w:rFonts w:ascii="Times New Roman" w:hAnsi="Times New Roman" w:cs="Times New Roman" w:eastAsia="Times New Roman" w:hint="default"/>
          <w:spacing w:val="-4"/>
          <w:w w:val="100"/>
          <w:sz w:val="22"/>
          <w:szCs w:val="22"/>
        </w:rPr>
        <w:t>38,448,882.02</w:t>
      </w:r>
      <w:r>
        <w:rPr>
          <w:rFonts w:ascii="宋体" w:hAnsi="宋体" w:cs="宋体" w:eastAsia="宋体" w:hint="default"/>
          <w:spacing w:val="-4"/>
          <w:w w:val="100"/>
          <w:sz w:val="22"/>
          <w:szCs w:val="22"/>
        </w:rPr>
        <w:t>元。</w:t>
      </w:r>
    </w:p>
    <w:p>
      <w:pPr>
        <w:spacing w:line="240" w:lineRule="auto" w:before="2"/>
        <w:rPr>
          <w:rFonts w:ascii="宋体" w:hAnsi="宋体" w:cs="宋体" w:eastAsia="宋体" w:hint="default"/>
          <w:sz w:val="18"/>
          <w:szCs w:val="18"/>
        </w:rPr>
      </w:pPr>
    </w:p>
    <w:p>
      <w:pPr>
        <w:spacing w:line="247" w:lineRule="auto" w:before="0"/>
        <w:ind w:left="153" w:right="1122" w:firstLine="441"/>
        <w:jc w:val="both"/>
        <w:rPr>
          <w:rFonts w:ascii="宋体" w:hAnsi="宋体" w:cs="宋体" w:eastAsia="宋体" w:hint="default"/>
          <w:sz w:val="22"/>
          <w:szCs w:val="22"/>
        </w:rPr>
      </w:pPr>
      <w:r>
        <w:rPr>
          <w:rFonts w:ascii="宋体" w:hAnsi="宋体" w:cs="宋体" w:eastAsia="宋体" w:hint="default"/>
          <w:sz w:val="22"/>
          <w:szCs w:val="22"/>
        </w:rPr>
        <w:t>本公司重大资产重组亿金环保公司合计发行人民币普通股</w:t>
      </w:r>
      <w:r>
        <w:rPr>
          <w:rFonts w:ascii="Times New Roman" w:hAnsi="Times New Roman" w:cs="Times New Roman" w:eastAsia="Times New Roman" w:hint="default"/>
          <w:sz w:val="22"/>
          <w:szCs w:val="22"/>
        </w:rPr>
        <w:t>19,172,779</w:t>
      </w:r>
      <w:r>
        <w:rPr>
          <w:rFonts w:ascii="宋体" w:hAnsi="宋体" w:cs="宋体" w:eastAsia="宋体" w:hint="default"/>
          <w:sz w:val="22"/>
          <w:szCs w:val="22"/>
        </w:rPr>
        <w:t>股股份，于</w:t>
      </w:r>
      <w:r>
        <w:rPr>
          <w:rFonts w:ascii="Times New Roman" w:hAnsi="Times New Roman" w:cs="Times New Roman" w:eastAsia="Times New Roman" w:hint="default"/>
          <w:sz w:val="22"/>
          <w:szCs w:val="22"/>
        </w:rPr>
        <w:t>2014</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17</w:t>
      </w:r>
      <w:r>
        <w:rPr>
          <w:rFonts w:ascii="宋体" w:hAnsi="宋体" w:cs="宋体" w:eastAsia="宋体" w:hint="default"/>
          <w:sz w:val="22"/>
          <w:szCs w:val="22"/>
        </w:rPr>
        <w:t>日</w:t>
      </w:r>
      <w:r>
        <w:rPr>
          <w:rFonts w:ascii="宋体" w:hAnsi="宋体" w:cs="宋体" w:eastAsia="宋体" w:hint="default"/>
          <w:w w:val="100"/>
          <w:sz w:val="22"/>
          <w:szCs w:val="22"/>
        </w:rPr>
        <w:t> </w:t>
      </w:r>
      <w:r>
        <w:rPr>
          <w:rFonts w:ascii="宋体" w:hAnsi="宋体" w:cs="宋体" w:eastAsia="宋体" w:hint="default"/>
          <w:spacing w:val="-2"/>
          <w:sz w:val="22"/>
          <w:szCs w:val="22"/>
        </w:rPr>
        <w:t>在中国证券登记结算有限责任公司深圳分公司登记，并于</w:t>
      </w:r>
      <w:r>
        <w:rPr>
          <w:rFonts w:ascii="Times New Roman" w:hAnsi="Times New Roman" w:cs="Times New Roman" w:eastAsia="Times New Roman" w:hint="default"/>
          <w:spacing w:val="-2"/>
          <w:sz w:val="22"/>
          <w:szCs w:val="22"/>
        </w:rPr>
        <w:t>2015</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5</w:t>
      </w:r>
      <w:r>
        <w:rPr>
          <w:rFonts w:ascii="宋体" w:hAnsi="宋体" w:cs="宋体" w:eastAsia="宋体" w:hint="default"/>
          <w:spacing w:val="-2"/>
          <w:sz w:val="22"/>
          <w:szCs w:val="22"/>
        </w:rPr>
        <w:t>日在深圳证券交易所上市。变更</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pacing w:val="-6"/>
          <w:w w:val="100"/>
          <w:sz w:val="22"/>
          <w:szCs w:val="22"/>
        </w:rPr>
        <w:t>后的注册资本为人民币</w:t>
      </w:r>
      <w:r>
        <w:rPr>
          <w:rFonts w:ascii="Times New Roman" w:hAnsi="Times New Roman" w:cs="Times New Roman" w:eastAsia="Times New Roman" w:hint="default"/>
          <w:spacing w:val="-6"/>
          <w:w w:val="100"/>
          <w:sz w:val="22"/>
          <w:szCs w:val="22"/>
        </w:rPr>
        <w:t>17,597.28</w:t>
      </w:r>
      <w:r>
        <w:rPr>
          <w:rFonts w:ascii="宋体" w:hAnsi="宋体" w:cs="宋体" w:eastAsia="宋体" w:hint="default"/>
          <w:spacing w:val="-6"/>
          <w:w w:val="100"/>
          <w:sz w:val="22"/>
          <w:szCs w:val="22"/>
        </w:rPr>
        <w:t>万元。本次增资业务经信永中和会计师事务所（特殊普通合伙）于</w:t>
      </w:r>
      <w:r>
        <w:rPr>
          <w:rFonts w:ascii="Times New Roman" w:hAnsi="Times New Roman" w:cs="Times New Roman" w:eastAsia="Times New Roman" w:hint="default"/>
          <w:spacing w:val="-6"/>
          <w:w w:val="100"/>
          <w:sz w:val="22"/>
          <w:szCs w:val="22"/>
        </w:rPr>
        <w:t>2014</w:t>
      </w:r>
      <w:r>
        <w:rPr>
          <w:rFonts w:ascii="Times New Roman" w:hAnsi="Times New Roman" w:cs="Times New Roman" w:eastAsia="Times New Roman" w:hint="default"/>
          <w:spacing w:val="-39"/>
          <w:w w:val="100"/>
          <w:sz w:val="22"/>
          <w:szCs w:val="22"/>
        </w:rPr>
        <w:t> </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11</w:t>
      </w:r>
      <w:r>
        <w:rPr>
          <w:rFonts w:ascii="宋体" w:hAnsi="宋体" w:cs="宋体" w:eastAsia="宋体" w:hint="default"/>
          <w:sz w:val="22"/>
          <w:szCs w:val="22"/>
        </w:rPr>
        <w:t>日出具的《</w:t>
      </w:r>
      <w:r>
        <w:rPr>
          <w:rFonts w:ascii="Times New Roman" w:hAnsi="Times New Roman" w:cs="Times New Roman" w:eastAsia="Times New Roman" w:hint="default"/>
          <w:sz w:val="22"/>
          <w:szCs w:val="22"/>
        </w:rPr>
        <w:t>XYZH/2014CDA4033-3</w:t>
      </w:r>
      <w:r>
        <w:rPr>
          <w:rFonts w:ascii="宋体" w:hAnsi="宋体" w:cs="宋体" w:eastAsia="宋体" w:hint="default"/>
          <w:sz w:val="22"/>
          <w:szCs w:val="22"/>
        </w:rPr>
        <w:t>》号验资报告验证。</w:t>
      </w:r>
    </w:p>
    <w:p>
      <w:pPr>
        <w:spacing w:line="240" w:lineRule="auto" w:before="5"/>
        <w:rPr>
          <w:rFonts w:ascii="宋体" w:hAnsi="宋体" w:cs="宋体" w:eastAsia="宋体" w:hint="default"/>
          <w:sz w:val="18"/>
          <w:szCs w:val="18"/>
        </w:rPr>
      </w:pPr>
    </w:p>
    <w:p>
      <w:pPr>
        <w:spacing w:line="244" w:lineRule="auto" w:before="0"/>
        <w:ind w:left="153" w:right="1127"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2016</w:t>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日，根据本公司</w:t>
      </w:r>
      <w:r>
        <w:rPr>
          <w:rFonts w:ascii="Times New Roman" w:hAnsi="Times New Roman" w:cs="Times New Roman" w:eastAsia="Times New Roman" w:hint="default"/>
          <w:sz w:val="22"/>
          <w:szCs w:val="22"/>
        </w:rPr>
        <w:t>2015</w:t>
      </w:r>
      <w:r>
        <w:rPr>
          <w:rFonts w:ascii="宋体" w:hAnsi="宋体" w:cs="宋体" w:eastAsia="宋体" w:hint="default"/>
          <w:sz w:val="22"/>
          <w:szCs w:val="22"/>
        </w:rPr>
        <w:t>年度股东大会决议和修改后章程的规定，本公司申请增加注册</w:t>
      </w:r>
      <w:r>
        <w:rPr>
          <w:rFonts w:ascii="宋体" w:hAnsi="宋体" w:cs="宋体" w:eastAsia="宋体" w:hint="default"/>
          <w:w w:val="100"/>
          <w:sz w:val="22"/>
          <w:szCs w:val="22"/>
        </w:rPr>
        <w:t> </w:t>
      </w:r>
      <w:r>
        <w:rPr>
          <w:rFonts w:ascii="宋体" w:hAnsi="宋体" w:cs="宋体" w:eastAsia="宋体" w:hint="default"/>
          <w:spacing w:val="-5"/>
          <w:sz w:val="22"/>
          <w:szCs w:val="22"/>
        </w:rPr>
        <w:t>资本人民币</w:t>
      </w:r>
      <w:r>
        <w:rPr>
          <w:rFonts w:ascii="Times New Roman" w:hAnsi="Times New Roman" w:cs="Times New Roman" w:eastAsia="Times New Roman" w:hint="default"/>
          <w:spacing w:val="-5"/>
          <w:sz w:val="22"/>
          <w:szCs w:val="22"/>
        </w:rPr>
        <w:t>263,959,168.00</w:t>
      </w:r>
      <w:r>
        <w:rPr>
          <w:rFonts w:ascii="宋体" w:hAnsi="宋体" w:cs="宋体" w:eastAsia="宋体" w:hint="default"/>
          <w:spacing w:val="-5"/>
          <w:sz w:val="22"/>
          <w:szCs w:val="22"/>
        </w:rPr>
        <w:t>元，由资本公积转增股本，转增基准日期为</w:t>
      </w:r>
      <w:r>
        <w:rPr>
          <w:rFonts w:ascii="Times New Roman" w:hAnsi="Times New Roman" w:cs="Times New Roman" w:eastAsia="Times New Roman" w:hint="default"/>
          <w:spacing w:val="-5"/>
          <w:sz w:val="22"/>
          <w:szCs w:val="22"/>
        </w:rPr>
        <w:t>2016</w:t>
      </w:r>
      <w:r>
        <w:rPr>
          <w:rFonts w:ascii="宋体" w:hAnsi="宋体" w:cs="宋体" w:eastAsia="宋体" w:hint="default"/>
          <w:spacing w:val="-5"/>
          <w:sz w:val="22"/>
          <w:szCs w:val="22"/>
        </w:rPr>
        <w:t>年</w:t>
      </w:r>
      <w:r>
        <w:rPr>
          <w:rFonts w:ascii="Times New Roman" w:hAnsi="Times New Roman" w:cs="Times New Roman" w:eastAsia="Times New Roman" w:hint="default"/>
          <w:spacing w:val="-5"/>
          <w:sz w:val="22"/>
          <w:szCs w:val="22"/>
        </w:rPr>
        <w:t>4</w:t>
      </w:r>
      <w:r>
        <w:rPr>
          <w:rFonts w:ascii="宋体" w:hAnsi="宋体" w:cs="宋体" w:eastAsia="宋体" w:hint="default"/>
          <w:spacing w:val="-5"/>
          <w:sz w:val="22"/>
          <w:szCs w:val="22"/>
        </w:rPr>
        <w:t>月</w:t>
      </w:r>
      <w:r>
        <w:rPr>
          <w:rFonts w:ascii="Times New Roman" w:hAnsi="Times New Roman" w:cs="Times New Roman" w:eastAsia="Times New Roman" w:hint="default"/>
          <w:spacing w:val="-5"/>
          <w:sz w:val="22"/>
          <w:szCs w:val="22"/>
        </w:rPr>
        <w:t>29</w:t>
      </w:r>
      <w:r>
        <w:rPr>
          <w:rFonts w:ascii="宋体" w:hAnsi="宋体" w:cs="宋体" w:eastAsia="宋体" w:hint="default"/>
          <w:spacing w:val="-5"/>
          <w:sz w:val="22"/>
          <w:szCs w:val="22"/>
        </w:rPr>
        <w:t>日，转增对象为</w:t>
      </w:r>
      <w:r>
        <w:rPr>
          <w:rFonts w:ascii="Times New Roman" w:hAnsi="Times New Roman" w:cs="Times New Roman" w:eastAsia="Times New Roman" w:hint="default"/>
          <w:spacing w:val="-5"/>
          <w:sz w:val="22"/>
          <w:szCs w:val="22"/>
        </w:rPr>
        <w:t>2016</w:t>
      </w:r>
      <w:r>
        <w:rPr>
          <w:rFonts w:ascii="Times New Roman" w:hAnsi="Times New Roman" w:cs="Times New Roman" w:eastAsia="Times New Roman" w:hint="default"/>
          <w:spacing w:val="25"/>
          <w:sz w:val="22"/>
          <w:szCs w:val="22"/>
        </w:rPr>
        <w:t> </w:t>
      </w:r>
      <w:r>
        <w:rPr>
          <w:rFonts w:ascii="Times New Roman" w:hAnsi="Times New Roman" w:cs="Times New Roman" w:eastAsia="Times New Roman" w:hint="default"/>
          <w:spacing w:val="25"/>
          <w:sz w:val="22"/>
          <w:szCs w:val="22"/>
        </w:rPr>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w:t>
      </w:r>
      <w:r>
        <w:rPr>
          <w:rFonts w:ascii="Times New Roman" w:hAnsi="Times New Roman" w:cs="Times New Roman" w:eastAsia="Times New Roman" w:hint="default"/>
          <w:sz w:val="22"/>
          <w:szCs w:val="22"/>
        </w:rPr>
        <w:t>28</w:t>
      </w:r>
      <w:r>
        <w:rPr>
          <w:rFonts w:ascii="宋体" w:hAnsi="宋体" w:cs="宋体" w:eastAsia="宋体" w:hint="default"/>
          <w:sz w:val="22"/>
          <w:szCs w:val="22"/>
        </w:rPr>
        <w:t>日下午深圳证券交易所收市后，在中国证券登记结算有限责任公司深圳分公司登记在册的本</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公司全体股东，变更后的注册资本为人民币</w:t>
      </w:r>
      <w:r>
        <w:rPr>
          <w:rFonts w:ascii="Times New Roman" w:hAnsi="Times New Roman" w:cs="Times New Roman" w:eastAsia="Times New Roman" w:hint="default"/>
          <w:sz w:val="22"/>
          <w:szCs w:val="22"/>
        </w:rPr>
        <w:t>439,931,947.00</w:t>
      </w:r>
      <w:r>
        <w:rPr>
          <w:rFonts w:ascii="宋体" w:hAnsi="宋体" w:cs="宋体" w:eastAsia="宋体" w:hint="default"/>
          <w:sz w:val="22"/>
          <w:szCs w:val="22"/>
        </w:rPr>
        <w:t>元。</w:t>
      </w:r>
    </w:p>
    <w:p>
      <w:pPr>
        <w:spacing w:line="240" w:lineRule="auto" w:before="7"/>
        <w:rPr>
          <w:rFonts w:ascii="宋体" w:hAnsi="宋体" w:cs="宋体" w:eastAsia="宋体" w:hint="default"/>
          <w:sz w:val="18"/>
          <w:szCs w:val="18"/>
        </w:rPr>
      </w:pPr>
    </w:p>
    <w:p>
      <w:pPr>
        <w:spacing w:line="247" w:lineRule="auto" w:before="0"/>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3"/>
          <w:sz w:val="22"/>
          <w:szCs w:val="22"/>
        </w:rPr>
        <w:t>2017</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5</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16</w:t>
      </w:r>
      <w:r>
        <w:rPr>
          <w:rFonts w:ascii="宋体" w:hAnsi="宋体" w:cs="宋体" w:eastAsia="宋体" w:hint="default"/>
          <w:spacing w:val="-3"/>
          <w:sz w:val="22"/>
          <w:szCs w:val="22"/>
        </w:rPr>
        <w:t>日，根据本公司</w:t>
      </w:r>
      <w:r>
        <w:rPr>
          <w:rFonts w:ascii="Times New Roman" w:hAnsi="Times New Roman" w:cs="Times New Roman" w:eastAsia="Times New Roman" w:hint="default"/>
          <w:spacing w:val="-3"/>
          <w:sz w:val="22"/>
          <w:szCs w:val="22"/>
        </w:rPr>
        <w:t>2016</w:t>
      </w:r>
      <w:r>
        <w:rPr>
          <w:rFonts w:ascii="宋体" w:hAnsi="宋体" w:cs="宋体" w:eastAsia="宋体" w:hint="default"/>
          <w:spacing w:val="-3"/>
          <w:sz w:val="22"/>
          <w:szCs w:val="22"/>
        </w:rPr>
        <w:t>年度股东大会决议，审议通过本公司以人民币</w:t>
      </w:r>
      <w:r>
        <w:rPr>
          <w:rFonts w:ascii="Times New Roman" w:hAnsi="Times New Roman" w:cs="Times New Roman" w:eastAsia="Times New Roman" w:hint="default"/>
          <w:spacing w:val="-3"/>
          <w:sz w:val="22"/>
          <w:szCs w:val="22"/>
        </w:rPr>
        <w:t>1.00</w:t>
      </w:r>
      <w:r>
        <w:rPr>
          <w:rFonts w:ascii="宋体" w:hAnsi="宋体" w:cs="宋体" w:eastAsia="宋体" w:hint="default"/>
          <w:spacing w:val="-3"/>
          <w:sz w:val="22"/>
          <w:szCs w:val="22"/>
        </w:rPr>
        <w:t>元价格回购注</w:t>
      </w:r>
      <w:r>
        <w:rPr>
          <w:rFonts w:ascii="宋体" w:hAnsi="宋体" w:cs="宋体" w:eastAsia="宋体" w:hint="default"/>
          <w:w w:val="100"/>
          <w:sz w:val="22"/>
          <w:szCs w:val="22"/>
        </w:rPr>
        <w:t> </w:t>
      </w:r>
      <w:r>
        <w:rPr>
          <w:rFonts w:ascii="宋体" w:hAnsi="宋体" w:cs="宋体" w:eastAsia="宋体" w:hint="default"/>
          <w:spacing w:val="-2"/>
          <w:sz w:val="22"/>
          <w:szCs w:val="22"/>
        </w:rPr>
        <w:t>销宋正兴、叶春娥、宋丽娜以及张家港市立业投资发展有限公司所持有的</w:t>
      </w:r>
      <w:r>
        <w:rPr>
          <w:rFonts w:ascii="Times New Roman" w:hAnsi="Times New Roman" w:cs="Times New Roman" w:eastAsia="Times New Roman" w:hint="default"/>
          <w:spacing w:val="-2"/>
          <w:sz w:val="22"/>
          <w:szCs w:val="22"/>
        </w:rPr>
        <w:t>4,547,413</w:t>
      </w:r>
      <w:r>
        <w:rPr>
          <w:rFonts w:ascii="宋体" w:hAnsi="宋体" w:cs="宋体" w:eastAsia="宋体" w:hint="default"/>
          <w:spacing w:val="-2"/>
          <w:sz w:val="22"/>
          <w:szCs w:val="22"/>
        </w:rPr>
        <w:t>股股份，占公司回</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pacing w:val="-2"/>
          <w:sz w:val="22"/>
          <w:szCs w:val="22"/>
        </w:rPr>
        <w:t>购前总股本</w:t>
      </w:r>
      <w:r>
        <w:rPr>
          <w:rFonts w:ascii="Times New Roman" w:hAnsi="Times New Roman" w:cs="Times New Roman" w:eastAsia="Times New Roman" w:hint="default"/>
          <w:spacing w:val="-2"/>
          <w:sz w:val="22"/>
          <w:szCs w:val="22"/>
        </w:rPr>
        <w:t>439,931,947</w:t>
      </w:r>
      <w:r>
        <w:rPr>
          <w:rFonts w:ascii="宋体" w:hAnsi="宋体" w:cs="宋体" w:eastAsia="宋体" w:hint="default"/>
          <w:spacing w:val="-2"/>
          <w:sz w:val="22"/>
          <w:szCs w:val="22"/>
        </w:rPr>
        <w:t>股的</w:t>
      </w:r>
      <w:r>
        <w:rPr>
          <w:rFonts w:ascii="Times New Roman" w:hAnsi="Times New Roman" w:cs="Times New Roman" w:eastAsia="Times New Roman" w:hint="default"/>
          <w:spacing w:val="-2"/>
          <w:sz w:val="22"/>
          <w:szCs w:val="22"/>
        </w:rPr>
        <w:t>1.03%</w:t>
      </w:r>
      <w:r>
        <w:rPr>
          <w:rFonts w:ascii="宋体" w:hAnsi="宋体" w:cs="宋体" w:eastAsia="宋体" w:hint="default"/>
          <w:spacing w:val="-2"/>
          <w:sz w:val="22"/>
          <w:szCs w:val="22"/>
        </w:rPr>
        <w:t>。本公司于</w:t>
      </w:r>
      <w:r>
        <w:rPr>
          <w:rFonts w:ascii="Times New Roman" w:hAnsi="Times New Roman" w:cs="Times New Roman" w:eastAsia="Times New Roman" w:hint="default"/>
          <w:spacing w:val="-2"/>
          <w:sz w:val="22"/>
          <w:szCs w:val="22"/>
        </w:rPr>
        <w:t>2017</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6</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26</w:t>
      </w:r>
      <w:r>
        <w:rPr>
          <w:rFonts w:ascii="宋体" w:hAnsi="宋体" w:cs="宋体" w:eastAsia="宋体" w:hint="default"/>
          <w:spacing w:val="-2"/>
          <w:sz w:val="22"/>
          <w:szCs w:val="22"/>
        </w:rPr>
        <w:t>日完成股份回购注销手续，本公司股份总数</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由</w:t>
      </w:r>
      <w:r>
        <w:rPr>
          <w:rFonts w:ascii="Times New Roman" w:hAnsi="Times New Roman" w:cs="Times New Roman" w:eastAsia="Times New Roman" w:hint="default"/>
          <w:sz w:val="22"/>
          <w:szCs w:val="22"/>
        </w:rPr>
        <w:t>439,931,947</w:t>
      </w:r>
      <w:r>
        <w:rPr>
          <w:rFonts w:ascii="宋体" w:hAnsi="宋体" w:cs="宋体" w:eastAsia="宋体" w:hint="default"/>
          <w:sz w:val="22"/>
          <w:szCs w:val="22"/>
        </w:rPr>
        <w:t>股减至</w:t>
      </w:r>
      <w:r>
        <w:rPr>
          <w:rFonts w:ascii="Times New Roman" w:hAnsi="Times New Roman" w:cs="Times New Roman" w:eastAsia="Times New Roman" w:hint="default"/>
          <w:sz w:val="22"/>
          <w:szCs w:val="22"/>
        </w:rPr>
        <w:t>435,384,534</w:t>
      </w:r>
      <w:r>
        <w:rPr>
          <w:rFonts w:ascii="宋体" w:hAnsi="宋体" w:cs="宋体" w:eastAsia="宋体" w:hint="default"/>
          <w:sz w:val="22"/>
          <w:szCs w:val="22"/>
        </w:rPr>
        <w:t>股。</w:t>
      </w:r>
    </w:p>
    <w:p>
      <w:pPr>
        <w:spacing w:line="240" w:lineRule="auto" w:before="5"/>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w:t>
      </w:r>
      <w:r>
        <w:rPr>
          <w:rFonts w:ascii="Times New Roman" w:hAnsi="Times New Roman" w:cs="Times New Roman" w:eastAsia="Times New Roman" w:hint="default"/>
          <w:sz w:val="22"/>
          <w:szCs w:val="22"/>
        </w:rPr>
        <w:t>4</w:t>
      </w:r>
      <w:r>
        <w:rPr>
          <w:rFonts w:ascii="宋体" w:hAnsi="宋体" w:cs="宋体" w:eastAsia="宋体" w:hint="default"/>
          <w:sz w:val="22"/>
          <w:szCs w:val="22"/>
        </w:rPr>
        <w:t>日，根据本公司</w:t>
      </w:r>
      <w:r>
        <w:rPr>
          <w:rFonts w:ascii="Times New Roman" w:hAnsi="Times New Roman" w:cs="Times New Roman" w:eastAsia="Times New Roman" w:hint="default"/>
          <w:sz w:val="22"/>
          <w:szCs w:val="22"/>
        </w:rPr>
        <w:t>2017</w:t>
      </w:r>
      <w:r>
        <w:rPr>
          <w:rFonts w:ascii="宋体" w:hAnsi="宋体" w:cs="宋体" w:eastAsia="宋体" w:hint="default"/>
          <w:sz w:val="22"/>
          <w:szCs w:val="22"/>
        </w:rPr>
        <w:t>年第四次临时股东大会决议通过的《</w:t>
      </w:r>
      <w:r>
        <w:rPr>
          <w:rFonts w:ascii="Times New Roman" w:hAnsi="Times New Roman" w:cs="Times New Roman" w:eastAsia="Times New Roman" w:hint="default"/>
          <w:sz w:val="22"/>
          <w:szCs w:val="22"/>
        </w:rPr>
        <w:t>&lt;</w:t>
      </w:r>
      <w:r>
        <w:rPr>
          <w:rFonts w:ascii="宋体" w:hAnsi="宋体" w:cs="宋体" w:eastAsia="宋体" w:hint="default"/>
          <w:sz w:val="22"/>
          <w:szCs w:val="22"/>
        </w:rPr>
        <w:t>四川依米康环境科技股份</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47" w:lineRule="auto" w:before="32"/>
        <w:ind w:left="153" w:right="1122" w:firstLine="0"/>
        <w:jc w:val="both"/>
        <w:rPr>
          <w:rFonts w:ascii="宋体" w:hAnsi="宋体" w:cs="宋体" w:eastAsia="宋体" w:hint="default"/>
          <w:sz w:val="22"/>
          <w:szCs w:val="22"/>
        </w:rPr>
      </w:pPr>
      <w:r>
        <w:rPr>
          <w:rFonts w:ascii="宋体" w:hAnsi="宋体" w:cs="宋体" w:eastAsia="宋体" w:hint="default"/>
          <w:sz w:val="22"/>
          <w:szCs w:val="22"/>
        </w:rPr>
        <w:t>有限公司</w:t>
      </w:r>
      <w:r>
        <w:rPr>
          <w:rFonts w:ascii="Times New Roman" w:hAnsi="Times New Roman" w:cs="Times New Roman" w:eastAsia="Times New Roman" w:hint="default"/>
          <w:sz w:val="22"/>
          <w:szCs w:val="22"/>
        </w:rPr>
        <w:t>2017</w:t>
      </w:r>
      <w:r>
        <w:rPr>
          <w:rFonts w:ascii="宋体" w:hAnsi="宋体" w:cs="宋体" w:eastAsia="宋体" w:hint="default"/>
          <w:sz w:val="22"/>
          <w:szCs w:val="22"/>
        </w:rPr>
        <w:t>年限制性股票激励计划（草案）</w:t>
      </w:r>
      <w:r>
        <w:rPr>
          <w:rFonts w:ascii="Times New Roman" w:hAnsi="Times New Roman" w:cs="Times New Roman" w:eastAsia="Times New Roman" w:hint="default"/>
          <w:sz w:val="22"/>
          <w:szCs w:val="22"/>
        </w:rPr>
        <w:t>&gt;</w:t>
      </w:r>
      <w:r>
        <w:rPr>
          <w:rFonts w:ascii="宋体" w:hAnsi="宋体" w:cs="宋体" w:eastAsia="宋体" w:hint="default"/>
          <w:sz w:val="22"/>
          <w:szCs w:val="22"/>
        </w:rPr>
        <w:t>及其摘要》的规定，本公司申请增加注册资本人民币</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Times New Roman" w:hAnsi="Times New Roman" w:cs="Times New Roman" w:eastAsia="Times New Roman" w:hint="default"/>
          <w:spacing w:val="-2"/>
          <w:sz w:val="22"/>
          <w:szCs w:val="22"/>
        </w:rPr>
        <w:t>10,737,000.00</w:t>
      </w:r>
      <w:r>
        <w:rPr>
          <w:rFonts w:ascii="宋体" w:hAnsi="宋体" w:cs="宋体" w:eastAsia="宋体" w:hint="default"/>
          <w:spacing w:val="-2"/>
          <w:sz w:val="22"/>
          <w:szCs w:val="22"/>
        </w:rPr>
        <w:t>元，由</w:t>
      </w:r>
      <w:r>
        <w:rPr>
          <w:rFonts w:ascii="Times New Roman" w:hAnsi="Times New Roman" w:cs="Times New Roman" w:eastAsia="Times New Roman" w:hint="default"/>
          <w:spacing w:val="-2"/>
          <w:sz w:val="22"/>
          <w:szCs w:val="22"/>
        </w:rPr>
        <w:t>136</w:t>
      </w:r>
      <w:r>
        <w:rPr>
          <w:rFonts w:ascii="宋体" w:hAnsi="宋体" w:cs="宋体" w:eastAsia="宋体" w:hint="default"/>
          <w:spacing w:val="-2"/>
          <w:sz w:val="22"/>
          <w:szCs w:val="22"/>
        </w:rPr>
        <w:t>名激励对象一次缴足，每股认购价为</w:t>
      </w:r>
      <w:r>
        <w:rPr>
          <w:rFonts w:ascii="Times New Roman" w:hAnsi="Times New Roman" w:cs="Times New Roman" w:eastAsia="Times New Roman" w:hint="default"/>
          <w:spacing w:val="-2"/>
          <w:sz w:val="22"/>
          <w:szCs w:val="22"/>
        </w:rPr>
        <w:t>6.44</w:t>
      </w:r>
      <w:r>
        <w:rPr>
          <w:rFonts w:ascii="宋体" w:hAnsi="宋体" w:cs="宋体" w:eastAsia="宋体" w:hint="default"/>
          <w:spacing w:val="-2"/>
          <w:sz w:val="22"/>
          <w:szCs w:val="22"/>
        </w:rPr>
        <w:t>元，均以货币出资，增资后的注册资</w:t>
      </w:r>
      <w:r>
        <w:rPr>
          <w:rFonts w:ascii="宋体" w:hAnsi="宋体" w:cs="宋体" w:eastAsia="宋体" w:hint="default"/>
          <w:spacing w:val="-46"/>
          <w:sz w:val="22"/>
          <w:szCs w:val="22"/>
        </w:rPr>
        <w:t> </w:t>
      </w:r>
      <w:r>
        <w:rPr>
          <w:rFonts w:ascii="宋体" w:hAnsi="宋体" w:cs="宋体" w:eastAsia="宋体" w:hint="default"/>
          <w:spacing w:val="-46"/>
          <w:sz w:val="22"/>
          <w:szCs w:val="22"/>
        </w:rPr>
      </w:r>
      <w:r>
        <w:rPr>
          <w:rFonts w:ascii="宋体" w:hAnsi="宋体" w:cs="宋体" w:eastAsia="宋体" w:hint="default"/>
          <w:sz w:val="22"/>
          <w:szCs w:val="22"/>
        </w:rPr>
        <w:t>本为人民币</w:t>
      </w:r>
      <w:r>
        <w:rPr>
          <w:rFonts w:ascii="Times New Roman" w:hAnsi="Times New Roman" w:cs="Times New Roman" w:eastAsia="Times New Roman" w:hint="default"/>
          <w:sz w:val="22"/>
          <w:szCs w:val="22"/>
        </w:rPr>
        <w:t>446,121,534.00</w:t>
      </w:r>
      <w:r>
        <w:rPr>
          <w:rFonts w:ascii="宋体" w:hAnsi="宋体" w:cs="宋体" w:eastAsia="宋体" w:hint="default"/>
          <w:sz w:val="22"/>
          <w:szCs w:val="22"/>
        </w:rPr>
        <w:t>元。本次增资业经信永中和会计师事务所（特殊普通合伙）于</w:t>
      </w: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9</w:t>
      </w:r>
      <w:r>
        <w:rPr>
          <w:rFonts w:ascii="Times New Roman" w:hAnsi="Times New Roman" w:cs="Times New Roman" w:eastAsia="Times New Roman" w:hint="default"/>
          <w:spacing w:val="4"/>
          <w:sz w:val="22"/>
          <w:szCs w:val="22"/>
        </w:rPr>
        <w:t> </w:t>
      </w:r>
      <w:r>
        <w:rPr>
          <w:rFonts w:ascii="宋体" w:hAnsi="宋体" w:cs="宋体" w:eastAsia="宋体" w:hint="default"/>
          <w:sz w:val="22"/>
          <w:szCs w:val="22"/>
        </w:rPr>
        <w:t>日出具的《</w:t>
      </w:r>
      <w:r>
        <w:rPr>
          <w:rFonts w:ascii="Times New Roman" w:hAnsi="Times New Roman" w:cs="Times New Roman" w:eastAsia="Times New Roman" w:hint="default"/>
          <w:sz w:val="22"/>
          <w:szCs w:val="22"/>
        </w:rPr>
        <w:t>XYZH/2017CDA40295</w:t>
      </w:r>
      <w:r>
        <w:rPr>
          <w:rFonts w:ascii="宋体" w:hAnsi="宋体" w:cs="宋体" w:eastAsia="宋体" w:hint="default"/>
          <w:sz w:val="22"/>
          <w:szCs w:val="22"/>
        </w:rPr>
        <w:t>》号验资报告验证。</w:t>
      </w:r>
    </w:p>
    <w:p>
      <w:pPr>
        <w:spacing w:line="240" w:lineRule="auto" w:before="5"/>
        <w:rPr>
          <w:rFonts w:ascii="宋体" w:hAnsi="宋体" w:cs="宋体" w:eastAsia="宋体" w:hint="default"/>
          <w:sz w:val="18"/>
          <w:szCs w:val="18"/>
        </w:rPr>
      </w:pPr>
    </w:p>
    <w:p>
      <w:pPr>
        <w:spacing w:line="244" w:lineRule="auto" w:before="0"/>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2"/>
          <w:sz w:val="22"/>
          <w:szCs w:val="22"/>
        </w:rPr>
        <w:t>2018</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5</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4</w:t>
      </w:r>
      <w:r>
        <w:rPr>
          <w:rFonts w:ascii="宋体" w:hAnsi="宋体" w:cs="宋体" w:eastAsia="宋体" w:hint="default"/>
          <w:spacing w:val="-2"/>
          <w:sz w:val="22"/>
          <w:szCs w:val="22"/>
        </w:rPr>
        <w:t>日，本公司召开第三届董事会第四十二次会议决议通过了《关于向公司</w:t>
      </w:r>
      <w:r>
        <w:rPr>
          <w:rFonts w:ascii="Times New Roman" w:hAnsi="Times New Roman" w:cs="Times New Roman" w:eastAsia="Times New Roman" w:hint="default"/>
          <w:spacing w:val="-2"/>
          <w:sz w:val="22"/>
          <w:szCs w:val="22"/>
        </w:rPr>
        <w:t>2017</w:t>
      </w:r>
      <w:r>
        <w:rPr>
          <w:rFonts w:ascii="宋体" w:hAnsi="宋体" w:cs="宋体" w:eastAsia="宋体" w:hint="default"/>
          <w:spacing w:val="-2"/>
          <w:sz w:val="22"/>
          <w:szCs w:val="22"/>
        </w:rPr>
        <w:t>年限制性</w:t>
      </w:r>
      <w:r>
        <w:rPr>
          <w:rFonts w:ascii="宋体" w:hAnsi="宋体" w:cs="宋体" w:eastAsia="宋体" w:hint="default"/>
          <w:w w:val="100"/>
          <w:sz w:val="22"/>
          <w:szCs w:val="22"/>
        </w:rPr>
        <w:t> </w:t>
      </w:r>
      <w:r>
        <w:rPr>
          <w:rFonts w:ascii="宋体" w:hAnsi="宋体" w:cs="宋体" w:eastAsia="宋体" w:hint="default"/>
          <w:spacing w:val="-2"/>
          <w:sz w:val="22"/>
          <w:szCs w:val="22"/>
        </w:rPr>
        <w:t>股票激励计划预留部分激励对象授予限制性股票的议案》，根据股东大会对董事会的授权，公司</w:t>
      </w:r>
      <w:r>
        <w:rPr>
          <w:rFonts w:ascii="Times New Roman" w:hAnsi="Times New Roman" w:cs="Times New Roman" w:eastAsia="Times New Roman" w:hint="default"/>
          <w:spacing w:val="-2"/>
          <w:sz w:val="22"/>
          <w:szCs w:val="22"/>
        </w:rPr>
        <w:t>2017</w:t>
      </w:r>
      <w:r>
        <w:rPr>
          <w:rFonts w:ascii="Times New Roman" w:hAnsi="Times New Roman" w:cs="Times New Roman" w:eastAsia="Times New Roman" w:hint="default"/>
          <w:spacing w:val="-5"/>
          <w:sz w:val="22"/>
          <w:szCs w:val="22"/>
        </w:rPr>
        <w:t> </w:t>
      </w:r>
      <w:r>
        <w:rPr>
          <w:rFonts w:ascii="Times New Roman" w:hAnsi="Times New Roman" w:cs="Times New Roman" w:eastAsia="Times New Roman" w:hint="default"/>
          <w:spacing w:val="-5"/>
          <w:sz w:val="22"/>
          <w:szCs w:val="22"/>
        </w:rPr>
      </w:r>
      <w:r>
        <w:rPr>
          <w:rFonts w:ascii="宋体" w:hAnsi="宋体" w:cs="宋体" w:eastAsia="宋体" w:hint="default"/>
          <w:sz w:val="22"/>
          <w:szCs w:val="22"/>
        </w:rPr>
        <w:t>年限制性股票激励计划规定的授予条件已经成就，授予</w:t>
      </w:r>
      <w:r>
        <w:rPr>
          <w:rFonts w:ascii="Times New Roman" w:hAnsi="Times New Roman" w:cs="Times New Roman" w:eastAsia="Times New Roman" w:hint="default"/>
          <w:sz w:val="22"/>
          <w:szCs w:val="22"/>
        </w:rPr>
        <w:t>23</w:t>
      </w:r>
      <w:r>
        <w:rPr>
          <w:rFonts w:ascii="宋体" w:hAnsi="宋体" w:cs="宋体" w:eastAsia="宋体" w:hint="default"/>
          <w:sz w:val="22"/>
          <w:szCs w:val="22"/>
        </w:rPr>
        <w:t>名激励对象共计</w:t>
      </w:r>
      <w:r>
        <w:rPr>
          <w:rFonts w:ascii="Times New Roman" w:hAnsi="Times New Roman" w:cs="Times New Roman" w:eastAsia="Times New Roman" w:hint="default"/>
          <w:sz w:val="22"/>
          <w:szCs w:val="22"/>
        </w:rPr>
        <w:t>118</w:t>
      </w:r>
      <w:r>
        <w:rPr>
          <w:rFonts w:ascii="宋体" w:hAnsi="宋体" w:cs="宋体" w:eastAsia="宋体" w:hint="default"/>
          <w:sz w:val="22"/>
          <w:szCs w:val="22"/>
        </w:rPr>
        <w:t>万股限制性股票，申请</w:t>
      </w:r>
      <w:r>
        <w:rPr>
          <w:rFonts w:ascii="宋体" w:hAnsi="宋体" w:cs="宋体" w:eastAsia="宋体" w:hint="default"/>
          <w:spacing w:val="-49"/>
          <w:sz w:val="22"/>
          <w:szCs w:val="22"/>
        </w:rPr>
        <w:t> </w:t>
      </w:r>
      <w:r>
        <w:rPr>
          <w:rFonts w:ascii="宋体" w:hAnsi="宋体" w:cs="宋体" w:eastAsia="宋体" w:hint="default"/>
          <w:spacing w:val="-49"/>
          <w:sz w:val="22"/>
          <w:szCs w:val="22"/>
        </w:rPr>
      </w:r>
      <w:r>
        <w:rPr>
          <w:rFonts w:ascii="宋体" w:hAnsi="宋体" w:cs="宋体" w:eastAsia="宋体" w:hint="default"/>
          <w:sz w:val="22"/>
          <w:szCs w:val="22"/>
        </w:rPr>
        <w:t>增加注册资本人民币</w:t>
      </w:r>
      <w:r>
        <w:rPr>
          <w:rFonts w:ascii="Times New Roman" w:hAnsi="Times New Roman" w:cs="Times New Roman" w:eastAsia="Times New Roman" w:hint="default"/>
          <w:sz w:val="22"/>
          <w:szCs w:val="22"/>
        </w:rPr>
        <w:t>1,180,000.00</w:t>
      </w:r>
      <w:r>
        <w:rPr>
          <w:rFonts w:ascii="宋体" w:hAnsi="宋体" w:cs="宋体" w:eastAsia="宋体" w:hint="default"/>
          <w:sz w:val="22"/>
          <w:szCs w:val="22"/>
        </w:rPr>
        <w:t>元，变更后的股本为人民币</w:t>
      </w:r>
      <w:r>
        <w:rPr>
          <w:rFonts w:ascii="Times New Roman" w:hAnsi="Times New Roman" w:cs="Times New Roman" w:eastAsia="Times New Roman" w:hint="default"/>
          <w:sz w:val="22"/>
          <w:szCs w:val="22"/>
        </w:rPr>
        <w:t>447,301,534.00</w:t>
      </w:r>
      <w:r>
        <w:rPr>
          <w:rFonts w:ascii="宋体" w:hAnsi="宋体" w:cs="宋体" w:eastAsia="宋体" w:hint="default"/>
          <w:sz w:val="22"/>
          <w:szCs w:val="22"/>
        </w:rPr>
        <w:t>元。上述增资业经信永中</w:t>
      </w:r>
      <w:r>
        <w:rPr>
          <w:rFonts w:ascii="宋体" w:hAnsi="宋体" w:cs="宋体" w:eastAsia="宋体" w:hint="default"/>
          <w:spacing w:val="-46"/>
          <w:sz w:val="22"/>
          <w:szCs w:val="22"/>
        </w:rPr>
        <w:t> </w:t>
      </w:r>
      <w:r>
        <w:rPr>
          <w:rFonts w:ascii="宋体" w:hAnsi="宋体" w:cs="宋体" w:eastAsia="宋体" w:hint="default"/>
          <w:spacing w:val="-46"/>
          <w:sz w:val="22"/>
          <w:szCs w:val="22"/>
        </w:rPr>
      </w:r>
      <w:r>
        <w:rPr>
          <w:rFonts w:ascii="宋体" w:hAnsi="宋体" w:cs="宋体" w:eastAsia="宋体" w:hint="default"/>
          <w:sz w:val="22"/>
          <w:szCs w:val="22"/>
        </w:rPr>
        <w:t>和会计师事务所（特殊普通合伙）成都分所于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6</w:t>
      </w:r>
      <w:r>
        <w:rPr>
          <w:rFonts w:ascii="宋体" w:hAnsi="宋体" w:cs="宋体" w:eastAsia="宋体" w:hint="default"/>
          <w:sz w:val="22"/>
          <w:szCs w:val="22"/>
        </w:rPr>
        <w:t>月</w:t>
      </w:r>
      <w:r>
        <w:rPr>
          <w:rFonts w:ascii="Times New Roman" w:hAnsi="Times New Roman" w:cs="Times New Roman" w:eastAsia="Times New Roman" w:hint="default"/>
          <w:sz w:val="22"/>
          <w:szCs w:val="22"/>
        </w:rPr>
        <w:t>8</w:t>
      </w:r>
      <w:r>
        <w:rPr>
          <w:rFonts w:ascii="宋体" w:hAnsi="宋体" w:cs="宋体" w:eastAsia="宋体" w:hint="default"/>
          <w:sz w:val="22"/>
          <w:szCs w:val="22"/>
        </w:rPr>
        <w:t>日出具的</w:t>
      </w:r>
      <w:r>
        <w:rPr>
          <w:rFonts w:ascii="Times New Roman" w:hAnsi="Times New Roman" w:cs="Times New Roman" w:eastAsia="Times New Roman" w:hint="default"/>
          <w:sz w:val="22"/>
          <w:szCs w:val="22"/>
        </w:rPr>
        <w:t>XYZH/2018CDA40178</w:t>
      </w:r>
      <w:r>
        <w:rPr>
          <w:rFonts w:ascii="宋体" w:hAnsi="宋体" w:cs="宋体" w:eastAsia="宋体" w:hint="default"/>
          <w:sz w:val="22"/>
          <w:szCs w:val="22"/>
        </w:rPr>
        <w:t>号验资报告</w:t>
      </w:r>
      <w:r>
        <w:rPr>
          <w:rFonts w:ascii="宋体" w:hAnsi="宋体" w:cs="宋体" w:eastAsia="宋体" w:hint="default"/>
          <w:spacing w:val="-86"/>
          <w:sz w:val="22"/>
          <w:szCs w:val="22"/>
        </w:rPr>
        <w:t> </w:t>
      </w:r>
      <w:r>
        <w:rPr>
          <w:rFonts w:ascii="宋体" w:hAnsi="宋体" w:cs="宋体" w:eastAsia="宋体" w:hint="default"/>
          <w:sz w:val="22"/>
          <w:szCs w:val="22"/>
        </w:rPr>
        <w:t>进行验证。</w:t>
      </w:r>
    </w:p>
    <w:p>
      <w:pPr>
        <w:spacing w:line="240" w:lineRule="auto" w:before="11"/>
        <w:rPr>
          <w:rFonts w:ascii="宋体" w:hAnsi="宋体" w:cs="宋体" w:eastAsia="宋体" w:hint="default"/>
          <w:sz w:val="19"/>
          <w:szCs w:val="19"/>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w:t>
      </w:r>
      <w:r>
        <w:rPr>
          <w:rFonts w:ascii="Times New Roman" w:hAnsi="Times New Roman" w:cs="Times New Roman" w:eastAsia="Times New Roman" w:hint="default"/>
          <w:sz w:val="22"/>
          <w:szCs w:val="22"/>
        </w:rPr>
        <w:t>10</w:t>
      </w:r>
      <w:r>
        <w:rPr>
          <w:rFonts w:ascii="宋体" w:hAnsi="宋体" w:cs="宋体" w:eastAsia="宋体" w:hint="default"/>
          <w:sz w:val="22"/>
          <w:szCs w:val="22"/>
        </w:rPr>
        <w:t>日，本公司第三届董事会第四十四次会议和</w:t>
      </w:r>
      <w:r>
        <w:rPr>
          <w:rFonts w:ascii="Times New Roman" w:hAnsi="Times New Roman" w:cs="Times New Roman" w:eastAsia="Times New Roman" w:hint="default"/>
          <w:sz w:val="22"/>
          <w:szCs w:val="22"/>
        </w:rPr>
        <w:t>2018</w:t>
      </w:r>
      <w:r>
        <w:rPr>
          <w:rFonts w:ascii="宋体" w:hAnsi="宋体" w:cs="宋体" w:eastAsia="宋体" w:hint="default"/>
          <w:sz w:val="22"/>
          <w:szCs w:val="22"/>
        </w:rPr>
        <w:t>年第一次临时股东大会审议通过了</w:t>
      </w:r>
    </w:p>
    <w:p>
      <w:pPr>
        <w:spacing w:line="247" w:lineRule="auto" w:before="7"/>
        <w:ind w:left="153" w:right="1127" w:firstLine="0"/>
        <w:jc w:val="both"/>
        <w:rPr>
          <w:rFonts w:ascii="宋体" w:hAnsi="宋体" w:cs="宋体" w:eastAsia="宋体" w:hint="default"/>
          <w:sz w:val="22"/>
          <w:szCs w:val="22"/>
        </w:rPr>
      </w:pPr>
      <w:r>
        <w:rPr>
          <w:rFonts w:ascii="宋体" w:hAnsi="宋体" w:cs="宋体" w:eastAsia="宋体" w:hint="default"/>
          <w:spacing w:val="-2"/>
          <w:sz w:val="22"/>
          <w:szCs w:val="22"/>
        </w:rPr>
        <w:t>《关于回购注销部分限制性股票的议案》，根据《</w:t>
      </w:r>
      <w:r>
        <w:rPr>
          <w:rFonts w:ascii="Times New Roman" w:hAnsi="Times New Roman" w:cs="Times New Roman" w:eastAsia="Times New Roman" w:hint="default"/>
          <w:spacing w:val="-2"/>
          <w:sz w:val="22"/>
          <w:szCs w:val="22"/>
        </w:rPr>
        <w:t>2017</w:t>
      </w:r>
      <w:r>
        <w:rPr>
          <w:rFonts w:ascii="宋体" w:hAnsi="宋体" w:cs="宋体" w:eastAsia="宋体" w:hint="default"/>
          <w:spacing w:val="-2"/>
          <w:sz w:val="22"/>
          <w:szCs w:val="22"/>
        </w:rPr>
        <w:t>年限制性股票激励计划（草案）》、股东大会</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决议及修改后的公司章程规定，公司董事会根据</w:t>
      </w:r>
      <w:r>
        <w:rPr>
          <w:rFonts w:ascii="Times New Roman" w:hAnsi="Times New Roman" w:cs="Times New Roman" w:eastAsia="Times New Roman" w:hint="default"/>
          <w:sz w:val="22"/>
          <w:szCs w:val="22"/>
        </w:rPr>
        <w:t>2017</w:t>
      </w:r>
      <w:r>
        <w:rPr>
          <w:rFonts w:ascii="宋体" w:hAnsi="宋体" w:cs="宋体" w:eastAsia="宋体" w:hint="default"/>
          <w:sz w:val="22"/>
          <w:szCs w:val="22"/>
        </w:rPr>
        <w:t>年第四次临时股东大会的授权对因</w:t>
      </w:r>
      <w:r>
        <w:rPr>
          <w:rFonts w:ascii="Times New Roman" w:hAnsi="Times New Roman" w:cs="Times New Roman" w:eastAsia="Times New Roman" w:hint="default"/>
          <w:sz w:val="22"/>
          <w:szCs w:val="22"/>
        </w:rPr>
        <w:t>6</w:t>
      </w:r>
      <w:r>
        <w:rPr>
          <w:rFonts w:ascii="宋体" w:hAnsi="宋体" w:cs="宋体" w:eastAsia="宋体" w:hint="default"/>
          <w:sz w:val="22"/>
          <w:szCs w:val="22"/>
        </w:rPr>
        <w:t>名激励对象</w:t>
      </w:r>
      <w:r>
        <w:rPr>
          <w:rFonts w:ascii="宋体" w:hAnsi="宋体" w:cs="宋体" w:eastAsia="宋体" w:hint="default"/>
          <w:spacing w:val="-49"/>
          <w:sz w:val="22"/>
          <w:szCs w:val="22"/>
        </w:rPr>
        <w:t> </w:t>
      </w:r>
      <w:r>
        <w:rPr>
          <w:rFonts w:ascii="宋体" w:hAnsi="宋体" w:cs="宋体" w:eastAsia="宋体" w:hint="default"/>
          <w:spacing w:val="-49"/>
          <w:sz w:val="22"/>
          <w:szCs w:val="22"/>
        </w:rPr>
      </w:r>
      <w:r>
        <w:rPr>
          <w:rFonts w:ascii="宋体" w:hAnsi="宋体" w:cs="宋体" w:eastAsia="宋体" w:hint="default"/>
          <w:spacing w:val="-2"/>
          <w:sz w:val="22"/>
          <w:szCs w:val="22"/>
        </w:rPr>
        <w:t>离职而不再具备激励资格、</w:t>
      </w:r>
      <w:r>
        <w:rPr>
          <w:rFonts w:ascii="Times New Roman" w:hAnsi="Times New Roman" w:cs="Times New Roman" w:eastAsia="Times New Roman" w:hint="default"/>
          <w:spacing w:val="-2"/>
          <w:sz w:val="22"/>
          <w:szCs w:val="22"/>
        </w:rPr>
        <w:t>82</w:t>
      </w:r>
      <w:r>
        <w:rPr>
          <w:rFonts w:ascii="宋体" w:hAnsi="宋体" w:cs="宋体" w:eastAsia="宋体" w:hint="default"/>
          <w:spacing w:val="-2"/>
          <w:sz w:val="22"/>
          <w:szCs w:val="22"/>
        </w:rPr>
        <w:t>名因业务单元层面业绩考核结果和个人层面绩效考核结果未能满足相关</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Times New Roman" w:hAnsi="Times New Roman" w:cs="Times New Roman" w:eastAsia="Times New Roman" w:hint="default"/>
          <w:sz w:val="22"/>
          <w:szCs w:val="22"/>
        </w:rPr>
        <w:t>100%</w:t>
      </w:r>
      <w:r>
        <w:rPr>
          <w:rFonts w:ascii="Times New Roman" w:hAnsi="Times New Roman" w:cs="Times New Roman" w:eastAsia="Times New Roman" w:hint="default"/>
          <w:spacing w:val="-16"/>
          <w:sz w:val="22"/>
          <w:szCs w:val="22"/>
        </w:rPr>
        <w:t> </w:t>
      </w:r>
      <w:r>
        <w:rPr>
          <w:rFonts w:ascii="宋体" w:hAnsi="宋体" w:cs="宋体" w:eastAsia="宋体" w:hint="default"/>
          <w:spacing w:val="17"/>
          <w:sz w:val="22"/>
          <w:szCs w:val="22"/>
        </w:rPr>
        <w:t>解除限售条件等情形所涉共计</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1,313,940</w:t>
      </w:r>
      <w:r>
        <w:rPr>
          <w:rFonts w:ascii="Times New Roman" w:hAnsi="Times New Roman" w:cs="Times New Roman" w:eastAsia="Times New Roman" w:hint="default"/>
          <w:spacing w:val="-13"/>
          <w:sz w:val="22"/>
          <w:szCs w:val="22"/>
        </w:rPr>
        <w:t> </w:t>
      </w:r>
      <w:r>
        <w:rPr>
          <w:rFonts w:ascii="宋体" w:hAnsi="宋体" w:cs="宋体" w:eastAsia="宋体" w:hint="default"/>
          <w:spacing w:val="17"/>
          <w:sz w:val="22"/>
          <w:szCs w:val="22"/>
        </w:rPr>
        <w:t>股予以回购注销。</w:t>
      </w:r>
      <w:r>
        <w:rPr>
          <w:rFonts w:ascii="宋体" w:hAnsi="宋体" w:cs="宋体" w:eastAsia="宋体" w:hint="default"/>
          <w:spacing w:val="-77"/>
          <w:sz w:val="22"/>
          <w:szCs w:val="22"/>
        </w:rPr>
        <w:t> </w:t>
      </w:r>
      <w:r>
        <w:rPr>
          <w:rFonts w:ascii="宋体" w:hAnsi="宋体" w:cs="宋体" w:eastAsia="宋体" w:hint="default"/>
          <w:spacing w:val="18"/>
          <w:sz w:val="22"/>
          <w:szCs w:val="22"/>
        </w:rPr>
        <w:t>因此本公司申请减少注册资本</w:t>
      </w:r>
    </w:p>
    <w:p>
      <w:pPr>
        <w:spacing w:line="244" w:lineRule="auto" w:before="0"/>
        <w:ind w:left="153" w:right="1122"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1,313,940.00</w:t>
      </w:r>
      <w:r>
        <w:rPr>
          <w:rFonts w:ascii="宋体" w:hAnsi="宋体" w:cs="宋体" w:eastAsia="宋体" w:hint="default"/>
          <w:sz w:val="22"/>
          <w:szCs w:val="22"/>
        </w:rPr>
        <w:t>元，本次回购注销完成后，公司注册资本变更为</w:t>
      </w:r>
      <w:r>
        <w:rPr>
          <w:rFonts w:ascii="Times New Roman" w:hAnsi="Times New Roman" w:cs="Times New Roman" w:eastAsia="Times New Roman" w:hint="default"/>
          <w:sz w:val="22"/>
          <w:szCs w:val="22"/>
        </w:rPr>
        <w:t>445,987,594.00</w:t>
      </w:r>
      <w:r>
        <w:rPr>
          <w:rFonts w:ascii="宋体" w:hAnsi="宋体" w:cs="宋体" w:eastAsia="宋体" w:hint="default"/>
          <w:sz w:val="22"/>
          <w:szCs w:val="22"/>
        </w:rPr>
        <w:t>元。上述减资业经信永中</w:t>
      </w:r>
      <w:r>
        <w:rPr>
          <w:rFonts w:ascii="宋体" w:hAnsi="宋体" w:cs="宋体" w:eastAsia="宋体" w:hint="default"/>
          <w:spacing w:val="-46"/>
          <w:sz w:val="22"/>
          <w:szCs w:val="22"/>
        </w:rPr>
        <w:t> </w:t>
      </w:r>
      <w:r>
        <w:rPr>
          <w:rFonts w:ascii="宋体" w:hAnsi="宋体" w:cs="宋体" w:eastAsia="宋体" w:hint="default"/>
          <w:spacing w:val="-46"/>
          <w:sz w:val="22"/>
          <w:szCs w:val="22"/>
        </w:rPr>
      </w:r>
      <w:r>
        <w:rPr>
          <w:rFonts w:ascii="宋体" w:hAnsi="宋体" w:cs="宋体" w:eastAsia="宋体" w:hint="default"/>
          <w:spacing w:val="-3"/>
          <w:sz w:val="22"/>
          <w:szCs w:val="22"/>
        </w:rPr>
        <w:t>和会计师事务所（特殊普通合伙）成都分所于</w:t>
      </w:r>
      <w:r>
        <w:rPr>
          <w:rFonts w:ascii="Times New Roman" w:hAnsi="Times New Roman" w:cs="Times New Roman" w:eastAsia="Times New Roman" w:hint="default"/>
          <w:spacing w:val="-3"/>
          <w:sz w:val="22"/>
          <w:szCs w:val="22"/>
        </w:rPr>
        <w:t>2018</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9</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13</w:t>
      </w:r>
      <w:r>
        <w:rPr>
          <w:rFonts w:ascii="宋体" w:hAnsi="宋体" w:cs="宋体" w:eastAsia="宋体" w:hint="default"/>
          <w:spacing w:val="-3"/>
          <w:sz w:val="22"/>
          <w:szCs w:val="22"/>
        </w:rPr>
        <w:t>日出具的</w:t>
      </w:r>
      <w:r>
        <w:rPr>
          <w:rFonts w:ascii="Times New Roman" w:hAnsi="Times New Roman" w:cs="Times New Roman" w:eastAsia="Times New Roman" w:hint="default"/>
          <w:spacing w:val="-3"/>
          <w:sz w:val="22"/>
          <w:szCs w:val="22"/>
        </w:rPr>
        <w:t>XYZH/2018CDA40210</w:t>
      </w:r>
      <w:r>
        <w:rPr>
          <w:rFonts w:ascii="宋体" w:hAnsi="宋体" w:cs="宋体" w:eastAsia="宋体" w:hint="default"/>
          <w:spacing w:val="-3"/>
          <w:sz w:val="22"/>
          <w:szCs w:val="22"/>
        </w:rPr>
        <w:t>号验资报告</w:t>
      </w:r>
      <w:r>
        <w:rPr>
          <w:rFonts w:ascii="宋体" w:hAnsi="宋体" w:cs="宋体" w:eastAsia="宋体" w:hint="default"/>
          <w:spacing w:val="-23"/>
          <w:sz w:val="22"/>
          <w:szCs w:val="22"/>
        </w:rPr>
        <w:t> </w:t>
      </w:r>
      <w:r>
        <w:rPr>
          <w:rFonts w:ascii="宋体" w:hAnsi="宋体" w:cs="宋体" w:eastAsia="宋体" w:hint="default"/>
          <w:sz w:val="22"/>
          <w:szCs w:val="22"/>
        </w:rPr>
        <w:t>进行验证。</w:t>
      </w:r>
    </w:p>
    <w:p>
      <w:pPr>
        <w:spacing w:line="240" w:lineRule="auto" w:before="11"/>
        <w:rPr>
          <w:rFonts w:ascii="宋体" w:hAnsi="宋体" w:cs="宋体" w:eastAsia="宋体" w:hint="default"/>
          <w:sz w:val="19"/>
          <w:szCs w:val="19"/>
        </w:rPr>
      </w:pPr>
    </w:p>
    <w:p>
      <w:pPr>
        <w:spacing w:line="247" w:lineRule="auto" w:before="0"/>
        <w:ind w:left="153" w:right="1002" w:firstLine="441"/>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25</w:t>
      </w:r>
      <w:r>
        <w:rPr>
          <w:rFonts w:ascii="宋体" w:hAnsi="宋体" w:cs="宋体" w:eastAsia="宋体" w:hint="default"/>
          <w:sz w:val="22"/>
          <w:szCs w:val="22"/>
        </w:rPr>
        <w:t>日，公司第四届董事会第二次会议和</w:t>
      </w:r>
      <w:r>
        <w:rPr>
          <w:rFonts w:ascii="Times New Roman" w:hAnsi="Times New Roman" w:cs="Times New Roman" w:eastAsia="Times New Roman" w:hint="default"/>
          <w:sz w:val="22"/>
          <w:szCs w:val="22"/>
        </w:rPr>
        <w:t>2019</w:t>
      </w:r>
      <w:r>
        <w:rPr>
          <w:rFonts w:ascii="宋体" w:hAnsi="宋体" w:cs="宋体" w:eastAsia="宋体" w:hint="default"/>
          <w:sz w:val="22"/>
          <w:szCs w:val="22"/>
        </w:rPr>
        <w:t>年第一次临时股东大会审议通过了《关于</w:t>
      </w:r>
      <w:r>
        <w:rPr>
          <w:rFonts w:ascii="宋体" w:hAnsi="宋体" w:cs="宋体" w:eastAsia="宋体" w:hint="default"/>
          <w:w w:val="100"/>
          <w:sz w:val="22"/>
          <w:szCs w:val="22"/>
        </w:rPr>
        <w:t> </w:t>
      </w:r>
      <w:r>
        <w:rPr>
          <w:rFonts w:ascii="宋体" w:hAnsi="宋体" w:cs="宋体" w:eastAsia="宋体" w:hint="default"/>
          <w:sz w:val="22"/>
          <w:szCs w:val="22"/>
        </w:rPr>
        <w:t>回购注销已离职激励对象已授予但尚未解除限售的限制性股票的议案》、《关于回购注销及终止实施</w:t>
      </w:r>
      <w:r>
        <w:rPr>
          <w:rFonts w:ascii="宋体" w:hAnsi="宋体" w:cs="宋体" w:eastAsia="宋体" w:hint="default"/>
          <w:w w:val="100"/>
          <w:sz w:val="22"/>
          <w:szCs w:val="22"/>
        </w:rPr>
        <w:t> </w:t>
      </w:r>
      <w:r>
        <w:rPr>
          <w:rFonts w:ascii="宋体" w:hAnsi="宋体" w:cs="宋体" w:eastAsia="宋体" w:hint="default"/>
          <w:sz w:val="22"/>
          <w:szCs w:val="22"/>
        </w:rPr>
        <w:t>公司</w:t>
      </w:r>
      <w:r>
        <w:rPr>
          <w:rFonts w:ascii="Times New Roman" w:hAnsi="Times New Roman" w:cs="Times New Roman" w:eastAsia="Times New Roman" w:hint="default"/>
          <w:sz w:val="22"/>
          <w:szCs w:val="22"/>
        </w:rPr>
        <w:t>2017</w:t>
      </w:r>
      <w:r>
        <w:rPr>
          <w:rFonts w:ascii="宋体" w:hAnsi="宋体" w:cs="宋体" w:eastAsia="宋体" w:hint="default"/>
          <w:sz w:val="22"/>
          <w:szCs w:val="22"/>
        </w:rPr>
        <w:t>年限制性股票激励计划的议案》，根据公司《</w:t>
      </w:r>
      <w:r>
        <w:rPr>
          <w:rFonts w:ascii="Times New Roman" w:hAnsi="Times New Roman" w:cs="Times New Roman" w:eastAsia="Times New Roman" w:hint="default"/>
          <w:sz w:val="22"/>
          <w:szCs w:val="22"/>
        </w:rPr>
        <w:t>2017</w:t>
      </w:r>
      <w:r>
        <w:rPr>
          <w:rFonts w:ascii="宋体" w:hAnsi="宋体" w:cs="宋体" w:eastAsia="宋体" w:hint="default"/>
          <w:sz w:val="22"/>
          <w:szCs w:val="22"/>
        </w:rPr>
        <w:t>年限制性股票激励计划（草案）》、股东</w:t>
      </w:r>
      <w:r>
        <w:rPr>
          <w:rFonts w:ascii="宋体" w:hAnsi="宋体" w:cs="宋体" w:eastAsia="宋体" w:hint="default"/>
          <w:w w:val="100"/>
          <w:sz w:val="22"/>
          <w:szCs w:val="22"/>
        </w:rPr>
        <w:t> </w:t>
      </w:r>
      <w:r>
        <w:rPr>
          <w:rFonts w:ascii="宋体" w:hAnsi="宋体" w:cs="宋体" w:eastAsia="宋体" w:hint="default"/>
          <w:spacing w:val="-4"/>
          <w:sz w:val="22"/>
          <w:szCs w:val="22"/>
        </w:rPr>
        <w:t>大会决议及修改后的公司章程规定，公司董事会根据</w:t>
      </w:r>
      <w:r>
        <w:rPr>
          <w:rFonts w:ascii="Times New Roman" w:hAnsi="Times New Roman" w:cs="Times New Roman" w:eastAsia="Times New Roman" w:hint="default"/>
          <w:spacing w:val="-4"/>
          <w:sz w:val="22"/>
          <w:szCs w:val="22"/>
        </w:rPr>
        <w:t>2019</w:t>
      </w:r>
      <w:r>
        <w:rPr>
          <w:rFonts w:ascii="宋体" w:hAnsi="宋体" w:cs="宋体" w:eastAsia="宋体" w:hint="default"/>
          <w:spacing w:val="-4"/>
          <w:sz w:val="22"/>
          <w:szCs w:val="22"/>
        </w:rPr>
        <w:t>年第一次临时股东大会的授权，对因陈灵巧、</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z w:val="22"/>
          <w:szCs w:val="22"/>
        </w:rPr>
        <w:t>童燕等</w:t>
      </w:r>
      <w:r>
        <w:rPr>
          <w:rFonts w:ascii="Times New Roman" w:hAnsi="Times New Roman" w:cs="Times New Roman" w:eastAsia="Times New Roman" w:hint="default"/>
          <w:sz w:val="22"/>
          <w:szCs w:val="22"/>
        </w:rPr>
        <w:t>10</w:t>
      </w:r>
      <w:r>
        <w:rPr>
          <w:rFonts w:ascii="宋体" w:hAnsi="宋体" w:cs="宋体" w:eastAsia="宋体" w:hint="default"/>
          <w:sz w:val="22"/>
          <w:szCs w:val="22"/>
        </w:rPr>
        <w:t>名激励对象离职而不再具备激励资格，其所持有的尚未解除限售的限制性股票共计</w:t>
      </w:r>
      <w:r>
        <w:rPr>
          <w:rFonts w:ascii="Times New Roman" w:hAnsi="Times New Roman" w:cs="Times New Roman" w:eastAsia="Times New Roman" w:hint="default"/>
          <w:sz w:val="22"/>
          <w:szCs w:val="22"/>
        </w:rPr>
        <w:t>32.9</w:t>
      </w:r>
      <w:r>
        <w:rPr>
          <w:rFonts w:ascii="宋体" w:hAnsi="宋体" w:cs="宋体" w:eastAsia="宋体" w:hint="default"/>
          <w:sz w:val="22"/>
          <w:szCs w:val="22"/>
        </w:rPr>
        <w:t>万股</w:t>
      </w:r>
      <w:r>
        <w:rPr>
          <w:rFonts w:ascii="宋体" w:hAnsi="宋体" w:cs="宋体" w:eastAsia="宋体" w:hint="default"/>
          <w:spacing w:val="-92"/>
          <w:sz w:val="22"/>
          <w:szCs w:val="22"/>
        </w:rPr>
        <w:t> </w:t>
      </w:r>
      <w:r>
        <w:rPr>
          <w:rFonts w:ascii="宋体" w:hAnsi="宋体" w:cs="宋体" w:eastAsia="宋体" w:hint="default"/>
          <w:sz w:val="22"/>
          <w:szCs w:val="22"/>
        </w:rPr>
        <w:t>予以回购注销；对因公司层面业绩不达标所涉首次授予第二个解除限售期</w:t>
      </w:r>
      <w:r>
        <w:rPr>
          <w:rFonts w:ascii="Times New Roman" w:hAnsi="Times New Roman" w:cs="Times New Roman" w:eastAsia="Times New Roman" w:hint="default"/>
          <w:sz w:val="22"/>
          <w:szCs w:val="22"/>
        </w:rPr>
        <w:t>120</w:t>
      </w:r>
      <w:r>
        <w:rPr>
          <w:rFonts w:ascii="宋体" w:hAnsi="宋体" w:cs="宋体" w:eastAsia="宋体" w:hint="default"/>
          <w:sz w:val="22"/>
          <w:szCs w:val="22"/>
        </w:rPr>
        <w:t>名激励对象所持</w:t>
      </w:r>
      <w:r>
        <w:rPr>
          <w:rFonts w:ascii="Times New Roman" w:hAnsi="Times New Roman" w:cs="Times New Roman" w:eastAsia="Times New Roman" w:hint="default"/>
          <w:sz w:val="22"/>
          <w:szCs w:val="22"/>
        </w:rPr>
        <w:t>300.36</w:t>
      </w:r>
      <w:r>
        <w:rPr>
          <w:rFonts w:ascii="Times New Roman" w:hAnsi="Times New Roman" w:cs="Times New Roman" w:eastAsia="Times New Roman" w:hint="default"/>
          <w:spacing w:val="3"/>
          <w:sz w:val="22"/>
          <w:szCs w:val="22"/>
        </w:rPr>
        <w:t> </w:t>
      </w:r>
      <w:r>
        <w:rPr>
          <w:rFonts w:ascii="Times New Roman" w:hAnsi="Times New Roman" w:cs="Times New Roman" w:eastAsia="Times New Roman" w:hint="default"/>
          <w:spacing w:val="3"/>
          <w:sz w:val="22"/>
          <w:szCs w:val="22"/>
        </w:rPr>
      </w:r>
      <w:r>
        <w:rPr>
          <w:rFonts w:ascii="宋体" w:hAnsi="宋体" w:cs="宋体" w:eastAsia="宋体" w:hint="default"/>
          <w:sz w:val="22"/>
          <w:szCs w:val="22"/>
        </w:rPr>
        <w:t>万股限制性股票、预留授予第一个解除限售期</w:t>
      </w:r>
      <w:r>
        <w:rPr>
          <w:rFonts w:ascii="Times New Roman" w:hAnsi="Times New Roman" w:cs="Times New Roman" w:eastAsia="Times New Roman" w:hint="default"/>
          <w:sz w:val="22"/>
          <w:szCs w:val="22"/>
        </w:rPr>
        <w:t>23</w:t>
      </w:r>
      <w:r>
        <w:rPr>
          <w:rFonts w:ascii="宋体" w:hAnsi="宋体" w:cs="宋体" w:eastAsia="宋体" w:hint="default"/>
          <w:sz w:val="22"/>
          <w:szCs w:val="22"/>
        </w:rPr>
        <w:t>名激励对象所持</w:t>
      </w:r>
      <w:r>
        <w:rPr>
          <w:rFonts w:ascii="Times New Roman" w:hAnsi="Times New Roman" w:cs="Times New Roman" w:eastAsia="Times New Roman" w:hint="default"/>
          <w:sz w:val="22"/>
          <w:szCs w:val="22"/>
        </w:rPr>
        <w:t>59</w:t>
      </w:r>
      <w:r>
        <w:rPr>
          <w:rFonts w:ascii="宋体" w:hAnsi="宋体" w:cs="宋体" w:eastAsia="宋体" w:hint="default"/>
          <w:sz w:val="22"/>
          <w:szCs w:val="22"/>
        </w:rPr>
        <w:t>万股限制性股票，共计</w:t>
      </w:r>
      <w:r>
        <w:rPr>
          <w:rFonts w:ascii="Times New Roman" w:hAnsi="Times New Roman" w:cs="Times New Roman" w:eastAsia="Times New Roman" w:hint="default"/>
          <w:sz w:val="22"/>
          <w:szCs w:val="22"/>
        </w:rPr>
        <w:t>359.36</w:t>
      </w:r>
      <w:r>
        <w:rPr>
          <w:rFonts w:ascii="宋体" w:hAnsi="宋体" w:cs="宋体" w:eastAsia="宋体" w:hint="default"/>
          <w:sz w:val="22"/>
          <w:szCs w:val="22"/>
        </w:rPr>
        <w:t>万股</w:t>
      </w:r>
      <w:r>
        <w:rPr>
          <w:rFonts w:ascii="宋体" w:hAnsi="宋体" w:cs="宋体" w:eastAsia="宋体" w:hint="default"/>
          <w:spacing w:val="-92"/>
          <w:sz w:val="22"/>
          <w:szCs w:val="22"/>
        </w:rPr>
        <w:t> </w:t>
      </w:r>
      <w:r>
        <w:rPr>
          <w:rFonts w:ascii="宋体" w:hAnsi="宋体" w:cs="宋体" w:eastAsia="宋体" w:hint="default"/>
          <w:sz w:val="22"/>
          <w:szCs w:val="22"/>
        </w:rPr>
        <w:t>限制性股票予以回购注销；对终止实施公司</w:t>
      </w:r>
      <w:r>
        <w:rPr>
          <w:rFonts w:ascii="Times New Roman" w:hAnsi="Times New Roman" w:cs="Times New Roman" w:eastAsia="Times New Roman" w:hint="default"/>
          <w:sz w:val="22"/>
          <w:szCs w:val="22"/>
        </w:rPr>
        <w:t>2017</w:t>
      </w:r>
      <w:r>
        <w:rPr>
          <w:rFonts w:ascii="宋体" w:hAnsi="宋体" w:cs="宋体" w:eastAsia="宋体" w:hint="default"/>
          <w:sz w:val="22"/>
          <w:szCs w:val="22"/>
        </w:rPr>
        <w:t>年限制性股票激励计划剩余涉及</w:t>
      </w:r>
      <w:r>
        <w:rPr>
          <w:rFonts w:ascii="Times New Roman" w:hAnsi="Times New Roman" w:cs="Times New Roman" w:eastAsia="Times New Roman" w:hint="default"/>
          <w:sz w:val="22"/>
          <w:szCs w:val="22"/>
        </w:rPr>
        <w:t>131</w:t>
      </w:r>
      <w:r>
        <w:rPr>
          <w:rFonts w:ascii="宋体" w:hAnsi="宋体" w:cs="宋体" w:eastAsia="宋体" w:hint="default"/>
          <w:sz w:val="22"/>
          <w:szCs w:val="22"/>
        </w:rPr>
        <w:t>名激励对象已授</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z w:val="22"/>
          <w:szCs w:val="22"/>
        </w:rPr>
        <w:t>予但尚未解除限售的全部限制性股票共计</w:t>
      </w:r>
      <w:r>
        <w:rPr>
          <w:rFonts w:ascii="Times New Roman" w:hAnsi="Times New Roman" w:cs="Times New Roman" w:eastAsia="Times New Roman" w:hint="default"/>
          <w:sz w:val="22"/>
          <w:szCs w:val="22"/>
        </w:rPr>
        <w:t>459.48</w:t>
      </w:r>
      <w:r>
        <w:rPr>
          <w:rFonts w:ascii="宋体" w:hAnsi="宋体" w:cs="宋体" w:eastAsia="宋体" w:hint="default"/>
          <w:sz w:val="22"/>
          <w:szCs w:val="22"/>
        </w:rPr>
        <w:t>万股予以回购注销，以上共计回购注销</w:t>
      </w:r>
      <w:r>
        <w:rPr>
          <w:rFonts w:ascii="Times New Roman" w:hAnsi="Times New Roman" w:cs="Times New Roman" w:eastAsia="Times New Roman" w:hint="default"/>
          <w:sz w:val="22"/>
          <w:szCs w:val="22"/>
        </w:rPr>
        <w:t>851.74</w:t>
      </w:r>
      <w:r>
        <w:rPr>
          <w:rFonts w:ascii="宋体" w:hAnsi="宋体" w:cs="宋体" w:eastAsia="宋体" w:hint="default"/>
          <w:sz w:val="22"/>
          <w:szCs w:val="22"/>
        </w:rPr>
        <w:t>万股。</w:t>
      </w:r>
      <w:r>
        <w:rPr>
          <w:rFonts w:ascii="宋体" w:hAnsi="宋体" w:cs="宋体" w:eastAsia="宋体" w:hint="default"/>
          <w:spacing w:val="-50"/>
          <w:sz w:val="22"/>
          <w:szCs w:val="22"/>
        </w:rPr>
        <w:t> </w:t>
      </w:r>
      <w:r>
        <w:rPr>
          <w:rFonts w:ascii="宋体" w:hAnsi="宋体" w:cs="宋体" w:eastAsia="宋体" w:hint="default"/>
          <w:spacing w:val="-3"/>
          <w:sz w:val="22"/>
          <w:szCs w:val="22"/>
        </w:rPr>
        <w:t>本次回购注销完成后，公司注册资本（股本）变更为</w:t>
      </w:r>
      <w:r>
        <w:rPr>
          <w:rFonts w:ascii="Times New Roman" w:hAnsi="Times New Roman" w:cs="Times New Roman" w:eastAsia="Times New Roman" w:hint="default"/>
          <w:spacing w:val="-3"/>
          <w:sz w:val="22"/>
          <w:szCs w:val="22"/>
        </w:rPr>
        <w:t>437,470,194.00</w:t>
      </w:r>
      <w:r>
        <w:rPr>
          <w:rFonts w:ascii="宋体" w:hAnsi="宋体" w:cs="宋体" w:eastAsia="宋体" w:hint="default"/>
          <w:spacing w:val="-3"/>
          <w:sz w:val="22"/>
          <w:szCs w:val="22"/>
        </w:rPr>
        <w:t>元。上述减资业经信永中和会计师</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4"/>
          <w:w w:val="100"/>
          <w:sz w:val="22"/>
          <w:szCs w:val="22"/>
        </w:rPr>
        <w:t>事务所（特殊普通合伙）成都分所于</w:t>
      </w:r>
      <w:r>
        <w:rPr>
          <w:rFonts w:ascii="Times New Roman" w:hAnsi="Times New Roman" w:cs="Times New Roman" w:eastAsia="Times New Roman" w:hint="default"/>
          <w:spacing w:val="-4"/>
          <w:w w:val="100"/>
          <w:sz w:val="22"/>
          <w:szCs w:val="22"/>
        </w:rPr>
        <w:t>2019</w:t>
      </w:r>
      <w:r>
        <w:rPr>
          <w:rFonts w:ascii="宋体" w:hAnsi="宋体" w:cs="宋体" w:eastAsia="宋体" w:hint="default"/>
          <w:spacing w:val="-4"/>
          <w:w w:val="100"/>
          <w:sz w:val="22"/>
          <w:szCs w:val="22"/>
        </w:rPr>
        <w:t>年</w:t>
      </w:r>
      <w:r>
        <w:rPr>
          <w:rFonts w:ascii="Times New Roman" w:hAnsi="Times New Roman" w:cs="Times New Roman" w:eastAsia="Times New Roman" w:hint="default"/>
          <w:spacing w:val="-4"/>
          <w:w w:val="100"/>
          <w:sz w:val="22"/>
          <w:szCs w:val="22"/>
        </w:rPr>
        <w:t>9</w:t>
      </w:r>
      <w:r>
        <w:rPr>
          <w:rFonts w:ascii="宋体" w:hAnsi="宋体" w:cs="宋体" w:eastAsia="宋体" w:hint="default"/>
          <w:spacing w:val="-4"/>
          <w:w w:val="100"/>
          <w:sz w:val="22"/>
          <w:szCs w:val="22"/>
        </w:rPr>
        <w:t>月</w:t>
      </w:r>
      <w:r>
        <w:rPr>
          <w:rFonts w:ascii="Times New Roman" w:hAnsi="Times New Roman" w:cs="Times New Roman" w:eastAsia="Times New Roman" w:hint="default"/>
          <w:spacing w:val="-4"/>
          <w:w w:val="100"/>
          <w:sz w:val="22"/>
          <w:szCs w:val="22"/>
        </w:rPr>
        <w:t>16</w:t>
      </w:r>
      <w:r>
        <w:rPr>
          <w:rFonts w:ascii="宋体" w:hAnsi="宋体" w:cs="宋体" w:eastAsia="宋体" w:hint="default"/>
          <w:spacing w:val="-4"/>
          <w:w w:val="100"/>
          <w:sz w:val="22"/>
          <w:szCs w:val="22"/>
        </w:rPr>
        <w:t>日出具的</w:t>
      </w:r>
      <w:r>
        <w:rPr>
          <w:rFonts w:ascii="Times New Roman" w:hAnsi="Times New Roman" w:cs="Times New Roman" w:eastAsia="Times New Roman" w:hint="default"/>
          <w:spacing w:val="-4"/>
          <w:w w:val="100"/>
          <w:sz w:val="22"/>
          <w:szCs w:val="22"/>
        </w:rPr>
        <w:t>XYZH/2019CDA40205</w:t>
      </w:r>
      <w:r>
        <w:rPr>
          <w:rFonts w:ascii="宋体" w:hAnsi="宋体" w:cs="宋体" w:eastAsia="宋体" w:hint="default"/>
          <w:spacing w:val="-4"/>
          <w:w w:val="100"/>
          <w:sz w:val="22"/>
          <w:szCs w:val="22"/>
        </w:rPr>
        <w:t>号验资报告进行验证。</w:t>
      </w:r>
    </w:p>
    <w:p>
      <w:pPr>
        <w:spacing w:line="240" w:lineRule="auto" w:before="5"/>
        <w:rPr>
          <w:rFonts w:ascii="宋体" w:hAnsi="宋体" w:cs="宋体" w:eastAsia="宋体" w:hint="default"/>
          <w:sz w:val="18"/>
          <w:szCs w:val="18"/>
        </w:rPr>
      </w:pPr>
    </w:p>
    <w:p>
      <w:pPr>
        <w:spacing w:line="244" w:lineRule="auto" w:before="0"/>
        <w:ind w:left="153" w:right="1122" w:firstLine="441"/>
        <w:jc w:val="both"/>
        <w:rPr>
          <w:rFonts w:ascii="宋体" w:hAnsi="宋体" w:cs="宋体" w:eastAsia="宋体" w:hint="default"/>
          <w:sz w:val="22"/>
          <w:szCs w:val="22"/>
        </w:rPr>
      </w:pPr>
      <w:r>
        <w:rPr>
          <w:rFonts w:ascii="宋体" w:hAnsi="宋体" w:cs="宋体" w:eastAsia="宋体" w:hint="default"/>
          <w:spacing w:val="-2"/>
          <w:sz w:val="22"/>
          <w:szCs w:val="22"/>
        </w:rPr>
        <w:t>截至</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12</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31</w:t>
      </w:r>
      <w:r>
        <w:rPr>
          <w:rFonts w:ascii="宋体" w:hAnsi="宋体" w:cs="宋体" w:eastAsia="宋体" w:hint="default"/>
          <w:spacing w:val="-2"/>
          <w:sz w:val="22"/>
          <w:szCs w:val="22"/>
        </w:rPr>
        <w:t>日，本公司总股本为</w:t>
      </w:r>
      <w:r>
        <w:rPr>
          <w:rFonts w:ascii="Times New Roman" w:hAnsi="Times New Roman" w:cs="Times New Roman" w:eastAsia="Times New Roman" w:hint="default"/>
          <w:spacing w:val="-2"/>
          <w:sz w:val="22"/>
          <w:szCs w:val="22"/>
        </w:rPr>
        <w:t>437,470,194</w:t>
      </w:r>
      <w:r>
        <w:rPr>
          <w:rFonts w:ascii="宋体" w:hAnsi="宋体" w:cs="宋体" w:eastAsia="宋体" w:hint="default"/>
          <w:spacing w:val="-2"/>
          <w:sz w:val="22"/>
          <w:szCs w:val="22"/>
        </w:rPr>
        <w:t>股，其中有限售条件股份</w:t>
      </w:r>
      <w:r>
        <w:rPr>
          <w:rFonts w:ascii="Times New Roman" w:hAnsi="Times New Roman" w:cs="Times New Roman" w:eastAsia="Times New Roman" w:hint="default"/>
          <w:spacing w:val="-2"/>
          <w:sz w:val="22"/>
          <w:szCs w:val="22"/>
        </w:rPr>
        <w:t>132,007,444</w:t>
      </w:r>
      <w:r>
        <w:rPr>
          <w:rFonts w:ascii="宋体" w:hAnsi="宋体" w:cs="宋体" w:eastAsia="宋体" w:hint="default"/>
          <w:spacing w:val="-2"/>
          <w:sz w:val="22"/>
          <w:szCs w:val="22"/>
        </w:rPr>
        <w:t>股，占总</w:t>
      </w:r>
      <w:r>
        <w:rPr>
          <w:rFonts w:ascii="宋体" w:hAnsi="宋体" w:cs="宋体" w:eastAsia="宋体" w:hint="default"/>
          <w:w w:val="100"/>
          <w:sz w:val="22"/>
          <w:szCs w:val="22"/>
        </w:rPr>
        <w:t> </w:t>
      </w:r>
      <w:r>
        <w:rPr>
          <w:rFonts w:ascii="宋体" w:hAnsi="宋体" w:cs="宋体" w:eastAsia="宋体" w:hint="default"/>
          <w:sz w:val="22"/>
          <w:szCs w:val="22"/>
        </w:rPr>
        <w:t>股本的</w:t>
      </w:r>
      <w:r>
        <w:rPr>
          <w:rFonts w:ascii="Times New Roman" w:hAnsi="Times New Roman" w:cs="Times New Roman" w:eastAsia="Times New Roman" w:hint="default"/>
          <w:sz w:val="22"/>
          <w:szCs w:val="22"/>
        </w:rPr>
        <w:t>30.18%</w:t>
      </w:r>
      <w:r>
        <w:rPr>
          <w:rFonts w:ascii="宋体" w:hAnsi="宋体" w:cs="宋体" w:eastAsia="宋体" w:hint="default"/>
          <w:sz w:val="22"/>
          <w:szCs w:val="22"/>
        </w:rPr>
        <w:t>；无限售条件股份</w:t>
      </w:r>
      <w:r>
        <w:rPr>
          <w:rFonts w:ascii="Times New Roman" w:hAnsi="Times New Roman" w:cs="Times New Roman" w:eastAsia="Times New Roman" w:hint="default"/>
          <w:sz w:val="22"/>
          <w:szCs w:val="22"/>
        </w:rPr>
        <w:t>305,462,750</w:t>
      </w:r>
      <w:r>
        <w:rPr>
          <w:rFonts w:ascii="宋体" w:hAnsi="宋体" w:cs="宋体" w:eastAsia="宋体" w:hint="default"/>
          <w:sz w:val="22"/>
          <w:szCs w:val="22"/>
        </w:rPr>
        <w:t>股，占总股本的</w:t>
      </w:r>
      <w:r>
        <w:rPr>
          <w:rFonts w:ascii="Times New Roman" w:hAnsi="Times New Roman" w:cs="Times New Roman" w:eastAsia="Times New Roman" w:hint="default"/>
          <w:sz w:val="22"/>
          <w:szCs w:val="22"/>
        </w:rPr>
        <w:t>69.82%</w:t>
      </w:r>
      <w:r>
        <w:rPr>
          <w:rFonts w:ascii="宋体" w:hAnsi="宋体" w:cs="宋体" w:eastAsia="宋体" w:hint="default"/>
          <w:sz w:val="22"/>
          <w:szCs w:val="22"/>
        </w:rPr>
        <w:t>。</w:t>
      </w:r>
    </w:p>
    <w:p>
      <w:pPr>
        <w:spacing w:line="240" w:lineRule="auto" w:before="7"/>
        <w:rPr>
          <w:rFonts w:ascii="宋体" w:hAnsi="宋体" w:cs="宋体" w:eastAsia="宋体" w:hint="default"/>
          <w:sz w:val="18"/>
          <w:szCs w:val="18"/>
        </w:rPr>
      </w:pPr>
    </w:p>
    <w:p>
      <w:pPr>
        <w:spacing w:line="259" w:lineRule="auto" w:before="0"/>
        <w:ind w:left="153" w:right="1122" w:firstLine="441"/>
        <w:jc w:val="both"/>
        <w:rPr>
          <w:rFonts w:ascii="宋体" w:hAnsi="宋体" w:cs="宋体" w:eastAsia="宋体" w:hint="default"/>
          <w:sz w:val="22"/>
          <w:szCs w:val="22"/>
        </w:rPr>
      </w:pPr>
      <w:r>
        <w:rPr>
          <w:rFonts w:ascii="宋体" w:hAnsi="宋体" w:cs="宋体" w:eastAsia="宋体" w:hint="default"/>
          <w:spacing w:val="-2"/>
          <w:sz w:val="22"/>
          <w:szCs w:val="22"/>
        </w:rPr>
        <w:t>本公司为软件和信息服务行业，经营范围主要为：生产、销售、维修及安装制冷设备、空调、不</w:t>
      </w:r>
      <w:r>
        <w:rPr>
          <w:rFonts w:ascii="宋体" w:hAnsi="宋体" w:cs="宋体" w:eastAsia="宋体" w:hint="default"/>
          <w:w w:val="100"/>
          <w:sz w:val="22"/>
          <w:szCs w:val="22"/>
        </w:rPr>
        <w:t> </w:t>
      </w:r>
      <w:r>
        <w:rPr>
          <w:rFonts w:ascii="宋体" w:hAnsi="宋体" w:cs="宋体" w:eastAsia="宋体" w:hint="default"/>
          <w:spacing w:val="-2"/>
          <w:sz w:val="22"/>
          <w:szCs w:val="22"/>
        </w:rPr>
        <w:t>间断电源、电池及相关产品、环境保护专用设备、空气净化器、电子产品；计算机系统集成；提供环</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7"/>
          <w:sz w:val="22"/>
          <w:szCs w:val="22"/>
        </w:rPr>
        <w:t>境工程技术咨询及相关工程服务（工程类凭相关资质证书从事经营）；节能技术的研发、应用、推广；</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pacing w:val="-7"/>
          <w:sz w:val="22"/>
          <w:szCs w:val="22"/>
        </w:rPr>
        <w:t>节能工程设计、工程施工（工程类凭相关资质证书从事经营）、技术咨询和技术服务；合同能源管理；</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pacing w:val="-2"/>
          <w:sz w:val="22"/>
          <w:szCs w:val="22"/>
        </w:rPr>
        <w:t>房屋租赁；物业管理服务（凭资质许可证从事经营）；货物、技术进出口业务。（依法须经批准的项</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pacing w:val="-2"/>
          <w:sz w:val="22"/>
          <w:szCs w:val="22"/>
        </w:rPr>
        <w:t>目，经相关部门批准后方可开展经营活动）。主要产品或提供劳务包括：精密空调设备（精密机房空</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调、精密洁净空调、精密冷水机组）、精密环境工程、环保设备、计算机系统集成、工程总承包业务</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等。</w:t>
      </w:r>
    </w:p>
    <w:p>
      <w:pPr>
        <w:spacing w:line="240" w:lineRule="auto" w:before="11"/>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本集团合并财务报表范围包括本公司、四川桑瑞思环境技术工程有限公司（以下简称桑瑞思）、</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59" w:lineRule="auto" w:before="32"/>
        <w:ind w:left="153" w:right="1123" w:firstLine="0"/>
        <w:jc w:val="both"/>
        <w:rPr>
          <w:rFonts w:ascii="宋体" w:hAnsi="宋体" w:cs="宋体" w:eastAsia="宋体" w:hint="default"/>
          <w:sz w:val="22"/>
          <w:szCs w:val="22"/>
        </w:rPr>
      </w:pPr>
      <w:r>
        <w:rPr>
          <w:rFonts w:ascii="宋体" w:hAnsi="宋体" w:cs="宋体" w:eastAsia="宋体" w:hint="default"/>
          <w:spacing w:val="-2"/>
          <w:sz w:val="22"/>
          <w:szCs w:val="22"/>
        </w:rPr>
        <w:t>沈阳桑瑞思环境技术工程有限公司（以下简称沈阳桑瑞思）、深圳市龙控智能技术有限公司（以下简</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称深圳龙控）、四川龙控科技有限公司（以下简称四川龙控）、四川依米康龙控软件有限公司（以下</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简称依米康软件）、依米康智能工程有限公司（以下简称依米康智能）、江苏亿金环保科技有限公司</w:t>
      </w:r>
    </w:p>
    <w:p>
      <w:pPr>
        <w:spacing w:line="259" w:lineRule="auto" w:before="7"/>
        <w:ind w:left="153" w:right="1125" w:firstLine="0"/>
        <w:jc w:val="both"/>
        <w:rPr>
          <w:rFonts w:ascii="宋体" w:hAnsi="宋体" w:cs="宋体" w:eastAsia="宋体" w:hint="default"/>
          <w:sz w:val="22"/>
          <w:szCs w:val="22"/>
        </w:rPr>
      </w:pPr>
      <w:r>
        <w:rPr>
          <w:rFonts w:ascii="宋体" w:hAnsi="宋体" w:cs="宋体" w:eastAsia="宋体" w:hint="default"/>
          <w:spacing w:val="-2"/>
          <w:sz w:val="22"/>
          <w:szCs w:val="22"/>
        </w:rPr>
        <w:t>（以下简称江苏亿金）、杭州亿金洁源环境工程技术有限公司（以下简称杭州亿金）、江阴亿金物资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贸易有限公司（以下简称亿金物资贸易）、依米康冷元节能科技（上海）有限公司（以下简称依米康</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冷元）、辽宁亿金生物质能源科技有限公司（以下简称辽宁亿金）、临沧亿金再生能源科技有限公司</w:t>
      </w:r>
    </w:p>
    <w:p>
      <w:pPr>
        <w:spacing w:line="252" w:lineRule="auto" w:before="6"/>
        <w:ind w:left="153" w:right="1126" w:firstLine="0"/>
        <w:jc w:val="both"/>
        <w:rPr>
          <w:rFonts w:ascii="宋体" w:hAnsi="宋体" w:cs="宋体" w:eastAsia="宋体" w:hint="default"/>
          <w:sz w:val="22"/>
          <w:szCs w:val="22"/>
        </w:rPr>
      </w:pPr>
      <w:r>
        <w:rPr>
          <w:rFonts w:ascii="宋体" w:hAnsi="宋体" w:cs="宋体" w:eastAsia="宋体" w:hint="default"/>
          <w:spacing w:val="-2"/>
          <w:sz w:val="22"/>
          <w:szCs w:val="22"/>
        </w:rPr>
        <w:t>（以下简称临沧亿金）、腾龙资产（北京）投资管理有限公司（以下简称腾龙资产）、华延芯光（北</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京）科技有限公司（以下简称华延芯光）、平昌县依米康医疗投资管理有限公司（以下简称平昌依米</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康）、四川依米康智云科技有限公司</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以下简称依米康智云</w:t>
      </w:r>
      <w:r>
        <w:rPr>
          <w:rFonts w:ascii="Times New Roman" w:hAnsi="Times New Roman" w:cs="Times New Roman" w:eastAsia="Times New Roman" w:hint="default"/>
          <w:sz w:val="22"/>
          <w:szCs w:val="22"/>
        </w:rPr>
        <w:t>)</w:t>
      </w:r>
      <w:r>
        <w:rPr>
          <w:rFonts w:ascii="宋体" w:hAnsi="宋体" w:cs="宋体" w:eastAsia="宋体" w:hint="default"/>
          <w:sz w:val="22"/>
          <w:szCs w:val="22"/>
        </w:rPr>
        <w:t>、依米康信息服务有限公司（以下简称依</w:t>
      </w:r>
      <w:r>
        <w:rPr>
          <w:rFonts w:ascii="宋体" w:hAnsi="宋体" w:cs="宋体" w:eastAsia="宋体" w:hint="default"/>
          <w:spacing w:val="-79"/>
          <w:sz w:val="22"/>
          <w:szCs w:val="22"/>
        </w:rPr>
        <w:t> </w:t>
      </w:r>
      <w:r>
        <w:rPr>
          <w:rFonts w:ascii="宋体" w:hAnsi="宋体" w:cs="宋体" w:eastAsia="宋体" w:hint="default"/>
          <w:sz w:val="22"/>
          <w:szCs w:val="22"/>
        </w:rPr>
        <w:t>米康信息服务）、曲水依米康智控企业管理中心</w:t>
      </w:r>
      <w:r>
        <w:rPr>
          <w:rFonts w:ascii="Times New Roman" w:hAnsi="Times New Roman" w:cs="Times New Roman" w:eastAsia="Times New Roman" w:hint="default"/>
          <w:sz w:val="22"/>
          <w:szCs w:val="22"/>
        </w:rPr>
        <w:t>(</w:t>
      </w:r>
      <w:r>
        <w:rPr>
          <w:rFonts w:ascii="宋体" w:hAnsi="宋体" w:cs="宋体" w:eastAsia="宋体" w:hint="default"/>
          <w:sz w:val="22"/>
          <w:szCs w:val="22"/>
        </w:rPr>
        <w:t>有限合伙</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（以下简称曲水智控中心）、曲水依米康</w:t>
      </w:r>
      <w:r>
        <w:rPr>
          <w:rFonts w:ascii="宋体" w:hAnsi="宋体" w:cs="宋体" w:eastAsia="宋体" w:hint="default"/>
          <w:spacing w:val="-79"/>
          <w:sz w:val="22"/>
          <w:szCs w:val="22"/>
        </w:rPr>
        <w:t> </w:t>
      </w:r>
      <w:r>
        <w:rPr>
          <w:rFonts w:ascii="宋体" w:hAnsi="宋体" w:cs="宋体" w:eastAsia="宋体" w:hint="default"/>
          <w:sz w:val="22"/>
          <w:szCs w:val="22"/>
        </w:rPr>
        <w:t>智成企业管理中心</w:t>
      </w:r>
      <w:r>
        <w:rPr>
          <w:rFonts w:ascii="Times New Roman" w:hAnsi="Times New Roman" w:cs="Times New Roman" w:eastAsia="Times New Roman" w:hint="default"/>
          <w:sz w:val="22"/>
          <w:szCs w:val="22"/>
        </w:rPr>
        <w:t>(</w:t>
      </w:r>
      <w:r>
        <w:rPr>
          <w:rFonts w:ascii="宋体" w:hAnsi="宋体" w:cs="宋体" w:eastAsia="宋体" w:hint="default"/>
          <w:sz w:val="22"/>
          <w:szCs w:val="22"/>
        </w:rPr>
        <w:t>有限合伙</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（以下简称曲水智成中心）、四川依米康企业管理有限公司（以下简称</w:t>
      </w:r>
      <w:r>
        <w:rPr>
          <w:rFonts w:ascii="宋体" w:hAnsi="宋体" w:cs="宋体" w:eastAsia="宋体" w:hint="default"/>
          <w:spacing w:val="-80"/>
          <w:sz w:val="22"/>
          <w:szCs w:val="22"/>
        </w:rPr>
        <w:t> </w:t>
      </w:r>
      <w:r>
        <w:rPr>
          <w:rFonts w:ascii="宋体" w:hAnsi="宋体" w:cs="宋体" w:eastAsia="宋体" w:hint="default"/>
          <w:sz w:val="22"/>
          <w:szCs w:val="22"/>
        </w:rPr>
        <w:t>依米康企业管理）。</w:t>
      </w:r>
    </w:p>
    <w:p>
      <w:pPr>
        <w:spacing w:line="240" w:lineRule="auto" w:before="4"/>
        <w:rPr>
          <w:rFonts w:ascii="宋体" w:hAnsi="宋体" w:cs="宋体" w:eastAsia="宋体" w:hint="default"/>
          <w:sz w:val="19"/>
          <w:szCs w:val="19"/>
        </w:rPr>
      </w:pPr>
    </w:p>
    <w:p>
      <w:pPr>
        <w:spacing w:line="247" w:lineRule="auto" w:before="0"/>
        <w:ind w:left="153" w:right="1131" w:firstLine="441"/>
        <w:jc w:val="left"/>
        <w:rPr>
          <w:rFonts w:ascii="宋体" w:hAnsi="宋体" w:cs="宋体" w:eastAsia="宋体" w:hint="default"/>
          <w:sz w:val="22"/>
          <w:szCs w:val="22"/>
        </w:rPr>
      </w:pPr>
      <w:r>
        <w:rPr>
          <w:rFonts w:ascii="宋体" w:hAnsi="宋体" w:cs="宋体" w:eastAsia="宋体" w:hint="default"/>
          <w:spacing w:val="-1"/>
          <w:sz w:val="22"/>
          <w:szCs w:val="22"/>
        </w:rPr>
        <w:t>合并财务报表范围变化详见本附注</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八、合并范围的变更</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及本附注</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九、在其他主体中的权益</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相</w:t>
      </w:r>
      <w:r>
        <w:rPr>
          <w:rFonts w:ascii="宋体" w:hAnsi="宋体" w:cs="宋体" w:eastAsia="宋体" w:hint="default"/>
          <w:w w:val="100"/>
          <w:sz w:val="22"/>
          <w:szCs w:val="22"/>
        </w:rPr>
        <w:t> </w:t>
      </w:r>
      <w:r>
        <w:rPr>
          <w:rFonts w:ascii="宋体" w:hAnsi="宋体" w:cs="宋体" w:eastAsia="宋体" w:hint="default"/>
          <w:sz w:val="22"/>
          <w:szCs w:val="22"/>
        </w:rPr>
        <w:t>关内容。</w:t>
      </w:r>
    </w:p>
    <w:p>
      <w:pPr>
        <w:spacing w:line="240" w:lineRule="auto" w:before="9"/>
        <w:rPr>
          <w:rFonts w:ascii="宋体" w:hAnsi="宋体" w:cs="宋体" w:eastAsia="宋体" w:hint="default"/>
          <w:sz w:val="22"/>
          <w:szCs w:val="22"/>
        </w:rPr>
      </w:pPr>
    </w:p>
    <w:p>
      <w:pPr>
        <w:pStyle w:val="Heading2"/>
        <w:spacing w:line="240" w:lineRule="auto"/>
        <w:ind w:right="0"/>
        <w:jc w:val="both"/>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编制基础" w:id="165"/>
      <w:bookmarkEnd w:id="16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本集团财务报表以持续经营为基础，根据实际发生的交易和事项，按照财政部颁布的《企业会计</w:t>
      </w:r>
      <w:r>
        <w:rPr>
          <w:rFonts w:ascii="宋体" w:hAnsi="宋体" w:cs="宋体" w:eastAsia="宋体" w:hint="default"/>
          <w:w w:val="100"/>
          <w:sz w:val="22"/>
          <w:szCs w:val="22"/>
        </w:rPr>
        <w:t> </w:t>
      </w:r>
      <w:r>
        <w:rPr>
          <w:rFonts w:ascii="宋体" w:hAnsi="宋体" w:cs="宋体" w:eastAsia="宋体" w:hint="default"/>
          <w:sz w:val="22"/>
          <w:szCs w:val="22"/>
        </w:rPr>
        <w:t>准则》及相关规定，并基于本附注</w:t>
      </w:r>
      <w:r>
        <w:rPr>
          <w:rFonts w:ascii="Times New Roman" w:hAnsi="Times New Roman" w:cs="Times New Roman" w:eastAsia="Times New Roman" w:hint="default"/>
          <w:sz w:val="22"/>
          <w:szCs w:val="22"/>
        </w:rPr>
        <w:t>“</w:t>
      </w:r>
      <w:r>
        <w:rPr>
          <w:rFonts w:ascii="宋体" w:hAnsi="宋体" w:cs="宋体" w:eastAsia="宋体" w:hint="default"/>
          <w:sz w:val="22"/>
          <w:szCs w:val="22"/>
        </w:rPr>
        <w:t>五、重要会计政策及会计估计</w:t>
      </w:r>
      <w:r>
        <w:rPr>
          <w:rFonts w:ascii="Times New Roman" w:hAnsi="Times New Roman" w:cs="Times New Roman" w:eastAsia="Times New Roman" w:hint="default"/>
          <w:sz w:val="22"/>
          <w:szCs w:val="22"/>
        </w:rPr>
        <w:t>”</w:t>
      </w:r>
      <w:r>
        <w:rPr>
          <w:rFonts w:ascii="宋体" w:hAnsi="宋体" w:cs="宋体" w:eastAsia="宋体" w:hint="default"/>
          <w:sz w:val="22"/>
          <w:szCs w:val="22"/>
        </w:rPr>
        <w:t>所述会计政策和会计估计编制。</w:t>
      </w:r>
    </w:p>
    <w:p>
      <w:pPr>
        <w:spacing w:line="240" w:lineRule="auto" w:before="9"/>
        <w:rPr>
          <w:rFonts w:ascii="宋体" w:hAnsi="宋体" w:cs="宋体" w:eastAsia="宋体" w:hint="default"/>
          <w:sz w:val="22"/>
          <w:szCs w:val="22"/>
        </w:rPr>
      </w:pPr>
    </w:p>
    <w:p>
      <w:pPr>
        <w:spacing w:before="0"/>
        <w:ind w:left="153" w:right="0" w:firstLine="0"/>
        <w:jc w:val="both"/>
        <w:rPr>
          <w:rFonts w:ascii="宋体" w:hAnsi="宋体" w:cs="宋体" w:eastAsia="宋体" w:hint="default"/>
          <w:sz w:val="21"/>
          <w:szCs w:val="21"/>
        </w:rPr>
      </w:pPr>
      <w:bookmarkStart w:name="2、持续经营" w:id="166"/>
      <w:bookmarkEnd w:id="16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本集团有近期获利经营历史且有财务资源支持，认为以持续经营为基础编制财务报表是合理的。</w:t>
      </w:r>
    </w:p>
    <w:p>
      <w:pPr>
        <w:spacing w:line="240" w:lineRule="auto" w:before="2"/>
        <w:rPr>
          <w:rFonts w:ascii="宋体" w:hAnsi="宋体" w:cs="宋体" w:eastAsia="宋体" w:hint="default"/>
          <w:sz w:val="23"/>
          <w:szCs w:val="23"/>
        </w:rPr>
      </w:pPr>
    </w:p>
    <w:p>
      <w:pPr>
        <w:pStyle w:val="Heading2"/>
        <w:spacing w:line="240" w:lineRule="auto"/>
        <w:ind w:right="0"/>
        <w:jc w:val="both"/>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7"/>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pacing w:val="-3"/>
          <w:sz w:val="18"/>
          <w:szCs w:val="18"/>
        </w:rPr>
        <w:t>具体会计政策和会计估计提示：</w:t>
      </w:r>
    </w:p>
    <w:p>
      <w:pPr>
        <w:spacing w:line="240" w:lineRule="auto" w:before="4"/>
        <w:rPr>
          <w:rFonts w:ascii="宋体" w:hAnsi="宋体" w:cs="宋体" w:eastAsia="宋体" w:hint="default"/>
          <w:sz w:val="26"/>
          <w:szCs w:val="26"/>
        </w:rPr>
      </w:pPr>
    </w:p>
    <w:p>
      <w:pPr>
        <w:spacing w:before="0"/>
        <w:ind w:left="153" w:right="0" w:firstLine="0"/>
        <w:jc w:val="both"/>
        <w:rPr>
          <w:rFonts w:ascii="宋体" w:hAnsi="宋体" w:cs="宋体" w:eastAsia="宋体" w:hint="default"/>
          <w:sz w:val="21"/>
          <w:szCs w:val="21"/>
        </w:rPr>
      </w:pPr>
      <w:bookmarkStart w:name="1、遵循企业会计准则的声明" w:id="168"/>
      <w:bookmarkEnd w:id="16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本公司编制的财务报表符合企业会计准则的要求，真实、完整地反映了本公司及本集团的财务状</w:t>
      </w:r>
      <w:r>
        <w:rPr>
          <w:rFonts w:ascii="宋体" w:hAnsi="宋体" w:cs="宋体" w:eastAsia="宋体" w:hint="default"/>
          <w:w w:val="100"/>
          <w:sz w:val="22"/>
          <w:szCs w:val="22"/>
        </w:rPr>
        <w:t> </w:t>
      </w:r>
      <w:r>
        <w:rPr>
          <w:rFonts w:ascii="宋体" w:hAnsi="宋体" w:cs="宋体" w:eastAsia="宋体" w:hint="default"/>
          <w:sz w:val="22"/>
          <w:szCs w:val="22"/>
        </w:rPr>
        <w:t>况、经营成果和现金流量等有关信息。</w:t>
      </w:r>
    </w:p>
    <w:p>
      <w:pPr>
        <w:spacing w:line="240" w:lineRule="auto" w:before="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会计期间" w:id="169"/>
      <w:bookmarkEnd w:id="1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本集团的会计期间为公历</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w:t>
      </w:r>
      <w:r>
        <w:rPr>
          <w:rFonts w:ascii="宋体" w:hAnsi="宋体" w:cs="宋体" w:eastAsia="宋体" w:hint="default"/>
          <w:sz w:val="22"/>
          <w:szCs w:val="22"/>
        </w:rPr>
        <w:t>日至</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p>
    <w:p>
      <w:pPr>
        <w:spacing w:line="240" w:lineRule="auto" w:before="3"/>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3、营业周期" w:id="170"/>
      <w:bookmarkEnd w:id="17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本集团营业周期为</w:t>
      </w:r>
      <w:r>
        <w:rPr>
          <w:rFonts w:ascii="Times New Roman" w:hAnsi="Times New Roman" w:cs="Times New Roman" w:eastAsia="Times New Roman" w:hint="default"/>
          <w:sz w:val="22"/>
          <w:szCs w:val="22"/>
        </w:rPr>
        <w:t>12</w:t>
      </w:r>
      <w:r>
        <w:rPr>
          <w:rFonts w:ascii="宋体" w:hAnsi="宋体" w:cs="宋体" w:eastAsia="宋体" w:hint="default"/>
          <w:sz w:val="22"/>
          <w:szCs w:val="22"/>
        </w:rPr>
        <w:t>个月。</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both"/>
        <w:rPr>
          <w:rFonts w:ascii="宋体" w:hAnsi="宋体" w:cs="宋体" w:eastAsia="宋体" w:hint="default"/>
          <w:sz w:val="21"/>
          <w:szCs w:val="21"/>
        </w:rPr>
      </w:pPr>
      <w:bookmarkStart w:name="4、记账本位币" w:id="171"/>
      <w:bookmarkEnd w:id="17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本集团以人民币为记账本位币。</w:t>
      </w:r>
    </w:p>
    <w:p>
      <w:pPr>
        <w:spacing w:line="240" w:lineRule="auto" w:before="7"/>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5、同一控制下和非同一控制下企业合并的会计处理方法" w:id="172"/>
      <w:bookmarkEnd w:id="17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44" w:lineRule="auto" w:before="0"/>
        <w:ind w:left="153" w:right="0" w:firstLine="441"/>
        <w:jc w:val="left"/>
        <w:rPr>
          <w:rFonts w:ascii="宋体" w:hAnsi="宋体" w:cs="宋体" w:eastAsia="宋体" w:hint="default"/>
          <w:sz w:val="22"/>
          <w:szCs w:val="22"/>
        </w:rPr>
      </w:pPr>
      <w:r>
        <w:rPr>
          <w:rFonts w:ascii="宋体" w:hAnsi="宋体" w:cs="宋体" w:eastAsia="宋体" w:hint="default"/>
          <w:spacing w:val="-5"/>
          <w:sz w:val="22"/>
          <w:szCs w:val="22"/>
        </w:rPr>
        <w:t>（</w:t>
      </w:r>
      <w:r>
        <w:rPr>
          <w:rFonts w:ascii="Times New Roman" w:hAnsi="Times New Roman" w:cs="Times New Roman" w:eastAsia="Times New Roman" w:hint="default"/>
          <w:spacing w:val="-5"/>
          <w:sz w:val="22"/>
          <w:szCs w:val="22"/>
        </w:rPr>
        <w:t>1</w:t>
      </w:r>
      <w:r>
        <w:rPr>
          <w:rFonts w:ascii="宋体" w:hAnsi="宋体" w:cs="宋体" w:eastAsia="宋体" w:hint="default"/>
          <w:spacing w:val="-5"/>
          <w:sz w:val="22"/>
          <w:szCs w:val="22"/>
        </w:rPr>
        <w:t>）分步实现企业合并过程中的各项交易的条款、条件以及经济影响符合以下一种或多种情况，</w:t>
      </w:r>
      <w:r>
        <w:rPr>
          <w:rFonts w:ascii="宋体" w:hAnsi="宋体" w:cs="宋体" w:eastAsia="宋体" w:hint="default"/>
          <w:w w:val="100"/>
          <w:sz w:val="22"/>
          <w:szCs w:val="22"/>
        </w:rPr>
        <w:t> </w:t>
      </w:r>
      <w:r>
        <w:rPr>
          <w:rFonts w:ascii="宋体" w:hAnsi="宋体" w:cs="宋体" w:eastAsia="宋体" w:hint="default"/>
          <w:sz w:val="22"/>
          <w:szCs w:val="22"/>
        </w:rPr>
        <w:t>将多次交易事项作为一揽子交易进行会计处理：</w:t>
      </w:r>
    </w:p>
    <w:p>
      <w:pPr>
        <w:spacing w:line="240" w:lineRule="auto" w:before="11"/>
        <w:rPr>
          <w:rFonts w:ascii="宋体" w:hAnsi="宋体" w:cs="宋体" w:eastAsia="宋体" w:hint="default"/>
          <w:sz w:val="19"/>
          <w:szCs w:val="19"/>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）这些交易是同时或者在考虑了彼此影响的情况下订立的；</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）这些交易整体才能达成一项完整的商业结果；</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）一项交易的发生取决于其他至少一项交易的发生；</w:t>
      </w:r>
    </w:p>
    <w:p>
      <w:pPr>
        <w:spacing w:line="240" w:lineRule="auto" w:before="13"/>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）一项交易单独看是不经济的，但是和其他交易一并考虑时是经济的。</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）同一控制下的企业合并</w:t>
      </w:r>
    </w:p>
    <w:p>
      <w:pPr>
        <w:spacing w:line="530" w:lineRule="atLeast" w:before="22"/>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）个别财务报表</w:t>
      </w:r>
      <w:r>
        <w:rPr>
          <w:rFonts w:ascii="宋体" w:hAnsi="宋体" w:cs="宋体" w:eastAsia="宋体" w:hint="default"/>
          <w:spacing w:val="-104"/>
          <w:sz w:val="22"/>
          <w:szCs w:val="22"/>
        </w:rPr>
        <w:t> </w:t>
      </w:r>
      <w:r>
        <w:rPr>
          <w:rFonts w:ascii="宋体" w:hAnsi="宋体" w:cs="宋体" w:eastAsia="宋体" w:hint="default"/>
          <w:spacing w:val="-2"/>
          <w:sz w:val="22"/>
          <w:szCs w:val="22"/>
        </w:rPr>
        <w:t>公司以支付现金、转让非现金资产、承担债务方式或以发行权益性证券作为合并对价的，在合并</w:t>
      </w:r>
    </w:p>
    <w:p>
      <w:pPr>
        <w:spacing w:line="259" w:lineRule="auto" w:before="24"/>
        <w:ind w:left="153" w:right="1125" w:firstLine="0"/>
        <w:jc w:val="both"/>
        <w:rPr>
          <w:rFonts w:ascii="宋体" w:hAnsi="宋体" w:cs="宋体" w:eastAsia="宋体" w:hint="default"/>
          <w:sz w:val="22"/>
          <w:szCs w:val="22"/>
        </w:rPr>
      </w:pPr>
      <w:r>
        <w:rPr>
          <w:rFonts w:ascii="宋体" w:hAnsi="宋体" w:cs="宋体" w:eastAsia="宋体" w:hint="default"/>
          <w:spacing w:val="2"/>
          <w:sz w:val="22"/>
          <w:szCs w:val="22"/>
        </w:rPr>
        <w:t>日按照被合并方所有者权益在最终控制方合并财务报表中的账面价值的份额作为长期股权投资的初</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pacing w:val="-2"/>
          <w:sz w:val="22"/>
          <w:szCs w:val="22"/>
        </w:rPr>
        <w:t>始投资成本。长期股权投资初始投资成本与支付合并对价之间的差额，调整资本公积；资本公积不足</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冲减的，调整留存收益；如果存在或有对价并需要确认预计负债或资产，该预计负债或资产金额与后</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续或有对价结算金额间的差额，调整资本公积（资本溢价或股本溢价），资本公积不足的，调整留存</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收益。</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对于通过多次交易最终实现企业合并的，属于一揽子交易的，将各项交易作为一项取得控制权的</w:t>
      </w:r>
      <w:r>
        <w:rPr>
          <w:rFonts w:ascii="宋体" w:hAnsi="宋体" w:cs="宋体" w:eastAsia="宋体" w:hint="default"/>
          <w:w w:val="100"/>
          <w:sz w:val="22"/>
          <w:szCs w:val="22"/>
        </w:rPr>
        <w:t> </w:t>
      </w:r>
      <w:r>
        <w:rPr>
          <w:rFonts w:ascii="宋体" w:hAnsi="宋体" w:cs="宋体" w:eastAsia="宋体" w:hint="default"/>
          <w:sz w:val="22"/>
          <w:szCs w:val="22"/>
        </w:rPr>
        <w:t>交易进行会计处理；不属于一揽子交易的，在取得控制权日，长期股权投资初始投资成本，与达到合</w:t>
      </w:r>
      <w:r>
        <w:rPr>
          <w:rFonts w:ascii="宋体" w:hAnsi="宋体" w:cs="宋体" w:eastAsia="宋体" w:hint="default"/>
          <w:w w:val="100"/>
          <w:sz w:val="22"/>
          <w:szCs w:val="22"/>
        </w:rPr>
        <w:t> </w:t>
      </w:r>
      <w:r>
        <w:rPr>
          <w:rFonts w:ascii="宋体" w:hAnsi="宋体" w:cs="宋体" w:eastAsia="宋体" w:hint="default"/>
          <w:sz w:val="22"/>
          <w:szCs w:val="22"/>
        </w:rPr>
        <w:t>并前的长期股权投资账面价值加上合并日进一步取得股份新支付对价的账面价值之和的差额，调整资</w:t>
      </w:r>
      <w:r>
        <w:rPr>
          <w:rFonts w:ascii="宋体" w:hAnsi="宋体" w:cs="宋体" w:eastAsia="宋体" w:hint="default"/>
          <w:w w:val="100"/>
          <w:sz w:val="22"/>
          <w:szCs w:val="22"/>
        </w:rPr>
        <w:t> </w:t>
      </w:r>
      <w:r>
        <w:rPr>
          <w:rFonts w:ascii="宋体" w:hAnsi="宋体" w:cs="宋体" w:eastAsia="宋体" w:hint="default"/>
          <w:sz w:val="22"/>
          <w:szCs w:val="22"/>
        </w:rPr>
        <w:t>本公积；资本公积不足冲减的，调整留存收益。对于合并日之前持有的股权投资，因采用权益法核算</w:t>
      </w:r>
      <w:r>
        <w:rPr>
          <w:rFonts w:ascii="宋体" w:hAnsi="宋体" w:cs="宋体" w:eastAsia="宋体" w:hint="default"/>
          <w:w w:val="100"/>
          <w:sz w:val="22"/>
          <w:szCs w:val="22"/>
        </w:rPr>
        <w:t> </w:t>
      </w:r>
      <w:r>
        <w:rPr>
          <w:rFonts w:ascii="宋体" w:hAnsi="宋体" w:cs="宋体" w:eastAsia="宋体" w:hint="default"/>
          <w:sz w:val="22"/>
          <w:szCs w:val="22"/>
        </w:rPr>
        <w:t>或金融工具确认和计量准则核算而确认的其他综合收益，暂不进行会计处理，直至处置该项投资时采</w:t>
      </w:r>
      <w:r>
        <w:rPr>
          <w:rFonts w:ascii="宋体" w:hAnsi="宋体" w:cs="宋体" w:eastAsia="宋体" w:hint="default"/>
          <w:w w:val="100"/>
          <w:sz w:val="22"/>
          <w:szCs w:val="22"/>
        </w:rPr>
        <w:t> </w:t>
      </w:r>
      <w:r>
        <w:rPr>
          <w:rFonts w:ascii="宋体" w:hAnsi="宋体" w:cs="宋体" w:eastAsia="宋体" w:hint="default"/>
          <w:sz w:val="22"/>
          <w:szCs w:val="22"/>
        </w:rPr>
        <w:t>用与被投资单位直接处置相关资产或负债相同的基础进行会计处理；因采用权益法核算而确认的被投</w:t>
      </w:r>
      <w:r>
        <w:rPr>
          <w:rFonts w:ascii="宋体" w:hAnsi="宋体" w:cs="宋体" w:eastAsia="宋体" w:hint="default"/>
          <w:w w:val="100"/>
          <w:sz w:val="22"/>
          <w:szCs w:val="22"/>
        </w:rPr>
        <w:t> </w:t>
      </w:r>
      <w:r>
        <w:rPr>
          <w:rFonts w:ascii="宋体" w:hAnsi="宋体" w:cs="宋体" w:eastAsia="宋体" w:hint="default"/>
          <w:spacing w:val="-5"/>
          <w:sz w:val="22"/>
          <w:szCs w:val="22"/>
        </w:rPr>
        <w:t>资单位净资产中除净损益、其他综合收益和利润分配以外的所有者权益其他变动，暂不进行会计处理，</w:t>
      </w:r>
      <w:r>
        <w:rPr>
          <w:rFonts w:ascii="宋体" w:hAnsi="宋体" w:cs="宋体" w:eastAsia="宋体" w:hint="default"/>
          <w:spacing w:val="-38"/>
          <w:sz w:val="22"/>
          <w:szCs w:val="22"/>
        </w:rPr>
        <w:t> </w:t>
      </w:r>
      <w:r>
        <w:rPr>
          <w:rFonts w:ascii="宋体" w:hAnsi="宋体" w:cs="宋体" w:eastAsia="宋体" w:hint="default"/>
          <w:spacing w:val="-38"/>
          <w:sz w:val="22"/>
          <w:szCs w:val="22"/>
        </w:rPr>
      </w:r>
      <w:r>
        <w:rPr>
          <w:rFonts w:ascii="宋体" w:hAnsi="宋体" w:cs="宋体" w:eastAsia="宋体" w:hint="default"/>
          <w:sz w:val="22"/>
          <w:szCs w:val="22"/>
        </w:rPr>
        <w:t>直至处置该项投资时转入当期损益。</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7"/>
          <w:sz w:val="22"/>
          <w:szCs w:val="22"/>
        </w:rPr>
        <w:t>合并发生的各项直接相关费用，包括为进行合并而支付的审计费用、评估费用、法律服务费用等，</w:t>
      </w:r>
      <w:r>
        <w:rPr>
          <w:rFonts w:ascii="宋体" w:hAnsi="宋体" w:cs="宋体" w:eastAsia="宋体" w:hint="default"/>
          <w:w w:val="100"/>
          <w:sz w:val="22"/>
          <w:szCs w:val="22"/>
        </w:rPr>
        <w:t> </w:t>
      </w:r>
      <w:r>
        <w:rPr>
          <w:rFonts w:ascii="宋体" w:hAnsi="宋体" w:cs="宋体" w:eastAsia="宋体" w:hint="default"/>
          <w:sz w:val="22"/>
          <w:szCs w:val="22"/>
        </w:rPr>
        <w:t>于发生时直接计入当期损益；与发行权益性工具作为合并对价直接相关的交易费用，冲减资本公积，</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pacing w:val="-2"/>
          <w:sz w:val="22"/>
          <w:szCs w:val="22"/>
        </w:rPr>
        <w:t>资本公积不足冲减的，依次冲减盈余公积和未分配利润；与发行债务性工具作为合并对价直接相关的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交易费用，作为计入债务性工具的初始确认金额。</w:t>
      </w:r>
    </w:p>
    <w:p>
      <w:pPr>
        <w:spacing w:line="240" w:lineRule="auto" w:before="11"/>
        <w:rPr>
          <w:rFonts w:ascii="宋体" w:hAnsi="宋体" w:cs="宋体" w:eastAsia="宋体" w:hint="default"/>
          <w:sz w:val="18"/>
          <w:szCs w:val="18"/>
        </w:rPr>
      </w:pPr>
    </w:p>
    <w:p>
      <w:pPr>
        <w:spacing w:line="261"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被合并方存在合并财务报表，则以合并日被合并方合并财务中归属于母公司的所有者权益为基础</w:t>
      </w:r>
      <w:r>
        <w:rPr>
          <w:rFonts w:ascii="宋体" w:hAnsi="宋体" w:cs="宋体" w:eastAsia="宋体" w:hint="default"/>
          <w:w w:val="100"/>
          <w:sz w:val="22"/>
          <w:szCs w:val="22"/>
        </w:rPr>
        <w:t> </w:t>
      </w:r>
      <w:r>
        <w:rPr>
          <w:rFonts w:ascii="宋体" w:hAnsi="宋体" w:cs="宋体" w:eastAsia="宋体" w:hint="default"/>
          <w:sz w:val="22"/>
          <w:szCs w:val="22"/>
        </w:rPr>
        <w:t>确定长期股权投资的初始投资成本。</w:t>
      </w:r>
    </w:p>
    <w:p>
      <w:pPr>
        <w:spacing w:line="240" w:lineRule="auto" w:before="9"/>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）合并财务报表</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59" w:lineRule="auto" w:before="32"/>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合并方在企业合并中取得的资产和负债，按照合并日在被合并方所有者权益在最终控制方合并财</w:t>
      </w:r>
      <w:r>
        <w:rPr>
          <w:rFonts w:ascii="宋体" w:hAnsi="宋体" w:cs="宋体" w:eastAsia="宋体" w:hint="default"/>
          <w:w w:val="100"/>
          <w:sz w:val="22"/>
          <w:szCs w:val="22"/>
        </w:rPr>
        <w:t> </w:t>
      </w:r>
      <w:r>
        <w:rPr>
          <w:rFonts w:ascii="宋体" w:hAnsi="宋体" w:cs="宋体" w:eastAsia="宋体" w:hint="default"/>
          <w:sz w:val="22"/>
          <w:szCs w:val="22"/>
        </w:rPr>
        <w:t>务报表中的账面价值计量。</w:t>
      </w:r>
    </w:p>
    <w:p>
      <w:pPr>
        <w:spacing w:line="240" w:lineRule="auto" w:before="12"/>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对于通过多次交易最终实现企业合并的，属于一揽子交易的，将各项交易作为一项取得控制权的</w:t>
      </w:r>
      <w:r>
        <w:rPr>
          <w:rFonts w:ascii="宋体" w:hAnsi="宋体" w:cs="宋体" w:eastAsia="宋体" w:hint="default"/>
          <w:w w:val="100"/>
          <w:sz w:val="22"/>
          <w:szCs w:val="22"/>
        </w:rPr>
        <w:t> </w:t>
      </w:r>
      <w:r>
        <w:rPr>
          <w:rFonts w:ascii="宋体" w:hAnsi="宋体" w:cs="宋体" w:eastAsia="宋体" w:hint="default"/>
          <w:spacing w:val="-2"/>
          <w:sz w:val="22"/>
          <w:szCs w:val="22"/>
        </w:rPr>
        <w:t>交易进行会计处理；不属于一揽子交易的，合并方在达到合并之前持有的长期股权投资，在取得日与</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合并方和被合并方同处于同一方最终控制之日孰晚日与合并日之间已确认有关损益、其他综合收益和</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其他所有者权益变动，分别冲减比较报表期间的期初留存收益或当期损益。</w:t>
      </w:r>
    </w:p>
    <w:p>
      <w:pPr>
        <w:spacing w:line="240" w:lineRule="auto" w:before="11"/>
        <w:rPr>
          <w:rFonts w:ascii="宋体" w:hAnsi="宋体" w:cs="宋体" w:eastAsia="宋体" w:hint="default"/>
          <w:sz w:val="18"/>
          <w:szCs w:val="18"/>
        </w:rPr>
      </w:pPr>
    </w:p>
    <w:p>
      <w:pPr>
        <w:spacing w:line="261"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被合并各方采用的会计政策与本公司不一致的，本公司在合并日按照本公司会计政策进行调整，</w:t>
      </w:r>
      <w:r>
        <w:rPr>
          <w:rFonts w:ascii="宋体" w:hAnsi="宋体" w:cs="宋体" w:eastAsia="宋体" w:hint="default"/>
          <w:w w:val="100"/>
          <w:sz w:val="22"/>
          <w:szCs w:val="22"/>
        </w:rPr>
        <w:t> </w:t>
      </w:r>
      <w:r>
        <w:rPr>
          <w:rFonts w:ascii="宋体" w:hAnsi="宋体" w:cs="宋体" w:eastAsia="宋体" w:hint="default"/>
          <w:sz w:val="22"/>
          <w:szCs w:val="22"/>
        </w:rPr>
        <w:t>在此基础上按照企业会计准则规定确认。</w:t>
      </w:r>
    </w:p>
    <w:p>
      <w:pPr>
        <w:spacing w:line="530" w:lineRule="atLeast" w:before="19"/>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）非同一控制下企业合并</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2"/>
          <w:sz w:val="22"/>
          <w:szCs w:val="22"/>
        </w:rPr>
        <w:t>对于非同一控制下的企业合并，合并成本为本集团在购买日为取得对被购买方的控制权而付出的</w:t>
      </w:r>
    </w:p>
    <w:p>
      <w:pPr>
        <w:spacing w:line="259" w:lineRule="auto" w:before="24"/>
        <w:ind w:left="153" w:right="1125" w:firstLine="0"/>
        <w:jc w:val="both"/>
        <w:rPr>
          <w:rFonts w:ascii="宋体" w:hAnsi="宋体" w:cs="宋体" w:eastAsia="宋体" w:hint="default"/>
          <w:sz w:val="22"/>
          <w:szCs w:val="22"/>
        </w:rPr>
      </w:pPr>
      <w:r>
        <w:rPr>
          <w:rFonts w:ascii="宋体" w:hAnsi="宋体" w:cs="宋体" w:eastAsia="宋体" w:hint="default"/>
          <w:spacing w:val="-2"/>
          <w:sz w:val="22"/>
          <w:szCs w:val="22"/>
        </w:rPr>
        <w:t>资产、发生或承担的负债以及发行的权益工具或债务性工具的公允价值。在合并合同中对可能影响合</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并成本的未来事项作出约定的，购买日如果估计未来事项很可能发生并且对合并成本的影响金额能够</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可靠计量的，也计入合并成本。</w:t>
      </w:r>
    </w:p>
    <w:p>
      <w:pPr>
        <w:spacing w:line="240" w:lineRule="auto" w:before="11"/>
        <w:rPr>
          <w:rFonts w:ascii="宋体" w:hAnsi="宋体" w:cs="宋体" w:eastAsia="宋体" w:hint="default"/>
          <w:sz w:val="18"/>
          <w:szCs w:val="18"/>
        </w:rPr>
      </w:pPr>
    </w:p>
    <w:p>
      <w:pPr>
        <w:spacing w:line="259" w:lineRule="auto" w:before="0"/>
        <w:ind w:left="153" w:right="1123" w:firstLine="441"/>
        <w:jc w:val="both"/>
        <w:rPr>
          <w:rFonts w:ascii="宋体" w:hAnsi="宋体" w:cs="宋体" w:eastAsia="宋体" w:hint="default"/>
          <w:sz w:val="22"/>
          <w:szCs w:val="22"/>
        </w:rPr>
      </w:pPr>
      <w:r>
        <w:rPr>
          <w:rFonts w:ascii="宋体" w:hAnsi="宋体" w:cs="宋体" w:eastAsia="宋体" w:hint="default"/>
          <w:spacing w:val="-2"/>
          <w:sz w:val="22"/>
          <w:szCs w:val="22"/>
        </w:rPr>
        <w:t>本集团为进行企业合并发生的审计、法律服务、评估咨询等中介费用以及其他相关管理费用，于</w:t>
      </w:r>
      <w:r>
        <w:rPr>
          <w:rFonts w:ascii="宋体" w:hAnsi="宋体" w:cs="宋体" w:eastAsia="宋体" w:hint="default"/>
          <w:w w:val="100"/>
          <w:sz w:val="22"/>
          <w:szCs w:val="22"/>
        </w:rPr>
        <w:t> </w:t>
      </w:r>
      <w:r>
        <w:rPr>
          <w:rFonts w:ascii="宋体" w:hAnsi="宋体" w:cs="宋体" w:eastAsia="宋体" w:hint="default"/>
          <w:spacing w:val="-2"/>
          <w:sz w:val="22"/>
          <w:szCs w:val="22"/>
        </w:rPr>
        <w:t>发生时计入当期损益；本集团作为合并对价发行的权益性工具或债务性工具的交易费用，计入权益性</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工具或债务性工具的初始确认金额。</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本集团对合并成本大于合并中取得的被购买方可辨认净资产公允价值份额的差额，确认为商誉。</w:t>
      </w:r>
      <w:r>
        <w:rPr>
          <w:rFonts w:ascii="宋体" w:hAnsi="宋体" w:cs="宋体" w:eastAsia="宋体" w:hint="default"/>
          <w:w w:val="100"/>
          <w:sz w:val="22"/>
          <w:szCs w:val="22"/>
        </w:rPr>
        <w:t> </w:t>
      </w:r>
      <w:r>
        <w:rPr>
          <w:rFonts w:ascii="宋体" w:hAnsi="宋体" w:cs="宋体" w:eastAsia="宋体" w:hint="default"/>
          <w:spacing w:val="-2"/>
          <w:sz w:val="22"/>
          <w:szCs w:val="22"/>
        </w:rPr>
        <w:t>本集团对合并成本小于合并中取得的被购买方可辨认净资产公允价值份额的，经复核后合并成本仍小</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于合并中取得的被购买方可辨认净资产公允价值份额的差额，计入当期损益。</w:t>
      </w:r>
    </w:p>
    <w:p>
      <w:pPr>
        <w:spacing w:line="240" w:lineRule="auto" w:before="11"/>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通过多次交换交易分步实现的非同一控制下企业合并，属于一揽子交易的，将各项交易作为一项</w:t>
      </w:r>
      <w:r>
        <w:rPr>
          <w:rFonts w:ascii="宋体" w:hAnsi="宋体" w:cs="宋体" w:eastAsia="宋体" w:hint="default"/>
          <w:w w:val="100"/>
          <w:sz w:val="22"/>
          <w:szCs w:val="22"/>
        </w:rPr>
        <w:t> </w:t>
      </w:r>
      <w:r>
        <w:rPr>
          <w:rFonts w:ascii="宋体" w:hAnsi="宋体" w:cs="宋体" w:eastAsia="宋体" w:hint="default"/>
          <w:spacing w:val="-2"/>
          <w:sz w:val="22"/>
          <w:szCs w:val="22"/>
        </w:rPr>
        <w:t>取得控制权的交易进行会计处理；不属于一揽子交易的，区分个别财务报表和合并财务报表进行相关</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会计处理：</w:t>
      </w:r>
    </w:p>
    <w:p>
      <w:pPr>
        <w:spacing w:line="240" w:lineRule="auto" w:before="11"/>
        <w:rPr>
          <w:rFonts w:ascii="宋体" w:hAnsi="宋体" w:cs="宋体" w:eastAsia="宋体" w:hint="default"/>
          <w:sz w:val="18"/>
          <w:szCs w:val="18"/>
        </w:rPr>
      </w:pPr>
    </w:p>
    <w:p>
      <w:pPr>
        <w:spacing w:line="254" w:lineRule="auto" w:before="0"/>
        <w:ind w:left="153" w:right="1130"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）在个别财务报表中，合并日之前持有的股权投资采用权益法核算的，以购买日之前所持被购</w:t>
      </w:r>
      <w:r>
        <w:rPr>
          <w:rFonts w:ascii="宋体" w:hAnsi="宋体" w:cs="宋体" w:eastAsia="宋体" w:hint="default"/>
          <w:w w:val="100"/>
          <w:sz w:val="22"/>
          <w:szCs w:val="22"/>
        </w:rPr>
        <w:t> </w:t>
      </w:r>
      <w:r>
        <w:rPr>
          <w:rFonts w:ascii="宋体" w:hAnsi="宋体" w:cs="宋体" w:eastAsia="宋体" w:hint="default"/>
          <w:spacing w:val="-2"/>
          <w:sz w:val="22"/>
          <w:szCs w:val="22"/>
        </w:rPr>
        <w:t>买方的股权投资的账面价值与购买日新增投资成本之和，作为该项投资的初始投资成本；购买日之前</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持有的股权投资因采用权益法核算而确认的其他综合收益，在处置该项投资时采用与被投资单位直接</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处置相关资产或负债相同的基础进行会计处理。</w:t>
      </w:r>
    </w:p>
    <w:p>
      <w:pPr>
        <w:spacing w:line="240" w:lineRule="auto" w:before="2"/>
        <w:rPr>
          <w:rFonts w:ascii="宋体" w:hAnsi="宋体" w:cs="宋体" w:eastAsia="宋体" w:hint="default"/>
          <w:sz w:val="19"/>
          <w:szCs w:val="19"/>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合并日之前持有的股权投资采用金融工具确认和计量准则核算的，以该股权投资在合并日的公允</w:t>
      </w:r>
      <w:r>
        <w:rPr>
          <w:rFonts w:ascii="宋体" w:hAnsi="宋体" w:cs="宋体" w:eastAsia="宋体" w:hint="default"/>
          <w:w w:val="100"/>
          <w:sz w:val="22"/>
          <w:szCs w:val="22"/>
        </w:rPr>
        <w:t> </w:t>
      </w:r>
      <w:r>
        <w:rPr>
          <w:rFonts w:ascii="宋体" w:hAnsi="宋体" w:cs="宋体" w:eastAsia="宋体" w:hint="default"/>
          <w:spacing w:val="-2"/>
          <w:sz w:val="22"/>
          <w:szCs w:val="22"/>
        </w:rPr>
        <w:t>价值加上新增投资成本之和，作为合并日的初始投资成本。原持有股权的公允价值与账面价值之间的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差额以及原计入其他综合收益的累计公允价值变动应全部转入合并日当期的投资收益。</w:t>
      </w:r>
    </w:p>
    <w:p>
      <w:pPr>
        <w:spacing w:line="240" w:lineRule="auto" w:before="11"/>
        <w:rPr>
          <w:rFonts w:ascii="宋体" w:hAnsi="宋体" w:cs="宋体" w:eastAsia="宋体" w:hint="default"/>
          <w:sz w:val="18"/>
          <w:szCs w:val="18"/>
        </w:rPr>
      </w:pPr>
    </w:p>
    <w:p>
      <w:pPr>
        <w:spacing w:line="252" w:lineRule="auto" w:before="0"/>
        <w:ind w:left="153" w:right="1021"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）在合并财务报表中，对于购买日之前持有的被购买方的股权，按照该股权在购买日的公允价</w:t>
      </w:r>
      <w:r>
        <w:rPr>
          <w:rFonts w:ascii="宋体" w:hAnsi="宋体" w:cs="宋体" w:eastAsia="宋体" w:hint="default"/>
          <w:w w:val="100"/>
          <w:sz w:val="22"/>
          <w:szCs w:val="22"/>
        </w:rPr>
        <w:t> </w:t>
      </w:r>
      <w:r>
        <w:rPr>
          <w:rFonts w:ascii="宋体" w:hAnsi="宋体" w:cs="宋体" w:eastAsia="宋体" w:hint="default"/>
          <w:sz w:val="22"/>
          <w:szCs w:val="22"/>
        </w:rPr>
        <w:t>值进行重新计量，公允价值与账面价值的差额计入当期投资收益；购买日之前持有的被购买方的股权</w:t>
      </w:r>
      <w:r>
        <w:rPr>
          <w:rFonts w:ascii="宋体" w:hAnsi="宋体" w:cs="宋体" w:eastAsia="宋体" w:hint="default"/>
          <w:w w:val="100"/>
          <w:sz w:val="22"/>
          <w:szCs w:val="22"/>
        </w:rPr>
        <w:t> </w:t>
      </w:r>
      <w:r>
        <w:rPr>
          <w:rFonts w:ascii="宋体" w:hAnsi="宋体" w:cs="宋体" w:eastAsia="宋体" w:hint="default"/>
          <w:sz w:val="22"/>
          <w:szCs w:val="22"/>
        </w:rPr>
        <w:t>涉及权益法核算下的其他综合收益等的，与其相关的其他综合收益等转为购买日所属当期投资收益。</w:t>
      </w:r>
    </w:p>
    <w:p>
      <w:pPr>
        <w:spacing w:line="240" w:lineRule="auto" w:before="9"/>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6、合并财务报表的编制方法" w:id="173"/>
      <w:bookmarkEnd w:id="17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本集团合并财务报表的合并范围以控制为基础确定，所有子公司（包括母公司控制的单独主体）</w:t>
      </w:r>
      <w:r>
        <w:rPr>
          <w:rFonts w:ascii="宋体" w:hAnsi="宋体" w:cs="宋体" w:eastAsia="宋体" w:hint="default"/>
          <w:w w:val="100"/>
          <w:sz w:val="22"/>
          <w:szCs w:val="22"/>
        </w:rPr>
        <w:t> </w:t>
      </w:r>
      <w:r>
        <w:rPr>
          <w:rFonts w:ascii="宋体" w:hAnsi="宋体" w:cs="宋体" w:eastAsia="宋体" w:hint="default"/>
          <w:sz w:val="22"/>
          <w:szCs w:val="22"/>
        </w:rPr>
        <w:t>均纳入合并财务报表。</w:t>
      </w:r>
    </w:p>
    <w:p>
      <w:pPr>
        <w:spacing w:after="0" w:line="259" w:lineRule="auto"/>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59" w:lineRule="auto" w:before="32"/>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所有纳入合并报表合并范围的子公司所采用的会计政策、会计期间与本公司一致，如子公司采用</w:t>
      </w:r>
      <w:r>
        <w:rPr>
          <w:rFonts w:ascii="宋体" w:hAnsi="宋体" w:cs="宋体" w:eastAsia="宋体" w:hint="default"/>
          <w:w w:val="100"/>
          <w:sz w:val="22"/>
          <w:szCs w:val="22"/>
        </w:rPr>
        <w:t> </w:t>
      </w:r>
      <w:r>
        <w:rPr>
          <w:rFonts w:ascii="宋体" w:hAnsi="宋体" w:cs="宋体" w:eastAsia="宋体" w:hint="default"/>
          <w:spacing w:val="-2"/>
          <w:sz w:val="22"/>
          <w:szCs w:val="22"/>
        </w:rPr>
        <w:t>的会计政策、会计期间与本公司不一致的，在编制合并财务报表时，按本公司的会计政策、会计期间</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进行必要的调整。</w:t>
      </w:r>
    </w:p>
    <w:p>
      <w:pPr>
        <w:spacing w:line="552" w:lineRule="exact" w:before="62"/>
        <w:ind w:left="594" w:right="0" w:firstLine="0"/>
        <w:jc w:val="left"/>
        <w:rPr>
          <w:rFonts w:ascii="宋体" w:hAnsi="宋体" w:cs="宋体" w:eastAsia="宋体" w:hint="default"/>
          <w:sz w:val="22"/>
          <w:szCs w:val="22"/>
        </w:rPr>
      </w:pPr>
      <w:r>
        <w:rPr>
          <w:rFonts w:ascii="宋体" w:hAnsi="宋体" w:cs="宋体" w:eastAsia="宋体" w:hint="default"/>
          <w:sz w:val="22"/>
          <w:szCs w:val="22"/>
        </w:rPr>
        <w:t>合并财务报表以本公司及子公司的财务报表为基础，根据其他有关资料由本公司编制。</w:t>
      </w:r>
      <w:r>
        <w:rPr>
          <w:rFonts w:ascii="宋体" w:hAnsi="宋体" w:cs="宋体" w:eastAsia="宋体" w:hint="default"/>
          <w:w w:val="100"/>
          <w:sz w:val="22"/>
          <w:szCs w:val="22"/>
        </w:rPr>
        <w:t> </w:t>
      </w:r>
      <w:r>
        <w:rPr>
          <w:rFonts w:ascii="宋体" w:hAnsi="宋体" w:cs="宋体" w:eastAsia="宋体" w:hint="default"/>
          <w:spacing w:val="-2"/>
          <w:sz w:val="22"/>
          <w:szCs w:val="22"/>
        </w:rPr>
        <w:t>合并财务报表时抵消本公司与子公司、各子公司相互之间发生的内部交易对合并资产负债表、合</w:t>
      </w:r>
    </w:p>
    <w:p>
      <w:pPr>
        <w:spacing w:line="233" w:lineRule="exact" w:before="0"/>
        <w:ind w:left="153" w:right="0" w:firstLine="0"/>
        <w:jc w:val="left"/>
        <w:rPr>
          <w:rFonts w:ascii="宋体" w:hAnsi="宋体" w:cs="宋体" w:eastAsia="宋体" w:hint="default"/>
          <w:sz w:val="22"/>
          <w:szCs w:val="22"/>
        </w:rPr>
      </w:pPr>
      <w:r>
        <w:rPr>
          <w:rFonts w:ascii="宋体" w:hAnsi="宋体" w:cs="宋体" w:eastAsia="宋体" w:hint="default"/>
          <w:sz w:val="22"/>
          <w:szCs w:val="22"/>
        </w:rPr>
        <w:t>并利润表、合并现金流量表、合并股东权益变动表的影响。</w:t>
      </w:r>
    </w:p>
    <w:p>
      <w:pPr>
        <w:spacing w:line="240" w:lineRule="auto" w:before="3"/>
        <w:rPr>
          <w:rFonts w:ascii="宋体" w:hAnsi="宋体" w:cs="宋体" w:eastAsia="宋体" w:hint="default"/>
          <w:sz w:val="20"/>
          <w:szCs w:val="20"/>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子公司少数股东分担的当期亏损超过了少数股东在该子公司期初所有者权益中所享有的份额的，</w:t>
      </w:r>
      <w:r>
        <w:rPr>
          <w:rFonts w:ascii="宋体" w:hAnsi="宋体" w:cs="宋体" w:eastAsia="宋体" w:hint="default"/>
          <w:w w:val="100"/>
          <w:sz w:val="22"/>
          <w:szCs w:val="22"/>
        </w:rPr>
        <w:t> </w:t>
      </w:r>
      <w:r>
        <w:rPr>
          <w:rFonts w:ascii="宋体" w:hAnsi="宋体" w:cs="宋体" w:eastAsia="宋体" w:hint="default"/>
          <w:sz w:val="22"/>
          <w:szCs w:val="22"/>
        </w:rPr>
        <w:t>其余额仍应当冲减少数股东权益。</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5"/>
          <w:sz w:val="22"/>
          <w:szCs w:val="22"/>
        </w:rPr>
        <w:t>在报告期内，若因同一控制下企业合并增加子公司以及业务的，则调整合并资产负债表的期初数；</w:t>
      </w:r>
      <w:r>
        <w:rPr>
          <w:rFonts w:ascii="宋体" w:hAnsi="宋体" w:cs="宋体" w:eastAsia="宋体" w:hint="default"/>
          <w:w w:val="100"/>
          <w:sz w:val="22"/>
          <w:szCs w:val="22"/>
        </w:rPr>
        <w:t> </w:t>
      </w:r>
      <w:r>
        <w:rPr>
          <w:rFonts w:ascii="宋体" w:hAnsi="宋体" w:cs="宋体" w:eastAsia="宋体" w:hint="default"/>
          <w:sz w:val="22"/>
          <w:szCs w:val="22"/>
        </w:rPr>
        <w:t>将子公司以及业务合并当期期初至报告期末的收入、费用、利润纳入合并利润表；将子公司以及业务</w:t>
      </w:r>
      <w:r>
        <w:rPr>
          <w:rFonts w:ascii="宋体" w:hAnsi="宋体" w:cs="宋体" w:eastAsia="宋体" w:hint="default"/>
          <w:w w:val="100"/>
          <w:sz w:val="22"/>
          <w:szCs w:val="22"/>
        </w:rPr>
        <w:t> </w:t>
      </w:r>
      <w:r>
        <w:rPr>
          <w:rFonts w:ascii="宋体" w:hAnsi="宋体" w:cs="宋体" w:eastAsia="宋体" w:hint="default"/>
          <w:sz w:val="22"/>
          <w:szCs w:val="22"/>
        </w:rPr>
        <w:t>合并当期期初至报告期末的现金流量纳入合并现金流量表。编制比较合并财务报表时，对上年财务报</w:t>
      </w:r>
      <w:r>
        <w:rPr>
          <w:rFonts w:ascii="宋体" w:hAnsi="宋体" w:cs="宋体" w:eastAsia="宋体" w:hint="default"/>
          <w:w w:val="100"/>
          <w:sz w:val="22"/>
          <w:szCs w:val="22"/>
        </w:rPr>
        <w:t> </w:t>
      </w:r>
      <w:r>
        <w:rPr>
          <w:rFonts w:ascii="宋体" w:hAnsi="宋体" w:cs="宋体" w:eastAsia="宋体" w:hint="default"/>
          <w:sz w:val="22"/>
          <w:szCs w:val="22"/>
        </w:rPr>
        <w:t>表的相关项目进行调整，视同合并后形成的报告主体自最终控制方开始控制时点起一直存在。</w:t>
      </w:r>
    </w:p>
    <w:p>
      <w:pPr>
        <w:spacing w:line="240" w:lineRule="auto" w:before="11"/>
        <w:rPr>
          <w:rFonts w:ascii="宋体" w:hAnsi="宋体" w:cs="宋体" w:eastAsia="宋体" w:hint="default"/>
          <w:sz w:val="18"/>
          <w:szCs w:val="18"/>
        </w:rPr>
      </w:pPr>
    </w:p>
    <w:p>
      <w:pPr>
        <w:spacing w:line="259" w:lineRule="auto" w:before="0"/>
        <w:ind w:left="153" w:right="1122" w:firstLine="441"/>
        <w:jc w:val="both"/>
        <w:rPr>
          <w:rFonts w:ascii="宋体" w:hAnsi="宋体" w:cs="宋体" w:eastAsia="宋体" w:hint="default"/>
          <w:sz w:val="22"/>
          <w:szCs w:val="22"/>
        </w:rPr>
      </w:pPr>
      <w:r>
        <w:rPr>
          <w:rFonts w:ascii="宋体" w:hAnsi="宋体" w:cs="宋体" w:eastAsia="宋体" w:hint="default"/>
          <w:spacing w:val="-2"/>
          <w:sz w:val="22"/>
          <w:szCs w:val="22"/>
        </w:rPr>
        <w:t>在报告期内，若因非同一控制下企业合并增加的子公司以及业务的，则不调整合并资产负债表期</w:t>
      </w:r>
      <w:r>
        <w:rPr>
          <w:rFonts w:ascii="宋体" w:hAnsi="宋体" w:cs="宋体" w:eastAsia="宋体" w:hint="default"/>
          <w:w w:val="100"/>
          <w:sz w:val="22"/>
          <w:szCs w:val="22"/>
        </w:rPr>
        <w:t> </w:t>
      </w:r>
      <w:r>
        <w:rPr>
          <w:rFonts w:ascii="宋体" w:hAnsi="宋体" w:cs="宋体" w:eastAsia="宋体" w:hint="default"/>
          <w:spacing w:val="-2"/>
          <w:sz w:val="22"/>
          <w:szCs w:val="22"/>
        </w:rPr>
        <w:t>初数；将子公司以及业务购买日至报告期末的收入、费用、利润纳入合并利润表；该子公司以及业务</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自购买日至报告期末的现金流量纳入合并现金流量表。</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在报告期内，本公司处置子公司以及业务，则该公司以及业务期初至处置日的收入、费用、利润</w:t>
      </w:r>
      <w:r>
        <w:rPr>
          <w:rFonts w:ascii="宋体" w:hAnsi="宋体" w:cs="宋体" w:eastAsia="宋体" w:hint="default"/>
          <w:w w:val="100"/>
          <w:sz w:val="22"/>
          <w:szCs w:val="22"/>
        </w:rPr>
        <w:t> </w:t>
      </w:r>
      <w:r>
        <w:rPr>
          <w:rFonts w:ascii="宋体" w:hAnsi="宋体" w:cs="宋体" w:eastAsia="宋体" w:hint="default"/>
          <w:sz w:val="22"/>
          <w:szCs w:val="22"/>
        </w:rPr>
        <w:t>纳入合并利润表；该子公司以及业务期初至处置日的现金流量纳入合并现金流量表。</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本公司因处置部分股权投资或其他原因丧失了对原有子公司控制权的，在合并财务报表中，对于</w:t>
      </w:r>
      <w:r>
        <w:rPr>
          <w:rFonts w:ascii="宋体" w:hAnsi="宋体" w:cs="宋体" w:eastAsia="宋体" w:hint="default"/>
          <w:w w:val="100"/>
          <w:sz w:val="22"/>
          <w:szCs w:val="22"/>
        </w:rPr>
        <w:t> </w:t>
      </w:r>
      <w:r>
        <w:rPr>
          <w:rFonts w:ascii="宋体" w:hAnsi="宋体" w:cs="宋体" w:eastAsia="宋体" w:hint="default"/>
          <w:sz w:val="22"/>
          <w:szCs w:val="22"/>
        </w:rPr>
        <w:t>剩余股权，按照其在丧失控制权日的公允价值进行重新计量。处置股权取得的对价与剩余股权公允价</w:t>
      </w:r>
      <w:r>
        <w:rPr>
          <w:rFonts w:ascii="宋体" w:hAnsi="宋体" w:cs="宋体" w:eastAsia="宋体" w:hint="default"/>
          <w:w w:val="100"/>
          <w:sz w:val="22"/>
          <w:szCs w:val="22"/>
        </w:rPr>
        <w:t> </w:t>
      </w:r>
      <w:r>
        <w:rPr>
          <w:rFonts w:ascii="宋体" w:hAnsi="宋体" w:cs="宋体" w:eastAsia="宋体" w:hint="default"/>
          <w:spacing w:val="-2"/>
          <w:sz w:val="22"/>
          <w:szCs w:val="22"/>
        </w:rPr>
        <w:t>值之和，减去按原持股比例计算应享有原有子公司自购买日开始持续计算的净资产的份额之间的差额，</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计入丧失控制权当期的投资收益。与原有子公司股权投资相关的其他综合收益，应当在丧失控制权时</w:t>
      </w:r>
      <w:r>
        <w:rPr>
          <w:rFonts w:ascii="宋体" w:hAnsi="宋体" w:cs="宋体" w:eastAsia="宋体" w:hint="default"/>
          <w:w w:val="100"/>
          <w:sz w:val="22"/>
          <w:szCs w:val="22"/>
        </w:rPr>
        <w:t> </w:t>
      </w:r>
      <w:r>
        <w:rPr>
          <w:rFonts w:ascii="宋体" w:hAnsi="宋体" w:cs="宋体" w:eastAsia="宋体" w:hint="default"/>
          <w:sz w:val="22"/>
          <w:szCs w:val="22"/>
        </w:rPr>
        <w:t>转为当期投资收益。</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7、合营安排分类及共同经营会计处理方法" w:id="174"/>
      <w:bookmarkEnd w:id="17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530" w:lineRule="atLeast" w:before="87"/>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）合营安排的分类</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5"/>
          <w:sz w:val="22"/>
          <w:szCs w:val="22"/>
        </w:rPr>
        <w:t>本集团根据合营安排的结构、法律形式以及合营安排中约定的条款、其他相关事实和情况等因素，</w:t>
      </w:r>
    </w:p>
    <w:p>
      <w:pPr>
        <w:spacing w:before="24"/>
        <w:ind w:left="153" w:right="0" w:firstLine="0"/>
        <w:jc w:val="left"/>
        <w:rPr>
          <w:rFonts w:ascii="宋体" w:hAnsi="宋体" w:cs="宋体" w:eastAsia="宋体" w:hint="default"/>
          <w:sz w:val="22"/>
          <w:szCs w:val="22"/>
        </w:rPr>
      </w:pPr>
      <w:r>
        <w:rPr>
          <w:rFonts w:ascii="宋体" w:hAnsi="宋体" w:cs="宋体" w:eastAsia="宋体" w:hint="default"/>
          <w:sz w:val="22"/>
          <w:szCs w:val="22"/>
        </w:rPr>
        <w:t>将合营安排分为共同经营和合营企业。</w:t>
      </w:r>
    </w:p>
    <w:p>
      <w:pPr>
        <w:spacing w:line="240" w:lineRule="auto" w:before="2"/>
        <w:rPr>
          <w:rFonts w:ascii="宋体" w:hAnsi="宋体" w:cs="宋体" w:eastAsia="宋体" w:hint="default"/>
          <w:sz w:val="20"/>
          <w:szCs w:val="20"/>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未通过单独主体达成的合营安排，划分为共同经营，通过单独主体达成的合营安排，通常划分为</w:t>
      </w:r>
      <w:r>
        <w:rPr>
          <w:rFonts w:ascii="宋体" w:hAnsi="宋体" w:cs="宋体" w:eastAsia="宋体" w:hint="default"/>
          <w:w w:val="100"/>
          <w:sz w:val="22"/>
          <w:szCs w:val="22"/>
        </w:rPr>
        <w:t> </w:t>
      </w:r>
      <w:r>
        <w:rPr>
          <w:rFonts w:ascii="宋体" w:hAnsi="宋体" w:cs="宋体" w:eastAsia="宋体" w:hint="default"/>
          <w:spacing w:val="-2"/>
          <w:sz w:val="22"/>
          <w:szCs w:val="22"/>
        </w:rPr>
        <w:t>合营企业；但有确凿证据表明满足下列任一条件并且符合相关法律法规规定的合营安排划分为共同经</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营：</w:t>
      </w:r>
    </w:p>
    <w:p>
      <w:pPr>
        <w:spacing w:line="240" w:lineRule="auto" w:before="11"/>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）合营安排的法律形式表明，合营方对该安排中的相关资产和负债分别享有权利和承担义务；</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）合营安排的合同条款约定，合营方对该安排中的相关资产和负债分别享有权利和承担义务；</w:t>
      </w:r>
    </w:p>
    <w:p>
      <w:pPr>
        <w:spacing w:line="240" w:lineRule="auto" w:before="13"/>
        <w:rPr>
          <w:rFonts w:ascii="宋体" w:hAnsi="宋体" w:cs="宋体" w:eastAsia="宋体" w:hint="default"/>
          <w:sz w:val="18"/>
          <w:szCs w:val="18"/>
        </w:rPr>
      </w:pPr>
    </w:p>
    <w:p>
      <w:pPr>
        <w:spacing w:line="244" w:lineRule="auto" w:before="0"/>
        <w:ind w:left="153" w:right="0" w:firstLine="441"/>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）其他相关事实和情况表明，合营方对该安排中的相关资产和负债分别享有权利和承担义务，</w:t>
      </w:r>
      <w:r>
        <w:rPr>
          <w:rFonts w:ascii="宋体" w:hAnsi="宋体" w:cs="宋体" w:eastAsia="宋体" w:hint="default"/>
          <w:w w:val="100"/>
          <w:sz w:val="22"/>
          <w:szCs w:val="22"/>
        </w:rPr>
        <w:t> </w:t>
      </w:r>
      <w:r>
        <w:rPr>
          <w:rFonts w:ascii="宋体" w:hAnsi="宋体" w:cs="宋体" w:eastAsia="宋体" w:hint="default"/>
          <w:sz w:val="22"/>
          <w:szCs w:val="22"/>
        </w:rPr>
        <w:t>如合营方享有与合营安排相关的几乎所有产出，并且该安排中负债的清偿持续依赖于合营方的支持。</w:t>
      </w:r>
    </w:p>
    <w:p>
      <w:pPr>
        <w:spacing w:after="0" w:line="244" w:lineRule="auto"/>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before="32"/>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）共同经营会计处理方法</w:t>
      </w:r>
    </w:p>
    <w:p>
      <w:pPr>
        <w:spacing w:line="240" w:lineRule="auto" w:before="12"/>
        <w:rPr>
          <w:rFonts w:ascii="宋体" w:hAnsi="宋体" w:cs="宋体" w:eastAsia="宋体" w:hint="default"/>
          <w:sz w:val="18"/>
          <w:szCs w:val="18"/>
        </w:rPr>
      </w:pPr>
    </w:p>
    <w:p>
      <w:pPr>
        <w:spacing w:line="261"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本集团确认共同经营中利益份额中与本集团相关的下列项目，并按照相关企业会计准则的规定进</w:t>
      </w:r>
      <w:r>
        <w:rPr>
          <w:rFonts w:ascii="宋体" w:hAnsi="宋体" w:cs="宋体" w:eastAsia="宋体" w:hint="default"/>
          <w:w w:val="100"/>
          <w:sz w:val="22"/>
          <w:szCs w:val="22"/>
        </w:rPr>
        <w:t> </w:t>
      </w:r>
      <w:r>
        <w:rPr>
          <w:rFonts w:ascii="宋体" w:hAnsi="宋体" w:cs="宋体" w:eastAsia="宋体" w:hint="default"/>
          <w:sz w:val="22"/>
          <w:szCs w:val="22"/>
        </w:rPr>
        <w:t>行会计处理：</w:t>
      </w:r>
    </w:p>
    <w:p>
      <w:pPr>
        <w:spacing w:line="240" w:lineRule="auto" w:before="9"/>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）确认单独所持有的资产，以及按其份额确认共同持有的资产；</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）确认单独所承担的负债，以及按其份额确认共同承担的负债；</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）确认出售其享有的共同经营产出份额所产生的收入；</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）按其份额确认共同经营因出售资产所产生的收入；</w:t>
      </w:r>
    </w:p>
    <w:p>
      <w:pPr>
        <w:spacing w:line="530" w:lineRule="atLeast" w:before="22"/>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）确认单独所发生的费用，以及按其份额确认共同经营发生的费用。</w:t>
      </w:r>
      <w:r>
        <w:rPr>
          <w:rFonts w:ascii="宋体" w:hAnsi="宋体" w:cs="宋体" w:eastAsia="宋体" w:hint="default"/>
          <w:w w:val="100"/>
          <w:sz w:val="22"/>
          <w:szCs w:val="22"/>
        </w:rPr>
        <w:t> </w:t>
      </w:r>
      <w:r>
        <w:rPr>
          <w:rFonts w:ascii="宋体" w:hAnsi="宋体" w:cs="宋体" w:eastAsia="宋体" w:hint="default"/>
          <w:spacing w:val="-2"/>
          <w:sz w:val="22"/>
          <w:szCs w:val="22"/>
        </w:rPr>
        <w:t>本集团向共同经营投出或出售资产等（该资产构成业务的除外），在该资产等由共同经营出售给</w:t>
      </w:r>
    </w:p>
    <w:p>
      <w:pPr>
        <w:spacing w:line="259" w:lineRule="auto" w:before="24"/>
        <w:ind w:left="153" w:right="0" w:firstLine="0"/>
        <w:jc w:val="left"/>
        <w:rPr>
          <w:rFonts w:ascii="宋体" w:hAnsi="宋体" w:cs="宋体" w:eastAsia="宋体" w:hint="default"/>
          <w:sz w:val="22"/>
          <w:szCs w:val="22"/>
        </w:rPr>
      </w:pPr>
      <w:r>
        <w:rPr>
          <w:rFonts w:ascii="宋体" w:hAnsi="宋体" w:cs="宋体" w:eastAsia="宋体" w:hint="default"/>
          <w:spacing w:val="-2"/>
          <w:sz w:val="22"/>
          <w:szCs w:val="22"/>
        </w:rPr>
        <w:t>第三方之前，仅确认因该交易产生的损益中归属于共同经营其他参与方的部分。投出或出售的资产发</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生符合《企业会计准则第</w:t>
      </w:r>
      <w:r>
        <w:rPr>
          <w:rFonts w:ascii="Times New Roman" w:hAnsi="Times New Roman" w:cs="Times New Roman" w:eastAsia="Times New Roman" w:hint="default"/>
          <w:sz w:val="22"/>
          <w:szCs w:val="22"/>
        </w:rPr>
        <w:t>8</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资产减值》等规定的资产减值损失的，本集团全额确认该损失。</w:t>
      </w:r>
    </w:p>
    <w:p>
      <w:pPr>
        <w:spacing w:line="240" w:lineRule="auto" w:before="6"/>
        <w:rPr>
          <w:rFonts w:ascii="宋体" w:hAnsi="宋体" w:cs="宋体" w:eastAsia="宋体" w:hint="default"/>
          <w:sz w:val="17"/>
          <w:szCs w:val="17"/>
        </w:rPr>
      </w:pPr>
    </w:p>
    <w:p>
      <w:pPr>
        <w:spacing w:line="252"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本集团自共同经营购买资产等（该资产构成业务的除外），在该资产出售给第三方之前，仅确认</w:t>
      </w:r>
      <w:r>
        <w:rPr>
          <w:rFonts w:ascii="宋体" w:hAnsi="宋体" w:cs="宋体" w:eastAsia="宋体" w:hint="default"/>
          <w:w w:val="100"/>
          <w:sz w:val="22"/>
          <w:szCs w:val="22"/>
        </w:rPr>
        <w:t> </w:t>
      </w:r>
      <w:r>
        <w:rPr>
          <w:rFonts w:ascii="宋体" w:hAnsi="宋体" w:cs="宋体" w:eastAsia="宋体" w:hint="default"/>
          <w:sz w:val="22"/>
          <w:szCs w:val="22"/>
        </w:rPr>
        <w:t>因该交易产生的损益中归属于共同经营其他参与方的部分。购入的资产发生符合《企业会计准则第</w:t>
      </w:r>
      <w:r>
        <w:rPr>
          <w:rFonts w:ascii="Times New Roman" w:hAnsi="Times New Roman" w:cs="Times New Roman" w:eastAsia="Times New Roman" w:hint="default"/>
          <w:sz w:val="22"/>
          <w:szCs w:val="22"/>
        </w:rPr>
        <w:t>8</w:t>
      </w:r>
      <w:r>
        <w:rPr>
          <w:rFonts w:ascii="Times New Roman" w:hAnsi="Times New Roman" w:cs="Times New Roman" w:eastAsia="Times New Roman" w:hint="default"/>
          <w:spacing w:val="3"/>
          <w:sz w:val="22"/>
          <w:szCs w:val="22"/>
        </w:rPr>
        <w:t> </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资产减值》等规定的资产减值损失的，本集团按承担的份额确认该部分损失。</w:t>
      </w:r>
    </w:p>
    <w:p>
      <w:pPr>
        <w:spacing w:line="240" w:lineRule="auto" w:before="13"/>
        <w:rPr>
          <w:rFonts w:ascii="宋体" w:hAnsi="宋体" w:cs="宋体" w:eastAsia="宋体" w:hint="default"/>
          <w:sz w:val="17"/>
          <w:szCs w:val="17"/>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本集团对共同经营不享有共同控制，如果本集团享有该共同经营相关资产且承担该共同经营相关</w:t>
      </w:r>
      <w:r>
        <w:rPr>
          <w:rFonts w:ascii="宋体" w:hAnsi="宋体" w:cs="宋体" w:eastAsia="宋体" w:hint="default"/>
          <w:w w:val="100"/>
          <w:sz w:val="22"/>
          <w:szCs w:val="22"/>
        </w:rPr>
        <w:t> </w:t>
      </w:r>
      <w:r>
        <w:rPr>
          <w:rFonts w:ascii="宋体" w:hAnsi="宋体" w:cs="宋体" w:eastAsia="宋体" w:hint="default"/>
          <w:sz w:val="22"/>
          <w:szCs w:val="22"/>
        </w:rPr>
        <w:t>负债的，仍按上述原则进行会计处理；否则，应当按照相关企业会计准则的规定进行会计处理。</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8、现金及现金等价物的确定标准" w:id="175"/>
      <w:bookmarkEnd w:id="17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本集团现金流量表之现金指库存现金以及可以随时用于支付的存款。现金流量表之现金等价物指</w:t>
      </w:r>
      <w:r>
        <w:rPr>
          <w:rFonts w:ascii="宋体" w:hAnsi="宋体" w:cs="宋体" w:eastAsia="宋体" w:hint="default"/>
          <w:w w:val="100"/>
          <w:sz w:val="22"/>
          <w:szCs w:val="22"/>
        </w:rPr>
        <w:t> </w:t>
      </w:r>
      <w:r>
        <w:rPr>
          <w:rFonts w:ascii="宋体" w:hAnsi="宋体" w:cs="宋体" w:eastAsia="宋体" w:hint="default"/>
          <w:sz w:val="22"/>
          <w:szCs w:val="22"/>
        </w:rPr>
        <w:t>持有期限不超过</w:t>
      </w:r>
      <w:r>
        <w:rPr>
          <w:rFonts w:ascii="Times New Roman" w:hAnsi="Times New Roman" w:cs="Times New Roman" w:eastAsia="Times New Roman" w:hint="default"/>
          <w:sz w:val="22"/>
          <w:szCs w:val="22"/>
        </w:rPr>
        <w:t>3</w:t>
      </w:r>
      <w:r>
        <w:rPr>
          <w:rFonts w:ascii="宋体" w:hAnsi="宋体" w:cs="宋体" w:eastAsia="宋体" w:hint="default"/>
          <w:sz w:val="22"/>
          <w:szCs w:val="22"/>
        </w:rPr>
        <w:t>个月、流动性强、易于转换为已知金额现金且价值变动风险很小的投资。</w:t>
      </w:r>
    </w:p>
    <w:p>
      <w:pPr>
        <w:spacing w:line="240" w:lineRule="auto" w:before="9"/>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9、外币业务和外币报表折算" w:id="176"/>
      <w:bookmarkEnd w:id="17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550" w:lineRule="atLeast" w:before="55"/>
        <w:ind w:left="594" w:right="0" w:firstLine="0"/>
        <w:jc w:val="left"/>
        <w:rPr>
          <w:rFonts w:ascii="宋体" w:hAnsi="宋体" w:cs="宋体" w:eastAsia="宋体" w:hint="default"/>
          <w:sz w:val="22"/>
          <w:szCs w:val="22"/>
        </w:rPr>
      </w:pPr>
      <w:r>
        <w:rPr>
          <w:rFonts w:ascii="宋体" w:hAnsi="宋体" w:cs="宋体" w:eastAsia="宋体" w:hint="default"/>
          <w:sz w:val="22"/>
          <w:szCs w:val="22"/>
        </w:rPr>
        <w:t>外币业务交易在初始确认时，采用交易发生日的即期汇率折算为人民币金额。</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5"/>
          <w:sz w:val="22"/>
          <w:szCs w:val="22"/>
        </w:rPr>
        <w:t>资产负债表日，外币货币性项目采用资产负债表日即期汇率折算，因汇率不同而产生的汇兑差额，</w:t>
      </w:r>
    </w:p>
    <w:p>
      <w:pPr>
        <w:spacing w:line="259" w:lineRule="auto" w:before="24"/>
        <w:ind w:left="153" w:right="0" w:firstLine="0"/>
        <w:jc w:val="left"/>
        <w:rPr>
          <w:rFonts w:ascii="宋体" w:hAnsi="宋体" w:cs="宋体" w:eastAsia="宋体" w:hint="default"/>
          <w:sz w:val="22"/>
          <w:szCs w:val="22"/>
        </w:rPr>
      </w:pPr>
      <w:r>
        <w:rPr>
          <w:rFonts w:ascii="宋体" w:hAnsi="宋体" w:cs="宋体" w:eastAsia="宋体" w:hint="default"/>
          <w:spacing w:val="-2"/>
          <w:sz w:val="22"/>
          <w:szCs w:val="22"/>
        </w:rPr>
        <w:t>除与购建符合资本化条件资产有关的外币专门借款本金及利息的汇兑差额外，计入当期损益；以历史</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成本计量的外币非货币性项目仍采用交易发生日的即期汇率折算，不改变其人民币金额。</w:t>
      </w:r>
      <w:r>
        <w:rPr>
          <w:rFonts w:ascii="宋体" w:hAnsi="宋体" w:cs="宋体" w:eastAsia="宋体" w:hint="default"/>
          <w:w w:val="100"/>
          <w:sz w:val="22"/>
          <w:szCs w:val="22"/>
        </w:rPr>
        <w:t> </w:t>
      </w:r>
      <w:r>
        <w:rPr>
          <w:rFonts w:ascii="宋体" w:hAnsi="宋体" w:cs="宋体" w:eastAsia="宋体" w:hint="default"/>
          <w:spacing w:val="-2"/>
          <w:sz w:val="22"/>
          <w:szCs w:val="22"/>
        </w:rPr>
        <w:t>以公允价值计量的外币非货币性项目，采用公允价值确定日的即期汇率折算，差额计入当期损益或其</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他综合收益。如属于可供出售外币非货币性项目的，形成的汇兑差额计入其他综合收益。</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10、金融工具" w:id="177"/>
      <w:bookmarkEnd w:id="177"/>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61" w:lineRule="auto" w:before="0"/>
        <w:ind w:left="153" w:right="0" w:firstLine="480"/>
        <w:jc w:val="left"/>
        <w:rPr>
          <w:rFonts w:ascii="宋体" w:hAnsi="宋体" w:cs="宋体" w:eastAsia="宋体" w:hint="default"/>
          <w:sz w:val="22"/>
          <w:szCs w:val="22"/>
        </w:rPr>
      </w:pPr>
      <w:r>
        <w:rPr>
          <w:rFonts w:ascii="宋体" w:hAnsi="宋体" w:cs="宋体" w:eastAsia="宋体" w:hint="default"/>
          <w:spacing w:val="-3"/>
          <w:sz w:val="22"/>
          <w:szCs w:val="22"/>
        </w:rPr>
        <w:t>金融工具，是指形成一方的金融资产并形成其他方的金融负债或权益工具的合同。当本公司成为</w:t>
      </w:r>
      <w:r>
        <w:rPr>
          <w:rFonts w:ascii="宋体" w:hAnsi="宋体" w:cs="宋体" w:eastAsia="宋体" w:hint="default"/>
          <w:w w:val="100"/>
          <w:sz w:val="22"/>
          <w:szCs w:val="22"/>
        </w:rPr>
        <w:t> </w:t>
      </w:r>
      <w:r>
        <w:rPr>
          <w:rFonts w:ascii="宋体" w:hAnsi="宋体" w:cs="宋体" w:eastAsia="宋体" w:hint="default"/>
          <w:sz w:val="22"/>
          <w:szCs w:val="22"/>
        </w:rPr>
        <w:t>金融工具合同的一方时，确认相关的金融资产或金融负债。</w:t>
      </w:r>
    </w:p>
    <w:p>
      <w:pPr>
        <w:spacing w:line="240" w:lineRule="auto" w:before="9"/>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）金融资产</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before="32"/>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）分类和计量</w:t>
      </w:r>
    </w:p>
    <w:p>
      <w:pPr>
        <w:spacing w:line="240" w:lineRule="auto" w:before="12"/>
        <w:rPr>
          <w:rFonts w:ascii="宋体" w:hAnsi="宋体" w:cs="宋体" w:eastAsia="宋体" w:hint="default"/>
          <w:sz w:val="18"/>
          <w:szCs w:val="18"/>
        </w:rPr>
      </w:pPr>
    </w:p>
    <w:p>
      <w:pPr>
        <w:spacing w:line="259" w:lineRule="auto" w:before="0"/>
        <w:ind w:left="153" w:right="1122" w:firstLine="441"/>
        <w:jc w:val="both"/>
        <w:rPr>
          <w:rFonts w:ascii="宋体" w:hAnsi="宋体" w:cs="宋体" w:eastAsia="宋体" w:hint="default"/>
          <w:sz w:val="22"/>
          <w:szCs w:val="22"/>
        </w:rPr>
      </w:pPr>
      <w:r>
        <w:rPr>
          <w:rFonts w:ascii="宋体" w:hAnsi="宋体" w:cs="宋体" w:eastAsia="宋体" w:hint="default"/>
          <w:spacing w:val="-2"/>
          <w:sz w:val="22"/>
          <w:szCs w:val="22"/>
        </w:rPr>
        <w:t>本公司根据管理金融资产的业务模式和金融资产的合同现金流量特征，将金融资产划分为：①以</w:t>
      </w:r>
      <w:r>
        <w:rPr>
          <w:rFonts w:ascii="宋体" w:hAnsi="宋体" w:cs="宋体" w:eastAsia="宋体" w:hint="default"/>
          <w:w w:val="100"/>
          <w:sz w:val="22"/>
          <w:szCs w:val="22"/>
        </w:rPr>
        <w:t> </w:t>
      </w:r>
      <w:r>
        <w:rPr>
          <w:rFonts w:ascii="宋体" w:hAnsi="宋体" w:cs="宋体" w:eastAsia="宋体" w:hint="default"/>
          <w:spacing w:val="-2"/>
          <w:sz w:val="22"/>
          <w:szCs w:val="22"/>
        </w:rPr>
        <w:t>摊余成本计量的金融资产；②以公允价值计量且其变动计入其他综合收益的金融资产；③以公允价值</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计量且其变动计入当期损益的金融资产。</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金融资产在初始确认时以公允价值计量。对于以公允价值计量且其变动计入当期损益的金融资产，</w:t>
      </w:r>
      <w:r>
        <w:rPr>
          <w:rFonts w:ascii="宋体" w:hAnsi="宋体" w:cs="宋体" w:eastAsia="宋体" w:hint="default"/>
          <w:w w:val="100"/>
          <w:sz w:val="22"/>
          <w:szCs w:val="22"/>
        </w:rPr>
        <w:t> </w:t>
      </w:r>
      <w:r>
        <w:rPr>
          <w:rFonts w:ascii="宋体" w:hAnsi="宋体" w:cs="宋体" w:eastAsia="宋体" w:hint="default"/>
          <w:sz w:val="22"/>
          <w:szCs w:val="22"/>
        </w:rPr>
        <w:t>相关交易费用直接计入当期损益；对于其他类别的金融资产，相关交易费用计入初始确认金额。</w:t>
      </w:r>
    </w:p>
    <w:p>
      <w:pPr>
        <w:spacing w:line="552" w:lineRule="exact" w:before="62"/>
        <w:ind w:left="594" w:right="0" w:firstLine="0"/>
        <w:jc w:val="left"/>
        <w:rPr>
          <w:rFonts w:ascii="宋体" w:hAnsi="宋体" w:cs="宋体" w:eastAsia="宋体" w:hint="default"/>
          <w:sz w:val="22"/>
          <w:szCs w:val="22"/>
        </w:rPr>
      </w:pPr>
      <w:r>
        <w:rPr>
          <w:rFonts w:ascii="宋体" w:hAnsi="宋体" w:cs="宋体" w:eastAsia="宋体" w:hint="default"/>
          <w:sz w:val="22"/>
          <w:szCs w:val="22"/>
        </w:rPr>
        <w:t>以摊余成本计量的金融资产：</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2"/>
          <w:sz w:val="22"/>
          <w:szCs w:val="22"/>
        </w:rPr>
        <w:t>本公司管理此类金融资产的业务模式为以收取合同现金流量为目标，且此类金融资产的合同现金</w:t>
      </w:r>
    </w:p>
    <w:p>
      <w:pPr>
        <w:spacing w:line="233" w:lineRule="exact" w:before="0"/>
        <w:ind w:left="153" w:right="0" w:firstLine="0"/>
        <w:jc w:val="both"/>
        <w:rPr>
          <w:rFonts w:ascii="宋体" w:hAnsi="宋体" w:cs="宋体" w:eastAsia="宋体" w:hint="default"/>
          <w:sz w:val="22"/>
          <w:szCs w:val="22"/>
        </w:rPr>
      </w:pPr>
      <w:r>
        <w:rPr>
          <w:rFonts w:ascii="宋体" w:hAnsi="宋体" w:cs="宋体" w:eastAsia="宋体" w:hint="default"/>
          <w:sz w:val="22"/>
          <w:szCs w:val="22"/>
        </w:rPr>
        <w:t>流量特征与基本借贷安排相一致，即在特定日期产生的现金流量，仅为对本金和以未偿付本金金额为</w:t>
      </w:r>
    </w:p>
    <w:p>
      <w:pPr>
        <w:spacing w:line="259" w:lineRule="auto" w:before="24"/>
        <w:ind w:left="153" w:right="1125" w:firstLine="0"/>
        <w:jc w:val="both"/>
        <w:rPr>
          <w:rFonts w:ascii="宋体" w:hAnsi="宋体" w:cs="宋体" w:eastAsia="宋体" w:hint="default"/>
          <w:sz w:val="22"/>
          <w:szCs w:val="22"/>
        </w:rPr>
      </w:pPr>
      <w:r>
        <w:rPr>
          <w:rFonts w:ascii="宋体" w:hAnsi="宋体" w:cs="宋体" w:eastAsia="宋体" w:hint="default"/>
          <w:spacing w:val="-2"/>
          <w:sz w:val="22"/>
          <w:szCs w:val="22"/>
        </w:rPr>
        <w:t>基础的利息的支付。本公司对于此类金融资产按照实际利率法确认利息收入。此类金融资产主要包括</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应收票据及应收账款、其他应收款和债权投资等。</w:t>
      </w:r>
    </w:p>
    <w:p>
      <w:pPr>
        <w:spacing w:line="552" w:lineRule="exact" w:before="62"/>
        <w:ind w:left="594" w:right="0" w:firstLine="0"/>
        <w:jc w:val="left"/>
        <w:rPr>
          <w:rFonts w:ascii="宋体" w:hAnsi="宋体" w:cs="宋体" w:eastAsia="宋体" w:hint="default"/>
          <w:sz w:val="22"/>
          <w:szCs w:val="22"/>
        </w:rPr>
      </w:pPr>
      <w:r>
        <w:rPr>
          <w:rFonts w:ascii="宋体" w:hAnsi="宋体" w:cs="宋体" w:eastAsia="宋体" w:hint="default"/>
          <w:sz w:val="22"/>
          <w:szCs w:val="22"/>
        </w:rPr>
        <w:t>以公允价值计量且其变动计入其他综合收益的金融资产：</w:t>
      </w:r>
      <w:r>
        <w:rPr>
          <w:rFonts w:ascii="宋体" w:hAnsi="宋体" w:cs="宋体" w:eastAsia="宋体" w:hint="default"/>
          <w:w w:val="100"/>
          <w:sz w:val="22"/>
          <w:szCs w:val="22"/>
        </w:rPr>
        <w:t> </w:t>
      </w:r>
      <w:r>
        <w:rPr>
          <w:rFonts w:ascii="宋体" w:hAnsi="宋体" w:cs="宋体" w:eastAsia="宋体" w:hint="default"/>
          <w:spacing w:val="-2"/>
          <w:sz w:val="22"/>
          <w:szCs w:val="22"/>
        </w:rPr>
        <w:t>本公司管理此类金融资产的业务模式为既以收取合同现金流量为目标又以出售为目标，且此类金</w:t>
      </w:r>
    </w:p>
    <w:p>
      <w:pPr>
        <w:spacing w:line="233" w:lineRule="exact" w:before="0"/>
        <w:ind w:left="153" w:right="0" w:firstLine="0"/>
        <w:jc w:val="both"/>
        <w:rPr>
          <w:rFonts w:ascii="宋体" w:hAnsi="宋体" w:cs="宋体" w:eastAsia="宋体" w:hint="default"/>
          <w:sz w:val="22"/>
          <w:szCs w:val="22"/>
        </w:rPr>
      </w:pPr>
      <w:r>
        <w:rPr>
          <w:rFonts w:ascii="宋体" w:hAnsi="宋体" w:cs="宋体" w:eastAsia="宋体" w:hint="default"/>
          <w:sz w:val="22"/>
          <w:szCs w:val="22"/>
        </w:rPr>
        <w:t>融资产的合同现金流量特征与基本借贷安排相一致。此类金融资产按照公允价值计量且其变动计入其</w:t>
      </w:r>
    </w:p>
    <w:p>
      <w:pPr>
        <w:spacing w:before="24"/>
        <w:ind w:left="153" w:right="0" w:firstLine="0"/>
        <w:jc w:val="both"/>
        <w:rPr>
          <w:rFonts w:ascii="宋体" w:hAnsi="宋体" w:cs="宋体" w:eastAsia="宋体" w:hint="default"/>
          <w:sz w:val="22"/>
          <w:szCs w:val="22"/>
        </w:rPr>
      </w:pPr>
      <w:r>
        <w:rPr>
          <w:rFonts w:ascii="宋体" w:hAnsi="宋体" w:cs="宋体" w:eastAsia="宋体" w:hint="default"/>
          <w:sz w:val="22"/>
          <w:szCs w:val="22"/>
        </w:rPr>
        <w:t>他综合收益，但减值损失或利得、汇兑损益和按照实际利率法计算的利息收入计入当期损益。</w:t>
      </w:r>
    </w:p>
    <w:p>
      <w:pPr>
        <w:spacing w:line="550" w:lineRule="atLeast" w:before="2"/>
        <w:ind w:left="594" w:right="0" w:firstLine="0"/>
        <w:jc w:val="left"/>
        <w:rPr>
          <w:rFonts w:ascii="宋体" w:hAnsi="宋体" w:cs="宋体" w:eastAsia="宋体" w:hint="default"/>
          <w:sz w:val="22"/>
          <w:szCs w:val="22"/>
        </w:rPr>
      </w:pPr>
      <w:r>
        <w:rPr>
          <w:rFonts w:ascii="宋体" w:hAnsi="宋体" w:cs="宋体" w:eastAsia="宋体" w:hint="default"/>
          <w:sz w:val="22"/>
          <w:szCs w:val="22"/>
        </w:rPr>
        <w:t>以公允价值计量且其变动计入当期损益的金融资产：</w:t>
      </w:r>
      <w:r>
        <w:rPr>
          <w:rFonts w:ascii="宋体" w:hAnsi="宋体" w:cs="宋体" w:eastAsia="宋体" w:hint="default"/>
          <w:w w:val="100"/>
          <w:sz w:val="22"/>
          <w:szCs w:val="22"/>
        </w:rPr>
        <w:t> </w:t>
      </w:r>
      <w:r>
        <w:rPr>
          <w:rFonts w:ascii="宋体" w:hAnsi="宋体" w:cs="宋体" w:eastAsia="宋体" w:hint="default"/>
          <w:spacing w:val="2"/>
          <w:sz w:val="22"/>
          <w:szCs w:val="22"/>
        </w:rPr>
        <w:t>本公司将持有的未划分为以摊余成本计量和以公允价值计量且其变动计入其他综合收益的金融</w:t>
      </w:r>
    </w:p>
    <w:p>
      <w:pPr>
        <w:spacing w:line="259" w:lineRule="auto" w:before="24"/>
        <w:ind w:left="153" w:right="1123" w:firstLine="0"/>
        <w:jc w:val="both"/>
        <w:rPr>
          <w:rFonts w:ascii="宋体" w:hAnsi="宋体" w:cs="宋体" w:eastAsia="宋体" w:hint="default"/>
          <w:sz w:val="22"/>
          <w:szCs w:val="22"/>
        </w:rPr>
      </w:pPr>
      <w:r>
        <w:rPr>
          <w:rFonts w:ascii="宋体" w:hAnsi="宋体" w:cs="宋体" w:eastAsia="宋体" w:hint="default"/>
          <w:spacing w:val="-2"/>
          <w:sz w:val="22"/>
          <w:szCs w:val="22"/>
        </w:rPr>
        <w:t>工具，以公允价值计量且其变动计入当期损益，列示为交易性金融资产。在初始确认时，本公司将非</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pacing w:val="-2"/>
          <w:sz w:val="22"/>
          <w:szCs w:val="22"/>
        </w:rPr>
        <w:t>交易性权益工具投资指定为以公允价值计量且其变动计入其他综合收益的金融资产，列示为其他权益</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工具投资。该类金融资产的相关股利收入计入当期损益。</w:t>
      </w:r>
    </w:p>
    <w:p>
      <w:pPr>
        <w:spacing w:line="530" w:lineRule="atLeast" w:before="21"/>
        <w:ind w:left="594" w:right="1131"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）减值</w:t>
      </w:r>
      <w:r>
        <w:rPr>
          <w:rFonts w:ascii="宋体" w:hAnsi="宋体" w:cs="宋体" w:eastAsia="宋体" w:hint="default"/>
          <w:spacing w:val="-108"/>
          <w:sz w:val="22"/>
          <w:szCs w:val="22"/>
        </w:rPr>
        <w:t> </w:t>
      </w:r>
      <w:r>
        <w:rPr>
          <w:rFonts w:ascii="宋体" w:hAnsi="宋体" w:cs="宋体" w:eastAsia="宋体" w:hint="default"/>
          <w:spacing w:val="-2"/>
          <w:sz w:val="22"/>
          <w:szCs w:val="22"/>
        </w:rPr>
        <w:t>本公司以预期信用损失为基础，对以摊余成本计量的金融资产、以公允价值计量且其变动计入其</w:t>
      </w:r>
    </w:p>
    <w:p>
      <w:pPr>
        <w:spacing w:line="261" w:lineRule="auto" w:before="24"/>
        <w:ind w:left="153" w:right="1125" w:firstLine="0"/>
        <w:jc w:val="both"/>
        <w:rPr>
          <w:rFonts w:ascii="宋体" w:hAnsi="宋体" w:cs="宋体" w:eastAsia="宋体" w:hint="default"/>
          <w:sz w:val="22"/>
          <w:szCs w:val="22"/>
        </w:rPr>
      </w:pPr>
      <w:r>
        <w:rPr>
          <w:rFonts w:ascii="宋体" w:hAnsi="宋体" w:cs="宋体" w:eastAsia="宋体" w:hint="default"/>
          <w:spacing w:val="-2"/>
          <w:sz w:val="22"/>
          <w:szCs w:val="22"/>
        </w:rPr>
        <w:t>他综合收益的金融资产、租赁应收款、合同资产、贷款承诺和财务担保合同进行减值会计处理，并确</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认损失准备。</w:t>
      </w:r>
    </w:p>
    <w:p>
      <w:pPr>
        <w:spacing w:line="240" w:lineRule="auto" w:before="9"/>
        <w:rPr>
          <w:rFonts w:ascii="宋体" w:hAnsi="宋体" w:cs="宋体" w:eastAsia="宋体" w:hint="default"/>
          <w:sz w:val="18"/>
          <w:szCs w:val="18"/>
        </w:rPr>
      </w:pPr>
    </w:p>
    <w:p>
      <w:pPr>
        <w:spacing w:line="448" w:lineRule="auto" w:before="0"/>
        <w:ind w:left="594" w:right="5044" w:firstLine="0"/>
        <w:jc w:val="left"/>
        <w:rPr>
          <w:rFonts w:ascii="宋体" w:hAnsi="宋体" w:cs="宋体" w:eastAsia="宋体" w:hint="default"/>
          <w:sz w:val="22"/>
          <w:szCs w:val="22"/>
        </w:rPr>
      </w:pPr>
      <w:r>
        <w:rPr>
          <w:rFonts w:ascii="宋体" w:hAnsi="宋体" w:cs="宋体" w:eastAsia="宋体" w:hint="default"/>
          <w:spacing w:val="-1"/>
          <w:sz w:val="22"/>
          <w:szCs w:val="22"/>
        </w:rPr>
        <w:t>本公司将计提或转回的损失准备计入当期损益。</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Times New Roman" w:hAnsi="Times New Roman" w:cs="Times New Roman" w:eastAsia="Times New Roman" w:hint="default"/>
          <w:sz w:val="22"/>
          <w:szCs w:val="22"/>
        </w:rPr>
        <w:t>3</w:t>
      </w:r>
      <w:r>
        <w:rPr>
          <w:rFonts w:ascii="宋体" w:hAnsi="宋体" w:cs="宋体" w:eastAsia="宋体" w:hint="default"/>
          <w:sz w:val="22"/>
          <w:szCs w:val="22"/>
        </w:rPr>
        <w:t>）终止确认</w:t>
      </w:r>
      <w:r>
        <w:rPr>
          <w:rFonts w:ascii="宋体" w:hAnsi="宋体" w:cs="宋体" w:eastAsia="宋体" w:hint="default"/>
          <w:spacing w:val="-106"/>
          <w:sz w:val="22"/>
          <w:szCs w:val="22"/>
        </w:rPr>
        <w:t> </w:t>
      </w:r>
      <w:r>
        <w:rPr>
          <w:rFonts w:ascii="宋体" w:hAnsi="宋体" w:cs="宋体" w:eastAsia="宋体" w:hint="default"/>
          <w:spacing w:val="-1"/>
          <w:sz w:val="22"/>
          <w:szCs w:val="22"/>
        </w:rPr>
        <w:t>金融资产满足下列条件之一的，予以终止确认：</w:t>
      </w:r>
    </w:p>
    <w:p>
      <w:pPr>
        <w:spacing w:before="72"/>
        <w:ind w:left="594" w:right="0" w:firstLine="0"/>
        <w:jc w:val="left"/>
        <w:rPr>
          <w:rFonts w:ascii="宋体" w:hAnsi="宋体" w:cs="宋体" w:eastAsia="宋体" w:hint="default"/>
          <w:sz w:val="22"/>
          <w:szCs w:val="22"/>
        </w:rPr>
      </w:pPr>
      <w:r>
        <w:rPr>
          <w:rFonts w:ascii="宋体" w:hAnsi="宋体" w:cs="宋体" w:eastAsia="宋体" w:hint="default"/>
          <w:sz w:val="22"/>
          <w:szCs w:val="22"/>
        </w:rPr>
        <w:t>①收取该金融资产现金流量的合同权利终止；</w:t>
      </w:r>
    </w:p>
    <w:p>
      <w:pPr>
        <w:spacing w:line="240" w:lineRule="auto" w:before="2"/>
        <w:rPr>
          <w:rFonts w:ascii="宋体" w:hAnsi="宋体" w:cs="宋体" w:eastAsia="宋体" w:hint="default"/>
          <w:sz w:val="20"/>
          <w:szCs w:val="20"/>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②该金融资产已转移，且本公司将金融资产所有权上几乎所有的风险和报酬转移给转入方；</w:t>
      </w:r>
    </w:p>
    <w:p>
      <w:pPr>
        <w:spacing w:line="240" w:lineRule="auto" w:before="3"/>
        <w:rPr>
          <w:rFonts w:ascii="宋体" w:hAnsi="宋体" w:cs="宋体" w:eastAsia="宋体" w:hint="default"/>
          <w:sz w:val="20"/>
          <w:szCs w:val="20"/>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③该金融资产已转移，虽然本公司既没有转移也没有保留金融资产所有权上几乎所有的风险和报</w:t>
      </w:r>
      <w:r>
        <w:rPr>
          <w:rFonts w:ascii="宋体" w:hAnsi="宋体" w:cs="宋体" w:eastAsia="宋体" w:hint="default"/>
          <w:w w:val="100"/>
          <w:sz w:val="22"/>
          <w:szCs w:val="22"/>
        </w:rPr>
        <w:t> </w:t>
      </w:r>
      <w:r>
        <w:rPr>
          <w:rFonts w:ascii="宋体" w:hAnsi="宋体" w:cs="宋体" w:eastAsia="宋体" w:hint="default"/>
          <w:sz w:val="22"/>
          <w:szCs w:val="22"/>
        </w:rPr>
        <w:t>酬，但是放弃了对该金融资产控制。</w:t>
      </w:r>
    </w:p>
    <w:p>
      <w:pPr>
        <w:spacing w:after="0" w:line="259" w:lineRule="auto"/>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59" w:lineRule="auto" w:before="32"/>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其他权益工具投资终止确认时，之前计入其他综合收益的累计利得或损失应当从其他综合收益中</w:t>
      </w:r>
      <w:r>
        <w:rPr>
          <w:rFonts w:ascii="宋体" w:hAnsi="宋体" w:cs="宋体" w:eastAsia="宋体" w:hint="default"/>
          <w:w w:val="100"/>
          <w:sz w:val="22"/>
          <w:szCs w:val="22"/>
        </w:rPr>
        <w:t> </w:t>
      </w:r>
      <w:r>
        <w:rPr>
          <w:rFonts w:ascii="宋体" w:hAnsi="宋体" w:cs="宋体" w:eastAsia="宋体" w:hint="default"/>
          <w:sz w:val="22"/>
          <w:szCs w:val="22"/>
        </w:rPr>
        <w:t>转出，计入留存收益。</w:t>
      </w:r>
    </w:p>
    <w:p>
      <w:pPr>
        <w:spacing w:line="530" w:lineRule="atLeast" w:before="21"/>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）金融负债</w:t>
      </w:r>
      <w:r>
        <w:rPr>
          <w:rFonts w:ascii="宋体" w:hAnsi="宋体" w:cs="宋体" w:eastAsia="宋体" w:hint="default"/>
          <w:spacing w:val="-105"/>
          <w:sz w:val="22"/>
          <w:szCs w:val="22"/>
        </w:rPr>
        <w:t> </w:t>
      </w:r>
      <w:r>
        <w:rPr>
          <w:rFonts w:ascii="宋体" w:hAnsi="宋体" w:cs="宋体" w:eastAsia="宋体" w:hint="default"/>
          <w:spacing w:val="2"/>
          <w:sz w:val="22"/>
          <w:szCs w:val="22"/>
        </w:rPr>
        <w:t>金融负债于初始确认时分类为以摊余成本计量的金融负债和以公允价值计量且其变动计入当期</w:t>
      </w:r>
    </w:p>
    <w:p>
      <w:pPr>
        <w:spacing w:before="24"/>
        <w:ind w:left="153" w:right="0" w:firstLine="0"/>
        <w:jc w:val="both"/>
        <w:rPr>
          <w:rFonts w:ascii="宋体" w:hAnsi="宋体" w:cs="宋体" w:eastAsia="宋体" w:hint="default"/>
          <w:sz w:val="22"/>
          <w:szCs w:val="22"/>
        </w:rPr>
      </w:pPr>
      <w:r>
        <w:rPr>
          <w:rFonts w:ascii="宋体" w:hAnsi="宋体" w:cs="宋体" w:eastAsia="宋体" w:hint="default"/>
          <w:sz w:val="22"/>
          <w:szCs w:val="22"/>
        </w:rPr>
        <w:t>损益的金融负债。</w:t>
      </w:r>
    </w:p>
    <w:p>
      <w:pPr>
        <w:spacing w:line="240" w:lineRule="auto" w:before="2"/>
        <w:rPr>
          <w:rFonts w:ascii="宋体" w:hAnsi="宋体" w:cs="宋体" w:eastAsia="宋体" w:hint="default"/>
          <w:sz w:val="20"/>
          <w:szCs w:val="20"/>
        </w:rPr>
      </w:pPr>
    </w:p>
    <w:p>
      <w:pPr>
        <w:spacing w:line="254" w:lineRule="auto" w:before="0"/>
        <w:ind w:left="153" w:right="1122" w:firstLine="441"/>
        <w:jc w:val="both"/>
        <w:rPr>
          <w:rFonts w:ascii="宋体" w:hAnsi="宋体" w:cs="宋体" w:eastAsia="宋体" w:hint="default"/>
          <w:sz w:val="22"/>
          <w:szCs w:val="22"/>
        </w:rPr>
      </w:pPr>
      <w:r>
        <w:rPr>
          <w:rFonts w:ascii="宋体" w:hAnsi="宋体" w:cs="宋体" w:eastAsia="宋体" w:hint="default"/>
          <w:spacing w:val="-2"/>
          <w:sz w:val="22"/>
          <w:szCs w:val="22"/>
        </w:rPr>
        <w:t>本公司的金融负债主要为以摊余成本计量的金融负债，包括应付票据及应付账款、其他应付款及</w:t>
      </w:r>
      <w:r>
        <w:rPr>
          <w:rFonts w:ascii="宋体" w:hAnsi="宋体" w:cs="宋体" w:eastAsia="宋体" w:hint="default"/>
          <w:w w:val="100"/>
          <w:sz w:val="22"/>
          <w:szCs w:val="22"/>
        </w:rPr>
        <w:t> </w:t>
      </w:r>
      <w:r>
        <w:rPr>
          <w:rFonts w:ascii="宋体" w:hAnsi="宋体" w:cs="宋体" w:eastAsia="宋体" w:hint="default"/>
          <w:spacing w:val="-2"/>
          <w:sz w:val="22"/>
          <w:szCs w:val="22"/>
        </w:rPr>
        <w:t>借款等。该类金融负债按其公允价值扣除交易费用后的金额进行初始计量，并采用实际利率法进行后</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7"/>
          <w:w w:val="100"/>
          <w:sz w:val="22"/>
          <w:szCs w:val="22"/>
        </w:rPr>
        <w:t>续计量。期限在一年以下</w:t>
      </w:r>
      <w:r>
        <w:rPr>
          <w:rFonts w:ascii="Times New Roman" w:hAnsi="Times New Roman" w:cs="Times New Roman" w:eastAsia="Times New Roman" w:hint="default"/>
          <w:spacing w:val="-7"/>
          <w:w w:val="100"/>
          <w:sz w:val="22"/>
          <w:szCs w:val="22"/>
        </w:rPr>
        <w:t>(</w:t>
      </w:r>
      <w:r>
        <w:rPr>
          <w:rFonts w:ascii="宋体" w:hAnsi="宋体" w:cs="宋体" w:eastAsia="宋体" w:hint="default"/>
          <w:spacing w:val="-7"/>
          <w:w w:val="100"/>
          <w:sz w:val="22"/>
          <w:szCs w:val="22"/>
        </w:rPr>
        <w:t>含一年</w:t>
      </w:r>
      <w:r>
        <w:rPr>
          <w:rFonts w:ascii="Times New Roman" w:hAnsi="Times New Roman" w:cs="Times New Roman" w:eastAsia="Times New Roman" w:hint="default"/>
          <w:spacing w:val="-7"/>
          <w:w w:val="100"/>
          <w:sz w:val="22"/>
          <w:szCs w:val="22"/>
        </w:rPr>
        <w:t>)</w:t>
      </w:r>
      <w:r>
        <w:rPr>
          <w:rFonts w:ascii="宋体" w:hAnsi="宋体" w:cs="宋体" w:eastAsia="宋体" w:hint="default"/>
          <w:spacing w:val="-7"/>
          <w:w w:val="100"/>
          <w:sz w:val="22"/>
          <w:szCs w:val="22"/>
        </w:rPr>
        <w:t>的，列示为流动负债；期限在一年以上但自资产负债表日起一年内</w:t>
      </w:r>
      <w:r>
        <w:rPr>
          <w:rFonts w:ascii="Times New Roman" w:hAnsi="Times New Roman" w:cs="Times New Roman" w:eastAsia="Times New Roman" w:hint="default"/>
          <w:spacing w:val="-7"/>
          <w:w w:val="100"/>
          <w:sz w:val="22"/>
          <w:szCs w:val="22"/>
        </w:rPr>
        <w:t>(</w:t>
      </w:r>
      <w:r>
        <w:rPr>
          <w:rFonts w:ascii="宋体" w:hAnsi="宋体" w:cs="宋体" w:eastAsia="宋体" w:hint="default"/>
          <w:spacing w:val="-7"/>
          <w:w w:val="100"/>
          <w:sz w:val="22"/>
          <w:szCs w:val="22"/>
        </w:rPr>
        <w:t>含</w:t>
      </w:r>
      <w:r>
        <w:rPr>
          <w:rFonts w:ascii="宋体" w:hAnsi="宋体" w:cs="宋体" w:eastAsia="宋体" w:hint="default"/>
          <w:spacing w:val="-82"/>
          <w:w w:val="100"/>
          <w:sz w:val="22"/>
          <w:szCs w:val="22"/>
        </w:rPr>
        <w:t> </w:t>
      </w:r>
      <w:r>
        <w:rPr>
          <w:rFonts w:ascii="宋体" w:hAnsi="宋体" w:cs="宋体" w:eastAsia="宋体" w:hint="default"/>
          <w:sz w:val="22"/>
          <w:szCs w:val="22"/>
        </w:rPr>
        <w:t>一年</w:t>
      </w:r>
      <w:r>
        <w:rPr>
          <w:rFonts w:ascii="Times New Roman" w:hAnsi="Times New Roman" w:cs="Times New Roman" w:eastAsia="Times New Roman" w:hint="default"/>
          <w:sz w:val="22"/>
          <w:szCs w:val="22"/>
        </w:rPr>
        <w:t>)</w:t>
      </w:r>
      <w:r>
        <w:rPr>
          <w:rFonts w:ascii="宋体" w:hAnsi="宋体" w:cs="宋体" w:eastAsia="宋体" w:hint="default"/>
          <w:sz w:val="22"/>
          <w:szCs w:val="22"/>
        </w:rPr>
        <w:t>到期的，列示为一年内到期的非流动负债；其余列示为非流动负债。</w:t>
      </w:r>
    </w:p>
    <w:p>
      <w:pPr>
        <w:spacing w:line="240" w:lineRule="auto" w:before="10"/>
        <w:rPr>
          <w:rFonts w:ascii="宋体" w:hAnsi="宋体" w:cs="宋体" w:eastAsia="宋体" w:hint="default"/>
          <w:sz w:val="17"/>
          <w:szCs w:val="17"/>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当金融负债的现时义务全部或部分已经解除时，本公司终止确认该金融负债或义务已解除的部分。</w:t>
      </w:r>
      <w:r>
        <w:rPr>
          <w:rFonts w:ascii="宋体" w:hAnsi="宋体" w:cs="宋体" w:eastAsia="宋体" w:hint="default"/>
          <w:w w:val="100"/>
          <w:sz w:val="22"/>
          <w:szCs w:val="22"/>
        </w:rPr>
        <w:t> </w:t>
      </w:r>
      <w:r>
        <w:rPr>
          <w:rFonts w:ascii="宋体" w:hAnsi="宋体" w:cs="宋体" w:eastAsia="宋体" w:hint="default"/>
          <w:sz w:val="22"/>
          <w:szCs w:val="22"/>
        </w:rPr>
        <w:t>终止确认部分的账面价值与支付的对价之间的差额，计入当期损益。</w:t>
      </w:r>
    </w:p>
    <w:p>
      <w:pPr>
        <w:spacing w:line="530" w:lineRule="atLeast" w:before="21"/>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）金融工具的公允价值确定</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存在活跃市场的金融工具，以活跃市场中的报价确定其公允价值。不存在活跃市场的金融工具，</w:t>
      </w:r>
    </w:p>
    <w:p>
      <w:pPr>
        <w:spacing w:line="259" w:lineRule="auto" w:before="24"/>
        <w:ind w:left="153" w:right="1122" w:firstLine="0"/>
        <w:jc w:val="both"/>
        <w:rPr>
          <w:rFonts w:ascii="宋体" w:hAnsi="宋体" w:cs="宋体" w:eastAsia="宋体" w:hint="default"/>
          <w:sz w:val="22"/>
          <w:szCs w:val="22"/>
        </w:rPr>
      </w:pPr>
      <w:r>
        <w:rPr>
          <w:rFonts w:ascii="宋体" w:hAnsi="宋体" w:cs="宋体" w:eastAsia="宋体" w:hint="default"/>
          <w:spacing w:val="-2"/>
          <w:sz w:val="22"/>
          <w:szCs w:val="22"/>
        </w:rPr>
        <w:t>采用估值技术确定其公允价值。在估计公允价值时，考虑市场参与者在计量日对相关资产或负债进行</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定价时考虑的特征（包括资产状况及所在位置、对资产出售或者使用的限制等），并采用在当前情况</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下适用并且有足够可利用数据和其他信息支持的估值技术。使用的估值技术主要包括市场法、收益法</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和成本法。在有限情况下，如果用以确定公允价值的近期信息不足，或者公允价值的可能估计金额分</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布范围很广，而成本代表了该范围内对公允价值的最佳估计的，该成本可代表其在该分布范围内对公</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允价值的恰当估计。</w:t>
      </w:r>
    </w:p>
    <w:p>
      <w:pPr>
        <w:spacing w:line="240" w:lineRule="auto" w:before="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11、应收票据" w:id="178"/>
      <w:bookmarkEnd w:id="178"/>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参见应收账款会计政策。</w:t>
      </w:r>
    </w:p>
    <w:p>
      <w:pPr>
        <w:spacing w:line="240" w:lineRule="auto" w:before="6"/>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12、应收账款" w:id="179"/>
      <w:bookmarkEnd w:id="179"/>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4"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于每个资产负债表日，本公司对于处于不同阶段的金融工具的预期信用损失分别进行计量。金融</w:t>
      </w:r>
      <w:r>
        <w:rPr>
          <w:rFonts w:ascii="宋体" w:hAnsi="宋体" w:cs="宋体" w:eastAsia="宋体" w:hint="default"/>
          <w:w w:val="100"/>
          <w:sz w:val="22"/>
          <w:szCs w:val="22"/>
        </w:rPr>
        <w:t> </w:t>
      </w:r>
      <w:r>
        <w:rPr>
          <w:rFonts w:ascii="宋体" w:hAnsi="宋体" w:cs="宋体" w:eastAsia="宋体" w:hint="default"/>
          <w:sz w:val="22"/>
          <w:szCs w:val="22"/>
        </w:rPr>
        <w:t>工具自初始确认后信用风险未显著增加的，本公司按照未来</w:t>
      </w:r>
      <w:r>
        <w:rPr>
          <w:rFonts w:ascii="Times New Roman" w:hAnsi="Times New Roman" w:cs="Times New Roman" w:eastAsia="Times New Roman" w:hint="default"/>
          <w:sz w:val="22"/>
          <w:szCs w:val="22"/>
        </w:rPr>
        <w:t>12</w:t>
      </w:r>
      <w:r>
        <w:rPr>
          <w:rFonts w:ascii="宋体" w:hAnsi="宋体" w:cs="宋体" w:eastAsia="宋体" w:hint="default"/>
          <w:sz w:val="22"/>
          <w:szCs w:val="22"/>
        </w:rPr>
        <w:t>个月内的预期信用损失计量损失准备；</w:t>
      </w:r>
      <w:r>
        <w:rPr>
          <w:rFonts w:ascii="宋体" w:hAnsi="宋体" w:cs="宋体" w:eastAsia="宋体" w:hint="default"/>
          <w:spacing w:val="-53"/>
          <w:sz w:val="22"/>
          <w:szCs w:val="22"/>
        </w:rPr>
        <w:t> </w:t>
      </w:r>
      <w:r>
        <w:rPr>
          <w:rFonts w:ascii="宋体" w:hAnsi="宋体" w:cs="宋体" w:eastAsia="宋体" w:hint="default"/>
          <w:spacing w:val="-53"/>
          <w:sz w:val="22"/>
          <w:szCs w:val="22"/>
        </w:rPr>
      </w:r>
      <w:r>
        <w:rPr>
          <w:rFonts w:ascii="宋体" w:hAnsi="宋体" w:cs="宋体" w:eastAsia="宋体" w:hint="default"/>
          <w:spacing w:val="-2"/>
          <w:sz w:val="22"/>
          <w:szCs w:val="22"/>
        </w:rPr>
        <w:t>如果该金融工具的信用风险自初始确认后已显著增加，本公司按照相当于该金融工具整个存续期内预</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期信用损失的金额计量其损失准备。</w:t>
      </w:r>
    </w:p>
    <w:p>
      <w:pPr>
        <w:spacing w:line="240" w:lineRule="auto" w:before="3"/>
        <w:rPr>
          <w:rFonts w:ascii="宋体" w:hAnsi="宋体" w:cs="宋体" w:eastAsia="宋体" w:hint="default"/>
          <w:sz w:val="19"/>
          <w:szCs w:val="19"/>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对于应收票据、应收账款、其他应收款及应收融资租赁款，无论是否存在重大融资成分，本公司</w:t>
      </w:r>
      <w:r>
        <w:rPr>
          <w:rFonts w:ascii="宋体" w:hAnsi="宋体" w:cs="宋体" w:eastAsia="宋体" w:hint="default"/>
          <w:w w:val="100"/>
          <w:sz w:val="22"/>
          <w:szCs w:val="22"/>
        </w:rPr>
        <w:t> </w:t>
      </w:r>
      <w:r>
        <w:rPr>
          <w:rFonts w:ascii="宋体" w:hAnsi="宋体" w:cs="宋体" w:eastAsia="宋体" w:hint="default"/>
          <w:spacing w:val="-2"/>
          <w:sz w:val="22"/>
          <w:szCs w:val="22"/>
        </w:rPr>
        <w:t>考虑所有合理且有依据的信息，包括前瞻性信息，以单项或组合的方式对上述应收款项预期信用损失</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pacing w:val="-2"/>
          <w:sz w:val="22"/>
          <w:szCs w:val="22"/>
        </w:rPr>
        <w:t>进行估计，并采用预期信用损失的简化模型，始终按照整个存续期的预期信用损失计量损失准备。计</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提方法如下：</w:t>
      </w:r>
    </w:p>
    <w:p>
      <w:pPr>
        <w:spacing w:line="240" w:lineRule="auto" w:before="11"/>
        <w:rPr>
          <w:rFonts w:ascii="宋体" w:hAnsi="宋体" w:cs="宋体" w:eastAsia="宋体" w:hint="default"/>
          <w:sz w:val="18"/>
          <w:szCs w:val="18"/>
        </w:rPr>
      </w:pPr>
    </w:p>
    <w:p>
      <w:pPr>
        <w:spacing w:line="247" w:lineRule="auto" w:before="0"/>
        <w:ind w:left="153" w:right="1135"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）期末对有客观证据表明其已发生减值的应收款项单独进行减值测试，根据其预计未来现金</w:t>
      </w:r>
      <w:r>
        <w:rPr>
          <w:rFonts w:ascii="宋体" w:hAnsi="宋体" w:cs="宋体" w:eastAsia="宋体" w:hint="default"/>
          <w:w w:val="100"/>
          <w:sz w:val="22"/>
          <w:szCs w:val="22"/>
        </w:rPr>
        <w:t> </w:t>
      </w:r>
      <w:r>
        <w:rPr>
          <w:rFonts w:ascii="宋体" w:hAnsi="宋体" w:cs="宋体" w:eastAsia="宋体" w:hint="default"/>
          <w:sz w:val="22"/>
          <w:szCs w:val="22"/>
        </w:rPr>
        <w:t>流量现值低于其账面价值的差额，确认减值损失，计提坏账准备。</w:t>
      </w:r>
    </w:p>
    <w:p>
      <w:pPr>
        <w:spacing w:line="240" w:lineRule="auto" w:before="9"/>
        <w:rPr>
          <w:rFonts w:ascii="宋体" w:hAnsi="宋体" w:cs="宋体" w:eastAsia="宋体" w:hint="default"/>
          <w:sz w:val="19"/>
          <w:szCs w:val="19"/>
        </w:rPr>
      </w:pPr>
    </w:p>
    <w:p>
      <w:pPr>
        <w:spacing w:line="244" w:lineRule="auto" w:before="0"/>
        <w:ind w:left="153" w:right="1135"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）当单项金融资产无法以合理成本评估预期信用损失的信息时，本公司依据信用风险特征划</w:t>
      </w:r>
      <w:r>
        <w:rPr>
          <w:rFonts w:ascii="宋体" w:hAnsi="宋体" w:cs="宋体" w:eastAsia="宋体" w:hint="default"/>
          <w:w w:val="100"/>
          <w:sz w:val="22"/>
          <w:szCs w:val="22"/>
        </w:rPr>
        <w:t> </w:t>
      </w:r>
      <w:r>
        <w:rPr>
          <w:rFonts w:ascii="宋体" w:hAnsi="宋体" w:cs="宋体" w:eastAsia="宋体" w:hint="default"/>
          <w:sz w:val="22"/>
          <w:szCs w:val="22"/>
        </w:rPr>
        <w:t>分应收款项组合，在组合基础上计算预期信用损失。</w:t>
      </w:r>
    </w:p>
    <w:p>
      <w:pPr>
        <w:spacing w:after="0" w:line="244" w:lineRule="auto"/>
        <w:jc w:val="both"/>
        <w:rPr>
          <w:rFonts w:ascii="宋体" w:hAnsi="宋体" w:cs="宋体" w:eastAsia="宋体" w:hint="default"/>
          <w:sz w:val="22"/>
          <w:szCs w:val="22"/>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640"/>
        <w:gridCol w:w="5752"/>
      </w:tblGrid>
      <w:tr>
        <w:trPr>
          <w:trHeight w:val="341" w:hRule="exact"/>
        </w:trPr>
        <w:tc>
          <w:tcPr>
            <w:tcW w:w="36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组合名称</w:t>
            </w:r>
          </w:p>
        </w:tc>
        <w:tc>
          <w:tcPr>
            <w:tcW w:w="57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9" w:right="0"/>
              <w:jc w:val="center"/>
              <w:rPr>
                <w:rFonts w:ascii="宋体" w:hAnsi="宋体" w:cs="宋体" w:eastAsia="宋体" w:hint="default"/>
                <w:sz w:val="20"/>
                <w:szCs w:val="20"/>
              </w:rPr>
            </w:pPr>
            <w:r>
              <w:rPr>
                <w:rFonts w:ascii="宋体" w:hAnsi="宋体" w:cs="宋体" w:eastAsia="宋体" w:hint="default"/>
                <w:sz w:val="20"/>
                <w:szCs w:val="20"/>
              </w:rPr>
              <w:t>计提方法</w:t>
            </w:r>
          </w:p>
        </w:tc>
      </w:tr>
      <w:tr>
        <w:trPr>
          <w:trHeight w:val="360" w:hRule="exact"/>
        </w:trPr>
        <w:tc>
          <w:tcPr>
            <w:tcW w:w="3640"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风险组合</w:t>
            </w:r>
          </w:p>
        </w:tc>
        <w:tc>
          <w:tcPr>
            <w:tcW w:w="5752"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预期信用损失</w:t>
            </w:r>
          </w:p>
        </w:tc>
      </w:tr>
      <w:tr>
        <w:trPr>
          <w:trHeight w:val="350" w:hRule="exact"/>
        </w:trPr>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性质组合</w:t>
            </w:r>
          </w:p>
        </w:tc>
        <w:tc>
          <w:tcPr>
            <w:tcW w:w="5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不计提坏账准备</w:t>
            </w:r>
          </w:p>
        </w:tc>
      </w:tr>
    </w:tbl>
    <w:p>
      <w:pPr>
        <w:spacing w:line="240" w:lineRule="auto" w:before="3"/>
        <w:rPr>
          <w:rFonts w:ascii="宋体" w:hAnsi="宋体" w:cs="宋体" w:eastAsia="宋体" w:hint="default"/>
          <w:sz w:val="14"/>
          <w:szCs w:val="14"/>
        </w:rPr>
      </w:pPr>
    </w:p>
    <w:p>
      <w:pPr>
        <w:spacing w:line="259" w:lineRule="auto" w:before="32"/>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对于划分为风险组合的应收款项，本公司参考历史信用损失经验，结合当前状况以及对未来经济</w:t>
      </w:r>
      <w:r>
        <w:rPr>
          <w:rFonts w:ascii="宋体" w:hAnsi="宋体" w:cs="宋体" w:eastAsia="宋体" w:hint="default"/>
          <w:w w:val="100"/>
          <w:sz w:val="22"/>
          <w:szCs w:val="22"/>
        </w:rPr>
        <w:t> </w:t>
      </w:r>
      <w:r>
        <w:rPr>
          <w:rFonts w:ascii="宋体" w:hAnsi="宋体" w:cs="宋体" w:eastAsia="宋体" w:hint="default"/>
          <w:spacing w:val="-2"/>
          <w:sz w:val="22"/>
          <w:szCs w:val="22"/>
        </w:rPr>
        <w:t>状况的预测，编制应收账款账龄与整个存续期预期信用损失率对照表，如下表所示，计算预期信用损</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失。</w:t>
      </w:r>
    </w:p>
    <w:p>
      <w:pPr>
        <w:spacing w:line="240" w:lineRule="auto" w:before="9"/>
        <w:rPr>
          <w:rFonts w:ascii="宋体" w:hAnsi="宋体" w:cs="宋体" w:eastAsia="宋体"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3419"/>
        <w:gridCol w:w="5930"/>
      </w:tblGrid>
      <w:tr>
        <w:trPr>
          <w:trHeight w:val="336" w:hRule="exact"/>
        </w:trPr>
        <w:tc>
          <w:tcPr>
            <w:tcW w:w="34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59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right="1"/>
              <w:jc w:val="center"/>
              <w:rPr>
                <w:rFonts w:ascii="宋体" w:hAnsi="宋体" w:cs="宋体" w:eastAsia="宋体" w:hint="default"/>
                <w:sz w:val="20"/>
                <w:szCs w:val="20"/>
              </w:rPr>
            </w:pPr>
            <w:r>
              <w:rPr>
                <w:rFonts w:ascii="宋体" w:hAnsi="宋体" w:cs="宋体" w:eastAsia="宋体" w:hint="default"/>
                <w:sz w:val="20"/>
                <w:szCs w:val="20"/>
              </w:rPr>
              <w:t>预期信用损失率</w:t>
            </w:r>
          </w:p>
        </w:tc>
      </w:tr>
      <w:tr>
        <w:trPr>
          <w:trHeight w:val="34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center"/>
              <w:rPr>
                <w:rFonts w:ascii="Times New Roman" w:hAnsi="Times New Roman" w:cs="Times New Roman" w:eastAsia="Times New Roman" w:hint="default"/>
                <w:sz w:val="20"/>
                <w:szCs w:val="20"/>
              </w:rPr>
            </w:pPr>
            <w:r>
              <w:rPr>
                <w:rFonts w:ascii="Times New Roman"/>
                <w:sz w:val="20"/>
              </w:rPr>
              <w:t>5%</w:t>
            </w:r>
          </w:p>
        </w:tc>
      </w:tr>
      <w:tr>
        <w:trPr>
          <w:trHeight w:val="346"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1-2</w:t>
            </w:r>
            <w:r>
              <w:rPr>
                <w:rFonts w:ascii="宋体" w:hAnsi="宋体" w:cs="宋体" w:eastAsia="宋体" w:hint="default"/>
                <w:sz w:val="20"/>
                <w:szCs w:val="20"/>
              </w:rPr>
              <w:t>年</w:t>
            </w:r>
          </w:p>
        </w:tc>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w:t>
            </w:r>
          </w:p>
        </w:tc>
      </w:tr>
      <w:tr>
        <w:trPr>
          <w:trHeight w:val="34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2-3</w:t>
            </w:r>
            <w:r>
              <w:rPr>
                <w:rFonts w:ascii="宋体" w:hAnsi="宋体" w:cs="宋体" w:eastAsia="宋体" w:hint="default"/>
                <w:sz w:val="20"/>
                <w:szCs w:val="20"/>
              </w:rPr>
              <w:t>年</w:t>
            </w:r>
          </w:p>
        </w:tc>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30%</w:t>
            </w:r>
          </w:p>
        </w:tc>
      </w:tr>
      <w:tr>
        <w:trPr>
          <w:trHeight w:val="34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3-4</w:t>
            </w:r>
            <w:r>
              <w:rPr>
                <w:rFonts w:ascii="宋体" w:hAnsi="宋体" w:cs="宋体" w:eastAsia="宋体" w:hint="default"/>
                <w:sz w:val="20"/>
                <w:szCs w:val="20"/>
              </w:rPr>
              <w:t>年</w:t>
            </w:r>
          </w:p>
        </w:tc>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50%</w:t>
            </w:r>
          </w:p>
        </w:tc>
      </w:tr>
      <w:tr>
        <w:trPr>
          <w:trHeight w:val="34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4-5</w:t>
            </w:r>
            <w:r>
              <w:rPr>
                <w:rFonts w:ascii="宋体" w:hAnsi="宋体" w:cs="宋体" w:eastAsia="宋体" w:hint="default"/>
                <w:sz w:val="20"/>
                <w:szCs w:val="20"/>
              </w:rPr>
              <w:t>年</w:t>
            </w:r>
          </w:p>
        </w:tc>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50%</w:t>
            </w:r>
          </w:p>
        </w:tc>
      </w:tr>
      <w:tr>
        <w:trPr>
          <w:trHeight w:val="346"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5</w:t>
            </w:r>
            <w:r>
              <w:rPr>
                <w:rFonts w:ascii="宋体" w:hAnsi="宋体" w:cs="宋体" w:eastAsia="宋体" w:hint="default"/>
                <w:sz w:val="20"/>
                <w:szCs w:val="20"/>
              </w:rPr>
              <w:t>年以上</w:t>
            </w:r>
          </w:p>
        </w:tc>
        <w:tc>
          <w:tcPr>
            <w:tcW w:w="5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Times New Roman" w:hAnsi="Times New Roman" w:cs="Times New Roman" w:eastAsia="Times New Roman" w:hint="default"/>
                <w:sz w:val="20"/>
                <w:szCs w:val="20"/>
              </w:rPr>
            </w:pPr>
            <w:r>
              <w:rPr>
                <w:rFonts w:ascii="Times New Roman"/>
                <w:sz w:val="20"/>
              </w:rPr>
              <w:t>100%</w:t>
            </w:r>
          </w:p>
        </w:tc>
      </w:tr>
    </w:tbl>
    <w:p>
      <w:pPr>
        <w:spacing w:line="240" w:lineRule="auto" w:before="2"/>
        <w:rPr>
          <w:rFonts w:ascii="宋体" w:hAnsi="宋体" w:cs="宋体" w:eastAsia="宋体" w:hint="default"/>
          <w:sz w:val="14"/>
          <w:szCs w:val="14"/>
        </w:rPr>
      </w:pPr>
    </w:p>
    <w:p>
      <w:pPr>
        <w:spacing w:line="259" w:lineRule="auto" w:before="32"/>
        <w:ind w:left="153" w:right="1025" w:firstLine="441"/>
        <w:jc w:val="both"/>
        <w:rPr>
          <w:rFonts w:ascii="宋体" w:hAnsi="宋体" w:cs="宋体" w:eastAsia="宋体" w:hint="default"/>
          <w:sz w:val="22"/>
          <w:szCs w:val="22"/>
        </w:rPr>
      </w:pPr>
      <w:r>
        <w:rPr>
          <w:rFonts w:ascii="宋体" w:hAnsi="宋体" w:cs="宋体" w:eastAsia="宋体" w:hint="default"/>
          <w:sz w:val="22"/>
          <w:szCs w:val="22"/>
        </w:rPr>
        <w:t>本公司将应收合并范围内子公司的款项、代收代付款项等无显著回收风险的款项划为性质组合，</w:t>
      </w:r>
      <w:r>
        <w:rPr>
          <w:rFonts w:ascii="宋体" w:hAnsi="宋体" w:cs="宋体" w:eastAsia="宋体" w:hint="default"/>
          <w:w w:val="100"/>
          <w:sz w:val="22"/>
          <w:szCs w:val="22"/>
        </w:rPr>
        <w:t> </w:t>
      </w:r>
      <w:r>
        <w:rPr>
          <w:rFonts w:ascii="宋体" w:hAnsi="宋体" w:cs="宋体" w:eastAsia="宋体" w:hint="default"/>
          <w:sz w:val="22"/>
          <w:szCs w:val="22"/>
        </w:rPr>
        <w:t>不计提坏账准备。</w:t>
      </w:r>
    </w:p>
    <w:p>
      <w:pPr>
        <w:spacing w:before="6"/>
        <w:ind w:left="153" w:right="0" w:firstLine="0"/>
        <w:jc w:val="left"/>
        <w:rPr>
          <w:rFonts w:ascii="宋体" w:hAnsi="宋体" w:cs="宋体" w:eastAsia="宋体" w:hint="default"/>
          <w:sz w:val="22"/>
          <w:szCs w:val="22"/>
        </w:rPr>
      </w:pPr>
      <w:r>
        <w:rPr>
          <w:rFonts w:ascii="宋体" w:hAnsi="宋体" w:cs="宋体" w:eastAsia="宋体" w:hint="default"/>
          <w:sz w:val="22"/>
          <w:szCs w:val="22"/>
        </w:rPr>
        <w:t>本公司将计提或转回的损失准备计入当期损益。</w:t>
      </w:r>
    </w:p>
    <w:p>
      <w:pPr>
        <w:spacing w:line="240" w:lineRule="auto" w:before="7"/>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3、应收款项融资" w:id="180"/>
      <w:bookmarkEnd w:id="180"/>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59" w:lineRule="auto" w:before="0"/>
        <w:ind w:left="153" w:right="1130" w:firstLine="441"/>
        <w:jc w:val="both"/>
        <w:rPr>
          <w:rFonts w:ascii="宋体" w:hAnsi="宋体" w:cs="宋体" w:eastAsia="宋体" w:hint="default"/>
          <w:sz w:val="22"/>
          <w:szCs w:val="22"/>
        </w:rPr>
      </w:pPr>
      <w:r>
        <w:rPr>
          <w:rFonts w:ascii="宋体" w:hAnsi="宋体" w:cs="宋体" w:eastAsia="宋体" w:hint="default"/>
          <w:spacing w:val="2"/>
          <w:sz w:val="22"/>
          <w:szCs w:val="22"/>
        </w:rPr>
        <w:t>本公司应收款项融资是反映资产负债表日以公允价值计量且其变动计入其他综合收益的应收票</w:t>
      </w:r>
      <w:r>
        <w:rPr>
          <w:rFonts w:ascii="宋体" w:hAnsi="宋体" w:cs="宋体" w:eastAsia="宋体" w:hint="default"/>
          <w:w w:val="100"/>
          <w:sz w:val="22"/>
          <w:szCs w:val="22"/>
        </w:rPr>
        <w:t> </w:t>
      </w:r>
      <w:r>
        <w:rPr>
          <w:rFonts w:ascii="宋体" w:hAnsi="宋体" w:cs="宋体" w:eastAsia="宋体" w:hint="default"/>
          <w:spacing w:val="-2"/>
          <w:sz w:val="22"/>
          <w:szCs w:val="22"/>
        </w:rPr>
        <w:t>据和应收账款等。当本公司管理该类应收票据和应收账款的业务模式为既以收取合同现金流量为目标</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又以出售该金融资产为目标时，本公司将其列入应收款项融资进行列报。</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14、其他应收款" w:id="181"/>
      <w:bookmarkEnd w:id="181"/>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其他应收款的预期信用损失的确定方法及会计处理方法</w:t>
      </w:r>
    </w:p>
    <w:p>
      <w:pPr>
        <w:spacing w:line="240" w:lineRule="auto" w:before="9"/>
        <w:rPr>
          <w:rFonts w:ascii="宋体" w:hAnsi="宋体" w:cs="宋体" w:eastAsia="宋体" w:hint="default"/>
          <w:sz w:val="21"/>
          <w:szCs w:val="21"/>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参见应收账款会计政策。</w:t>
      </w:r>
    </w:p>
    <w:p>
      <w:pPr>
        <w:spacing w:line="240" w:lineRule="auto" w:before="2"/>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5、存货" w:id="182"/>
      <w:bookmarkEnd w:id="182"/>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59" w:lineRule="auto" w:before="0"/>
        <w:ind w:left="153" w:right="1126" w:firstLine="441"/>
        <w:jc w:val="both"/>
        <w:rPr>
          <w:rFonts w:ascii="宋体" w:hAnsi="宋体" w:cs="宋体" w:eastAsia="宋体" w:hint="default"/>
          <w:sz w:val="22"/>
          <w:szCs w:val="22"/>
        </w:rPr>
      </w:pPr>
      <w:r>
        <w:rPr>
          <w:rFonts w:ascii="宋体" w:hAnsi="宋体" w:cs="宋体" w:eastAsia="宋体" w:hint="default"/>
          <w:spacing w:val="-2"/>
          <w:sz w:val="22"/>
          <w:szCs w:val="22"/>
        </w:rPr>
        <w:t>本集团存货主要包括：原材料、包装物、委托加工物资、工程施工、劳务成本、生产成本、库存</w:t>
      </w:r>
      <w:r>
        <w:rPr>
          <w:rFonts w:ascii="宋体" w:hAnsi="宋体" w:cs="宋体" w:eastAsia="宋体" w:hint="default"/>
          <w:w w:val="100"/>
          <w:sz w:val="22"/>
          <w:szCs w:val="22"/>
        </w:rPr>
        <w:t> </w:t>
      </w:r>
      <w:r>
        <w:rPr>
          <w:rFonts w:ascii="宋体" w:hAnsi="宋体" w:cs="宋体" w:eastAsia="宋体" w:hint="default"/>
          <w:sz w:val="22"/>
          <w:szCs w:val="22"/>
        </w:rPr>
        <w:t>商品、发出商品等。</w:t>
      </w:r>
    </w:p>
    <w:p>
      <w:pPr>
        <w:spacing w:line="240" w:lineRule="auto" w:before="11"/>
        <w:rPr>
          <w:rFonts w:ascii="宋体" w:hAnsi="宋体" w:cs="宋体" w:eastAsia="宋体" w:hint="default"/>
          <w:sz w:val="18"/>
          <w:szCs w:val="18"/>
        </w:rPr>
      </w:pPr>
    </w:p>
    <w:p>
      <w:pPr>
        <w:spacing w:line="259" w:lineRule="auto" w:before="0"/>
        <w:ind w:left="153" w:right="1122" w:firstLine="441"/>
        <w:jc w:val="both"/>
        <w:rPr>
          <w:rFonts w:ascii="宋体" w:hAnsi="宋体" w:cs="宋体" w:eastAsia="宋体" w:hint="default"/>
          <w:sz w:val="22"/>
          <w:szCs w:val="22"/>
        </w:rPr>
      </w:pPr>
      <w:r>
        <w:rPr>
          <w:rFonts w:ascii="宋体" w:hAnsi="宋体" w:cs="宋体" w:eastAsia="宋体" w:hint="default"/>
          <w:spacing w:val="-2"/>
          <w:sz w:val="22"/>
          <w:szCs w:val="22"/>
        </w:rPr>
        <w:t>存货取得和发出的计价方法：存货实行永续盘存制，存货在取得时按实际成本计价；领用或发出</w:t>
      </w:r>
      <w:r>
        <w:rPr>
          <w:rFonts w:ascii="宋体" w:hAnsi="宋体" w:cs="宋体" w:eastAsia="宋体" w:hint="default"/>
          <w:w w:val="100"/>
          <w:sz w:val="22"/>
          <w:szCs w:val="22"/>
        </w:rPr>
        <w:t> </w:t>
      </w:r>
      <w:r>
        <w:rPr>
          <w:rFonts w:ascii="宋体" w:hAnsi="宋体" w:cs="宋体" w:eastAsia="宋体" w:hint="default"/>
          <w:spacing w:val="-2"/>
          <w:sz w:val="22"/>
          <w:szCs w:val="22"/>
        </w:rPr>
        <w:t>原材料，采用加权平均法确定其实际成本；本集团的产成品为订单式生产，产成品的成本按个别订单</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归集。</w:t>
      </w:r>
    </w:p>
    <w:p>
      <w:pPr>
        <w:spacing w:line="552" w:lineRule="exact" w:before="62"/>
        <w:ind w:left="594" w:right="0" w:firstLine="0"/>
        <w:jc w:val="left"/>
        <w:rPr>
          <w:rFonts w:ascii="宋体" w:hAnsi="宋体" w:cs="宋体" w:eastAsia="宋体" w:hint="default"/>
          <w:sz w:val="22"/>
          <w:szCs w:val="22"/>
        </w:rPr>
      </w:pPr>
      <w:r>
        <w:rPr>
          <w:rFonts w:ascii="宋体" w:hAnsi="宋体" w:cs="宋体" w:eastAsia="宋体" w:hint="default"/>
          <w:sz w:val="22"/>
          <w:szCs w:val="22"/>
        </w:rPr>
        <w:t>存货中的低值易耗品和包装物在购入时按实际成本计价，发出时采用一次转销法。</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资产负债表日，存货采用成本与可变现净值孰低计量，按照存货类别成本高于可变现净值的差额</w:t>
      </w:r>
    </w:p>
    <w:p>
      <w:pPr>
        <w:spacing w:line="232" w:lineRule="exact" w:before="0"/>
        <w:ind w:left="153" w:right="0" w:firstLine="0"/>
        <w:jc w:val="left"/>
        <w:rPr>
          <w:rFonts w:ascii="宋体" w:hAnsi="宋体" w:cs="宋体" w:eastAsia="宋体" w:hint="default"/>
          <w:sz w:val="22"/>
          <w:szCs w:val="22"/>
        </w:rPr>
      </w:pPr>
      <w:r>
        <w:rPr>
          <w:rFonts w:ascii="宋体" w:hAnsi="宋体" w:cs="宋体" w:eastAsia="宋体" w:hint="default"/>
          <w:sz w:val="22"/>
          <w:szCs w:val="22"/>
        </w:rPr>
        <w:t>计提存货跌价准备。</w:t>
      </w:r>
    </w:p>
    <w:p>
      <w:pPr>
        <w:spacing w:after="0" w:line="232" w:lineRule="exact"/>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59" w:lineRule="auto" w:before="32"/>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直接用于出售的存货（包括库存商品和直接用于出售的材料），在正常生产经营过程中以该存货</w:t>
      </w:r>
      <w:r>
        <w:rPr>
          <w:rFonts w:ascii="宋体" w:hAnsi="宋体" w:cs="宋体" w:eastAsia="宋体" w:hint="default"/>
          <w:w w:val="100"/>
          <w:sz w:val="22"/>
          <w:szCs w:val="22"/>
        </w:rPr>
        <w:t> </w:t>
      </w:r>
      <w:r>
        <w:rPr>
          <w:rFonts w:ascii="宋体" w:hAnsi="宋体" w:cs="宋体" w:eastAsia="宋体" w:hint="default"/>
          <w:spacing w:val="-2"/>
          <w:sz w:val="22"/>
          <w:szCs w:val="22"/>
        </w:rPr>
        <w:t>的估计售价减去估计的销售费用和相关税费后的金额确定其可变现净值；需要经过加工的存货（包括</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需进一步加工的材料、在产品），在正常生产经营过程中以所生产的产成品的估计售价减去至完工时</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估计将要发生的成本、估计的销售费用和相关税费后的金额确定其可变现净值；资产负债表日，同一</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项存货中一部分有合同价格约定、其他部分不存在合同价格的，分别确定其可变现净值，并与其对应</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的成本进行比较，分别确定存货跌价准备的计提或转回的金额。</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16、合同资产" w:id="183"/>
      <w:bookmarkEnd w:id="183"/>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、合同资产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7、合同成本" w:id="184"/>
      <w:bookmarkEnd w:id="184"/>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、合同成本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8、持有待售资产" w:id="185"/>
      <w:bookmarkEnd w:id="185"/>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9、债权投资" w:id="186"/>
      <w:bookmarkEnd w:id="186"/>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、债权投资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0、其他债权投资" w:id="187"/>
      <w:bookmarkEnd w:id="187"/>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、其他债权投资</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1、长期应收款" w:id="188"/>
      <w:bookmarkEnd w:id="188"/>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2、长期股权投资" w:id="189"/>
      <w:bookmarkEnd w:id="189"/>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）投资成本的确定</w:t>
      </w:r>
    </w:p>
    <w:p>
      <w:pPr>
        <w:spacing w:line="240" w:lineRule="auto" w:before="12"/>
        <w:rPr>
          <w:rFonts w:ascii="宋体" w:hAnsi="宋体" w:cs="宋体" w:eastAsia="宋体" w:hint="default"/>
          <w:sz w:val="18"/>
          <w:szCs w:val="18"/>
        </w:rPr>
      </w:pPr>
    </w:p>
    <w:p>
      <w:pPr>
        <w:spacing w:line="244" w:lineRule="auto" w:before="0"/>
        <w:ind w:left="153" w:right="1123" w:firstLine="441"/>
        <w:jc w:val="both"/>
        <w:rPr>
          <w:rFonts w:ascii="宋体" w:hAnsi="宋体" w:cs="宋体" w:eastAsia="宋体" w:hint="default"/>
          <w:sz w:val="22"/>
          <w:szCs w:val="22"/>
        </w:rPr>
      </w:pP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）企业合并形成的长期股权投资，具体会计政策详见本附注四、</w:t>
      </w:r>
      <w:r>
        <w:rPr>
          <w:rFonts w:ascii="Times New Roman" w:hAnsi="Times New Roman" w:cs="Times New Roman" w:eastAsia="Times New Roman" w:hint="default"/>
          <w:spacing w:val="-2"/>
          <w:sz w:val="22"/>
          <w:szCs w:val="22"/>
        </w:rPr>
        <w:t>5</w:t>
      </w:r>
      <w:r>
        <w:rPr>
          <w:rFonts w:ascii="宋体" w:hAnsi="宋体" w:cs="宋体" w:eastAsia="宋体" w:hint="default"/>
          <w:spacing w:val="-2"/>
          <w:sz w:val="22"/>
          <w:szCs w:val="22"/>
        </w:rPr>
        <w:t>同一控制下和非同一控制下企</w:t>
      </w:r>
      <w:r>
        <w:rPr>
          <w:rFonts w:ascii="宋体" w:hAnsi="宋体" w:cs="宋体" w:eastAsia="宋体" w:hint="default"/>
          <w:w w:val="100"/>
          <w:sz w:val="22"/>
          <w:szCs w:val="22"/>
        </w:rPr>
        <w:t> </w:t>
      </w:r>
      <w:r>
        <w:rPr>
          <w:rFonts w:ascii="宋体" w:hAnsi="宋体" w:cs="宋体" w:eastAsia="宋体" w:hint="default"/>
          <w:sz w:val="22"/>
          <w:szCs w:val="22"/>
        </w:rPr>
        <w:t>业合并的会计处理方法。</w:t>
      </w:r>
    </w:p>
    <w:p>
      <w:pPr>
        <w:spacing w:line="530" w:lineRule="atLeast" w:before="34"/>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）其他方式取得的长期股权投资</w:t>
      </w:r>
      <w:r>
        <w:rPr>
          <w:rFonts w:ascii="宋体" w:hAnsi="宋体" w:cs="宋体" w:eastAsia="宋体" w:hint="default"/>
          <w:w w:val="100"/>
          <w:sz w:val="22"/>
          <w:szCs w:val="22"/>
        </w:rPr>
        <w:t> </w:t>
      </w:r>
      <w:r>
        <w:rPr>
          <w:rFonts w:ascii="宋体" w:hAnsi="宋体" w:cs="宋体" w:eastAsia="宋体" w:hint="default"/>
          <w:spacing w:val="-2"/>
          <w:sz w:val="22"/>
          <w:szCs w:val="22"/>
        </w:rPr>
        <w:t>以支付现金取得的长期股权投资，按照实际支付的购买价款作为投资成本；初始投资成本包括与</w:t>
      </w:r>
    </w:p>
    <w:p>
      <w:pPr>
        <w:spacing w:before="24"/>
        <w:ind w:left="153" w:right="0" w:firstLine="0"/>
        <w:jc w:val="left"/>
        <w:rPr>
          <w:rFonts w:ascii="宋体" w:hAnsi="宋体" w:cs="宋体" w:eastAsia="宋体" w:hint="default"/>
          <w:sz w:val="22"/>
          <w:szCs w:val="22"/>
        </w:rPr>
      </w:pPr>
      <w:r>
        <w:rPr>
          <w:rFonts w:ascii="宋体" w:hAnsi="宋体" w:cs="宋体" w:eastAsia="宋体" w:hint="default"/>
          <w:sz w:val="22"/>
          <w:szCs w:val="22"/>
        </w:rPr>
        <w:t>取得长期股权投资直接相关的费用、税金及其他必要支出。</w:t>
      </w:r>
    </w:p>
    <w:p>
      <w:pPr>
        <w:spacing w:line="240" w:lineRule="auto" w:before="3"/>
        <w:rPr>
          <w:rFonts w:ascii="宋体" w:hAnsi="宋体" w:cs="宋体" w:eastAsia="宋体" w:hint="default"/>
          <w:sz w:val="20"/>
          <w:szCs w:val="20"/>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以发行权益性证券取得的长期股权投资，按照发行权益性证券的公允价值作为投资成本，发行或</w:t>
      </w:r>
      <w:r>
        <w:rPr>
          <w:rFonts w:ascii="宋体" w:hAnsi="宋体" w:cs="宋体" w:eastAsia="宋体" w:hint="default"/>
          <w:w w:val="100"/>
          <w:sz w:val="22"/>
          <w:szCs w:val="22"/>
        </w:rPr>
        <w:t> </w:t>
      </w:r>
      <w:r>
        <w:rPr>
          <w:rFonts w:ascii="宋体" w:hAnsi="宋体" w:cs="宋体" w:eastAsia="宋体" w:hint="default"/>
          <w:sz w:val="22"/>
          <w:szCs w:val="22"/>
        </w:rPr>
        <w:t>取得自身权益工具时发生的交易费用，可直接归属于权益交易的从权益中扣减。</w:t>
      </w:r>
    </w:p>
    <w:p>
      <w:pPr>
        <w:spacing w:line="240" w:lineRule="auto" w:before="11"/>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在非货币性资产交换具备商业实质和换入资产或换出资产的公允价值能够可靠计量的前提下，非</w:t>
      </w:r>
      <w:r>
        <w:rPr>
          <w:rFonts w:ascii="宋体" w:hAnsi="宋体" w:cs="宋体" w:eastAsia="宋体" w:hint="default"/>
          <w:w w:val="100"/>
          <w:sz w:val="22"/>
          <w:szCs w:val="22"/>
        </w:rPr>
        <w:t> </w:t>
      </w:r>
      <w:r>
        <w:rPr>
          <w:rFonts w:ascii="宋体" w:hAnsi="宋体" w:cs="宋体" w:eastAsia="宋体" w:hint="default"/>
          <w:spacing w:val="-2"/>
          <w:sz w:val="22"/>
          <w:szCs w:val="22"/>
        </w:rPr>
        <w:t>货币性资产交换换入的长期股权投资以换出资产的公允价值为基础确定其初始投资成本，除非有确凿</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证据表明换入资产的公允价值更加可靠；不满足上述前提的非货币性资产交换，以换出资产的账面价</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值和应支付的相关税费作为换入长期股权投资的初始投资成本。</w:t>
      </w:r>
    </w:p>
    <w:p>
      <w:pPr>
        <w:spacing w:line="240" w:lineRule="auto" w:before="11"/>
        <w:rPr>
          <w:rFonts w:ascii="宋体" w:hAnsi="宋体" w:cs="宋体" w:eastAsia="宋体" w:hint="default"/>
          <w:sz w:val="18"/>
          <w:szCs w:val="18"/>
        </w:rPr>
      </w:pPr>
    </w:p>
    <w:p>
      <w:pPr>
        <w:spacing w:line="460" w:lineRule="auto" w:before="0"/>
        <w:ind w:left="594" w:right="0" w:firstLine="0"/>
        <w:jc w:val="left"/>
        <w:rPr>
          <w:rFonts w:ascii="宋体" w:hAnsi="宋体" w:cs="宋体" w:eastAsia="宋体" w:hint="default"/>
          <w:sz w:val="22"/>
          <w:szCs w:val="22"/>
        </w:rPr>
      </w:pPr>
      <w:r>
        <w:rPr>
          <w:rFonts w:ascii="宋体" w:hAnsi="宋体" w:cs="宋体" w:eastAsia="宋体" w:hint="default"/>
          <w:spacing w:val="-1"/>
          <w:sz w:val="22"/>
          <w:szCs w:val="22"/>
        </w:rPr>
        <w:t>通过债务重组方式取得的长期股权投资，其初始投资成本按照公允价值为基础确定。</w:t>
      </w:r>
      <w:r>
        <w:rPr>
          <w:rFonts w:ascii="宋体" w:hAnsi="宋体" w:cs="宋体" w:eastAsia="宋体" w:hint="default"/>
          <w:spacing w:val="-72"/>
          <w:sz w:val="22"/>
          <w:szCs w:val="22"/>
        </w:rPr>
        <w:t> </w:t>
      </w:r>
      <w:r>
        <w:rPr>
          <w:rFonts w:ascii="宋体" w:hAnsi="宋体" w:cs="宋体" w:eastAsia="宋体" w:hint="default"/>
          <w:spacing w:val="-72"/>
          <w:sz w:val="22"/>
          <w:szCs w:val="22"/>
        </w:rPr>
      </w:r>
      <w:r>
        <w:rPr>
          <w:rFonts w:ascii="宋体" w:hAnsi="宋体" w:cs="宋体" w:eastAsia="宋体" w:hint="default"/>
          <w:sz w:val="22"/>
          <w:szCs w:val="22"/>
        </w:rPr>
        <w:t>投资者投入的长期股权投资，按照投资合同或协议约定的价值作为投资成本。</w:t>
      </w:r>
    </w:p>
    <w:p>
      <w:pPr>
        <w:spacing w:before="62"/>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）后续计量及损益确认</w:t>
      </w:r>
    </w:p>
    <w:p>
      <w:pPr>
        <w:spacing w:line="240" w:lineRule="auto" w:before="12"/>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本集团能够对被投资单位实施控制的长期股权投资采用成本法核算，并按照初始投资成本计价，</w:t>
      </w:r>
      <w:r>
        <w:rPr>
          <w:rFonts w:ascii="宋体" w:hAnsi="宋体" w:cs="宋体" w:eastAsia="宋体" w:hint="default"/>
          <w:w w:val="100"/>
          <w:sz w:val="22"/>
          <w:szCs w:val="22"/>
        </w:rPr>
        <w:t> </w:t>
      </w:r>
      <w:r>
        <w:rPr>
          <w:rFonts w:ascii="宋体" w:hAnsi="宋体" w:cs="宋体" w:eastAsia="宋体" w:hint="default"/>
          <w:spacing w:val="-2"/>
          <w:sz w:val="22"/>
          <w:szCs w:val="22"/>
        </w:rPr>
        <w:t>追加或收回投资调整长期股权投资的成本。除取得投资时实际支付的价款或对价中包含的已宣告分派</w:t>
      </w:r>
    </w:p>
    <w:p>
      <w:pPr>
        <w:spacing w:after="0" w:line="259" w:lineRule="auto"/>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59" w:lineRule="auto" w:before="32"/>
        <w:ind w:left="153" w:right="1130" w:firstLine="0"/>
        <w:jc w:val="both"/>
        <w:rPr>
          <w:rFonts w:ascii="宋体" w:hAnsi="宋体" w:cs="宋体" w:eastAsia="宋体" w:hint="default"/>
          <w:sz w:val="22"/>
          <w:szCs w:val="22"/>
        </w:rPr>
      </w:pPr>
      <w:r>
        <w:rPr>
          <w:rFonts w:ascii="宋体" w:hAnsi="宋体" w:cs="宋体" w:eastAsia="宋体" w:hint="default"/>
          <w:spacing w:val="-2"/>
          <w:sz w:val="22"/>
          <w:szCs w:val="22"/>
        </w:rPr>
        <w:t>但尚未发放的现金股利或利润外，本集团按照应享有被投资单位宣告分派的现金股利或利润确认为当</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期投资收益。</w:t>
      </w:r>
    </w:p>
    <w:p>
      <w:pPr>
        <w:spacing w:line="240" w:lineRule="auto" w:before="12"/>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本集团对联营企业或合营企业长期股权投资采用权益法核算；对于其中一部分通过风险投资机构、</w:t>
      </w:r>
      <w:r>
        <w:rPr>
          <w:rFonts w:ascii="宋体" w:hAnsi="宋体" w:cs="宋体" w:eastAsia="宋体" w:hint="default"/>
          <w:w w:val="100"/>
          <w:sz w:val="22"/>
          <w:szCs w:val="22"/>
        </w:rPr>
        <w:t> </w:t>
      </w:r>
      <w:r>
        <w:rPr>
          <w:rFonts w:ascii="宋体" w:hAnsi="宋体" w:cs="宋体" w:eastAsia="宋体" w:hint="default"/>
          <w:sz w:val="22"/>
          <w:szCs w:val="22"/>
        </w:rPr>
        <w:t>共同基金、信托公司或包括投连险基金在内的类似主体间接持有的联营企业的权益性投资，采用公允</w:t>
      </w:r>
      <w:r>
        <w:rPr>
          <w:rFonts w:ascii="宋体" w:hAnsi="宋体" w:cs="宋体" w:eastAsia="宋体" w:hint="default"/>
          <w:w w:val="100"/>
          <w:sz w:val="22"/>
          <w:szCs w:val="22"/>
        </w:rPr>
        <w:t> </w:t>
      </w:r>
      <w:r>
        <w:rPr>
          <w:rFonts w:ascii="宋体" w:hAnsi="宋体" w:cs="宋体" w:eastAsia="宋体" w:hint="default"/>
          <w:sz w:val="22"/>
          <w:szCs w:val="22"/>
        </w:rPr>
        <w:t>价值计量且其变动计入损益。</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长期股权投资的初始投资成本大于投资时应享有被投资单位可辨认净资产公允价值份额的差额，</w:t>
      </w:r>
      <w:r>
        <w:rPr>
          <w:rFonts w:ascii="宋体" w:hAnsi="宋体" w:cs="宋体" w:eastAsia="宋体" w:hint="default"/>
          <w:w w:val="100"/>
          <w:sz w:val="22"/>
          <w:szCs w:val="22"/>
        </w:rPr>
        <w:t> </w:t>
      </w:r>
      <w:r>
        <w:rPr>
          <w:rFonts w:ascii="宋体" w:hAnsi="宋体" w:cs="宋体" w:eastAsia="宋体" w:hint="default"/>
          <w:spacing w:val="-2"/>
          <w:sz w:val="22"/>
          <w:szCs w:val="22"/>
        </w:rPr>
        <w:t>不调整长期股权投资的初始投资成本；初始投资成本小于投资时应享有被投资单位可辨认净资产公允</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价值份额的差额，计入当期损益。</w:t>
      </w:r>
    </w:p>
    <w:p>
      <w:pPr>
        <w:spacing w:line="240" w:lineRule="auto" w:before="11"/>
        <w:rPr>
          <w:rFonts w:ascii="宋体" w:hAnsi="宋体" w:cs="宋体" w:eastAsia="宋体" w:hint="default"/>
          <w:sz w:val="18"/>
          <w:szCs w:val="18"/>
        </w:rPr>
      </w:pPr>
    </w:p>
    <w:p>
      <w:pPr>
        <w:spacing w:line="256" w:lineRule="auto" w:before="0"/>
        <w:ind w:left="153" w:right="1122" w:firstLine="441"/>
        <w:jc w:val="both"/>
        <w:rPr>
          <w:rFonts w:ascii="宋体" w:hAnsi="宋体" w:cs="宋体" w:eastAsia="宋体" w:hint="default"/>
          <w:sz w:val="22"/>
          <w:szCs w:val="22"/>
        </w:rPr>
      </w:pPr>
      <w:r>
        <w:rPr>
          <w:rFonts w:ascii="宋体" w:hAnsi="宋体" w:cs="宋体" w:eastAsia="宋体" w:hint="default"/>
          <w:spacing w:val="-2"/>
          <w:sz w:val="22"/>
          <w:szCs w:val="22"/>
        </w:rPr>
        <w:t>本集团取得长期股权投资后，按照应享有或应分担的被投资单位实现的净损益和其他综合收益的</w:t>
      </w:r>
      <w:r>
        <w:rPr>
          <w:rFonts w:ascii="宋体" w:hAnsi="宋体" w:cs="宋体" w:eastAsia="宋体" w:hint="default"/>
          <w:w w:val="100"/>
          <w:sz w:val="22"/>
          <w:szCs w:val="22"/>
        </w:rPr>
        <w:t> </w:t>
      </w:r>
      <w:r>
        <w:rPr>
          <w:rFonts w:ascii="宋体" w:hAnsi="宋体" w:cs="宋体" w:eastAsia="宋体" w:hint="default"/>
          <w:spacing w:val="-2"/>
          <w:sz w:val="22"/>
          <w:szCs w:val="22"/>
        </w:rPr>
        <w:t>份额，分别确认投资收益和其他综合收益，同时调整长期股权投资账面价值；并按照被投资单位宣告</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3"/>
          <w:w w:val="100"/>
          <w:sz w:val="22"/>
          <w:szCs w:val="22"/>
        </w:rPr>
        <w:t>分派的利润或现金股利计算应享有的部分，相应减少长期股权投资的账面价值</w:t>
      </w:r>
      <w:r>
        <w:rPr>
          <w:rFonts w:ascii="Times New Roman" w:hAnsi="Times New Roman" w:cs="Times New Roman" w:eastAsia="Times New Roman" w:hint="default"/>
          <w:spacing w:val="-3"/>
          <w:w w:val="100"/>
          <w:sz w:val="22"/>
          <w:szCs w:val="22"/>
        </w:rPr>
        <w:t>;</w:t>
      </w:r>
      <w:r>
        <w:rPr>
          <w:rFonts w:ascii="宋体" w:hAnsi="宋体" w:cs="宋体" w:eastAsia="宋体" w:hint="default"/>
          <w:spacing w:val="-3"/>
          <w:w w:val="100"/>
          <w:sz w:val="22"/>
          <w:szCs w:val="22"/>
        </w:rPr>
        <w:t>对于被投资单位除净损</w:t>
      </w:r>
      <w:r>
        <w:rPr>
          <w:rFonts w:ascii="宋体" w:hAnsi="宋体" w:cs="宋体" w:eastAsia="宋体" w:hint="default"/>
          <w:spacing w:val="-109"/>
          <w:w w:val="100"/>
          <w:sz w:val="22"/>
          <w:szCs w:val="22"/>
        </w:rPr>
        <w:t> </w:t>
      </w:r>
      <w:r>
        <w:rPr>
          <w:rFonts w:ascii="宋体" w:hAnsi="宋体" w:cs="宋体" w:eastAsia="宋体" w:hint="default"/>
          <w:spacing w:val="-109"/>
          <w:w w:val="100"/>
          <w:sz w:val="22"/>
          <w:szCs w:val="22"/>
        </w:rPr>
      </w:r>
      <w:r>
        <w:rPr>
          <w:rFonts w:ascii="宋体" w:hAnsi="宋体" w:cs="宋体" w:eastAsia="宋体" w:hint="default"/>
          <w:spacing w:val="-2"/>
          <w:sz w:val="22"/>
          <w:szCs w:val="22"/>
        </w:rPr>
        <w:t>益、其他综合收益和利润分配以外所有者权益的其他变动，调整长期股权投资的账面价值并计入所有</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者权益。</w:t>
      </w:r>
    </w:p>
    <w:p>
      <w:pPr>
        <w:spacing w:line="240" w:lineRule="auto" w:before="0"/>
        <w:rPr>
          <w:rFonts w:ascii="宋体" w:hAnsi="宋体" w:cs="宋体" w:eastAsia="宋体" w:hint="default"/>
          <w:sz w:val="19"/>
          <w:szCs w:val="19"/>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本公司在确认应享有被投资单位净损益的份额时，以取得投资时被投资单位各项可辨认资产等的</w:t>
      </w:r>
      <w:r>
        <w:rPr>
          <w:rFonts w:ascii="宋体" w:hAnsi="宋体" w:cs="宋体" w:eastAsia="宋体" w:hint="default"/>
          <w:w w:val="100"/>
          <w:sz w:val="22"/>
          <w:szCs w:val="22"/>
        </w:rPr>
        <w:t> </w:t>
      </w:r>
      <w:r>
        <w:rPr>
          <w:rFonts w:ascii="宋体" w:hAnsi="宋体" w:cs="宋体" w:eastAsia="宋体" w:hint="default"/>
          <w:sz w:val="22"/>
          <w:szCs w:val="22"/>
        </w:rPr>
        <w:t>公允价值为基础，对被投资单位的净利润进行调整后确认。本公司与联营企业、合营企业之间发生的</w:t>
      </w:r>
      <w:r>
        <w:rPr>
          <w:rFonts w:ascii="宋体" w:hAnsi="宋体" w:cs="宋体" w:eastAsia="宋体" w:hint="default"/>
          <w:w w:val="100"/>
          <w:sz w:val="22"/>
          <w:szCs w:val="22"/>
        </w:rPr>
        <w:t> </w:t>
      </w:r>
      <w:r>
        <w:rPr>
          <w:rFonts w:ascii="宋体" w:hAnsi="宋体" w:cs="宋体" w:eastAsia="宋体" w:hint="default"/>
          <w:spacing w:val="-2"/>
          <w:sz w:val="22"/>
          <w:szCs w:val="22"/>
        </w:rPr>
        <w:t>未实现内部交易损益按照应享有的比例计算归属于本公司的部分予以抵销，在此基础上确认投资损益。</w:t>
      </w:r>
    </w:p>
    <w:p>
      <w:pPr>
        <w:spacing w:line="240" w:lineRule="auto" w:before="11"/>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本集团确认应分担被投资单位发生的亏损时，按照以下顺序进行处理：首先，冲减长期股权投资</w:t>
      </w:r>
      <w:r>
        <w:rPr>
          <w:rFonts w:ascii="宋体" w:hAnsi="宋体" w:cs="宋体" w:eastAsia="宋体" w:hint="default"/>
          <w:w w:val="100"/>
          <w:sz w:val="22"/>
          <w:szCs w:val="22"/>
        </w:rPr>
        <w:t> </w:t>
      </w:r>
      <w:r>
        <w:rPr>
          <w:rFonts w:ascii="宋体" w:hAnsi="宋体" w:cs="宋体" w:eastAsia="宋体" w:hint="default"/>
          <w:spacing w:val="-2"/>
          <w:sz w:val="22"/>
          <w:szCs w:val="22"/>
        </w:rPr>
        <w:t>的账面价值。其次，长期股权投资的账面价值不足以冲减的，以其他实质上构成对被投资单位净投资</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7"/>
          <w:w w:val="100"/>
          <w:sz w:val="22"/>
          <w:szCs w:val="22"/>
        </w:rPr>
        <w:t>的长期权益账面价值为限继续确定投资损失，冲减长期应收项目等的账面价值。最后，经过上述处理，</w:t>
      </w:r>
      <w:r>
        <w:rPr>
          <w:rFonts w:ascii="宋体" w:hAnsi="宋体" w:cs="宋体" w:eastAsia="宋体" w:hint="default"/>
          <w:spacing w:val="-92"/>
          <w:w w:val="100"/>
          <w:sz w:val="22"/>
          <w:szCs w:val="22"/>
        </w:rPr>
        <w:t> </w:t>
      </w:r>
      <w:r>
        <w:rPr>
          <w:rFonts w:ascii="宋体" w:hAnsi="宋体" w:cs="宋体" w:eastAsia="宋体" w:hint="default"/>
          <w:spacing w:val="-92"/>
          <w:w w:val="100"/>
          <w:sz w:val="22"/>
          <w:szCs w:val="22"/>
        </w:rPr>
      </w:r>
      <w:r>
        <w:rPr>
          <w:rFonts w:ascii="宋体" w:hAnsi="宋体" w:cs="宋体" w:eastAsia="宋体" w:hint="default"/>
          <w:spacing w:val="-2"/>
          <w:sz w:val="22"/>
          <w:szCs w:val="22"/>
        </w:rPr>
        <w:t>按照投资合同或协议约定企业仍承担额外义务的，按预计承担的义务确认为预计负债，计入当期投资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损失。</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5"/>
          <w:sz w:val="22"/>
          <w:szCs w:val="22"/>
        </w:rPr>
        <w:t>被投资单位以后期间实现盈利的，公司在扣除未确认的亏损分担额后，按与上述相反的顺序处理，</w:t>
      </w:r>
      <w:r>
        <w:rPr>
          <w:rFonts w:ascii="宋体" w:hAnsi="宋体" w:cs="宋体" w:eastAsia="宋体" w:hint="default"/>
          <w:w w:val="100"/>
          <w:sz w:val="22"/>
          <w:szCs w:val="22"/>
        </w:rPr>
        <w:t> </w:t>
      </w:r>
      <w:r>
        <w:rPr>
          <w:rFonts w:ascii="宋体" w:hAnsi="宋体" w:cs="宋体" w:eastAsia="宋体" w:hint="default"/>
          <w:sz w:val="22"/>
          <w:szCs w:val="22"/>
        </w:rPr>
        <w:t>减记已确认预计负债的账面余额、恢复其他实质上构成对被投资单位净投资的长期权益及长期股权投</w:t>
      </w:r>
      <w:r>
        <w:rPr>
          <w:rFonts w:ascii="宋体" w:hAnsi="宋体" w:cs="宋体" w:eastAsia="宋体" w:hint="default"/>
          <w:w w:val="100"/>
          <w:sz w:val="22"/>
          <w:szCs w:val="22"/>
        </w:rPr>
        <w:t> </w:t>
      </w:r>
      <w:r>
        <w:rPr>
          <w:rFonts w:ascii="宋体" w:hAnsi="宋体" w:cs="宋体" w:eastAsia="宋体" w:hint="default"/>
          <w:sz w:val="22"/>
          <w:szCs w:val="22"/>
        </w:rPr>
        <w:t>资的账面价值后，恢复确认投资收益。</w:t>
      </w:r>
    </w:p>
    <w:p>
      <w:pPr>
        <w:spacing w:line="240" w:lineRule="auto" w:before="11"/>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）长期股权投资核算方法的转换</w:t>
      </w:r>
    </w:p>
    <w:p>
      <w:pPr>
        <w:spacing w:line="530" w:lineRule="atLeast" w:before="22"/>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）公允价值计量转权益法核算</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2"/>
          <w:sz w:val="22"/>
          <w:szCs w:val="22"/>
        </w:rPr>
        <w:t>本集团原持有的对被投资单位不具有控制、共同控制或重大影响的按金融工具确认和计量准则进</w:t>
      </w:r>
    </w:p>
    <w:p>
      <w:pPr>
        <w:spacing w:line="252" w:lineRule="auto" w:before="24"/>
        <w:ind w:left="153" w:right="1129" w:firstLine="0"/>
        <w:jc w:val="both"/>
        <w:rPr>
          <w:rFonts w:ascii="宋体" w:hAnsi="宋体" w:cs="宋体" w:eastAsia="宋体" w:hint="default"/>
          <w:sz w:val="22"/>
          <w:szCs w:val="22"/>
        </w:rPr>
      </w:pPr>
      <w:r>
        <w:rPr>
          <w:rFonts w:ascii="宋体" w:hAnsi="宋体" w:cs="宋体" w:eastAsia="宋体" w:hint="default"/>
          <w:spacing w:val="-2"/>
          <w:sz w:val="22"/>
          <w:szCs w:val="22"/>
        </w:rPr>
        <w:t>行会计处理的权益性投资，因追加投资等原因能够对被投资单位施加重大影响或实施共同控制但不构</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成控制的，按照《企业会计准则第</w:t>
      </w:r>
      <w:r>
        <w:rPr>
          <w:rFonts w:ascii="Times New Roman" w:hAnsi="Times New Roman" w:cs="Times New Roman" w:eastAsia="Times New Roman" w:hint="default"/>
          <w:spacing w:val="-2"/>
          <w:sz w:val="22"/>
          <w:szCs w:val="22"/>
        </w:rPr>
        <w:t>22</w:t>
      </w:r>
      <w:r>
        <w:rPr>
          <w:rFonts w:ascii="宋体" w:hAnsi="宋体" w:cs="宋体" w:eastAsia="宋体" w:hint="default"/>
          <w:spacing w:val="-2"/>
          <w:sz w:val="22"/>
          <w:szCs w:val="22"/>
        </w:rPr>
        <w:t>号</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金融工具确认和计量》确定的原持有的股权投资的公允价值</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加上新增投资成本之和，作为改按权益法核算的初始投资成本。</w:t>
      </w:r>
    </w:p>
    <w:p>
      <w:pPr>
        <w:spacing w:line="240" w:lineRule="auto" w:before="4"/>
        <w:rPr>
          <w:rFonts w:ascii="宋体" w:hAnsi="宋体" w:cs="宋体" w:eastAsia="宋体" w:hint="default"/>
          <w:sz w:val="19"/>
          <w:szCs w:val="19"/>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原持有的股权投资分类为可供出售金融资产的，其公允价值与账面价值间的差额，以及原计入其</w:t>
      </w:r>
      <w:r>
        <w:rPr>
          <w:rFonts w:ascii="宋体" w:hAnsi="宋体" w:cs="宋体" w:eastAsia="宋体" w:hint="default"/>
          <w:w w:val="100"/>
          <w:sz w:val="22"/>
          <w:szCs w:val="22"/>
        </w:rPr>
        <w:t> </w:t>
      </w:r>
      <w:r>
        <w:rPr>
          <w:rFonts w:ascii="宋体" w:hAnsi="宋体" w:cs="宋体" w:eastAsia="宋体" w:hint="default"/>
          <w:sz w:val="22"/>
          <w:szCs w:val="22"/>
        </w:rPr>
        <w:t>他综合收益的累计公允价值变动转入改按权益法核算的当期损益。</w:t>
      </w:r>
    </w:p>
    <w:p>
      <w:pPr>
        <w:spacing w:line="240" w:lineRule="auto" w:before="11"/>
        <w:rPr>
          <w:rFonts w:ascii="宋体" w:hAnsi="宋体" w:cs="宋体" w:eastAsia="宋体" w:hint="default"/>
          <w:sz w:val="18"/>
          <w:szCs w:val="18"/>
        </w:rPr>
      </w:pPr>
    </w:p>
    <w:p>
      <w:pPr>
        <w:spacing w:line="259" w:lineRule="auto" w:before="0"/>
        <w:ind w:left="153" w:right="1128" w:firstLine="441"/>
        <w:jc w:val="both"/>
        <w:rPr>
          <w:rFonts w:ascii="宋体" w:hAnsi="宋体" w:cs="宋体" w:eastAsia="宋体" w:hint="default"/>
          <w:sz w:val="22"/>
          <w:szCs w:val="22"/>
        </w:rPr>
      </w:pPr>
      <w:r>
        <w:rPr>
          <w:rFonts w:ascii="宋体" w:hAnsi="宋体" w:cs="宋体" w:eastAsia="宋体" w:hint="default"/>
          <w:spacing w:val="2"/>
          <w:sz w:val="22"/>
          <w:szCs w:val="22"/>
        </w:rPr>
        <w:t>按权益法核算的初始投资成本小于按照追加投资后全新的股权比例计算确定的应享有被投资单</w:t>
      </w:r>
      <w:r>
        <w:rPr>
          <w:rFonts w:ascii="宋体" w:hAnsi="宋体" w:cs="宋体" w:eastAsia="宋体" w:hint="default"/>
          <w:w w:val="100"/>
          <w:sz w:val="22"/>
          <w:szCs w:val="22"/>
        </w:rPr>
        <w:t> </w:t>
      </w:r>
      <w:r>
        <w:rPr>
          <w:rFonts w:ascii="宋体" w:hAnsi="宋体" w:cs="宋体" w:eastAsia="宋体" w:hint="default"/>
          <w:spacing w:val="-2"/>
          <w:sz w:val="22"/>
          <w:szCs w:val="22"/>
        </w:rPr>
        <w:t>位在追加投资日可辨认净资产公允价值份额之间的差额，调整长期股权投资的账面价值，并计入当期</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营业外收入。</w:t>
      </w:r>
    </w:p>
    <w:p>
      <w:pPr>
        <w:spacing w:after="0" w:line="259" w:lineRule="auto"/>
        <w:jc w:val="both"/>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before="32"/>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）公允价值计量或权益法核算转成本法核算</w:t>
      </w:r>
    </w:p>
    <w:p>
      <w:pPr>
        <w:spacing w:line="240" w:lineRule="auto" w:before="12"/>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本集团原持有的对被投资单位不具有控制、共同控制或重大影响的按金融工具确认和计量准则进</w:t>
      </w:r>
      <w:r>
        <w:rPr>
          <w:rFonts w:ascii="宋体" w:hAnsi="宋体" w:cs="宋体" w:eastAsia="宋体" w:hint="default"/>
          <w:w w:val="100"/>
          <w:sz w:val="22"/>
          <w:szCs w:val="22"/>
        </w:rPr>
        <w:t> </w:t>
      </w:r>
      <w:r>
        <w:rPr>
          <w:rFonts w:ascii="宋体" w:hAnsi="宋体" w:cs="宋体" w:eastAsia="宋体" w:hint="default"/>
          <w:spacing w:val="-2"/>
          <w:sz w:val="22"/>
          <w:szCs w:val="22"/>
        </w:rPr>
        <w:t>行会计处理的权益性投资，或原持有对联营企业、合营企业的长期股权投资，因追加投资等原因能够</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对非同一控制下的被投资单位实施控制的，在编制个别财务报表时，按照原持有的股权投资账面价值</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加上新增投资成本之和，作为改按成本法核算的初始投资成本。</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购买日之前持有的股权投资因采用权益法核算而确认的其他综合收益，在处置该项投资时采用与</w:t>
      </w:r>
      <w:r>
        <w:rPr>
          <w:rFonts w:ascii="宋体" w:hAnsi="宋体" w:cs="宋体" w:eastAsia="宋体" w:hint="default"/>
          <w:w w:val="100"/>
          <w:sz w:val="22"/>
          <w:szCs w:val="22"/>
        </w:rPr>
        <w:t> </w:t>
      </w:r>
      <w:r>
        <w:rPr>
          <w:rFonts w:ascii="宋体" w:hAnsi="宋体" w:cs="宋体" w:eastAsia="宋体" w:hint="default"/>
          <w:sz w:val="22"/>
          <w:szCs w:val="22"/>
        </w:rPr>
        <w:t>被投资单位直接处置相关资产或负债相同的基础进行会计处理。</w:t>
      </w:r>
    </w:p>
    <w:p>
      <w:pPr>
        <w:spacing w:line="240" w:lineRule="auto" w:before="11"/>
        <w:rPr>
          <w:rFonts w:ascii="宋体" w:hAnsi="宋体" w:cs="宋体" w:eastAsia="宋体" w:hint="default"/>
          <w:sz w:val="18"/>
          <w:szCs w:val="18"/>
        </w:rPr>
      </w:pPr>
    </w:p>
    <w:p>
      <w:pPr>
        <w:spacing w:line="244"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购买日之前持有的股权投资按照《企业会计准则第</w:t>
      </w:r>
      <w:r>
        <w:rPr>
          <w:rFonts w:ascii="Times New Roman" w:hAnsi="Times New Roman" w:cs="Times New Roman" w:eastAsia="Times New Roman" w:hint="default"/>
          <w:spacing w:val="-2"/>
          <w:sz w:val="22"/>
          <w:szCs w:val="22"/>
        </w:rPr>
        <w:t>22</w:t>
      </w:r>
      <w:r>
        <w:rPr>
          <w:rFonts w:ascii="宋体" w:hAnsi="宋体" w:cs="宋体" w:eastAsia="宋体" w:hint="default"/>
          <w:spacing w:val="-2"/>
          <w:sz w:val="22"/>
          <w:szCs w:val="22"/>
        </w:rPr>
        <w:t>号</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金融工具确认和计量》的有关规定进行</w:t>
      </w:r>
      <w:r>
        <w:rPr>
          <w:rFonts w:ascii="宋体" w:hAnsi="宋体" w:cs="宋体" w:eastAsia="宋体" w:hint="default"/>
          <w:w w:val="100"/>
          <w:sz w:val="22"/>
          <w:szCs w:val="22"/>
        </w:rPr>
        <w:t> </w:t>
      </w:r>
      <w:r>
        <w:rPr>
          <w:rFonts w:ascii="宋体" w:hAnsi="宋体" w:cs="宋体" w:eastAsia="宋体" w:hint="default"/>
          <w:sz w:val="22"/>
          <w:szCs w:val="22"/>
        </w:rPr>
        <w:t>会计处理的，原计入其他综合收益的累计公允价值变动在改按成本法核算时转入当期损益。</w:t>
      </w:r>
    </w:p>
    <w:p>
      <w:pPr>
        <w:spacing w:line="530" w:lineRule="atLeast" w:before="34"/>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）权益法核算转公允价值计量</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2"/>
          <w:sz w:val="22"/>
          <w:szCs w:val="22"/>
        </w:rPr>
        <w:t>本集团因处置部分股权投资等原因丧失了对被投资单位的共同控制或重大影响的，处置后的剩余</w:t>
      </w:r>
    </w:p>
    <w:p>
      <w:pPr>
        <w:spacing w:line="244" w:lineRule="auto" w:before="24"/>
        <w:ind w:left="153" w:right="1130" w:firstLine="0"/>
        <w:jc w:val="both"/>
        <w:rPr>
          <w:rFonts w:ascii="宋体" w:hAnsi="宋体" w:cs="宋体" w:eastAsia="宋体" w:hint="default"/>
          <w:sz w:val="22"/>
          <w:szCs w:val="22"/>
        </w:rPr>
      </w:pPr>
      <w:r>
        <w:rPr>
          <w:rFonts w:ascii="宋体" w:hAnsi="宋体" w:cs="宋体" w:eastAsia="宋体" w:hint="default"/>
          <w:spacing w:val="-2"/>
          <w:sz w:val="22"/>
          <w:szCs w:val="22"/>
        </w:rPr>
        <w:t>股权改按《企业会计准则第</w:t>
      </w:r>
      <w:r>
        <w:rPr>
          <w:rFonts w:ascii="Times New Roman" w:hAnsi="Times New Roman" w:cs="Times New Roman" w:eastAsia="Times New Roman" w:hint="default"/>
          <w:spacing w:val="-2"/>
          <w:sz w:val="22"/>
          <w:szCs w:val="22"/>
        </w:rPr>
        <w:t>22</w:t>
      </w:r>
      <w:r>
        <w:rPr>
          <w:rFonts w:ascii="宋体" w:hAnsi="宋体" w:cs="宋体" w:eastAsia="宋体" w:hint="default"/>
          <w:spacing w:val="-2"/>
          <w:sz w:val="22"/>
          <w:szCs w:val="22"/>
        </w:rPr>
        <w:t>号</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金融工具确认和计量》核算，其在丧失共同控制或重大影响之日的</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公允价值与账面价值间的差额计入当期损益。</w:t>
      </w:r>
    </w:p>
    <w:p>
      <w:pPr>
        <w:spacing w:line="240" w:lineRule="auto" w:before="11"/>
        <w:rPr>
          <w:rFonts w:ascii="宋体" w:hAnsi="宋体" w:cs="宋体" w:eastAsia="宋体" w:hint="default"/>
          <w:sz w:val="19"/>
          <w:szCs w:val="19"/>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原股权投资因采用权益法核算而确认的其他综合收益，在终止采用权益法核算时采用与被投资单</w:t>
      </w:r>
      <w:r>
        <w:rPr>
          <w:rFonts w:ascii="宋体" w:hAnsi="宋体" w:cs="宋体" w:eastAsia="宋体" w:hint="default"/>
          <w:w w:val="100"/>
          <w:sz w:val="22"/>
          <w:szCs w:val="22"/>
        </w:rPr>
        <w:t> </w:t>
      </w:r>
      <w:r>
        <w:rPr>
          <w:rFonts w:ascii="宋体" w:hAnsi="宋体" w:cs="宋体" w:eastAsia="宋体" w:hint="default"/>
          <w:sz w:val="22"/>
          <w:szCs w:val="22"/>
        </w:rPr>
        <w:t>位直接处置相关资产或负债相同的基础进行会计处理。</w:t>
      </w:r>
    </w:p>
    <w:p>
      <w:pPr>
        <w:spacing w:line="530" w:lineRule="atLeast" w:before="21"/>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）成本法转权益法</w:t>
      </w:r>
      <w:r>
        <w:rPr>
          <w:rFonts w:ascii="宋体" w:hAnsi="宋体" w:cs="宋体" w:eastAsia="宋体" w:hint="default"/>
          <w:spacing w:val="-104"/>
          <w:sz w:val="22"/>
          <w:szCs w:val="22"/>
        </w:rPr>
        <w:t> </w:t>
      </w:r>
      <w:r>
        <w:rPr>
          <w:rFonts w:ascii="宋体" w:hAnsi="宋体" w:cs="宋体" w:eastAsia="宋体" w:hint="default"/>
          <w:spacing w:val="-2"/>
          <w:sz w:val="22"/>
          <w:szCs w:val="22"/>
        </w:rPr>
        <w:t>本集团因处置部分权益性投资等原因丧失了对被投资单位的控制的，在编制个别财务报表时，处</w:t>
      </w:r>
    </w:p>
    <w:p>
      <w:pPr>
        <w:spacing w:line="259" w:lineRule="auto" w:before="24"/>
        <w:ind w:left="153" w:right="1130" w:firstLine="0"/>
        <w:jc w:val="both"/>
        <w:rPr>
          <w:rFonts w:ascii="宋体" w:hAnsi="宋体" w:cs="宋体" w:eastAsia="宋体" w:hint="default"/>
          <w:sz w:val="22"/>
          <w:szCs w:val="22"/>
        </w:rPr>
      </w:pPr>
      <w:r>
        <w:rPr>
          <w:rFonts w:ascii="宋体" w:hAnsi="宋体" w:cs="宋体" w:eastAsia="宋体" w:hint="default"/>
          <w:spacing w:val="-2"/>
          <w:sz w:val="22"/>
          <w:szCs w:val="22"/>
        </w:rPr>
        <w:t>置后的剩余股权能够对被投资单位实施共同控制或施加重大影响的，改按权益法核算，并对该剩余股</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权视同自取得时即采用权益法核算进行调整。</w:t>
      </w:r>
    </w:p>
    <w:p>
      <w:pPr>
        <w:spacing w:line="530" w:lineRule="atLeast" w:before="21"/>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）成本法转公允价值计量</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2"/>
          <w:sz w:val="22"/>
          <w:szCs w:val="22"/>
        </w:rPr>
        <w:t>本集团因处置部分权益性投资等原因丧失了对被投资单位的控制的，在编制个别财务报表时，处</w:t>
      </w:r>
    </w:p>
    <w:p>
      <w:pPr>
        <w:spacing w:line="254" w:lineRule="auto" w:before="24"/>
        <w:ind w:left="153" w:right="1127" w:firstLine="0"/>
        <w:jc w:val="both"/>
        <w:rPr>
          <w:rFonts w:ascii="宋体" w:hAnsi="宋体" w:cs="宋体" w:eastAsia="宋体" w:hint="default"/>
          <w:sz w:val="22"/>
          <w:szCs w:val="22"/>
        </w:rPr>
      </w:pPr>
      <w:r>
        <w:rPr>
          <w:rFonts w:ascii="宋体" w:hAnsi="宋体" w:cs="宋体" w:eastAsia="宋体" w:hint="default"/>
          <w:spacing w:val="-2"/>
          <w:sz w:val="22"/>
          <w:szCs w:val="22"/>
        </w:rPr>
        <w:t>置后的剩余股权不能对被投资单位实施共同控制或施加重大影响的，改按《企业会计准则第</w:t>
      </w:r>
      <w:r>
        <w:rPr>
          <w:rFonts w:ascii="Times New Roman" w:hAnsi="Times New Roman" w:cs="Times New Roman" w:eastAsia="Times New Roman" w:hint="default"/>
          <w:spacing w:val="-2"/>
          <w:sz w:val="22"/>
          <w:szCs w:val="22"/>
        </w:rPr>
        <w:t>22</w:t>
      </w:r>
      <w:r>
        <w:rPr>
          <w:rFonts w:ascii="宋体" w:hAnsi="宋体" w:cs="宋体" w:eastAsia="宋体" w:hint="default"/>
          <w:spacing w:val="-2"/>
          <w:sz w:val="22"/>
          <w:szCs w:val="22"/>
        </w:rPr>
        <w:t>号</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金</w:t>
      </w:r>
      <w:r>
        <w:rPr>
          <w:rFonts w:ascii="宋体" w:hAnsi="宋体" w:cs="宋体" w:eastAsia="宋体" w:hint="default"/>
          <w:spacing w:val="-62"/>
          <w:sz w:val="22"/>
          <w:szCs w:val="22"/>
        </w:rPr>
        <w:t> </w:t>
      </w:r>
      <w:r>
        <w:rPr>
          <w:rFonts w:ascii="宋体" w:hAnsi="宋体" w:cs="宋体" w:eastAsia="宋体" w:hint="default"/>
          <w:spacing w:val="-2"/>
          <w:sz w:val="22"/>
          <w:szCs w:val="22"/>
        </w:rPr>
        <w:t>融工具确认和计量》的有关规定进行会计处理，其在丧失控制之日的公允价值与账面价值间的差额计</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入当期损益。</w:t>
      </w:r>
    </w:p>
    <w:p>
      <w:pPr>
        <w:spacing w:line="530" w:lineRule="atLeast" w:before="25"/>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）长期股权投资的处置</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2"/>
          <w:sz w:val="22"/>
          <w:szCs w:val="22"/>
        </w:rPr>
        <w:t>处置长期股权投资，其账面价值与实际取得价款的差额，计入当期投资收益。采用权益法核算的</w:t>
      </w:r>
    </w:p>
    <w:p>
      <w:pPr>
        <w:spacing w:line="259" w:lineRule="auto" w:before="24"/>
        <w:ind w:left="153" w:right="1130" w:firstLine="0"/>
        <w:jc w:val="both"/>
        <w:rPr>
          <w:rFonts w:ascii="宋体" w:hAnsi="宋体" w:cs="宋体" w:eastAsia="宋体" w:hint="default"/>
          <w:sz w:val="22"/>
          <w:szCs w:val="22"/>
        </w:rPr>
      </w:pPr>
      <w:r>
        <w:rPr>
          <w:rFonts w:ascii="宋体" w:hAnsi="宋体" w:cs="宋体" w:eastAsia="宋体" w:hint="default"/>
          <w:spacing w:val="-2"/>
          <w:sz w:val="22"/>
          <w:szCs w:val="22"/>
        </w:rPr>
        <w:t>长期股权投资，在处置该项投资时，采用与被投资单位直接处置相关资产或负债相同的基础，按相应</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比例对原计入其他综合收益的部分进行会计处理</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处置对子公司股权投资的各项交易的条款、条件以及经济影响符合以下一种或多种情况，将该多</w:t>
      </w:r>
      <w:r>
        <w:rPr>
          <w:rFonts w:ascii="宋体" w:hAnsi="宋体" w:cs="宋体" w:eastAsia="宋体" w:hint="default"/>
          <w:w w:val="100"/>
          <w:sz w:val="22"/>
          <w:szCs w:val="22"/>
        </w:rPr>
        <w:t> </w:t>
      </w:r>
      <w:r>
        <w:rPr>
          <w:rFonts w:ascii="宋体" w:hAnsi="宋体" w:cs="宋体" w:eastAsia="宋体" w:hint="default"/>
          <w:sz w:val="22"/>
          <w:szCs w:val="22"/>
        </w:rPr>
        <w:t>次交易作为一揽子交易进行会计处理：</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）这些交易是同时或者在考虑了彼此影响的情况下订立的；</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）这些交易整体才能达成一项完整的商业结果；</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before="32"/>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）一项交易的发生取决于其他至少一项交易的发生；</w:t>
      </w:r>
    </w:p>
    <w:p>
      <w:pPr>
        <w:spacing w:line="530" w:lineRule="atLeast" w:before="22"/>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）一项交易单独看是不经济的，但是和其他交易一并考虑时是经济的。</w:t>
      </w:r>
      <w:r>
        <w:rPr>
          <w:rFonts w:ascii="宋体" w:hAnsi="宋体" w:cs="宋体" w:eastAsia="宋体" w:hint="default"/>
          <w:w w:val="100"/>
          <w:sz w:val="22"/>
          <w:szCs w:val="22"/>
        </w:rPr>
        <w:t> </w:t>
      </w:r>
      <w:r>
        <w:rPr>
          <w:rFonts w:ascii="宋体" w:hAnsi="宋体" w:cs="宋体" w:eastAsia="宋体" w:hint="default"/>
          <w:spacing w:val="-2"/>
          <w:sz w:val="22"/>
          <w:szCs w:val="22"/>
        </w:rPr>
        <w:t>因处置部分股权投资或其他原因丧失了对原有子公司控制权的，不属于一揽子交易的，区分个别</w:t>
      </w:r>
    </w:p>
    <w:p>
      <w:pPr>
        <w:spacing w:before="24"/>
        <w:ind w:left="153" w:right="0" w:firstLine="0"/>
        <w:jc w:val="left"/>
        <w:rPr>
          <w:rFonts w:ascii="宋体" w:hAnsi="宋体" w:cs="宋体" w:eastAsia="宋体" w:hint="default"/>
          <w:sz w:val="22"/>
          <w:szCs w:val="22"/>
        </w:rPr>
      </w:pPr>
      <w:r>
        <w:rPr>
          <w:rFonts w:ascii="宋体" w:hAnsi="宋体" w:cs="宋体" w:eastAsia="宋体" w:hint="default"/>
          <w:sz w:val="22"/>
          <w:szCs w:val="22"/>
        </w:rPr>
        <w:t>财务报表和合并财务报表进行相关会计处理：</w:t>
      </w:r>
    </w:p>
    <w:p>
      <w:pPr>
        <w:spacing w:line="240" w:lineRule="auto" w:before="2"/>
        <w:rPr>
          <w:rFonts w:ascii="宋体" w:hAnsi="宋体" w:cs="宋体" w:eastAsia="宋体" w:hint="default"/>
          <w:sz w:val="20"/>
          <w:szCs w:val="20"/>
        </w:rPr>
      </w:pPr>
    </w:p>
    <w:p>
      <w:pPr>
        <w:spacing w:line="252" w:lineRule="auto" w:before="0"/>
        <w:ind w:left="153" w:right="1123" w:firstLine="441"/>
        <w:jc w:val="both"/>
        <w:rPr>
          <w:rFonts w:ascii="宋体" w:hAnsi="宋体" w:cs="宋体" w:eastAsia="宋体" w:hint="default"/>
          <w:sz w:val="22"/>
          <w:szCs w:val="22"/>
        </w:rPr>
      </w:pPr>
      <w:r>
        <w:rPr>
          <w:rFonts w:ascii="Times New Roman" w:hAnsi="Times New Roman" w:cs="Times New Roman" w:eastAsia="Times New Roman" w:hint="default"/>
          <w:spacing w:val="-5"/>
          <w:sz w:val="22"/>
          <w:szCs w:val="22"/>
        </w:rPr>
        <w:t>1</w:t>
      </w:r>
      <w:r>
        <w:rPr>
          <w:rFonts w:ascii="宋体" w:hAnsi="宋体" w:cs="宋体" w:eastAsia="宋体" w:hint="default"/>
          <w:spacing w:val="-5"/>
          <w:sz w:val="22"/>
          <w:szCs w:val="22"/>
        </w:rPr>
        <w:t>）在个别财务报表中，对于处置的股权，其账面价值与实际取得价款之间的差额计入当期损益。</w:t>
      </w:r>
      <w:r>
        <w:rPr>
          <w:rFonts w:ascii="宋体" w:hAnsi="宋体" w:cs="宋体" w:eastAsia="宋体" w:hint="default"/>
          <w:w w:val="100"/>
          <w:sz w:val="22"/>
          <w:szCs w:val="22"/>
        </w:rPr>
        <w:t> </w:t>
      </w:r>
      <w:r>
        <w:rPr>
          <w:rFonts w:ascii="宋体" w:hAnsi="宋体" w:cs="宋体" w:eastAsia="宋体" w:hint="default"/>
          <w:spacing w:val="-2"/>
          <w:sz w:val="22"/>
          <w:szCs w:val="22"/>
        </w:rPr>
        <w:t>处置后的剩余股权能够对被投资单位实施共同控制或施加重大影响的，改按权益法核算，并对该剩余</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股权视同自取得时即采用权益法核算进行调整；处置后的剩余股权不能对被投资单位实施共同控制或</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pacing w:val="-2"/>
          <w:sz w:val="22"/>
          <w:szCs w:val="22"/>
        </w:rPr>
        <w:t>施加重大影响的，改按《企业会计准则第</w:t>
      </w:r>
      <w:r>
        <w:rPr>
          <w:rFonts w:ascii="Times New Roman" w:hAnsi="Times New Roman" w:cs="Times New Roman" w:eastAsia="Times New Roman" w:hint="default"/>
          <w:spacing w:val="-2"/>
          <w:sz w:val="22"/>
          <w:szCs w:val="22"/>
        </w:rPr>
        <w:t>22</w:t>
      </w:r>
      <w:r>
        <w:rPr>
          <w:rFonts w:ascii="宋体" w:hAnsi="宋体" w:cs="宋体" w:eastAsia="宋体" w:hint="default"/>
          <w:spacing w:val="-2"/>
          <w:sz w:val="22"/>
          <w:szCs w:val="22"/>
        </w:rPr>
        <w:t>号</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金融工具确认和计量》的有关规定进行会计处理，其</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在丧失控制之日的公允价值与账面价值间的差额计入当期投资损益。</w:t>
      </w:r>
    </w:p>
    <w:p>
      <w:pPr>
        <w:spacing w:line="240" w:lineRule="auto" w:before="4"/>
        <w:rPr>
          <w:rFonts w:ascii="宋体" w:hAnsi="宋体" w:cs="宋体" w:eastAsia="宋体" w:hint="default"/>
          <w:sz w:val="19"/>
          <w:szCs w:val="19"/>
        </w:rPr>
      </w:pPr>
    </w:p>
    <w:p>
      <w:pPr>
        <w:spacing w:line="256" w:lineRule="auto" w:before="0"/>
        <w:ind w:left="153" w:right="1125"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）在合并财务报表中，对于在丧失对子公司控制权以前的各项交易，处置价款与处置长期股权</w:t>
      </w:r>
      <w:r>
        <w:rPr>
          <w:rFonts w:ascii="宋体" w:hAnsi="宋体" w:cs="宋体" w:eastAsia="宋体" w:hint="default"/>
          <w:w w:val="100"/>
          <w:sz w:val="22"/>
          <w:szCs w:val="22"/>
        </w:rPr>
        <w:t> </w:t>
      </w:r>
      <w:r>
        <w:rPr>
          <w:rFonts w:ascii="宋体" w:hAnsi="宋体" w:cs="宋体" w:eastAsia="宋体" w:hint="default"/>
          <w:spacing w:val="-2"/>
          <w:sz w:val="22"/>
          <w:szCs w:val="22"/>
        </w:rPr>
        <w:t>投资相应对享有子公司自购买日或合并日开始持续计量的净资产份额之间的差额，调整资本公积（股</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pacing w:val="-2"/>
          <w:sz w:val="22"/>
          <w:szCs w:val="22"/>
        </w:rPr>
        <w:t>本溢价），资本公积不足冲减的，调整留存收益；在丧失对子公司控制权时，对于剩余股权，按照其</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在丧失控制权日的公允价值进行重新计量。处置股权取得的对价与剩余股权公允价值之和，减去按原</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持股比例计算应享有原子公司自购买日开始持续计算的净资产的份额之间的差额，计入丧失控制权当</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期的投资收益，同时冲减商誉。与原有子公司股权投资相关的其他综合收益等，在丧失控制权时转为</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当期投资收益。</w:t>
      </w:r>
    </w:p>
    <w:p>
      <w:pPr>
        <w:spacing w:line="240" w:lineRule="auto" w:before="0"/>
        <w:rPr>
          <w:rFonts w:ascii="宋体" w:hAnsi="宋体" w:cs="宋体" w:eastAsia="宋体" w:hint="default"/>
          <w:sz w:val="19"/>
          <w:szCs w:val="19"/>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处置对子公司股权投资直至丧失控制权的各项交易属于一揽子交易的，将各项交易作为一项处置</w:t>
      </w:r>
      <w:r>
        <w:rPr>
          <w:rFonts w:ascii="宋体" w:hAnsi="宋体" w:cs="宋体" w:eastAsia="宋体" w:hint="default"/>
          <w:w w:val="100"/>
          <w:sz w:val="22"/>
          <w:szCs w:val="22"/>
        </w:rPr>
        <w:t> </w:t>
      </w:r>
      <w:r>
        <w:rPr>
          <w:rFonts w:ascii="宋体" w:hAnsi="宋体" w:cs="宋体" w:eastAsia="宋体" w:hint="default"/>
          <w:spacing w:val="-2"/>
          <w:sz w:val="22"/>
          <w:szCs w:val="22"/>
        </w:rPr>
        <w:t>子公司股权投资并丧失控制权的交易进行会计处理，区分个别财务报表和合并财务报表进行相关会计</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处理：</w:t>
      </w:r>
    </w:p>
    <w:p>
      <w:pPr>
        <w:spacing w:line="240" w:lineRule="auto" w:before="11"/>
        <w:rPr>
          <w:rFonts w:ascii="宋体" w:hAnsi="宋体" w:cs="宋体" w:eastAsia="宋体" w:hint="default"/>
          <w:sz w:val="18"/>
          <w:szCs w:val="18"/>
        </w:rPr>
      </w:pPr>
    </w:p>
    <w:p>
      <w:pPr>
        <w:spacing w:line="247" w:lineRule="auto" w:before="0"/>
        <w:ind w:left="153" w:right="1136"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）在个别财务报表中，在丧失控制权之前每一次处置价款与处置的股权对应的长期股权投资账</w:t>
      </w:r>
      <w:r>
        <w:rPr>
          <w:rFonts w:ascii="宋体" w:hAnsi="宋体" w:cs="宋体" w:eastAsia="宋体" w:hint="default"/>
          <w:w w:val="100"/>
          <w:sz w:val="22"/>
          <w:szCs w:val="22"/>
        </w:rPr>
        <w:t> </w:t>
      </w:r>
      <w:r>
        <w:rPr>
          <w:rFonts w:ascii="宋体" w:hAnsi="宋体" w:cs="宋体" w:eastAsia="宋体" w:hint="default"/>
          <w:sz w:val="22"/>
          <w:szCs w:val="22"/>
        </w:rPr>
        <w:t>面价值之间的差额，确认为其他综合收益，在丧失控制权时一并转入丧失控制权当期的损益。</w:t>
      </w:r>
    </w:p>
    <w:p>
      <w:pPr>
        <w:spacing w:line="240" w:lineRule="auto" w:before="9"/>
        <w:rPr>
          <w:rFonts w:ascii="宋体" w:hAnsi="宋体" w:cs="宋体" w:eastAsia="宋体" w:hint="default"/>
          <w:sz w:val="19"/>
          <w:szCs w:val="19"/>
        </w:rPr>
      </w:pPr>
    </w:p>
    <w:p>
      <w:pPr>
        <w:spacing w:line="244" w:lineRule="auto" w:before="0"/>
        <w:ind w:left="153" w:right="1136"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）在合并财务报表中，在丧失控制权之前每一次处置价款与处置投资对应的享有该子公司净资</w:t>
      </w:r>
      <w:r>
        <w:rPr>
          <w:rFonts w:ascii="宋体" w:hAnsi="宋体" w:cs="宋体" w:eastAsia="宋体" w:hint="default"/>
          <w:w w:val="100"/>
          <w:sz w:val="22"/>
          <w:szCs w:val="22"/>
        </w:rPr>
        <w:t> </w:t>
      </w:r>
      <w:r>
        <w:rPr>
          <w:rFonts w:ascii="宋体" w:hAnsi="宋体" w:cs="宋体" w:eastAsia="宋体" w:hint="default"/>
          <w:sz w:val="22"/>
          <w:szCs w:val="22"/>
        </w:rPr>
        <w:t>产份额的差额，确认为其他综合收益，在丧失控制权时一并转入丧失控制权当期的损益。</w:t>
      </w:r>
    </w:p>
    <w:p>
      <w:pPr>
        <w:spacing w:line="530" w:lineRule="atLeast" w:before="34"/>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）共同控制、重大影响的判断标准</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如果本集团按照相关约定与其他参与方集体控制某项安排，并且对该安排回报具有重大影响的活</w:t>
      </w:r>
    </w:p>
    <w:p>
      <w:pPr>
        <w:spacing w:line="259" w:lineRule="auto" w:before="24"/>
        <w:ind w:left="153" w:right="0" w:firstLine="0"/>
        <w:jc w:val="left"/>
        <w:rPr>
          <w:rFonts w:ascii="宋体" w:hAnsi="宋体" w:cs="宋体" w:eastAsia="宋体" w:hint="default"/>
          <w:sz w:val="22"/>
          <w:szCs w:val="22"/>
        </w:rPr>
      </w:pPr>
      <w:r>
        <w:rPr>
          <w:rFonts w:ascii="宋体" w:hAnsi="宋体" w:cs="宋体" w:eastAsia="宋体" w:hint="default"/>
          <w:spacing w:val="-2"/>
          <w:sz w:val="22"/>
          <w:szCs w:val="22"/>
        </w:rPr>
        <w:t>动决策，需要经过分享控制权的参与方一致同意时才存在，则视为本集团与其他参与方共同控制某项</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安排，该安排即属于合营安排。</w:t>
      </w:r>
    </w:p>
    <w:p>
      <w:pPr>
        <w:spacing w:line="240" w:lineRule="auto" w:before="11"/>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合营安排通过单独主体达成的，根据相关约定判断本集团对该单独主体的净资产享有权利时，将</w:t>
      </w:r>
      <w:r>
        <w:rPr>
          <w:rFonts w:ascii="宋体" w:hAnsi="宋体" w:cs="宋体" w:eastAsia="宋体" w:hint="default"/>
          <w:w w:val="100"/>
          <w:sz w:val="22"/>
          <w:szCs w:val="22"/>
        </w:rPr>
        <w:t> </w:t>
      </w:r>
      <w:r>
        <w:rPr>
          <w:rFonts w:ascii="宋体" w:hAnsi="宋体" w:cs="宋体" w:eastAsia="宋体" w:hint="default"/>
          <w:spacing w:val="-2"/>
          <w:sz w:val="22"/>
          <w:szCs w:val="22"/>
        </w:rPr>
        <w:t>该单独主体作为合营企业，采用权益法核算。若根据相关约定判断本公司并非对该单独主体的净资产</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享有权利时，该单独主体作为共同经营，本集团确认与共同经营利益份额相关的项目，并按照相关企</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业会计准则的规定进行会计处理。</w:t>
      </w:r>
    </w:p>
    <w:p>
      <w:pPr>
        <w:spacing w:line="240" w:lineRule="auto" w:before="11"/>
        <w:rPr>
          <w:rFonts w:ascii="宋体" w:hAnsi="宋体" w:cs="宋体" w:eastAsia="宋体" w:hint="default"/>
          <w:sz w:val="18"/>
          <w:szCs w:val="18"/>
        </w:rPr>
      </w:pPr>
    </w:p>
    <w:p>
      <w:pPr>
        <w:spacing w:line="259" w:lineRule="auto" w:before="0"/>
        <w:ind w:left="153" w:right="1124" w:firstLine="441"/>
        <w:jc w:val="both"/>
        <w:rPr>
          <w:rFonts w:ascii="宋体" w:hAnsi="宋体" w:cs="宋体" w:eastAsia="宋体" w:hint="default"/>
          <w:sz w:val="22"/>
          <w:szCs w:val="22"/>
        </w:rPr>
      </w:pPr>
      <w:r>
        <w:rPr>
          <w:rFonts w:ascii="宋体" w:hAnsi="宋体" w:cs="宋体" w:eastAsia="宋体" w:hint="default"/>
          <w:spacing w:val="-2"/>
          <w:sz w:val="22"/>
          <w:szCs w:val="22"/>
        </w:rPr>
        <w:t>重大影响，是指投资方对被投资单位的财务和经营政策有参与决策的权力，但并不能够控制或者</w:t>
      </w:r>
      <w:r>
        <w:rPr>
          <w:rFonts w:ascii="宋体" w:hAnsi="宋体" w:cs="宋体" w:eastAsia="宋体" w:hint="default"/>
          <w:w w:val="100"/>
          <w:sz w:val="22"/>
          <w:szCs w:val="22"/>
        </w:rPr>
        <w:t> </w:t>
      </w:r>
      <w:r>
        <w:rPr>
          <w:rFonts w:ascii="宋体" w:hAnsi="宋体" w:cs="宋体" w:eastAsia="宋体" w:hint="default"/>
          <w:spacing w:val="-2"/>
          <w:sz w:val="22"/>
          <w:szCs w:val="22"/>
        </w:rPr>
        <w:t>与其他方一起共同控制这些政策的制定。本集团通过以下一种或多种情形，并综合考虑所有事实和情</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况后，判断对被投资单位具有重大影响。</w:t>
      </w:r>
    </w:p>
    <w:p>
      <w:pPr>
        <w:spacing w:line="240" w:lineRule="auto" w:before="11"/>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）在被投资单位的董事会或类似权力机构中派有代表；</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before="32"/>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）参与被投资单位财务和经营政策制定过程；</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）与被投资单位之间发生重要交易；</w:t>
      </w:r>
    </w:p>
    <w:p>
      <w:pPr>
        <w:spacing w:line="240" w:lineRule="auto" w:before="13"/>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）向被投资单位派出管理人员；</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）向被投资单位提供关键技术资料。</w:t>
      </w:r>
    </w:p>
    <w:p>
      <w:pPr>
        <w:spacing w:line="240" w:lineRule="auto" w:before="3"/>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3、投资性房地产" w:id="190"/>
      <w:bookmarkEnd w:id="190"/>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60" w:lineRule="auto" w:before="0"/>
        <w:ind w:left="153" w:right="8765" w:firstLine="0"/>
        <w:jc w:val="left"/>
        <w:rPr>
          <w:rFonts w:ascii="宋体" w:hAnsi="宋体" w:cs="宋体" w:eastAsia="宋体" w:hint="default"/>
          <w:sz w:val="18"/>
          <w:szCs w:val="18"/>
        </w:rPr>
      </w:pPr>
      <w:r>
        <w:rPr>
          <w:rFonts w:ascii="宋体" w:hAnsi="宋体" w:cs="宋体" w:eastAsia="宋体" w:hint="default"/>
          <w:spacing w:val="-2"/>
          <w:sz w:val="18"/>
          <w:szCs w:val="18"/>
        </w:rPr>
        <w:t>投资性房地产计量模式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成本法计量</w:t>
      </w:r>
      <w:r>
        <w:rPr>
          <w:rFonts w:ascii="宋体" w:hAnsi="宋体" w:cs="宋体" w:eastAsia="宋体" w:hint="default"/>
          <w:w w:val="101"/>
          <w:sz w:val="18"/>
          <w:szCs w:val="18"/>
        </w:rPr>
        <w:t> </w:t>
      </w:r>
      <w:r>
        <w:rPr>
          <w:rFonts w:ascii="宋体" w:hAnsi="宋体" w:cs="宋体" w:eastAsia="宋体" w:hint="default"/>
          <w:spacing w:val="-3"/>
          <w:sz w:val="18"/>
          <w:szCs w:val="18"/>
        </w:rPr>
        <w:t>折旧或摊销方法</w:t>
      </w:r>
    </w:p>
    <w:p>
      <w:pPr>
        <w:spacing w:line="552" w:lineRule="exact" w:before="4"/>
        <w:ind w:left="633" w:right="0" w:hanging="39"/>
        <w:jc w:val="left"/>
        <w:rPr>
          <w:rFonts w:ascii="宋体" w:hAnsi="宋体" w:cs="宋体" w:eastAsia="宋体" w:hint="default"/>
          <w:sz w:val="22"/>
          <w:szCs w:val="22"/>
        </w:rPr>
      </w:pPr>
      <w:r>
        <w:rPr>
          <w:rFonts w:ascii="宋体" w:hAnsi="宋体" w:cs="宋体" w:eastAsia="宋体" w:hint="default"/>
          <w:sz w:val="22"/>
          <w:szCs w:val="22"/>
        </w:rPr>
        <w:t>本集团投资性房地产包括已出租的建筑物及其土地使用权。</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3"/>
          <w:sz w:val="22"/>
          <w:szCs w:val="22"/>
        </w:rPr>
        <w:t>本集团投资性房地产按其成本作为入账价值，外购投资性房地产的成本包括购买价款、相关税费</w:t>
      </w:r>
    </w:p>
    <w:p>
      <w:pPr>
        <w:spacing w:line="233" w:lineRule="exact" w:before="0"/>
        <w:ind w:left="153" w:right="0" w:firstLine="0"/>
        <w:jc w:val="left"/>
        <w:rPr>
          <w:rFonts w:ascii="宋体" w:hAnsi="宋体" w:cs="宋体" w:eastAsia="宋体" w:hint="default"/>
          <w:sz w:val="22"/>
          <w:szCs w:val="22"/>
        </w:rPr>
      </w:pPr>
      <w:r>
        <w:rPr>
          <w:rFonts w:ascii="宋体" w:hAnsi="宋体" w:cs="宋体" w:eastAsia="宋体" w:hint="default"/>
          <w:sz w:val="22"/>
          <w:szCs w:val="22"/>
        </w:rPr>
        <w:t>和可直接归属于该资产的其他支出；自行建造投资性房地产的成本，由建造该项资产达到预定可使用</w:t>
      </w:r>
    </w:p>
    <w:p>
      <w:pPr>
        <w:spacing w:before="24"/>
        <w:ind w:left="153" w:right="0" w:firstLine="0"/>
        <w:jc w:val="left"/>
        <w:rPr>
          <w:rFonts w:ascii="宋体" w:hAnsi="宋体" w:cs="宋体" w:eastAsia="宋体" w:hint="default"/>
          <w:sz w:val="22"/>
          <w:szCs w:val="22"/>
        </w:rPr>
      </w:pPr>
      <w:r>
        <w:rPr>
          <w:rFonts w:ascii="宋体" w:hAnsi="宋体" w:cs="宋体" w:eastAsia="宋体" w:hint="default"/>
          <w:sz w:val="22"/>
          <w:szCs w:val="22"/>
        </w:rPr>
        <w:t>状态前所发生的必要支出构成。</w:t>
      </w:r>
    </w:p>
    <w:p>
      <w:pPr>
        <w:spacing w:line="240" w:lineRule="auto" w:before="2"/>
        <w:rPr>
          <w:rFonts w:ascii="宋体" w:hAnsi="宋体" w:cs="宋体" w:eastAsia="宋体" w:hint="default"/>
          <w:sz w:val="20"/>
          <w:szCs w:val="20"/>
        </w:rPr>
      </w:pPr>
    </w:p>
    <w:p>
      <w:pPr>
        <w:spacing w:line="261"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本集团对投资性房地产采用成本模式进行后续计量，按其预计使用寿命及净残值率采用平均年限</w:t>
      </w:r>
      <w:r>
        <w:rPr>
          <w:rFonts w:ascii="宋体" w:hAnsi="宋体" w:cs="宋体" w:eastAsia="宋体" w:hint="default"/>
          <w:w w:val="100"/>
          <w:sz w:val="22"/>
          <w:szCs w:val="22"/>
        </w:rPr>
        <w:t> </w:t>
      </w:r>
      <w:r>
        <w:rPr>
          <w:rFonts w:ascii="宋体" w:hAnsi="宋体" w:cs="宋体" w:eastAsia="宋体" w:hint="default"/>
          <w:sz w:val="22"/>
          <w:szCs w:val="22"/>
        </w:rPr>
        <w:t>法计提折旧或摊销。投资性房地产的预计使用寿命、净残值率及年折旧（摊销）率如下：</w:t>
      </w:r>
    </w:p>
    <w:p>
      <w:pPr>
        <w:spacing w:line="240" w:lineRule="auto" w:before="2"/>
        <w:rPr>
          <w:rFonts w:ascii="宋体" w:hAnsi="宋体" w:cs="宋体" w:eastAsia="宋体" w:hint="default"/>
          <w:sz w:val="11"/>
          <w:szCs w:val="11"/>
        </w:rPr>
      </w:pPr>
    </w:p>
    <w:tbl>
      <w:tblPr>
        <w:tblW w:w="0" w:type="auto"/>
        <w:jc w:val="left"/>
        <w:tblInd w:w="330" w:type="dxa"/>
        <w:tblLayout w:type="fixed"/>
        <w:tblCellMar>
          <w:top w:w="0" w:type="dxa"/>
          <w:left w:w="0" w:type="dxa"/>
          <w:bottom w:w="0" w:type="dxa"/>
          <w:right w:w="0" w:type="dxa"/>
        </w:tblCellMar>
        <w:tblLook w:val="01E0"/>
      </w:tblPr>
      <w:tblGrid>
        <w:gridCol w:w="2497"/>
        <w:gridCol w:w="2276"/>
        <w:gridCol w:w="2555"/>
        <w:gridCol w:w="2094"/>
      </w:tblGrid>
      <w:tr>
        <w:trPr>
          <w:trHeight w:val="355" w:hRule="exact"/>
        </w:trPr>
        <w:tc>
          <w:tcPr>
            <w:tcW w:w="2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类别</w:t>
            </w:r>
          </w:p>
        </w:tc>
        <w:tc>
          <w:tcPr>
            <w:tcW w:w="22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3" w:right="0"/>
              <w:jc w:val="center"/>
              <w:rPr>
                <w:rFonts w:ascii="宋体" w:hAnsi="宋体" w:cs="宋体" w:eastAsia="宋体" w:hint="default"/>
                <w:sz w:val="20"/>
                <w:szCs w:val="20"/>
              </w:rPr>
            </w:pPr>
            <w:r>
              <w:rPr>
                <w:rFonts w:ascii="宋体" w:hAnsi="宋体" w:cs="宋体" w:eastAsia="宋体" w:hint="default"/>
                <w:sz w:val="20"/>
                <w:szCs w:val="20"/>
              </w:rPr>
              <w:t>折旧年限（年）</w:t>
            </w:r>
          </w:p>
        </w:tc>
        <w:tc>
          <w:tcPr>
            <w:tcW w:w="2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489" w:right="0"/>
              <w:jc w:val="left"/>
              <w:rPr>
                <w:rFonts w:ascii="宋体" w:hAnsi="宋体" w:cs="宋体" w:eastAsia="宋体" w:hint="default"/>
                <w:sz w:val="20"/>
                <w:szCs w:val="20"/>
              </w:rPr>
            </w:pPr>
            <w:r>
              <w:rPr>
                <w:rFonts w:ascii="宋体" w:hAnsi="宋体" w:cs="宋体" w:eastAsia="宋体" w:hint="default"/>
                <w:sz w:val="20"/>
                <w:szCs w:val="20"/>
              </w:rPr>
              <w:t>预计残值率（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20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left="355" w:right="0"/>
              <w:jc w:val="left"/>
              <w:rPr>
                <w:rFonts w:ascii="宋体" w:hAnsi="宋体" w:cs="宋体" w:eastAsia="宋体" w:hint="default"/>
                <w:sz w:val="20"/>
                <w:szCs w:val="20"/>
              </w:rPr>
            </w:pPr>
            <w:r>
              <w:rPr>
                <w:rFonts w:ascii="宋体" w:hAnsi="宋体" w:cs="宋体" w:eastAsia="宋体" w:hint="default"/>
                <w:sz w:val="20"/>
                <w:szCs w:val="20"/>
              </w:rPr>
              <w:t>年折旧率（</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r>
      <w:tr>
        <w:trPr>
          <w:trHeight w:val="341" w:hRule="exact"/>
        </w:trPr>
        <w:tc>
          <w:tcPr>
            <w:tcW w:w="2497" w:type="dxa"/>
            <w:tcBorders>
              <w:top w:val="single" w:sz="8" w:space="0" w:color="000000"/>
              <w:left w:val="single" w:sz="4" w:space="0" w:color="000000"/>
              <w:bottom w:val="single" w:sz="4" w:space="0" w:color="000000"/>
              <w:right w:val="single" w:sz="4" w:space="0" w:color="000000"/>
            </w:tcBorders>
          </w:tcPr>
          <w:p>
            <w:pPr>
              <w:pStyle w:val="TableParagraph"/>
              <w:spacing w:line="259" w:lineRule="exact"/>
              <w:ind w:left="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50</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0.00</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2.00</w:t>
            </w:r>
          </w:p>
        </w:tc>
      </w:tr>
      <w:tr>
        <w:trPr>
          <w:trHeight w:val="355"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房屋建筑物</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30</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10.00</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3.00</w:t>
            </w:r>
          </w:p>
        </w:tc>
      </w:tr>
    </w:tbl>
    <w:p>
      <w:pPr>
        <w:spacing w:line="240" w:lineRule="auto" w:before="3"/>
        <w:rPr>
          <w:rFonts w:ascii="宋体" w:hAnsi="宋体" w:cs="宋体" w:eastAsia="宋体" w:hint="default"/>
          <w:sz w:val="14"/>
          <w:szCs w:val="14"/>
        </w:rPr>
      </w:pPr>
    </w:p>
    <w:p>
      <w:pPr>
        <w:spacing w:line="259" w:lineRule="auto" w:before="32"/>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当投资性房地产的用途改变为自用时，则自改变之日起，将该投资性房地产转换为固定资产或无</w:t>
      </w:r>
      <w:r>
        <w:rPr>
          <w:rFonts w:ascii="宋体" w:hAnsi="宋体" w:cs="宋体" w:eastAsia="宋体" w:hint="default"/>
          <w:w w:val="100"/>
          <w:sz w:val="22"/>
          <w:szCs w:val="22"/>
        </w:rPr>
        <w:t> </w:t>
      </w:r>
      <w:r>
        <w:rPr>
          <w:rFonts w:ascii="宋体" w:hAnsi="宋体" w:cs="宋体" w:eastAsia="宋体" w:hint="default"/>
          <w:spacing w:val="-2"/>
          <w:sz w:val="22"/>
          <w:szCs w:val="22"/>
        </w:rPr>
        <w:t>形资产。自用房地产的用途改变为赚取租金或资本增值时，则自改变之日起，将固定资产或无形资产</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转换为投资性房地产。发生转换时，以转换前的账面价值作为转换后的入账价值。</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当投资性房地产被处置，或者永久退出使用且预计不能从其处置中取得经济利益时，终止确认该项投</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资性房地产。投资性房地产出售、转让、报废或毁损的处置收入扣除其账面价值和相关税费后的金额</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计入当期损益。</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4、固定资产" w:id="191"/>
      <w:bookmarkEnd w:id="191"/>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确认条件" w:id="192"/>
      <w:bookmarkEnd w:id="1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本集团固定资产是指同时具有以下特征，即为生产商品、提供劳务、出租或经营管理而持有的，</w:t>
      </w:r>
      <w:r>
        <w:rPr>
          <w:rFonts w:ascii="宋体" w:hAnsi="宋体" w:cs="宋体" w:eastAsia="宋体" w:hint="default"/>
          <w:w w:val="100"/>
          <w:sz w:val="22"/>
          <w:szCs w:val="22"/>
        </w:rPr>
        <w:t> </w:t>
      </w:r>
      <w:r>
        <w:rPr>
          <w:rFonts w:ascii="宋体" w:hAnsi="宋体" w:cs="宋体" w:eastAsia="宋体" w:hint="default"/>
          <w:sz w:val="22"/>
          <w:szCs w:val="22"/>
        </w:rPr>
        <w:t>使用年限超过一年的有形资产。固定资产包括房屋建筑物、机器设备、运输设备、办公设备和其他，</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pacing w:val="-2"/>
          <w:sz w:val="22"/>
          <w:szCs w:val="22"/>
        </w:rPr>
        <w:t>按其取得时的成本作为入账的价值，其中，外购的固定资产成本包括买价和进口关税等相关税费，以</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及为使固定资产达到预定可使用状态前所发生的可直接归属于该资产的其他支出；自行建造固定资产</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的成本，由建造该项资产达到预定可使用状态前所发生的必要支出构成；投资者投入的固定资产，按</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投资合同或协议约定的价值作为入账价值，但合同或协议约定价值不公允的按公允价值入账；融资租</w:t>
      </w:r>
      <w:r>
        <w:rPr>
          <w:rFonts w:ascii="宋体" w:hAnsi="宋体" w:cs="宋体" w:eastAsia="宋体" w:hint="default"/>
          <w:w w:val="100"/>
          <w:sz w:val="22"/>
          <w:szCs w:val="22"/>
        </w:rPr>
        <w:t> </w:t>
      </w:r>
      <w:r>
        <w:rPr>
          <w:rFonts w:ascii="宋体" w:hAnsi="宋体" w:cs="宋体" w:eastAsia="宋体" w:hint="default"/>
          <w:spacing w:val="-2"/>
          <w:sz w:val="22"/>
          <w:szCs w:val="22"/>
        </w:rPr>
        <w:t>赁租入的固定资产，按租赁开始日租赁资产公允价值与最低租赁付款额现值两者中较低者作为入账价</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值。与固定资产有关的后续支出，包括修理支出、更新改造支出等，符合固定资产确认条件的，计入</w:t>
      </w:r>
    </w:p>
    <w:p>
      <w:pPr>
        <w:spacing w:after="0" w:line="259" w:lineRule="auto"/>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59" w:lineRule="auto" w:before="32"/>
        <w:ind w:left="153" w:right="0" w:firstLine="0"/>
        <w:jc w:val="left"/>
        <w:rPr>
          <w:rFonts w:ascii="宋体" w:hAnsi="宋体" w:cs="宋体" w:eastAsia="宋体" w:hint="default"/>
          <w:sz w:val="22"/>
          <w:szCs w:val="22"/>
        </w:rPr>
      </w:pPr>
      <w:r>
        <w:rPr>
          <w:rFonts w:ascii="宋体" w:hAnsi="宋体" w:cs="宋体" w:eastAsia="宋体" w:hint="default"/>
          <w:spacing w:val="-2"/>
          <w:sz w:val="22"/>
          <w:szCs w:val="22"/>
        </w:rPr>
        <w:t>固定资产成本，对于被替换的部分，终止确认其账面价值；不符合固定资产确认条件的，于发生时计</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入当期损益。</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折旧方法" w:id="193"/>
      <w:bookmarkEnd w:id="1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3.00-10.00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3.00-3.23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3.00-10.00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9.00-9.70</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 w:right="0"/>
              <w:jc w:val="center"/>
              <w:rPr>
                <w:rFonts w:ascii="Times New Roman" w:hAnsi="Times New Roman" w:cs="Times New Roman" w:eastAsia="Times New Roman" w:hint="default"/>
                <w:sz w:val="18"/>
                <w:szCs w:val="18"/>
              </w:rPr>
            </w:pPr>
            <w:r>
              <w:rPr>
                <w:rFonts w:ascii="Times New Roman"/>
                <w:sz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3.00-10.00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9.00-9.70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办公设备及其他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3.00-10.00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18.00-19.40</w:t>
            </w:r>
          </w:p>
        </w:tc>
      </w:tr>
    </w:tbl>
    <w:p>
      <w:pPr>
        <w:spacing w:line="240" w:lineRule="auto" w:before="2"/>
        <w:rPr>
          <w:rFonts w:ascii="宋体" w:hAnsi="宋体" w:cs="宋体" w:eastAsia="宋体" w:hint="default"/>
          <w:b/>
          <w:bCs/>
          <w:sz w:val="14"/>
          <w:szCs w:val="14"/>
        </w:rPr>
      </w:pPr>
    </w:p>
    <w:p>
      <w:pPr>
        <w:spacing w:line="259" w:lineRule="auto" w:before="32"/>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本集团于每年年度终了，对固定资产的预计使用寿命、预计净残值和折旧方法进行复核，如发生</w:t>
      </w:r>
      <w:r>
        <w:rPr>
          <w:rFonts w:ascii="宋体" w:hAnsi="宋体" w:cs="宋体" w:eastAsia="宋体" w:hint="default"/>
          <w:w w:val="100"/>
          <w:sz w:val="22"/>
          <w:szCs w:val="22"/>
        </w:rPr>
        <w:t> </w:t>
      </w:r>
      <w:r>
        <w:rPr>
          <w:rFonts w:ascii="宋体" w:hAnsi="宋体" w:cs="宋体" w:eastAsia="宋体" w:hint="default"/>
          <w:sz w:val="22"/>
          <w:szCs w:val="22"/>
        </w:rPr>
        <w:t>改变，则作为会计估计变更处理。</w:t>
      </w:r>
    </w:p>
    <w:p>
      <w:pPr>
        <w:spacing w:line="240" w:lineRule="auto" w:before="12"/>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当固定资产被处置、或者预期通过使用或处置不能产生经济利益时，终止确认该固定资产。固定</w:t>
      </w:r>
      <w:r>
        <w:rPr>
          <w:rFonts w:ascii="宋体" w:hAnsi="宋体" w:cs="宋体" w:eastAsia="宋体" w:hint="default"/>
          <w:w w:val="100"/>
          <w:sz w:val="22"/>
          <w:szCs w:val="22"/>
        </w:rPr>
        <w:t> </w:t>
      </w:r>
      <w:r>
        <w:rPr>
          <w:rFonts w:ascii="宋体" w:hAnsi="宋体" w:cs="宋体" w:eastAsia="宋体" w:hint="default"/>
          <w:sz w:val="22"/>
          <w:szCs w:val="22"/>
        </w:rPr>
        <w:t>资产出售、转让、报废或毁损的处置收入扣除其账面价值和相关税费后的金额计入当期损益。</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3）融资租入固定资产的认定依据、计价和折旧方法" w:id="194"/>
      <w:bookmarkEnd w:id="1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5、在建工程" w:id="195"/>
      <w:bookmarkEnd w:id="195"/>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在建工程按实际发生的成本计量。自营建筑工程按直接材料、直接工资、直接施工费等计量；出</w:t>
      </w:r>
      <w:r>
        <w:rPr>
          <w:rFonts w:ascii="宋体" w:hAnsi="宋体" w:cs="宋体" w:eastAsia="宋体" w:hint="default"/>
          <w:w w:val="100"/>
          <w:sz w:val="22"/>
          <w:szCs w:val="22"/>
        </w:rPr>
        <w:t> </w:t>
      </w:r>
      <w:r>
        <w:rPr>
          <w:rFonts w:ascii="宋体" w:hAnsi="宋体" w:cs="宋体" w:eastAsia="宋体" w:hint="default"/>
          <w:spacing w:val="-2"/>
          <w:sz w:val="22"/>
          <w:szCs w:val="22"/>
        </w:rPr>
        <w:t>包建筑工程按应支付的工程价款等计量；设备安装工程按所安装设备的价值、安装费用、工程试运转</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等所发生的支出等确定工程成本。在建工程成本还包括应当资本化的借款费用和汇兑损益。</w:t>
      </w:r>
    </w:p>
    <w:p>
      <w:pPr>
        <w:spacing w:line="240" w:lineRule="auto" w:before="11"/>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在建工程在达到预定可使用状态之日起，根据工程预算、造价或工程实际成本等，按估计的价值</w:t>
      </w:r>
      <w:r>
        <w:rPr>
          <w:rFonts w:ascii="宋体" w:hAnsi="宋体" w:cs="宋体" w:eastAsia="宋体" w:hint="default"/>
          <w:w w:val="100"/>
          <w:sz w:val="22"/>
          <w:szCs w:val="22"/>
        </w:rPr>
        <w:t> </w:t>
      </w:r>
      <w:r>
        <w:rPr>
          <w:rFonts w:ascii="宋体" w:hAnsi="宋体" w:cs="宋体" w:eastAsia="宋体" w:hint="default"/>
          <w:spacing w:val="-2"/>
          <w:sz w:val="22"/>
          <w:szCs w:val="22"/>
        </w:rPr>
        <w:t>结转固定资产，次月起开始计提折旧，待办理了竣工决算手续后再对固定资产原值差异进行调整，但</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不需要调整原已计提的折旧额。</w:t>
      </w:r>
    </w:p>
    <w:p>
      <w:pPr>
        <w:spacing w:line="240" w:lineRule="auto" w:before="11"/>
        <w:rPr>
          <w:rFonts w:ascii="宋体" w:hAnsi="宋体" w:cs="宋体" w:eastAsia="宋体" w:hint="default"/>
          <w:sz w:val="18"/>
          <w:szCs w:val="18"/>
        </w:rPr>
      </w:pPr>
    </w:p>
    <w:p>
      <w:pPr>
        <w:spacing w:line="261" w:lineRule="auto" w:before="0"/>
        <w:ind w:left="153" w:right="1123" w:firstLine="441"/>
        <w:jc w:val="both"/>
        <w:rPr>
          <w:rFonts w:ascii="宋体" w:hAnsi="宋体" w:cs="宋体" w:eastAsia="宋体" w:hint="default"/>
          <w:sz w:val="22"/>
          <w:szCs w:val="22"/>
        </w:rPr>
      </w:pPr>
      <w:r>
        <w:rPr>
          <w:rFonts w:ascii="宋体" w:hAnsi="宋体" w:cs="宋体" w:eastAsia="宋体" w:hint="default"/>
          <w:spacing w:val="-2"/>
          <w:sz w:val="22"/>
          <w:szCs w:val="22"/>
        </w:rPr>
        <w:t>在建工程属于整体完工后才可使用的资产组时，达到预定可使用状态时结转固定资产，预计可使</w:t>
      </w:r>
      <w:r>
        <w:rPr>
          <w:rFonts w:ascii="宋体" w:hAnsi="宋体" w:cs="宋体" w:eastAsia="宋体" w:hint="default"/>
          <w:w w:val="100"/>
          <w:sz w:val="22"/>
          <w:szCs w:val="22"/>
        </w:rPr>
        <w:t> </w:t>
      </w:r>
      <w:r>
        <w:rPr>
          <w:rFonts w:ascii="宋体" w:hAnsi="宋体" w:cs="宋体" w:eastAsia="宋体" w:hint="default"/>
          <w:sz w:val="22"/>
          <w:szCs w:val="22"/>
        </w:rPr>
        <w:t>用状态的判断标准，应同时符合下列情况：</w:t>
      </w:r>
    </w:p>
    <w:p>
      <w:pPr>
        <w:spacing w:line="240" w:lineRule="auto" w:before="9"/>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）固定资产的实体建造（包括安装）工作已经全部完成或者实质上已经完成；</w:t>
      </w:r>
    </w:p>
    <w:p>
      <w:pPr>
        <w:spacing w:line="240" w:lineRule="auto" w:before="12"/>
        <w:rPr>
          <w:rFonts w:ascii="宋体" w:hAnsi="宋体" w:cs="宋体" w:eastAsia="宋体" w:hint="default"/>
          <w:sz w:val="18"/>
          <w:szCs w:val="18"/>
        </w:rPr>
      </w:pPr>
    </w:p>
    <w:p>
      <w:pPr>
        <w:spacing w:line="244" w:lineRule="auto" w:before="0"/>
        <w:ind w:left="153" w:right="1135"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）已经试生产或试运行，并且其结果表明资产能够正常运行或能够稳定地生产出合格产品，</w:t>
      </w:r>
      <w:r>
        <w:rPr>
          <w:rFonts w:ascii="宋体" w:hAnsi="宋体" w:cs="宋体" w:eastAsia="宋体" w:hint="default"/>
          <w:w w:val="100"/>
          <w:sz w:val="22"/>
          <w:szCs w:val="22"/>
        </w:rPr>
        <w:t> </w:t>
      </w:r>
      <w:r>
        <w:rPr>
          <w:rFonts w:ascii="宋体" w:hAnsi="宋体" w:cs="宋体" w:eastAsia="宋体" w:hint="default"/>
          <w:sz w:val="22"/>
          <w:szCs w:val="22"/>
        </w:rPr>
        <w:t>或者试运行结果表明其能够正常运转或营业。</w:t>
      </w:r>
    </w:p>
    <w:p>
      <w:pPr>
        <w:spacing w:line="240" w:lineRule="auto" w:before="11"/>
        <w:rPr>
          <w:rFonts w:ascii="宋体" w:hAnsi="宋体" w:cs="宋体" w:eastAsia="宋体" w:hint="default"/>
          <w:sz w:val="19"/>
          <w:szCs w:val="19"/>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资产组以外的在建工程达到预定可使用状态时结转固定资产，预计可使用状态的判断标准，应符</w:t>
      </w:r>
      <w:r>
        <w:rPr>
          <w:rFonts w:ascii="宋体" w:hAnsi="宋体" w:cs="宋体" w:eastAsia="宋体" w:hint="default"/>
          <w:w w:val="100"/>
          <w:sz w:val="22"/>
          <w:szCs w:val="22"/>
        </w:rPr>
        <w:t> </w:t>
      </w:r>
      <w:r>
        <w:rPr>
          <w:rFonts w:ascii="宋体" w:hAnsi="宋体" w:cs="宋体" w:eastAsia="宋体" w:hint="default"/>
          <w:sz w:val="22"/>
          <w:szCs w:val="22"/>
        </w:rPr>
        <w:t>合下列情况之一：</w:t>
      </w:r>
    </w:p>
    <w:p>
      <w:pPr>
        <w:spacing w:line="240" w:lineRule="auto" w:before="11"/>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）固定资产的实体建造（包括安装）工作已经全部完成或者实质上已经完成；</w:t>
      </w:r>
    </w:p>
    <w:p>
      <w:pPr>
        <w:spacing w:line="240" w:lineRule="auto" w:before="13"/>
        <w:rPr>
          <w:rFonts w:ascii="宋体" w:hAnsi="宋体" w:cs="宋体" w:eastAsia="宋体" w:hint="default"/>
          <w:sz w:val="18"/>
          <w:szCs w:val="18"/>
        </w:rPr>
      </w:pPr>
    </w:p>
    <w:p>
      <w:pPr>
        <w:spacing w:line="244" w:lineRule="auto" w:before="0"/>
        <w:ind w:left="153" w:right="1135"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）已经试生产或试运行，并且其结果表明资产能够正常运行或能够稳定地生产出合格产品，</w:t>
      </w:r>
      <w:r>
        <w:rPr>
          <w:rFonts w:ascii="宋体" w:hAnsi="宋体" w:cs="宋体" w:eastAsia="宋体" w:hint="default"/>
          <w:w w:val="100"/>
          <w:sz w:val="22"/>
          <w:szCs w:val="22"/>
        </w:rPr>
        <w:t> </w:t>
      </w:r>
      <w:r>
        <w:rPr>
          <w:rFonts w:ascii="宋体" w:hAnsi="宋体" w:cs="宋体" w:eastAsia="宋体" w:hint="default"/>
          <w:sz w:val="22"/>
          <w:szCs w:val="22"/>
        </w:rPr>
        <w:t>或者试运行结果表明其能够正常运转或营业。</w:t>
      </w:r>
    </w:p>
    <w:p>
      <w:pPr>
        <w:spacing w:after="0" w:line="244" w:lineRule="auto"/>
        <w:jc w:val="both"/>
        <w:rPr>
          <w:rFonts w:ascii="宋体" w:hAnsi="宋体" w:cs="宋体" w:eastAsia="宋体" w:hint="default"/>
          <w:sz w:val="22"/>
          <w:szCs w:val="22"/>
        </w:rPr>
        <w:sectPr>
          <w:pgSz w:w="11910" w:h="16840"/>
          <w:pgMar w:header="863"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6、借款费用" w:id="196"/>
      <w:bookmarkEnd w:id="196"/>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借款费用包括借款利息、折价或溢价的摊销、辅助费用以及因外币借款而发生的汇兑差额等。可</w:t>
      </w:r>
      <w:r>
        <w:rPr>
          <w:rFonts w:ascii="宋体" w:hAnsi="宋体" w:cs="宋体" w:eastAsia="宋体" w:hint="default"/>
          <w:w w:val="100"/>
          <w:sz w:val="22"/>
          <w:szCs w:val="22"/>
        </w:rPr>
        <w:t> </w:t>
      </w:r>
      <w:r>
        <w:rPr>
          <w:rFonts w:ascii="宋体" w:hAnsi="宋体" w:cs="宋体" w:eastAsia="宋体" w:hint="default"/>
          <w:spacing w:val="-2"/>
          <w:sz w:val="22"/>
          <w:szCs w:val="22"/>
        </w:rPr>
        <w:t>直接归属于符合资本化条件的资产的购建或者生产的借款费用，在资产支出已经发生、借款费用已经</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发生、为使资产达到预定可使用或可销售状态所必要的购建或生产活动已经开始时，开始资本化；当</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购建或生产符合资本化条件的资产达到预定可使用或可销售状态时，停止资本化。其余借款费用在发</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生当期确认为费用。</w:t>
      </w:r>
    </w:p>
    <w:p>
      <w:pPr>
        <w:spacing w:line="240" w:lineRule="auto" w:before="11"/>
        <w:rPr>
          <w:rFonts w:ascii="宋体" w:hAnsi="宋体" w:cs="宋体" w:eastAsia="宋体" w:hint="default"/>
          <w:sz w:val="18"/>
          <w:szCs w:val="18"/>
        </w:rPr>
      </w:pPr>
    </w:p>
    <w:p>
      <w:pPr>
        <w:spacing w:line="259" w:lineRule="auto" w:before="0"/>
        <w:ind w:left="153" w:right="1125" w:firstLine="480"/>
        <w:jc w:val="both"/>
        <w:rPr>
          <w:rFonts w:ascii="宋体" w:hAnsi="宋体" w:cs="宋体" w:eastAsia="宋体" w:hint="default"/>
          <w:sz w:val="22"/>
          <w:szCs w:val="22"/>
        </w:rPr>
      </w:pPr>
      <w:r>
        <w:rPr>
          <w:rFonts w:ascii="宋体" w:hAnsi="宋体" w:cs="宋体" w:eastAsia="宋体" w:hint="default"/>
          <w:spacing w:val="-3"/>
          <w:sz w:val="22"/>
          <w:szCs w:val="22"/>
        </w:rPr>
        <w:t>专门借款当期实际发生的利息费用，扣除尚未动用的借款资金存入银行取得的利息收入或进行暂</w:t>
      </w:r>
      <w:r>
        <w:rPr>
          <w:rFonts w:ascii="宋体" w:hAnsi="宋体" w:cs="宋体" w:eastAsia="宋体" w:hint="default"/>
          <w:w w:val="100"/>
          <w:sz w:val="22"/>
          <w:szCs w:val="22"/>
        </w:rPr>
        <w:t> </w:t>
      </w:r>
      <w:r>
        <w:rPr>
          <w:rFonts w:ascii="宋体" w:hAnsi="宋体" w:cs="宋体" w:eastAsia="宋体" w:hint="default"/>
          <w:spacing w:val="-2"/>
          <w:sz w:val="22"/>
          <w:szCs w:val="22"/>
        </w:rPr>
        <w:t>时性投资取得的投资收益后的金额予以资本化；一般借款根据累计资产支出超过专门借款部分的资产</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pacing w:val="-2"/>
          <w:sz w:val="22"/>
          <w:szCs w:val="22"/>
        </w:rPr>
        <w:t>支出加权平均数乘以所占用一般借款的资本化率，确定资本化金额。资本化率根据一般借款加权平均</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利率计算确定。</w:t>
      </w:r>
    </w:p>
    <w:p>
      <w:pPr>
        <w:spacing w:line="240" w:lineRule="auto" w:before="11"/>
        <w:rPr>
          <w:rFonts w:ascii="宋体" w:hAnsi="宋体" w:cs="宋体" w:eastAsia="宋体" w:hint="default"/>
          <w:sz w:val="18"/>
          <w:szCs w:val="18"/>
        </w:rPr>
      </w:pPr>
    </w:p>
    <w:p>
      <w:pPr>
        <w:spacing w:line="244" w:lineRule="auto" w:before="0"/>
        <w:ind w:left="153" w:right="1133" w:firstLine="441"/>
        <w:jc w:val="both"/>
        <w:rPr>
          <w:rFonts w:ascii="宋体" w:hAnsi="宋体" w:cs="宋体" w:eastAsia="宋体" w:hint="default"/>
          <w:sz w:val="22"/>
          <w:szCs w:val="22"/>
        </w:rPr>
      </w:pPr>
      <w:r>
        <w:rPr>
          <w:rFonts w:ascii="宋体" w:hAnsi="宋体" w:cs="宋体" w:eastAsia="宋体" w:hint="default"/>
          <w:sz w:val="22"/>
          <w:szCs w:val="22"/>
        </w:rPr>
        <w:t>符合资本化条件的资产，是指需要经过相当长时间（通常指</w:t>
      </w:r>
      <w:r>
        <w:rPr>
          <w:rFonts w:ascii="Times New Roman" w:hAnsi="Times New Roman" w:cs="Times New Roman" w:eastAsia="Times New Roman" w:hint="default"/>
          <w:sz w:val="22"/>
          <w:szCs w:val="22"/>
        </w:rPr>
        <w:t>1</w:t>
      </w:r>
      <w:r>
        <w:rPr>
          <w:rFonts w:ascii="宋体" w:hAnsi="宋体" w:cs="宋体" w:eastAsia="宋体" w:hint="default"/>
          <w:sz w:val="22"/>
          <w:szCs w:val="22"/>
        </w:rPr>
        <w:t>年以上）的购建或者生产活动才能</w:t>
      </w:r>
      <w:r>
        <w:rPr>
          <w:rFonts w:ascii="宋体" w:hAnsi="宋体" w:cs="宋体" w:eastAsia="宋体" w:hint="default"/>
          <w:w w:val="100"/>
          <w:sz w:val="22"/>
          <w:szCs w:val="22"/>
        </w:rPr>
        <w:t> </w:t>
      </w:r>
      <w:r>
        <w:rPr>
          <w:rFonts w:ascii="宋体" w:hAnsi="宋体" w:cs="宋体" w:eastAsia="宋体" w:hint="default"/>
          <w:sz w:val="22"/>
          <w:szCs w:val="22"/>
        </w:rPr>
        <w:t>达到预定可使用或者可销售状态的固定资产、投资性房地产和存货等资产。</w:t>
      </w:r>
    </w:p>
    <w:p>
      <w:pPr>
        <w:spacing w:line="240" w:lineRule="auto" w:before="12"/>
        <w:rPr>
          <w:rFonts w:ascii="宋体" w:hAnsi="宋体" w:cs="宋体" w:eastAsia="宋体" w:hint="default"/>
          <w:sz w:val="19"/>
          <w:szCs w:val="19"/>
        </w:rPr>
      </w:pPr>
    </w:p>
    <w:p>
      <w:pPr>
        <w:spacing w:line="244"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如果符合资本化条件的资产在购建或者生产过程中发生非正常中断、且中断时间连续超过</w:t>
      </w:r>
      <w:r>
        <w:rPr>
          <w:rFonts w:ascii="Times New Roman" w:hAnsi="Times New Roman" w:cs="Times New Roman" w:eastAsia="Times New Roman" w:hint="default"/>
          <w:spacing w:val="-2"/>
          <w:sz w:val="22"/>
          <w:szCs w:val="22"/>
        </w:rPr>
        <w:t>3</w:t>
      </w:r>
      <w:r>
        <w:rPr>
          <w:rFonts w:ascii="宋体" w:hAnsi="宋体" w:cs="宋体" w:eastAsia="宋体" w:hint="default"/>
          <w:spacing w:val="-2"/>
          <w:sz w:val="22"/>
          <w:szCs w:val="22"/>
        </w:rPr>
        <w:t>个月，</w:t>
      </w:r>
      <w:r>
        <w:rPr>
          <w:rFonts w:ascii="宋体" w:hAnsi="宋体" w:cs="宋体" w:eastAsia="宋体" w:hint="default"/>
          <w:w w:val="100"/>
          <w:sz w:val="22"/>
          <w:szCs w:val="22"/>
        </w:rPr>
        <w:t> </w:t>
      </w:r>
      <w:r>
        <w:rPr>
          <w:rFonts w:ascii="宋体" w:hAnsi="宋体" w:cs="宋体" w:eastAsia="宋体" w:hint="default"/>
          <w:sz w:val="22"/>
          <w:szCs w:val="22"/>
        </w:rPr>
        <w:t>暂停借款费用的资本化，直至资产的购建或生产活动重新开始。</w:t>
      </w:r>
    </w:p>
    <w:p>
      <w:pPr>
        <w:spacing w:line="240" w:lineRule="auto" w:before="2"/>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7、生物资产" w:id="197"/>
      <w:bookmarkEnd w:id="197"/>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8、油气资产" w:id="198"/>
      <w:bookmarkEnd w:id="198"/>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9、使用权资产" w:id="199"/>
      <w:bookmarkEnd w:id="199"/>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0、无形资产" w:id="200"/>
      <w:bookmarkEnd w:id="200"/>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计价方法、使用寿命、减值测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9" w:lineRule="auto" w:before="0"/>
        <w:ind w:left="153" w:right="1125" w:firstLine="480"/>
        <w:jc w:val="both"/>
        <w:rPr>
          <w:rFonts w:ascii="宋体" w:hAnsi="宋体" w:cs="宋体" w:eastAsia="宋体" w:hint="default"/>
          <w:sz w:val="22"/>
          <w:szCs w:val="22"/>
        </w:rPr>
      </w:pPr>
      <w:r>
        <w:rPr>
          <w:rFonts w:ascii="宋体" w:hAnsi="宋体" w:cs="宋体" w:eastAsia="宋体" w:hint="default"/>
          <w:spacing w:val="-3"/>
          <w:sz w:val="22"/>
          <w:szCs w:val="22"/>
        </w:rPr>
        <w:t>本集团无形资产包括土地使用权、专利权、软件使用权、商标、特许经营权等，按取得时的实际</w:t>
      </w:r>
      <w:r>
        <w:rPr>
          <w:rFonts w:ascii="宋体" w:hAnsi="宋体" w:cs="宋体" w:eastAsia="宋体" w:hint="default"/>
          <w:w w:val="100"/>
          <w:sz w:val="22"/>
          <w:szCs w:val="22"/>
        </w:rPr>
        <w:t> </w:t>
      </w:r>
      <w:r>
        <w:rPr>
          <w:rFonts w:ascii="宋体" w:hAnsi="宋体" w:cs="宋体" w:eastAsia="宋体" w:hint="default"/>
          <w:spacing w:val="-2"/>
          <w:sz w:val="22"/>
          <w:szCs w:val="22"/>
        </w:rPr>
        <w:t>成本计量，其中，购入的无形资产，按实际支付的价款和相关的其他支出作为实际成本；投资者投入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的无形资产，按投资合同或协议约定的价值确定实际成本，但合同或协议约定价值不公允的，按公允</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价值确定实际成本。</w:t>
      </w:r>
    </w:p>
    <w:p>
      <w:pPr>
        <w:spacing w:line="240" w:lineRule="auto" w:before="11"/>
        <w:rPr>
          <w:rFonts w:ascii="宋体" w:hAnsi="宋体" w:cs="宋体" w:eastAsia="宋体" w:hint="default"/>
          <w:sz w:val="18"/>
          <w:szCs w:val="18"/>
        </w:rPr>
      </w:pPr>
    </w:p>
    <w:p>
      <w:pPr>
        <w:spacing w:line="259" w:lineRule="auto" w:before="0"/>
        <w:ind w:left="153" w:right="1122" w:firstLine="441"/>
        <w:jc w:val="both"/>
        <w:rPr>
          <w:rFonts w:ascii="宋体" w:hAnsi="宋体" w:cs="宋体" w:eastAsia="宋体" w:hint="default"/>
          <w:sz w:val="22"/>
          <w:szCs w:val="22"/>
        </w:rPr>
      </w:pPr>
      <w:r>
        <w:rPr>
          <w:rFonts w:ascii="宋体" w:hAnsi="宋体" w:cs="宋体" w:eastAsia="宋体" w:hint="default"/>
          <w:spacing w:val="-2"/>
          <w:sz w:val="22"/>
          <w:szCs w:val="22"/>
        </w:rPr>
        <w:t>土地使用权从出让起始日起，按其出让年限平均摊销；其他无形资产按预计使用年限、合同规定</w:t>
      </w:r>
      <w:r>
        <w:rPr>
          <w:rFonts w:ascii="宋体" w:hAnsi="宋体" w:cs="宋体" w:eastAsia="宋体" w:hint="default"/>
          <w:w w:val="100"/>
          <w:sz w:val="22"/>
          <w:szCs w:val="22"/>
        </w:rPr>
        <w:t> </w:t>
      </w:r>
      <w:r>
        <w:rPr>
          <w:rFonts w:ascii="宋体" w:hAnsi="宋体" w:cs="宋体" w:eastAsia="宋体" w:hint="default"/>
          <w:spacing w:val="-2"/>
          <w:sz w:val="22"/>
          <w:szCs w:val="22"/>
        </w:rPr>
        <w:t>的受益年限和法律规定的有效年限三者中最短者分期平均摊销。摊销金额按其受益对象计入相关资产</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成本和当期损益。</w:t>
      </w:r>
    </w:p>
    <w:p>
      <w:pPr>
        <w:spacing w:line="240" w:lineRule="auto" w:before="11"/>
        <w:rPr>
          <w:rFonts w:ascii="宋体" w:hAnsi="宋体" w:cs="宋体" w:eastAsia="宋体" w:hint="default"/>
          <w:sz w:val="18"/>
          <w:szCs w:val="18"/>
        </w:rPr>
      </w:pPr>
    </w:p>
    <w:p>
      <w:pPr>
        <w:spacing w:line="259" w:lineRule="auto" w:before="0"/>
        <w:ind w:left="153" w:right="0" w:firstLine="480"/>
        <w:jc w:val="left"/>
        <w:rPr>
          <w:rFonts w:ascii="宋体" w:hAnsi="宋体" w:cs="宋体" w:eastAsia="宋体" w:hint="default"/>
          <w:sz w:val="22"/>
          <w:szCs w:val="22"/>
        </w:rPr>
      </w:pPr>
      <w:r>
        <w:rPr>
          <w:rFonts w:ascii="宋体" w:hAnsi="宋体" w:cs="宋体" w:eastAsia="宋体" w:hint="default"/>
          <w:sz w:val="22"/>
          <w:szCs w:val="22"/>
        </w:rPr>
        <w:t>对使用寿命有限的无形资产的预计使用寿命及摊销方法于每年年度终了进行复核并作适当调整。</w:t>
      </w:r>
      <w:r>
        <w:rPr>
          <w:rFonts w:ascii="宋体" w:hAnsi="宋体" w:cs="宋体" w:eastAsia="宋体" w:hint="default"/>
          <w:w w:val="100"/>
          <w:sz w:val="22"/>
          <w:szCs w:val="22"/>
        </w:rPr>
        <w:t> </w:t>
      </w:r>
      <w:r>
        <w:rPr>
          <w:rFonts w:ascii="宋体" w:hAnsi="宋体" w:cs="宋体" w:eastAsia="宋体" w:hint="default"/>
          <w:sz w:val="22"/>
          <w:szCs w:val="22"/>
        </w:rPr>
        <w:t>在每个会计期间对使用寿命不确定的无形资产的预计使用寿命进行复核，如果有证据表明无形资产的</w:t>
      </w:r>
      <w:r>
        <w:rPr>
          <w:rFonts w:ascii="宋体" w:hAnsi="宋体" w:cs="宋体" w:eastAsia="宋体" w:hint="default"/>
          <w:w w:val="100"/>
          <w:sz w:val="22"/>
          <w:szCs w:val="22"/>
        </w:rPr>
        <w:t> </w:t>
      </w:r>
      <w:r>
        <w:rPr>
          <w:rFonts w:ascii="宋体" w:hAnsi="宋体" w:cs="宋体" w:eastAsia="宋体" w:hint="default"/>
          <w:sz w:val="22"/>
          <w:szCs w:val="22"/>
        </w:rPr>
        <w:t>使用寿命是有限的，则估计其使用寿命并在预计使用寿命内摊销。</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2）内部研究开发支出会计政策"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59" w:lineRule="auto" w:before="0"/>
        <w:ind w:left="153" w:right="1125" w:firstLine="456"/>
        <w:jc w:val="both"/>
        <w:rPr>
          <w:rFonts w:ascii="宋体" w:hAnsi="宋体" w:cs="宋体" w:eastAsia="宋体" w:hint="default"/>
          <w:sz w:val="22"/>
          <w:szCs w:val="22"/>
        </w:rPr>
      </w:pPr>
      <w:r>
        <w:rPr>
          <w:rFonts w:ascii="宋体" w:hAnsi="宋体" w:cs="宋体" w:eastAsia="宋体" w:hint="default"/>
          <w:spacing w:val="-3"/>
          <w:sz w:val="22"/>
          <w:szCs w:val="22"/>
        </w:rPr>
        <w:t>本集团的研究开发支出根据其性质以及研发活动最终形成无形资产是否具有较大不确定性，分为</w:t>
      </w:r>
      <w:r>
        <w:rPr>
          <w:rFonts w:ascii="宋体" w:hAnsi="宋体" w:cs="宋体" w:eastAsia="宋体" w:hint="default"/>
          <w:w w:val="100"/>
          <w:sz w:val="22"/>
          <w:szCs w:val="22"/>
        </w:rPr>
        <w:t> </w:t>
      </w:r>
      <w:r>
        <w:rPr>
          <w:rFonts w:ascii="宋体" w:hAnsi="宋体" w:cs="宋体" w:eastAsia="宋体" w:hint="default"/>
          <w:spacing w:val="-2"/>
          <w:sz w:val="22"/>
          <w:szCs w:val="22"/>
        </w:rPr>
        <w:t>研究阶段支出和开发阶段支出。研究阶段的支出，于发生时计入当期损益；开发阶段的支出，同时满</w:t>
      </w:r>
    </w:p>
    <w:p>
      <w:pPr>
        <w:spacing w:after="0" w:line="259" w:lineRule="auto"/>
        <w:jc w:val="both"/>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before="32"/>
        <w:ind w:left="153" w:right="0" w:firstLine="0"/>
        <w:jc w:val="left"/>
        <w:rPr>
          <w:rFonts w:ascii="宋体" w:hAnsi="宋体" w:cs="宋体" w:eastAsia="宋体" w:hint="default"/>
          <w:sz w:val="22"/>
          <w:szCs w:val="22"/>
        </w:rPr>
      </w:pPr>
      <w:r>
        <w:rPr>
          <w:rFonts w:ascii="宋体" w:hAnsi="宋体" w:cs="宋体" w:eastAsia="宋体" w:hint="default"/>
          <w:sz w:val="22"/>
          <w:szCs w:val="22"/>
        </w:rPr>
        <w:t>足下列条件的，确认为无形资产：</w:t>
      </w:r>
    </w:p>
    <w:p>
      <w:pPr>
        <w:spacing w:line="240" w:lineRule="auto" w:before="2"/>
        <w:rPr>
          <w:rFonts w:ascii="宋体" w:hAnsi="宋体" w:cs="宋体" w:eastAsia="宋体" w:hint="default"/>
          <w:sz w:val="20"/>
          <w:szCs w:val="20"/>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）完成该无形资产以使其能够使用或出售在技术上具有可行性；</w:t>
      </w:r>
    </w:p>
    <w:p>
      <w:pPr>
        <w:spacing w:line="240" w:lineRule="auto" w:before="13"/>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）具有完成该无形资产并使用或出售的意图；</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）运用该无形资产生产的产品存在市场或无形资产自身存在市场；</w:t>
      </w:r>
    </w:p>
    <w:p>
      <w:pPr>
        <w:spacing w:line="240" w:lineRule="auto" w:before="12"/>
        <w:rPr>
          <w:rFonts w:ascii="宋体" w:hAnsi="宋体" w:cs="宋体" w:eastAsia="宋体" w:hint="default"/>
          <w:sz w:val="18"/>
          <w:szCs w:val="18"/>
        </w:rPr>
      </w:pPr>
    </w:p>
    <w:p>
      <w:pPr>
        <w:spacing w:line="244"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）有足够的技术、财务资源和其他资源支持，以完成该无形资产的开发，并有能力使用或出</w:t>
      </w:r>
      <w:r>
        <w:rPr>
          <w:rFonts w:ascii="宋体" w:hAnsi="宋体" w:cs="宋体" w:eastAsia="宋体" w:hint="default"/>
          <w:w w:val="100"/>
          <w:sz w:val="22"/>
          <w:szCs w:val="22"/>
        </w:rPr>
        <w:t> </w:t>
      </w:r>
      <w:r>
        <w:rPr>
          <w:rFonts w:ascii="宋体" w:hAnsi="宋体" w:cs="宋体" w:eastAsia="宋体" w:hint="default"/>
          <w:sz w:val="22"/>
          <w:szCs w:val="22"/>
        </w:rPr>
        <w:t>售该无形资产；</w:t>
      </w:r>
    </w:p>
    <w:p>
      <w:pPr>
        <w:spacing w:line="530" w:lineRule="atLeast" w:before="34"/>
        <w:ind w:left="551" w:right="0" w:firstLine="43"/>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）归属于该无形资产开发阶段的支出能够可靠地计量。</w:t>
      </w:r>
      <w:r>
        <w:rPr>
          <w:rFonts w:ascii="宋体" w:hAnsi="宋体" w:cs="宋体" w:eastAsia="宋体" w:hint="default"/>
          <w:w w:val="100"/>
          <w:sz w:val="22"/>
          <w:szCs w:val="22"/>
        </w:rPr>
        <w:t> </w:t>
      </w:r>
      <w:r>
        <w:rPr>
          <w:rFonts w:ascii="宋体" w:hAnsi="宋体" w:cs="宋体" w:eastAsia="宋体" w:hint="default"/>
          <w:spacing w:val="-1"/>
          <w:sz w:val="22"/>
          <w:szCs w:val="22"/>
        </w:rPr>
        <w:t>不满足上述条件的开发阶段的支出，于发生时计入当期损益。前期已计入损益的开发支出在以后</w:t>
      </w:r>
    </w:p>
    <w:p>
      <w:pPr>
        <w:spacing w:line="261" w:lineRule="auto" w:before="24"/>
        <w:ind w:left="153" w:right="0" w:firstLine="0"/>
        <w:jc w:val="left"/>
        <w:rPr>
          <w:rFonts w:ascii="宋体" w:hAnsi="宋体" w:cs="宋体" w:eastAsia="宋体" w:hint="default"/>
          <w:sz w:val="22"/>
          <w:szCs w:val="22"/>
        </w:rPr>
      </w:pPr>
      <w:r>
        <w:rPr>
          <w:rFonts w:ascii="宋体" w:hAnsi="宋体" w:cs="宋体" w:eastAsia="宋体" w:hint="default"/>
          <w:spacing w:val="-2"/>
          <w:sz w:val="22"/>
          <w:szCs w:val="22"/>
        </w:rPr>
        <w:t>期间不再确认为资产。已资本化的开发阶段的支出在资产负债表上列示为开发支出，自该项目达到预</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定可使用状态之日起转为无形资产列报。</w:t>
      </w:r>
    </w:p>
    <w:p>
      <w:pPr>
        <w:spacing w:line="240" w:lineRule="auto" w:before="13"/>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31、长期资产减值" w:id="203"/>
      <w:bookmarkEnd w:id="203"/>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59" w:lineRule="auto" w:before="0"/>
        <w:ind w:left="153" w:right="1125" w:firstLine="398"/>
        <w:jc w:val="both"/>
        <w:rPr>
          <w:rFonts w:ascii="宋体" w:hAnsi="宋体" w:cs="宋体" w:eastAsia="宋体" w:hint="default"/>
          <w:sz w:val="22"/>
          <w:szCs w:val="22"/>
        </w:rPr>
      </w:pPr>
      <w:r>
        <w:rPr>
          <w:rFonts w:ascii="宋体" w:hAnsi="宋体" w:cs="宋体" w:eastAsia="宋体" w:hint="default"/>
          <w:spacing w:val="-1"/>
          <w:sz w:val="22"/>
          <w:szCs w:val="22"/>
        </w:rPr>
        <w:t>本集团于每一资产负债表日对长期股权投资、固定资产、在建工程、使用寿命有限的无形资产等</w:t>
      </w:r>
      <w:r>
        <w:rPr>
          <w:rFonts w:ascii="宋体" w:hAnsi="宋体" w:cs="宋体" w:eastAsia="宋体" w:hint="default"/>
          <w:w w:val="100"/>
          <w:sz w:val="22"/>
          <w:szCs w:val="22"/>
        </w:rPr>
        <w:t> </w:t>
      </w:r>
      <w:r>
        <w:rPr>
          <w:rFonts w:ascii="宋体" w:hAnsi="宋体" w:cs="宋体" w:eastAsia="宋体" w:hint="default"/>
          <w:spacing w:val="-2"/>
          <w:sz w:val="22"/>
          <w:szCs w:val="22"/>
        </w:rPr>
        <w:t>项目进行检查，当存在下列迹象时，表明资产可能发生了减值，本集团将进行减值测试。对商誉和使</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用寿命不确定的无形资产，无论是否存在减值迹象，每年末均进行减值测试。难以对单项资产的可收</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回金额进行测试的，以该资产所属的资产组或资产组组合为基础测试。</w:t>
      </w:r>
    </w:p>
    <w:p>
      <w:pPr>
        <w:spacing w:line="240" w:lineRule="auto" w:before="11"/>
        <w:rPr>
          <w:rFonts w:ascii="宋体" w:hAnsi="宋体" w:cs="宋体" w:eastAsia="宋体" w:hint="default"/>
          <w:sz w:val="18"/>
          <w:szCs w:val="18"/>
        </w:rPr>
      </w:pPr>
    </w:p>
    <w:p>
      <w:pPr>
        <w:spacing w:line="259" w:lineRule="auto" w:before="0"/>
        <w:ind w:left="153" w:right="1130" w:firstLine="456"/>
        <w:jc w:val="both"/>
        <w:rPr>
          <w:rFonts w:ascii="宋体" w:hAnsi="宋体" w:cs="宋体" w:eastAsia="宋体" w:hint="default"/>
          <w:sz w:val="22"/>
          <w:szCs w:val="22"/>
        </w:rPr>
      </w:pPr>
      <w:r>
        <w:rPr>
          <w:rFonts w:ascii="宋体" w:hAnsi="宋体" w:cs="宋体" w:eastAsia="宋体" w:hint="default"/>
          <w:spacing w:val="-3"/>
          <w:sz w:val="22"/>
          <w:szCs w:val="22"/>
        </w:rPr>
        <w:t>减值测试后，若该资产的账面价值超过其可收回金额，其差额确认为减值损失，上述资产的减值</w:t>
      </w:r>
      <w:r>
        <w:rPr>
          <w:rFonts w:ascii="宋体" w:hAnsi="宋体" w:cs="宋体" w:eastAsia="宋体" w:hint="default"/>
          <w:w w:val="100"/>
          <w:sz w:val="22"/>
          <w:szCs w:val="22"/>
        </w:rPr>
        <w:t> </w:t>
      </w:r>
      <w:r>
        <w:rPr>
          <w:rFonts w:ascii="宋体" w:hAnsi="宋体" w:cs="宋体" w:eastAsia="宋体" w:hint="default"/>
          <w:spacing w:val="-2"/>
          <w:sz w:val="22"/>
          <w:szCs w:val="22"/>
        </w:rPr>
        <w:t>损失一经确认，在以后会计期间不予转回。资产的可收回金额是指资产的公允价值减去处置费用后的</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净额与资产预计未来现金流量的现值两者之间的较高者。</w:t>
      </w:r>
    </w:p>
    <w:p>
      <w:pPr>
        <w:spacing w:line="240" w:lineRule="auto" w:before="11"/>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p>
    <w:p>
      <w:pPr>
        <w:spacing w:line="240" w:lineRule="auto" w:before="2"/>
        <w:rPr>
          <w:rFonts w:ascii="宋体" w:hAnsi="宋体" w:cs="宋体" w:eastAsia="宋体" w:hint="default"/>
          <w:sz w:val="20"/>
          <w:szCs w:val="20"/>
        </w:rPr>
      </w:pPr>
    </w:p>
    <w:p>
      <w:pPr>
        <w:spacing w:before="0"/>
        <w:ind w:left="60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）资产的市价当期大幅度下跌，其跌幅明显高于因时间的推移或者正常使用而预计的下跌；</w:t>
      </w:r>
    </w:p>
    <w:p>
      <w:pPr>
        <w:spacing w:line="240" w:lineRule="auto" w:before="12"/>
        <w:rPr>
          <w:rFonts w:ascii="宋体" w:hAnsi="宋体" w:cs="宋体" w:eastAsia="宋体" w:hint="default"/>
          <w:sz w:val="18"/>
          <w:szCs w:val="18"/>
        </w:rPr>
      </w:pPr>
    </w:p>
    <w:p>
      <w:pPr>
        <w:spacing w:line="247" w:lineRule="auto" w:before="0"/>
        <w:ind w:left="153" w:right="0" w:firstLine="456"/>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）企业经营所处的经济、技术或者法律等环境以及资产所处的市场在当期或者将在近期发生</w:t>
      </w:r>
      <w:r>
        <w:rPr>
          <w:rFonts w:ascii="宋体" w:hAnsi="宋体" w:cs="宋体" w:eastAsia="宋体" w:hint="default"/>
          <w:w w:val="100"/>
          <w:sz w:val="22"/>
          <w:szCs w:val="22"/>
        </w:rPr>
        <w:t> </w:t>
      </w:r>
      <w:r>
        <w:rPr>
          <w:rFonts w:ascii="宋体" w:hAnsi="宋体" w:cs="宋体" w:eastAsia="宋体" w:hint="default"/>
          <w:sz w:val="22"/>
          <w:szCs w:val="22"/>
        </w:rPr>
        <w:t>重大变化，从而对企业产生不利影响；</w:t>
      </w:r>
    </w:p>
    <w:p>
      <w:pPr>
        <w:spacing w:line="240" w:lineRule="auto" w:before="9"/>
        <w:rPr>
          <w:rFonts w:ascii="宋体" w:hAnsi="宋体" w:cs="宋体" w:eastAsia="宋体" w:hint="default"/>
          <w:sz w:val="19"/>
          <w:szCs w:val="19"/>
        </w:rPr>
      </w:pPr>
    </w:p>
    <w:p>
      <w:pPr>
        <w:spacing w:line="244" w:lineRule="auto" w:before="0"/>
        <w:ind w:left="153" w:right="0" w:firstLine="456"/>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）市场利率或者其他市场投资报酬率在当期已经提高，从而影响企业计算资产预计未来现金</w:t>
      </w:r>
      <w:r>
        <w:rPr>
          <w:rFonts w:ascii="宋体" w:hAnsi="宋体" w:cs="宋体" w:eastAsia="宋体" w:hint="default"/>
          <w:w w:val="100"/>
          <w:sz w:val="22"/>
          <w:szCs w:val="22"/>
        </w:rPr>
        <w:t> </w:t>
      </w:r>
      <w:r>
        <w:rPr>
          <w:rFonts w:ascii="宋体" w:hAnsi="宋体" w:cs="宋体" w:eastAsia="宋体" w:hint="default"/>
          <w:sz w:val="22"/>
          <w:szCs w:val="22"/>
        </w:rPr>
        <w:t>流量现值的折现率，导致资产可收回金额大幅度降低；</w:t>
      </w:r>
    </w:p>
    <w:p>
      <w:pPr>
        <w:spacing w:line="240" w:lineRule="auto" w:before="11"/>
        <w:rPr>
          <w:rFonts w:ascii="宋体" w:hAnsi="宋体" w:cs="宋体" w:eastAsia="宋体" w:hint="default"/>
          <w:sz w:val="19"/>
          <w:szCs w:val="19"/>
        </w:rPr>
      </w:pPr>
    </w:p>
    <w:p>
      <w:pPr>
        <w:spacing w:before="0"/>
        <w:ind w:left="60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）有证据表明资产已经陈旧过时或者其实体已经损坏；</w:t>
      </w:r>
    </w:p>
    <w:p>
      <w:pPr>
        <w:spacing w:line="240" w:lineRule="auto" w:before="12"/>
        <w:rPr>
          <w:rFonts w:ascii="宋体" w:hAnsi="宋体" w:cs="宋体" w:eastAsia="宋体" w:hint="default"/>
          <w:sz w:val="18"/>
          <w:szCs w:val="18"/>
        </w:rPr>
      </w:pPr>
    </w:p>
    <w:p>
      <w:pPr>
        <w:spacing w:before="0"/>
        <w:ind w:left="60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）资产已经或者将被闲置、终止使用或者计划提前处置；</w:t>
      </w:r>
    </w:p>
    <w:p>
      <w:pPr>
        <w:spacing w:line="240" w:lineRule="auto" w:before="12"/>
        <w:rPr>
          <w:rFonts w:ascii="宋体" w:hAnsi="宋体" w:cs="宋体" w:eastAsia="宋体" w:hint="default"/>
          <w:sz w:val="18"/>
          <w:szCs w:val="18"/>
        </w:rPr>
      </w:pPr>
    </w:p>
    <w:p>
      <w:pPr>
        <w:spacing w:line="244" w:lineRule="auto" w:before="0"/>
        <w:ind w:left="153" w:right="0" w:firstLine="456"/>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）企业内部报告的证据表明资产的经济绩效已经低于或者将低于预期，如资产所创造的净现</w:t>
      </w:r>
      <w:r>
        <w:rPr>
          <w:rFonts w:ascii="宋体" w:hAnsi="宋体" w:cs="宋体" w:eastAsia="宋体" w:hint="default"/>
          <w:w w:val="100"/>
          <w:sz w:val="22"/>
          <w:szCs w:val="22"/>
        </w:rPr>
        <w:t> </w:t>
      </w:r>
      <w:r>
        <w:rPr>
          <w:rFonts w:ascii="宋体" w:hAnsi="宋体" w:cs="宋体" w:eastAsia="宋体" w:hint="default"/>
          <w:sz w:val="22"/>
          <w:szCs w:val="22"/>
        </w:rPr>
        <w:t>金流量或者实现的营业利润（或者亏损）远远低于（或者高于）预计金额等；</w:t>
      </w:r>
    </w:p>
    <w:p>
      <w:pPr>
        <w:spacing w:line="240" w:lineRule="auto" w:before="12"/>
        <w:rPr>
          <w:rFonts w:ascii="宋体" w:hAnsi="宋体" w:cs="宋体" w:eastAsia="宋体" w:hint="default"/>
          <w:sz w:val="19"/>
          <w:szCs w:val="19"/>
        </w:rPr>
      </w:pPr>
    </w:p>
    <w:p>
      <w:pPr>
        <w:spacing w:before="0"/>
        <w:ind w:left="60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7</w:t>
      </w:r>
      <w:r>
        <w:rPr>
          <w:rFonts w:ascii="宋体" w:hAnsi="宋体" w:cs="宋体" w:eastAsia="宋体" w:hint="default"/>
          <w:sz w:val="22"/>
          <w:szCs w:val="22"/>
        </w:rPr>
        <w:t>）其他表明资产可能已经发生减值的迹象。</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both"/>
        <w:rPr>
          <w:rFonts w:ascii="宋体" w:hAnsi="宋体" w:cs="宋体" w:eastAsia="宋体" w:hint="default"/>
          <w:sz w:val="21"/>
          <w:szCs w:val="21"/>
        </w:rPr>
      </w:pPr>
      <w:bookmarkStart w:name="32、长期待摊费用" w:id="204"/>
      <w:bookmarkEnd w:id="204"/>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本集团的长期待摊费用包括房屋装修费、律师费、上市公司公告费等。该等费用在受益期内平均</w:t>
      </w:r>
      <w:r>
        <w:rPr>
          <w:rFonts w:ascii="宋体" w:hAnsi="宋体" w:cs="宋体" w:eastAsia="宋体" w:hint="default"/>
          <w:w w:val="100"/>
          <w:sz w:val="22"/>
          <w:szCs w:val="22"/>
        </w:rPr>
        <w:t> </w:t>
      </w:r>
      <w:r>
        <w:rPr>
          <w:rFonts w:ascii="宋体" w:hAnsi="宋体" w:cs="宋体" w:eastAsia="宋体" w:hint="default"/>
          <w:spacing w:val="-2"/>
          <w:sz w:val="22"/>
          <w:szCs w:val="22"/>
        </w:rPr>
        <w:t>摊销，如果长期待摊费用项目不能使以后会计期间受益，则将尚未摊销的该项目的摊余价值全部转入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当期损益。</w:t>
      </w:r>
    </w:p>
    <w:p>
      <w:pPr>
        <w:spacing w:line="240" w:lineRule="auto" w:before="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33、合同负债" w:id="205"/>
      <w:bookmarkEnd w:id="205"/>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、合同负债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34、职工薪酬" w:id="206"/>
      <w:bookmarkEnd w:id="206"/>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短期薪酬的会计处理方法" w:id="207"/>
      <w:bookmarkEnd w:id="2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9" w:lineRule="auto" w:before="0"/>
        <w:ind w:left="153" w:right="1130" w:firstLine="441"/>
        <w:jc w:val="both"/>
        <w:rPr>
          <w:rFonts w:ascii="宋体" w:hAnsi="宋体" w:cs="宋体" w:eastAsia="宋体" w:hint="default"/>
          <w:sz w:val="22"/>
          <w:szCs w:val="22"/>
        </w:rPr>
      </w:pPr>
      <w:r>
        <w:rPr>
          <w:rFonts w:ascii="宋体" w:hAnsi="宋体" w:cs="宋体" w:eastAsia="宋体" w:hint="default"/>
          <w:spacing w:val="2"/>
          <w:sz w:val="22"/>
          <w:szCs w:val="22"/>
        </w:rPr>
        <w:t>短期薪酬是指本集团在职工提供相关服务的年度报告期间结束后十二个月内需要全部支付的职</w:t>
      </w:r>
      <w:r>
        <w:rPr>
          <w:rFonts w:ascii="宋体" w:hAnsi="宋体" w:cs="宋体" w:eastAsia="宋体" w:hint="default"/>
          <w:w w:val="100"/>
          <w:sz w:val="22"/>
          <w:szCs w:val="22"/>
        </w:rPr>
        <w:t> </w:t>
      </w:r>
      <w:r>
        <w:rPr>
          <w:rFonts w:ascii="宋体" w:hAnsi="宋体" w:cs="宋体" w:eastAsia="宋体" w:hint="default"/>
          <w:spacing w:val="-2"/>
          <w:sz w:val="22"/>
          <w:szCs w:val="22"/>
        </w:rPr>
        <w:t>工薪酬，离职后福利和辞退福利除外。本集团在职工提供服务的会计期间，将应付的短期薪酬确认为</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负债，并根据职工服务的受益对象计入相关资产成本和费用。</w:t>
      </w:r>
    </w:p>
    <w:p>
      <w:pPr>
        <w:spacing w:line="240" w:lineRule="auto" w:before="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2）离职后福利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离职后福利是指本集团为获得职工提供的服务而在职工退休或与企业解除劳动关系后，提供的各</w:t>
      </w:r>
      <w:r>
        <w:rPr>
          <w:rFonts w:ascii="宋体" w:hAnsi="宋体" w:cs="宋体" w:eastAsia="宋体" w:hint="default"/>
          <w:w w:val="100"/>
          <w:sz w:val="22"/>
          <w:szCs w:val="22"/>
        </w:rPr>
        <w:t> </w:t>
      </w:r>
      <w:r>
        <w:rPr>
          <w:rFonts w:ascii="宋体" w:hAnsi="宋体" w:cs="宋体" w:eastAsia="宋体" w:hint="default"/>
          <w:spacing w:val="-2"/>
          <w:sz w:val="22"/>
          <w:szCs w:val="22"/>
        </w:rPr>
        <w:t>种形式的报酬和福利。短期薪酬和辞退福利除外。离职后福利计划分类为设定提存计划和设定收益计</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划。</w:t>
      </w:r>
    </w:p>
    <w:p>
      <w:pPr>
        <w:spacing w:line="240" w:lineRule="auto" w:before="11"/>
        <w:rPr>
          <w:rFonts w:ascii="宋体" w:hAnsi="宋体" w:cs="宋体" w:eastAsia="宋体" w:hint="default"/>
          <w:sz w:val="18"/>
          <w:szCs w:val="18"/>
        </w:rPr>
      </w:pPr>
    </w:p>
    <w:p>
      <w:pPr>
        <w:spacing w:line="259" w:lineRule="auto" w:before="0"/>
        <w:ind w:left="153" w:right="1020" w:firstLine="441"/>
        <w:jc w:val="both"/>
        <w:rPr>
          <w:rFonts w:ascii="宋体" w:hAnsi="宋体" w:cs="宋体" w:eastAsia="宋体" w:hint="default"/>
          <w:sz w:val="22"/>
          <w:szCs w:val="22"/>
        </w:rPr>
      </w:pPr>
      <w:r>
        <w:rPr>
          <w:rFonts w:ascii="宋体" w:hAnsi="宋体" w:cs="宋体" w:eastAsia="宋体" w:hint="default"/>
          <w:sz w:val="22"/>
          <w:szCs w:val="22"/>
        </w:rPr>
        <w:t>离职后福利设定提存计划主要为参加由各地劳动及社会保障机构组织实施的社会基本养老保险、</w:t>
      </w:r>
      <w:r>
        <w:rPr>
          <w:rFonts w:ascii="宋体" w:hAnsi="宋体" w:cs="宋体" w:eastAsia="宋体" w:hint="default"/>
          <w:w w:val="100"/>
          <w:sz w:val="22"/>
          <w:szCs w:val="22"/>
        </w:rPr>
        <w:t> </w:t>
      </w:r>
      <w:r>
        <w:rPr>
          <w:rFonts w:ascii="宋体" w:hAnsi="宋体" w:cs="宋体" w:eastAsia="宋体" w:hint="default"/>
          <w:spacing w:val="-5"/>
          <w:sz w:val="22"/>
          <w:szCs w:val="22"/>
        </w:rPr>
        <w:t>失业保险等。在职工为本集团提供服务的会计期间，将所设定提存计划计算的应缴存金额确认为负债，</w:t>
      </w:r>
      <w:r>
        <w:rPr>
          <w:rFonts w:ascii="宋体" w:hAnsi="宋体" w:cs="宋体" w:eastAsia="宋体" w:hint="default"/>
          <w:spacing w:val="-38"/>
          <w:sz w:val="22"/>
          <w:szCs w:val="22"/>
        </w:rPr>
        <w:t> </w:t>
      </w:r>
      <w:r>
        <w:rPr>
          <w:rFonts w:ascii="宋体" w:hAnsi="宋体" w:cs="宋体" w:eastAsia="宋体" w:hint="default"/>
          <w:spacing w:val="-38"/>
          <w:sz w:val="22"/>
          <w:szCs w:val="22"/>
        </w:rPr>
      </w:r>
      <w:r>
        <w:rPr>
          <w:rFonts w:ascii="宋体" w:hAnsi="宋体" w:cs="宋体" w:eastAsia="宋体" w:hint="default"/>
          <w:sz w:val="22"/>
          <w:szCs w:val="22"/>
        </w:rPr>
        <w:t>并计入当期损益或相关资产成本。</w:t>
      </w:r>
    </w:p>
    <w:p>
      <w:pPr>
        <w:spacing w:before="50"/>
        <w:ind w:left="153" w:right="0" w:firstLine="0"/>
        <w:jc w:val="both"/>
        <w:rPr>
          <w:rFonts w:ascii="宋体" w:hAnsi="宋体" w:cs="宋体" w:eastAsia="宋体" w:hint="default"/>
          <w:sz w:val="22"/>
          <w:szCs w:val="22"/>
        </w:rPr>
      </w:pPr>
      <w:r>
        <w:rPr>
          <w:rFonts w:ascii="宋体" w:hAnsi="宋体" w:cs="宋体" w:eastAsia="宋体" w:hint="default"/>
          <w:sz w:val="22"/>
          <w:szCs w:val="22"/>
        </w:rPr>
        <w:t>本集团按照国家规定的标准定期缴付上述款项后，不再有其他的支付义务。</w:t>
      </w:r>
    </w:p>
    <w:p>
      <w:pPr>
        <w:spacing w:line="240" w:lineRule="auto" w:before="1"/>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3）辞退福利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59" w:lineRule="auto" w:before="0"/>
        <w:ind w:left="153" w:right="1124" w:firstLine="441"/>
        <w:jc w:val="both"/>
        <w:rPr>
          <w:rFonts w:ascii="宋体" w:hAnsi="宋体" w:cs="宋体" w:eastAsia="宋体" w:hint="default"/>
          <w:sz w:val="22"/>
          <w:szCs w:val="22"/>
        </w:rPr>
      </w:pPr>
      <w:r>
        <w:rPr>
          <w:rFonts w:ascii="宋体" w:hAnsi="宋体" w:cs="宋体" w:eastAsia="宋体" w:hint="default"/>
          <w:spacing w:val="-2"/>
          <w:sz w:val="22"/>
          <w:szCs w:val="22"/>
        </w:rPr>
        <w:t>辞退福利是指本集团在职工劳动合同到期之前解除与职工的劳动关系，或者为鼓励职工自愿接受</w:t>
      </w:r>
      <w:r>
        <w:rPr>
          <w:rFonts w:ascii="宋体" w:hAnsi="宋体" w:cs="宋体" w:eastAsia="宋体" w:hint="default"/>
          <w:w w:val="100"/>
          <w:sz w:val="22"/>
          <w:szCs w:val="22"/>
        </w:rPr>
        <w:t> </w:t>
      </w:r>
      <w:r>
        <w:rPr>
          <w:rFonts w:ascii="宋体" w:hAnsi="宋体" w:cs="宋体" w:eastAsia="宋体" w:hint="default"/>
          <w:sz w:val="22"/>
          <w:szCs w:val="22"/>
        </w:rPr>
        <w:t>裁减而给予职工的补偿，在发生当期计入当期损益。</w:t>
      </w:r>
    </w:p>
    <w:p>
      <w:pPr>
        <w:spacing w:line="240" w:lineRule="auto" w:before="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4）其他长期职工福利的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550" w:lineRule="atLeast" w:before="54"/>
        <w:ind w:left="594" w:right="0" w:firstLine="0"/>
        <w:jc w:val="left"/>
        <w:rPr>
          <w:rFonts w:ascii="宋体" w:hAnsi="宋体" w:cs="宋体" w:eastAsia="宋体" w:hint="default"/>
          <w:sz w:val="22"/>
          <w:szCs w:val="22"/>
        </w:rPr>
      </w:pPr>
      <w:r>
        <w:rPr>
          <w:rFonts w:ascii="宋体" w:hAnsi="宋体" w:cs="宋体" w:eastAsia="宋体" w:hint="default"/>
          <w:sz w:val="22"/>
          <w:szCs w:val="22"/>
        </w:rPr>
        <w:t>其他长期职工福利是指除短期薪酬、离职后福利、辞退福利之外的其他所有职工福利。</w:t>
      </w:r>
      <w:r>
        <w:rPr>
          <w:rFonts w:ascii="宋体" w:hAnsi="宋体" w:cs="宋体" w:eastAsia="宋体" w:hint="default"/>
          <w:w w:val="100"/>
          <w:sz w:val="22"/>
          <w:szCs w:val="22"/>
        </w:rPr>
        <w:t> </w:t>
      </w:r>
      <w:r>
        <w:rPr>
          <w:rFonts w:ascii="宋体" w:hAnsi="宋体" w:cs="宋体" w:eastAsia="宋体" w:hint="default"/>
          <w:spacing w:val="-2"/>
          <w:sz w:val="22"/>
          <w:szCs w:val="22"/>
        </w:rPr>
        <w:t>对于符合设定提存计划的其他长期职工福利，在职工为本集团提供服务的会计期间，将应缴存金</w:t>
      </w:r>
    </w:p>
    <w:p>
      <w:pPr>
        <w:spacing w:line="259" w:lineRule="auto" w:before="24"/>
        <w:ind w:left="153" w:right="1125" w:firstLine="0"/>
        <w:jc w:val="both"/>
        <w:rPr>
          <w:rFonts w:ascii="宋体" w:hAnsi="宋体" w:cs="宋体" w:eastAsia="宋体" w:hint="default"/>
          <w:sz w:val="22"/>
          <w:szCs w:val="22"/>
        </w:rPr>
      </w:pPr>
      <w:r>
        <w:rPr>
          <w:rFonts w:ascii="宋体" w:hAnsi="宋体" w:cs="宋体" w:eastAsia="宋体" w:hint="default"/>
          <w:spacing w:val="-2"/>
          <w:sz w:val="22"/>
          <w:szCs w:val="22"/>
        </w:rPr>
        <w:t>额确认为负债，并计入当期损益或资产成本；除上述情形外的其他长期职工福利，在资产负债表日使</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用预期累计福利单位进行精算，将设定受益计划产生的福利义务归属于职工提供服务的期间，并计入</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当期损益或资产成本。</w:t>
      </w:r>
    </w:p>
    <w:p>
      <w:pPr>
        <w:spacing w:after="0" w:line="259" w:lineRule="auto"/>
        <w:jc w:val="both"/>
        <w:rPr>
          <w:rFonts w:ascii="宋体" w:hAnsi="宋体" w:cs="宋体" w:eastAsia="宋体" w:hint="default"/>
          <w:sz w:val="22"/>
          <w:szCs w:val="22"/>
        </w:rPr>
        <w:sectPr>
          <w:pgSz w:w="11910" w:h="16840"/>
          <w:pgMar w:header="863"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35、租赁负债" w:id="211"/>
      <w:bookmarkEnd w:id="211"/>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6、预计负债" w:id="212"/>
      <w:bookmarkEnd w:id="212"/>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9" w:lineRule="auto" w:before="0"/>
        <w:ind w:left="153" w:right="1125" w:firstLine="480"/>
        <w:jc w:val="both"/>
        <w:rPr>
          <w:rFonts w:ascii="宋体" w:hAnsi="宋体" w:cs="宋体" w:eastAsia="宋体" w:hint="default"/>
          <w:sz w:val="22"/>
          <w:szCs w:val="22"/>
        </w:rPr>
      </w:pPr>
      <w:r>
        <w:rPr>
          <w:rFonts w:ascii="宋体" w:hAnsi="宋体" w:cs="宋体" w:eastAsia="宋体" w:hint="default"/>
          <w:spacing w:val="-3"/>
          <w:sz w:val="22"/>
          <w:szCs w:val="22"/>
        </w:rPr>
        <w:t>当与对外担保、商业承兑汇票贴现、未决诉讼或仲裁、产品质量保证等或有事项相关的业务同时</w:t>
      </w:r>
      <w:r>
        <w:rPr>
          <w:rFonts w:ascii="宋体" w:hAnsi="宋体" w:cs="宋体" w:eastAsia="宋体" w:hint="default"/>
          <w:w w:val="100"/>
          <w:sz w:val="22"/>
          <w:szCs w:val="22"/>
        </w:rPr>
        <w:t> </w:t>
      </w:r>
      <w:r>
        <w:rPr>
          <w:rFonts w:ascii="宋体" w:hAnsi="宋体" w:cs="宋体" w:eastAsia="宋体" w:hint="default"/>
          <w:spacing w:val="-2"/>
          <w:sz w:val="22"/>
          <w:szCs w:val="22"/>
        </w:rPr>
        <w:t>符合以下条件时，本集团将其确认为负债：该义务是本集团承担的现时义务；该义务的履行很可能导</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致经济利益流出企业；该义务的金额能够可靠地计量。</w:t>
      </w:r>
    </w:p>
    <w:p>
      <w:pPr>
        <w:spacing w:line="240" w:lineRule="auto" w:before="11"/>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预计负债按照履行相关现时义务所需支出的最佳估计数进行初始计量，并综合考虑与或有事项有</w:t>
      </w:r>
      <w:r>
        <w:rPr>
          <w:rFonts w:ascii="宋体" w:hAnsi="宋体" w:cs="宋体" w:eastAsia="宋体" w:hint="default"/>
          <w:w w:val="100"/>
          <w:sz w:val="22"/>
          <w:szCs w:val="22"/>
        </w:rPr>
        <w:t> </w:t>
      </w:r>
      <w:r>
        <w:rPr>
          <w:rFonts w:ascii="宋体" w:hAnsi="宋体" w:cs="宋体" w:eastAsia="宋体" w:hint="default"/>
          <w:spacing w:val="-2"/>
          <w:sz w:val="22"/>
          <w:szCs w:val="22"/>
        </w:rPr>
        <w:t>关的风险、不确定性和货币时间价值等因素。货币时间价值影响重大的，通过对相关未来现金流出进</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行折现后确定最佳估计数。每个资产负债表日对预计负债的账面价值进行复核，如有改变则对账面价</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值进行调整以反映当前最佳估计数。</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37、股份支付" w:id="213"/>
      <w:bookmarkEnd w:id="213"/>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用以换取职工提供服务的以权益结算的股份支付，以授予职工权益工具在授予日的公允价值计量。</w:t>
      </w:r>
      <w:r>
        <w:rPr>
          <w:rFonts w:ascii="宋体" w:hAnsi="宋体" w:cs="宋体" w:eastAsia="宋体" w:hint="default"/>
          <w:w w:val="100"/>
          <w:sz w:val="22"/>
          <w:szCs w:val="22"/>
        </w:rPr>
        <w:t> </w:t>
      </w:r>
      <w:r>
        <w:rPr>
          <w:rFonts w:ascii="宋体" w:hAnsi="宋体" w:cs="宋体" w:eastAsia="宋体" w:hint="default"/>
          <w:sz w:val="22"/>
          <w:szCs w:val="22"/>
        </w:rPr>
        <w:t>该公允价值的金额在完成等待期内的服务或达到规定业绩条件才可行权的情况下，在等待期内以对可</w:t>
      </w:r>
      <w:r>
        <w:rPr>
          <w:rFonts w:ascii="宋体" w:hAnsi="宋体" w:cs="宋体" w:eastAsia="宋体" w:hint="default"/>
          <w:w w:val="100"/>
          <w:sz w:val="22"/>
          <w:szCs w:val="22"/>
        </w:rPr>
        <w:t> </w:t>
      </w:r>
      <w:r>
        <w:rPr>
          <w:rFonts w:ascii="宋体" w:hAnsi="宋体" w:cs="宋体" w:eastAsia="宋体" w:hint="default"/>
          <w:sz w:val="22"/>
          <w:szCs w:val="22"/>
        </w:rPr>
        <w:t>行权权益工具数量的最佳估计为基础，按直线法计算计入相关成本或费用，相应增加资本公积。</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以现金结算的股份支付，按照本集团承担的以股份或其他权益工具为基础确定的负债的公允价值</w:t>
      </w:r>
      <w:r>
        <w:rPr>
          <w:rFonts w:ascii="宋体" w:hAnsi="宋体" w:cs="宋体" w:eastAsia="宋体" w:hint="default"/>
          <w:w w:val="100"/>
          <w:sz w:val="22"/>
          <w:szCs w:val="22"/>
        </w:rPr>
        <w:t> </w:t>
      </w:r>
      <w:r>
        <w:rPr>
          <w:rFonts w:ascii="宋体" w:hAnsi="宋体" w:cs="宋体" w:eastAsia="宋体" w:hint="default"/>
          <w:sz w:val="22"/>
          <w:szCs w:val="22"/>
        </w:rPr>
        <w:t>计量。如授予后立即可行权，在授予日以承担负债的公允价值计入相关成本或费用，相应增加负债；</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pacing w:val="-2"/>
          <w:sz w:val="22"/>
          <w:szCs w:val="22"/>
        </w:rPr>
        <w:t>如需完成等待期内的服务或达到规定业绩条件以后才可行权，在等待期的每个资产负债表日，以对可</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行权情况的最佳估计为基础，按照本集团承担负债的公允价值金额，将当期取得的服务计入成本或费</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用，相应调整负债。</w:t>
      </w:r>
    </w:p>
    <w:p>
      <w:pPr>
        <w:spacing w:line="240" w:lineRule="auto" w:before="11"/>
        <w:rPr>
          <w:rFonts w:ascii="宋体" w:hAnsi="宋体" w:cs="宋体" w:eastAsia="宋体" w:hint="default"/>
          <w:sz w:val="18"/>
          <w:szCs w:val="18"/>
        </w:rPr>
      </w:pPr>
    </w:p>
    <w:p>
      <w:pPr>
        <w:spacing w:line="261" w:lineRule="auto" w:before="0"/>
        <w:ind w:left="153" w:right="1131" w:firstLine="441"/>
        <w:jc w:val="left"/>
        <w:rPr>
          <w:rFonts w:ascii="宋体" w:hAnsi="宋体" w:cs="宋体" w:eastAsia="宋体" w:hint="default"/>
          <w:sz w:val="22"/>
          <w:szCs w:val="22"/>
        </w:rPr>
      </w:pPr>
      <w:r>
        <w:rPr>
          <w:rFonts w:ascii="宋体" w:hAnsi="宋体" w:cs="宋体" w:eastAsia="宋体" w:hint="default"/>
          <w:spacing w:val="-2"/>
          <w:sz w:val="22"/>
          <w:szCs w:val="22"/>
        </w:rPr>
        <w:t>在相关负债结算前的每个资产负债表日以及结算日，对负债的公允价值重新计量，其变动计入当</w:t>
      </w:r>
      <w:r>
        <w:rPr>
          <w:rFonts w:ascii="宋体" w:hAnsi="宋体" w:cs="宋体" w:eastAsia="宋体" w:hint="default"/>
          <w:w w:val="100"/>
          <w:sz w:val="22"/>
          <w:szCs w:val="22"/>
        </w:rPr>
        <w:t> </w:t>
      </w:r>
      <w:r>
        <w:rPr>
          <w:rFonts w:ascii="宋体" w:hAnsi="宋体" w:cs="宋体" w:eastAsia="宋体" w:hint="default"/>
          <w:sz w:val="22"/>
          <w:szCs w:val="22"/>
        </w:rPr>
        <w:t>期损益。</w:t>
      </w:r>
    </w:p>
    <w:p>
      <w:pPr>
        <w:spacing w:line="240" w:lineRule="auto" w:before="13"/>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38、优先股、永续债等其他金融工具" w:id="214"/>
      <w:bookmarkEnd w:id="214"/>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9、收入" w:id="215"/>
      <w:bookmarkEnd w:id="215"/>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40" w:lineRule="auto" w:before="4"/>
        <w:rPr>
          <w:rFonts w:ascii="宋体" w:hAnsi="宋体" w:cs="宋体" w:eastAsia="宋体" w:hint="default"/>
          <w:sz w:val="20"/>
          <w:szCs w:val="20"/>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本集团的营业收入主要包括销售商品收入、提供劳务收入、让渡资产使用权收入、建造合同收入</w:t>
      </w:r>
      <w:r>
        <w:rPr>
          <w:rFonts w:ascii="宋体" w:hAnsi="宋体" w:cs="宋体" w:eastAsia="宋体" w:hint="default"/>
          <w:w w:val="100"/>
          <w:sz w:val="22"/>
          <w:szCs w:val="22"/>
        </w:rPr>
        <w:t> </w:t>
      </w:r>
      <w:r>
        <w:rPr>
          <w:rFonts w:ascii="宋体" w:hAnsi="宋体" w:cs="宋体" w:eastAsia="宋体" w:hint="default"/>
          <w:sz w:val="22"/>
          <w:szCs w:val="22"/>
        </w:rPr>
        <w:t>和建设经营移交业务相关收入等，收入确认原则如下：</w:t>
      </w:r>
    </w:p>
    <w:p>
      <w:pPr>
        <w:spacing w:line="530" w:lineRule="atLeast" w:before="21"/>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）精密环境空调、计算机系统集成及环保设备销售收入</w:t>
      </w:r>
      <w:r>
        <w:rPr>
          <w:rFonts w:ascii="宋体" w:hAnsi="宋体" w:cs="宋体" w:eastAsia="宋体" w:hint="default"/>
          <w:w w:val="100"/>
          <w:sz w:val="22"/>
          <w:szCs w:val="22"/>
        </w:rPr>
        <w:t> </w:t>
      </w:r>
      <w:r>
        <w:rPr>
          <w:rFonts w:ascii="宋体" w:hAnsi="宋体" w:cs="宋体" w:eastAsia="宋体" w:hint="default"/>
          <w:spacing w:val="-2"/>
          <w:sz w:val="22"/>
          <w:szCs w:val="22"/>
        </w:rPr>
        <w:t>本集团在已将商品所有权上的主要风险和报酬转移给购货方、本集团既没有保留通常与所有权相</w:t>
      </w:r>
    </w:p>
    <w:p>
      <w:pPr>
        <w:spacing w:line="259" w:lineRule="auto" w:before="24"/>
        <w:ind w:left="153" w:right="0" w:firstLine="0"/>
        <w:jc w:val="left"/>
        <w:rPr>
          <w:rFonts w:ascii="宋体" w:hAnsi="宋体" w:cs="宋体" w:eastAsia="宋体" w:hint="default"/>
          <w:sz w:val="22"/>
          <w:szCs w:val="22"/>
        </w:rPr>
      </w:pPr>
      <w:r>
        <w:rPr>
          <w:rFonts w:ascii="宋体" w:hAnsi="宋体" w:cs="宋体" w:eastAsia="宋体" w:hint="default"/>
          <w:spacing w:val="-2"/>
          <w:sz w:val="22"/>
          <w:szCs w:val="22"/>
        </w:rPr>
        <w:t>联系的继续管理权、也没有对已售出的商品实施有效控制、收入的金额能够可靠地计量、相关的经济</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利益很可能流入企业、相关的已发生或将发生的成本能够可靠地计量时，确认销售商品收入的实现。</w:t>
      </w:r>
      <w:r>
        <w:rPr>
          <w:rFonts w:ascii="宋体" w:hAnsi="宋体" w:cs="宋体" w:eastAsia="宋体" w:hint="default"/>
          <w:spacing w:val="-53"/>
          <w:sz w:val="22"/>
          <w:szCs w:val="22"/>
        </w:rPr>
        <w:t> </w:t>
      </w:r>
      <w:r>
        <w:rPr>
          <w:rFonts w:ascii="宋体" w:hAnsi="宋体" w:cs="宋体" w:eastAsia="宋体" w:hint="default"/>
          <w:spacing w:val="-53"/>
          <w:sz w:val="22"/>
          <w:szCs w:val="22"/>
        </w:rPr>
      </w:r>
      <w:r>
        <w:rPr>
          <w:rFonts w:ascii="宋体" w:hAnsi="宋体" w:cs="宋体" w:eastAsia="宋体" w:hint="default"/>
          <w:sz w:val="22"/>
          <w:szCs w:val="22"/>
        </w:rPr>
        <w:t>具体确认原则如下：</w:t>
      </w:r>
    </w:p>
    <w:p>
      <w:pPr>
        <w:spacing w:line="240" w:lineRule="auto" w:before="12"/>
        <w:rPr>
          <w:rFonts w:ascii="宋体" w:hAnsi="宋体" w:cs="宋体" w:eastAsia="宋体" w:hint="default"/>
          <w:sz w:val="18"/>
          <w:szCs w:val="18"/>
        </w:rPr>
      </w:pPr>
    </w:p>
    <w:p>
      <w:pPr>
        <w:spacing w:line="244" w:lineRule="auto" w:before="0"/>
        <w:ind w:left="153" w:right="0" w:firstLine="441"/>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1</w:t>
      </w:r>
      <w:r>
        <w:rPr>
          <w:rFonts w:ascii="宋体" w:hAnsi="宋体" w:cs="宋体" w:eastAsia="宋体" w:hint="default"/>
          <w:spacing w:val="-5"/>
          <w:sz w:val="22"/>
          <w:szCs w:val="22"/>
        </w:rPr>
        <w:t>）销售给客户的精密环境空调，合同约定本集团没有安装义务的，在精密环境空调交付给客户，</w:t>
      </w:r>
      <w:r>
        <w:rPr>
          <w:rFonts w:ascii="宋体" w:hAnsi="宋体" w:cs="宋体" w:eastAsia="宋体" w:hint="default"/>
          <w:w w:val="100"/>
          <w:sz w:val="22"/>
          <w:szCs w:val="22"/>
        </w:rPr>
        <w:t> </w:t>
      </w:r>
      <w:r>
        <w:rPr>
          <w:rFonts w:ascii="宋体" w:hAnsi="宋体" w:cs="宋体" w:eastAsia="宋体" w:hint="default"/>
          <w:sz w:val="22"/>
          <w:szCs w:val="22"/>
        </w:rPr>
        <w:t>并取得客户收货证明时确认收入；销售给客户的精密环境空调，合同约定由本集团提供安装服务的，</w:t>
      </w:r>
    </w:p>
    <w:p>
      <w:pPr>
        <w:spacing w:after="0" w:line="244" w:lineRule="auto"/>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before="32"/>
        <w:ind w:left="153" w:right="0" w:firstLine="0"/>
        <w:jc w:val="left"/>
        <w:rPr>
          <w:rFonts w:ascii="宋体" w:hAnsi="宋体" w:cs="宋体" w:eastAsia="宋体" w:hint="default"/>
          <w:sz w:val="22"/>
          <w:szCs w:val="22"/>
        </w:rPr>
      </w:pPr>
      <w:r>
        <w:rPr>
          <w:rFonts w:ascii="宋体" w:hAnsi="宋体" w:cs="宋体" w:eastAsia="宋体" w:hint="default"/>
          <w:sz w:val="22"/>
          <w:szCs w:val="22"/>
        </w:rPr>
        <w:t>在精密环境空调交付并取得开机调试验收报告后确认收入。</w:t>
      </w:r>
    </w:p>
    <w:p>
      <w:pPr>
        <w:spacing w:line="240" w:lineRule="auto" w:before="2"/>
        <w:rPr>
          <w:rFonts w:ascii="宋体" w:hAnsi="宋体" w:cs="宋体" w:eastAsia="宋体" w:hint="default"/>
          <w:sz w:val="20"/>
          <w:szCs w:val="20"/>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本集团销售精密环境空调同时提供安装劳务的，如果销售商品部分和提供劳务部分能够区分且能</w:t>
      </w:r>
      <w:r>
        <w:rPr>
          <w:rFonts w:ascii="宋体" w:hAnsi="宋体" w:cs="宋体" w:eastAsia="宋体" w:hint="default"/>
          <w:w w:val="100"/>
          <w:sz w:val="22"/>
          <w:szCs w:val="22"/>
        </w:rPr>
        <w:t> </w:t>
      </w:r>
      <w:r>
        <w:rPr>
          <w:rFonts w:ascii="宋体" w:hAnsi="宋体" w:cs="宋体" w:eastAsia="宋体" w:hint="default"/>
          <w:spacing w:val="-2"/>
          <w:sz w:val="22"/>
          <w:szCs w:val="22"/>
        </w:rPr>
        <w:t>够单独计量的，分别确认销售商品部分和提供劳务部分的收入；如果销售商品部分和提供劳务部分不</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能够区分，或虽能区分但不能够单独计量的，将销售商品部分和提供劳务部分全部作为销售商品部分</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进行会计处理。</w:t>
      </w:r>
    </w:p>
    <w:p>
      <w:pPr>
        <w:spacing w:line="240" w:lineRule="auto" w:before="11"/>
        <w:rPr>
          <w:rFonts w:ascii="宋体" w:hAnsi="宋体" w:cs="宋体" w:eastAsia="宋体" w:hint="default"/>
          <w:sz w:val="18"/>
          <w:szCs w:val="18"/>
        </w:rPr>
      </w:pPr>
    </w:p>
    <w:p>
      <w:pPr>
        <w:spacing w:line="252" w:lineRule="auto" w:before="0"/>
        <w:ind w:left="153" w:right="1125"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）销售给客户的计算机系统集成，合同约定本集团没有安装义务的，在产品交付给客户，并取</w:t>
      </w:r>
      <w:r>
        <w:rPr>
          <w:rFonts w:ascii="宋体" w:hAnsi="宋体" w:cs="宋体" w:eastAsia="宋体" w:hint="default"/>
          <w:w w:val="100"/>
          <w:sz w:val="22"/>
          <w:szCs w:val="22"/>
        </w:rPr>
        <w:t> </w:t>
      </w:r>
      <w:r>
        <w:rPr>
          <w:rFonts w:ascii="宋体" w:hAnsi="宋体" w:cs="宋体" w:eastAsia="宋体" w:hint="default"/>
          <w:spacing w:val="-2"/>
          <w:sz w:val="22"/>
          <w:szCs w:val="22"/>
        </w:rPr>
        <w:t>得客户收货证明时确认收入；销售给客户的计算机软、硬件，合同约定由本集团提供安装服务的，在</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计算机软硬件交付并取得开机调试验收报告后确认收入。</w:t>
      </w:r>
    </w:p>
    <w:p>
      <w:pPr>
        <w:spacing w:line="240" w:lineRule="auto" w:before="4"/>
        <w:rPr>
          <w:rFonts w:ascii="宋体" w:hAnsi="宋体" w:cs="宋体" w:eastAsia="宋体" w:hint="default"/>
          <w:sz w:val="19"/>
          <w:szCs w:val="19"/>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本集团销售计算机系统集成同时提供安装劳务的，如果销售商品部分和提供劳务部分能够区分且</w:t>
      </w:r>
      <w:r>
        <w:rPr>
          <w:rFonts w:ascii="宋体" w:hAnsi="宋体" w:cs="宋体" w:eastAsia="宋体" w:hint="default"/>
          <w:w w:val="100"/>
          <w:sz w:val="22"/>
          <w:szCs w:val="22"/>
        </w:rPr>
        <w:t> </w:t>
      </w:r>
      <w:r>
        <w:rPr>
          <w:rFonts w:ascii="宋体" w:hAnsi="宋体" w:cs="宋体" w:eastAsia="宋体" w:hint="default"/>
          <w:spacing w:val="-2"/>
          <w:sz w:val="22"/>
          <w:szCs w:val="22"/>
        </w:rPr>
        <w:t>能够单独计量的，分别确认销售商品部分和提供劳务部分的收入；如果销售商品部分和提供劳务部分</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不能够区分，或虽能区分但不能够单独计量的，将销售商品部分和提供劳务部分全部作为销售商品部</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分进行会计处理。</w:t>
      </w:r>
    </w:p>
    <w:p>
      <w:pPr>
        <w:spacing w:line="240" w:lineRule="auto" w:before="12"/>
        <w:rPr>
          <w:rFonts w:ascii="宋体" w:hAnsi="宋体" w:cs="宋体" w:eastAsia="宋体" w:hint="default"/>
          <w:sz w:val="18"/>
          <w:szCs w:val="18"/>
        </w:rPr>
      </w:pPr>
    </w:p>
    <w:p>
      <w:pPr>
        <w:spacing w:line="252" w:lineRule="auto" w:before="0"/>
        <w:ind w:left="153" w:right="1130"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）销售给客户的环保设备，合同约定本集团没有安装义务的，在环保设备交付给客户，并取得</w:t>
      </w:r>
      <w:r>
        <w:rPr>
          <w:rFonts w:ascii="宋体" w:hAnsi="宋体" w:cs="宋体" w:eastAsia="宋体" w:hint="default"/>
          <w:w w:val="100"/>
          <w:sz w:val="22"/>
          <w:szCs w:val="22"/>
        </w:rPr>
        <w:t> </w:t>
      </w:r>
      <w:r>
        <w:rPr>
          <w:rFonts w:ascii="宋体" w:hAnsi="宋体" w:cs="宋体" w:eastAsia="宋体" w:hint="default"/>
          <w:spacing w:val="-2"/>
          <w:sz w:val="22"/>
          <w:szCs w:val="22"/>
        </w:rPr>
        <w:t>客户收货证明时确认收入；销售给客户的环保设备，合同约定由本集团提供安装服务的，在环保设备</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交付安装完毕并取得验收报告或同等证明资料后确认收入。</w:t>
      </w:r>
    </w:p>
    <w:p>
      <w:pPr>
        <w:spacing w:line="240" w:lineRule="auto" w:before="4"/>
        <w:rPr>
          <w:rFonts w:ascii="宋体" w:hAnsi="宋体" w:cs="宋体" w:eastAsia="宋体" w:hint="default"/>
          <w:sz w:val="19"/>
          <w:szCs w:val="19"/>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本集团销售环保设备同时提供安装劳务的，如果销售商品部分和提供劳务部分能够区分且能够单</w:t>
      </w:r>
      <w:r>
        <w:rPr>
          <w:rFonts w:ascii="宋体" w:hAnsi="宋体" w:cs="宋体" w:eastAsia="宋体" w:hint="default"/>
          <w:w w:val="100"/>
          <w:sz w:val="22"/>
          <w:szCs w:val="22"/>
        </w:rPr>
        <w:t> </w:t>
      </w:r>
      <w:r>
        <w:rPr>
          <w:rFonts w:ascii="宋体" w:hAnsi="宋体" w:cs="宋体" w:eastAsia="宋体" w:hint="default"/>
          <w:spacing w:val="-2"/>
          <w:sz w:val="22"/>
          <w:szCs w:val="22"/>
        </w:rPr>
        <w:t>独计量的，分别确认销售商品部分和提供劳务部分的收入；如果销售商品部分和提供劳务部分不能够</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区分，或虽能区分但不能够单独计量的，将销售商品部分和提供劳务部分全部作为销售商品部分进行</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会计处理。</w:t>
      </w:r>
    </w:p>
    <w:p>
      <w:pPr>
        <w:spacing w:line="240" w:lineRule="auto" w:before="11"/>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）提供劳务收入</w:t>
      </w:r>
    </w:p>
    <w:p>
      <w:pPr>
        <w:spacing w:line="530" w:lineRule="atLeast" w:before="22"/>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）精密环境工程承包业务</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2"/>
          <w:sz w:val="22"/>
          <w:szCs w:val="22"/>
        </w:rPr>
        <w:t>本集团精密环境工程在相关服务已经提供，收到价款或取得收取款项的证据时确认收入。具体确</w:t>
      </w:r>
    </w:p>
    <w:p>
      <w:pPr>
        <w:spacing w:before="24"/>
        <w:ind w:left="153" w:right="0" w:firstLine="0"/>
        <w:jc w:val="left"/>
        <w:rPr>
          <w:rFonts w:ascii="宋体" w:hAnsi="宋体" w:cs="宋体" w:eastAsia="宋体" w:hint="default"/>
          <w:sz w:val="22"/>
          <w:szCs w:val="22"/>
        </w:rPr>
      </w:pPr>
      <w:r>
        <w:rPr>
          <w:rFonts w:ascii="宋体" w:hAnsi="宋体" w:cs="宋体" w:eastAsia="宋体" w:hint="default"/>
          <w:sz w:val="22"/>
          <w:szCs w:val="22"/>
        </w:rPr>
        <w:t>认原则如下：</w:t>
      </w:r>
    </w:p>
    <w:p>
      <w:pPr>
        <w:spacing w:line="240" w:lineRule="auto" w:before="3"/>
        <w:rPr>
          <w:rFonts w:ascii="宋体" w:hAnsi="宋体" w:cs="宋体" w:eastAsia="宋体" w:hint="default"/>
          <w:sz w:val="20"/>
          <w:szCs w:val="20"/>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精密环境工程项目竣工后，经验收合格，并办理工程移交手续，公司在取得验收报告或同等证明</w:t>
      </w:r>
      <w:r>
        <w:rPr>
          <w:rFonts w:ascii="宋体" w:hAnsi="宋体" w:cs="宋体" w:eastAsia="宋体" w:hint="default"/>
          <w:w w:val="100"/>
          <w:sz w:val="22"/>
          <w:szCs w:val="22"/>
        </w:rPr>
        <w:t> </w:t>
      </w:r>
      <w:r>
        <w:rPr>
          <w:rFonts w:ascii="宋体" w:hAnsi="宋体" w:cs="宋体" w:eastAsia="宋体" w:hint="default"/>
          <w:sz w:val="22"/>
          <w:szCs w:val="22"/>
        </w:rPr>
        <w:t>资料时确认收入。</w:t>
      </w:r>
    </w:p>
    <w:p>
      <w:pPr>
        <w:spacing w:line="530" w:lineRule="atLeast" w:before="21"/>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）空调设备安装及维护服务收入</w:t>
      </w:r>
      <w:r>
        <w:rPr>
          <w:rFonts w:ascii="宋体" w:hAnsi="宋体" w:cs="宋体" w:eastAsia="宋体" w:hint="default"/>
          <w:w w:val="100"/>
          <w:sz w:val="22"/>
          <w:szCs w:val="22"/>
        </w:rPr>
        <w:t> </w:t>
      </w:r>
      <w:r>
        <w:rPr>
          <w:rFonts w:ascii="宋体" w:hAnsi="宋体" w:cs="宋体" w:eastAsia="宋体" w:hint="default"/>
          <w:spacing w:val="-2"/>
          <w:sz w:val="22"/>
          <w:szCs w:val="22"/>
        </w:rPr>
        <w:t>本集团与客户单独签订的空调设备安装服务合同、销售空调设备质保期以外的空调设备维护合同，</w:t>
      </w:r>
    </w:p>
    <w:p>
      <w:pPr>
        <w:spacing w:before="24"/>
        <w:ind w:left="153" w:right="0" w:firstLine="0"/>
        <w:jc w:val="left"/>
        <w:rPr>
          <w:rFonts w:ascii="宋体" w:hAnsi="宋体" w:cs="宋体" w:eastAsia="宋体" w:hint="default"/>
          <w:sz w:val="22"/>
          <w:szCs w:val="22"/>
        </w:rPr>
      </w:pPr>
      <w:r>
        <w:rPr>
          <w:rFonts w:ascii="宋体" w:hAnsi="宋体" w:cs="宋体" w:eastAsia="宋体" w:hint="default"/>
          <w:sz w:val="22"/>
          <w:szCs w:val="22"/>
        </w:rPr>
        <w:t>在劳务提供后确认收入。</w:t>
      </w:r>
    </w:p>
    <w:p>
      <w:pPr>
        <w:spacing w:line="530" w:lineRule="atLeast" w:before="38"/>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3</w:t>
      </w:r>
      <w:r>
        <w:rPr>
          <w:rFonts w:ascii="宋体" w:hAnsi="宋体" w:cs="宋体" w:eastAsia="宋体" w:hint="default"/>
          <w:sz w:val="22"/>
          <w:szCs w:val="22"/>
        </w:rPr>
        <w:t>）技术服务收入</w:t>
      </w:r>
      <w:r>
        <w:rPr>
          <w:rFonts w:ascii="宋体" w:hAnsi="宋体" w:cs="宋体" w:eastAsia="宋体" w:hint="default"/>
          <w:spacing w:val="-104"/>
          <w:sz w:val="22"/>
          <w:szCs w:val="22"/>
        </w:rPr>
        <w:t> </w:t>
      </w:r>
      <w:r>
        <w:rPr>
          <w:rFonts w:ascii="宋体" w:hAnsi="宋体" w:cs="宋体" w:eastAsia="宋体" w:hint="default"/>
          <w:spacing w:val="-2"/>
          <w:sz w:val="22"/>
          <w:szCs w:val="22"/>
        </w:rPr>
        <w:t>如合同金额固定的情况下，本集团的技术服务收入在相关服务已经提供，相关的成本能够可靠计</w:t>
      </w:r>
    </w:p>
    <w:p>
      <w:pPr>
        <w:spacing w:before="24"/>
        <w:ind w:left="153" w:right="0" w:firstLine="0"/>
        <w:jc w:val="left"/>
        <w:rPr>
          <w:rFonts w:ascii="宋体" w:hAnsi="宋体" w:cs="宋体" w:eastAsia="宋体" w:hint="default"/>
          <w:sz w:val="22"/>
          <w:szCs w:val="22"/>
        </w:rPr>
      </w:pPr>
      <w:r>
        <w:rPr>
          <w:rFonts w:ascii="宋体" w:hAnsi="宋体" w:cs="宋体" w:eastAsia="宋体" w:hint="default"/>
          <w:sz w:val="22"/>
          <w:szCs w:val="22"/>
        </w:rPr>
        <w:t>量时确认收入；</w:t>
      </w:r>
    </w:p>
    <w:p>
      <w:pPr>
        <w:spacing w:line="240" w:lineRule="auto" w:before="3"/>
        <w:rPr>
          <w:rFonts w:ascii="宋体" w:hAnsi="宋体" w:cs="宋体" w:eastAsia="宋体" w:hint="default"/>
          <w:sz w:val="20"/>
          <w:szCs w:val="20"/>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如合同金额不固定的情况下，本集团的技术服务收入在相关服务已经提供，并取得客户确认的结</w:t>
      </w:r>
      <w:r>
        <w:rPr>
          <w:rFonts w:ascii="宋体" w:hAnsi="宋体" w:cs="宋体" w:eastAsia="宋体" w:hint="default"/>
          <w:w w:val="100"/>
          <w:sz w:val="22"/>
          <w:szCs w:val="22"/>
        </w:rPr>
        <w:t> </w:t>
      </w:r>
      <w:r>
        <w:rPr>
          <w:rFonts w:ascii="宋体" w:hAnsi="宋体" w:cs="宋体" w:eastAsia="宋体" w:hint="default"/>
          <w:sz w:val="22"/>
          <w:szCs w:val="22"/>
        </w:rPr>
        <w:t>算清单，相关的成本能够可靠计量时确认收入。</w:t>
      </w:r>
    </w:p>
    <w:p>
      <w:pPr>
        <w:spacing w:after="0" w:line="259" w:lineRule="auto"/>
        <w:jc w:val="both"/>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before="32"/>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）让渡资产使用权收入</w:t>
      </w:r>
    </w:p>
    <w:p>
      <w:pPr>
        <w:spacing w:line="240" w:lineRule="auto" w:before="12"/>
        <w:rPr>
          <w:rFonts w:ascii="宋体" w:hAnsi="宋体" w:cs="宋体" w:eastAsia="宋体" w:hint="default"/>
          <w:sz w:val="18"/>
          <w:szCs w:val="18"/>
        </w:rPr>
      </w:pPr>
    </w:p>
    <w:p>
      <w:pPr>
        <w:spacing w:line="261"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与交易相关的经济利益很可能流入本集团、收入的金额能够可靠地计量时，确认让渡资产使用权</w:t>
      </w:r>
      <w:r>
        <w:rPr>
          <w:rFonts w:ascii="宋体" w:hAnsi="宋体" w:cs="宋体" w:eastAsia="宋体" w:hint="default"/>
          <w:w w:val="100"/>
          <w:sz w:val="22"/>
          <w:szCs w:val="22"/>
        </w:rPr>
        <w:t> </w:t>
      </w:r>
      <w:r>
        <w:rPr>
          <w:rFonts w:ascii="宋体" w:hAnsi="宋体" w:cs="宋体" w:eastAsia="宋体" w:hint="default"/>
          <w:sz w:val="22"/>
          <w:szCs w:val="22"/>
        </w:rPr>
        <w:t>收入的实现。</w:t>
      </w:r>
    </w:p>
    <w:p>
      <w:pPr>
        <w:spacing w:line="240" w:lineRule="auto" w:before="9"/>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）建造合同收入</w:t>
      </w:r>
    </w:p>
    <w:p>
      <w:pPr>
        <w:spacing w:line="240" w:lineRule="auto" w:before="12"/>
        <w:rPr>
          <w:rFonts w:ascii="宋体" w:hAnsi="宋体" w:cs="宋体" w:eastAsia="宋体" w:hint="default"/>
          <w:sz w:val="18"/>
          <w:szCs w:val="18"/>
        </w:rPr>
      </w:pPr>
    </w:p>
    <w:p>
      <w:pPr>
        <w:spacing w:line="448" w:lineRule="auto"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）工程总承包业务</w:t>
      </w:r>
      <w:r>
        <w:rPr>
          <w:rFonts w:ascii="宋体" w:hAnsi="宋体" w:cs="宋体" w:eastAsia="宋体" w:hint="default"/>
          <w:spacing w:val="-104"/>
          <w:sz w:val="22"/>
          <w:szCs w:val="22"/>
        </w:rPr>
        <w:t> </w:t>
      </w:r>
      <w:r>
        <w:rPr>
          <w:rFonts w:ascii="宋体" w:hAnsi="宋体" w:cs="宋体" w:eastAsia="宋体" w:hint="default"/>
          <w:sz w:val="22"/>
          <w:szCs w:val="22"/>
        </w:rPr>
        <w:t>本集团工程综合承包业务适用于建造合同收入确认原则，该类业务须同时满足以下条件：</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a.</w:t>
      </w:r>
      <w:r>
        <w:rPr>
          <w:rFonts w:ascii="宋体" w:hAnsi="宋体" w:cs="宋体" w:eastAsia="宋体" w:hint="default"/>
          <w:sz w:val="22"/>
          <w:szCs w:val="22"/>
        </w:rPr>
        <w:t>工程综合承包业务通常与业主方直接签订合同；</w:t>
      </w:r>
    </w:p>
    <w:p>
      <w:pPr>
        <w:spacing w:line="247" w:lineRule="auto" w:before="35"/>
        <w:ind w:left="153" w:right="1125" w:firstLine="441"/>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b.</w:t>
      </w:r>
      <w:r>
        <w:rPr>
          <w:rFonts w:ascii="宋体" w:hAnsi="宋体" w:cs="宋体" w:eastAsia="宋体" w:hint="default"/>
          <w:spacing w:val="-1"/>
          <w:sz w:val="22"/>
          <w:szCs w:val="22"/>
        </w:rPr>
        <w:t>工程综合承包业务内容一般包括对项目设计、采购、施工、试运行（竣工验收）等实行全过程</w:t>
      </w:r>
      <w:r>
        <w:rPr>
          <w:rFonts w:ascii="宋体" w:hAnsi="宋体" w:cs="宋体" w:eastAsia="宋体" w:hint="default"/>
          <w:w w:val="100"/>
          <w:sz w:val="22"/>
          <w:szCs w:val="22"/>
        </w:rPr>
        <w:t> </w:t>
      </w:r>
      <w:r>
        <w:rPr>
          <w:rFonts w:ascii="宋体" w:hAnsi="宋体" w:cs="宋体" w:eastAsia="宋体" w:hint="default"/>
          <w:spacing w:val="-7"/>
          <w:sz w:val="22"/>
          <w:szCs w:val="22"/>
        </w:rPr>
        <w:t>或若干阶段的承包，主要模式为交钥匙工程、</w:t>
      </w:r>
      <w:r>
        <w:rPr>
          <w:rFonts w:ascii="Times New Roman" w:hAnsi="Times New Roman" w:cs="Times New Roman" w:eastAsia="Times New Roman" w:hint="default"/>
          <w:spacing w:val="-7"/>
          <w:sz w:val="22"/>
          <w:szCs w:val="22"/>
        </w:rPr>
        <w:t>E+P+C</w:t>
      </w:r>
      <w:r>
        <w:rPr>
          <w:rFonts w:ascii="宋体" w:hAnsi="宋体" w:cs="宋体" w:eastAsia="宋体" w:hint="default"/>
          <w:spacing w:val="-7"/>
          <w:sz w:val="22"/>
          <w:szCs w:val="22"/>
        </w:rPr>
        <w:t>模式（设计、采购、施工）等，且合同金额在</w:t>
      </w:r>
      <w:r>
        <w:rPr>
          <w:rFonts w:ascii="Times New Roman" w:hAnsi="Times New Roman" w:cs="Times New Roman" w:eastAsia="Times New Roman" w:hint="default"/>
          <w:spacing w:val="-7"/>
          <w:sz w:val="22"/>
          <w:szCs w:val="22"/>
        </w:rPr>
        <w:t>4,000</w:t>
      </w:r>
      <w:r>
        <w:rPr>
          <w:rFonts w:ascii="Times New Roman" w:hAnsi="Times New Roman" w:cs="Times New Roman" w:eastAsia="Times New Roman" w:hint="default"/>
          <w:spacing w:val="-19"/>
          <w:sz w:val="22"/>
          <w:szCs w:val="22"/>
        </w:rPr>
        <w:t> </w:t>
      </w:r>
      <w:r>
        <w:rPr>
          <w:rFonts w:ascii="Times New Roman" w:hAnsi="Times New Roman" w:cs="Times New Roman" w:eastAsia="Times New Roman" w:hint="default"/>
          <w:spacing w:val="-19"/>
          <w:sz w:val="22"/>
          <w:szCs w:val="22"/>
        </w:rPr>
      </w:r>
      <w:r>
        <w:rPr>
          <w:rFonts w:ascii="宋体" w:hAnsi="宋体" w:cs="宋体" w:eastAsia="宋体" w:hint="default"/>
          <w:sz w:val="22"/>
          <w:szCs w:val="22"/>
        </w:rPr>
        <w:t>万以上；</w:t>
      </w:r>
    </w:p>
    <w:p>
      <w:pPr>
        <w:spacing w:line="240" w:lineRule="auto" w:before="9"/>
        <w:rPr>
          <w:rFonts w:ascii="宋体" w:hAnsi="宋体" w:cs="宋体" w:eastAsia="宋体" w:hint="default"/>
          <w:sz w:val="19"/>
          <w:szCs w:val="19"/>
        </w:rPr>
      </w:pPr>
    </w:p>
    <w:p>
      <w:pPr>
        <w:spacing w:line="434" w:lineRule="auto" w:before="0"/>
        <w:ind w:left="594" w:right="5044" w:firstLine="0"/>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c.</w:t>
      </w:r>
      <w:r>
        <w:rPr>
          <w:rFonts w:ascii="宋体" w:hAnsi="宋体" w:cs="宋体" w:eastAsia="宋体" w:hint="default"/>
          <w:spacing w:val="-1"/>
          <w:sz w:val="22"/>
          <w:szCs w:val="22"/>
        </w:rPr>
        <w:t>工程综合承包业务预计施工周期在一年及以上。</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建造合同收入确认原则具体如下：</w:t>
      </w:r>
    </w:p>
    <w:p>
      <w:pPr>
        <w:spacing w:line="259" w:lineRule="auto" w:before="86"/>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本集团的工程综合承包业务在建造合同的结果能够可靠估计，合同总收入能够可靠计量、与合同</w:t>
      </w:r>
      <w:r>
        <w:rPr>
          <w:rFonts w:ascii="宋体" w:hAnsi="宋体" w:cs="宋体" w:eastAsia="宋体" w:hint="default"/>
          <w:w w:val="100"/>
          <w:sz w:val="22"/>
          <w:szCs w:val="22"/>
        </w:rPr>
        <w:t> </w:t>
      </w:r>
      <w:r>
        <w:rPr>
          <w:rFonts w:ascii="宋体" w:hAnsi="宋体" w:cs="宋体" w:eastAsia="宋体" w:hint="default"/>
          <w:spacing w:val="-2"/>
          <w:sz w:val="22"/>
          <w:szCs w:val="22"/>
        </w:rPr>
        <w:t>相关的经济利益很可能流入本集团、实际发生的合同成本能够清楚区分和可靠计量、合同完工进度和</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为完成合同尚需发生的成本能够可靠确定时，于资产负债表日按完工百分比法确认合同收入和合同费</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用。采用完工百分比法时，合同完工进度根据业主方确认的实际测定的完工进度确定。</w:t>
      </w:r>
    </w:p>
    <w:p>
      <w:pPr>
        <w:spacing w:line="240" w:lineRule="auto" w:before="11"/>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建造合同的结果不能可靠地估计时，如果合同成本能够收回的，合同收入根据能够收回的实际合</w:t>
      </w:r>
      <w:r>
        <w:rPr>
          <w:rFonts w:ascii="宋体" w:hAnsi="宋体" w:cs="宋体" w:eastAsia="宋体" w:hint="default"/>
          <w:w w:val="100"/>
          <w:sz w:val="22"/>
          <w:szCs w:val="22"/>
        </w:rPr>
        <w:t> </w:t>
      </w:r>
      <w:r>
        <w:rPr>
          <w:rFonts w:ascii="宋体" w:hAnsi="宋体" w:cs="宋体" w:eastAsia="宋体" w:hint="default"/>
          <w:spacing w:val="-2"/>
          <w:sz w:val="22"/>
          <w:szCs w:val="22"/>
        </w:rPr>
        <w:t>同成本加以确认，合同成本在其发生的当期确认为费用；如果合同成本不可能收回的，应在发生时立</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即确认为费用，不确认收入。</w:t>
      </w:r>
    </w:p>
    <w:p>
      <w:pPr>
        <w:spacing w:line="240" w:lineRule="auto" w:before="11"/>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本集团于期末对建造合同进行检查，如果建造合同预计总成本将超过合同预计总收入时，提取损</w:t>
      </w:r>
      <w:r>
        <w:rPr>
          <w:rFonts w:ascii="宋体" w:hAnsi="宋体" w:cs="宋体" w:eastAsia="宋体" w:hint="default"/>
          <w:w w:val="100"/>
          <w:sz w:val="22"/>
          <w:szCs w:val="22"/>
        </w:rPr>
        <w:t> </w:t>
      </w:r>
      <w:r>
        <w:rPr>
          <w:rFonts w:ascii="宋体" w:hAnsi="宋体" w:cs="宋体" w:eastAsia="宋体" w:hint="default"/>
          <w:sz w:val="22"/>
          <w:szCs w:val="22"/>
        </w:rPr>
        <w:t>失准备，将预计损失确认为当期费用。</w:t>
      </w:r>
    </w:p>
    <w:p>
      <w:pPr>
        <w:spacing w:line="552" w:lineRule="exact" w:before="62"/>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）对于建设</w:t>
      </w:r>
      <w:r>
        <w:rPr>
          <w:rFonts w:ascii="Times New Roman" w:hAnsi="Times New Roman" w:cs="Times New Roman" w:eastAsia="Times New Roman" w:hint="default"/>
          <w:sz w:val="22"/>
          <w:szCs w:val="22"/>
        </w:rPr>
        <w:t>-</w:t>
      </w:r>
      <w:r>
        <w:rPr>
          <w:rFonts w:ascii="宋体" w:hAnsi="宋体" w:cs="宋体" w:eastAsia="宋体" w:hint="default"/>
          <w:sz w:val="22"/>
          <w:szCs w:val="22"/>
        </w:rPr>
        <w:t>经营</w:t>
      </w:r>
      <w:r>
        <w:rPr>
          <w:rFonts w:ascii="Times New Roman" w:hAnsi="Times New Roman" w:cs="Times New Roman" w:eastAsia="Times New Roman" w:hint="default"/>
          <w:sz w:val="22"/>
          <w:szCs w:val="22"/>
        </w:rPr>
        <w:t>-</w:t>
      </w:r>
      <w:r>
        <w:rPr>
          <w:rFonts w:ascii="宋体" w:hAnsi="宋体" w:cs="宋体" w:eastAsia="宋体" w:hint="default"/>
          <w:sz w:val="22"/>
          <w:szCs w:val="22"/>
        </w:rPr>
        <w:t>移交业务相关收入的确认</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1"/>
          <w:sz w:val="22"/>
          <w:szCs w:val="22"/>
        </w:rPr>
        <w:t>采用建设</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经营</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移交（</w:t>
      </w:r>
      <w:r>
        <w:rPr>
          <w:rFonts w:ascii="Times New Roman" w:hAnsi="Times New Roman" w:cs="Times New Roman" w:eastAsia="Times New Roman" w:hint="default"/>
          <w:spacing w:val="-1"/>
          <w:sz w:val="22"/>
          <w:szCs w:val="22"/>
        </w:rPr>
        <w:t>Build</w:t>
      </w:r>
      <w:r>
        <w:rPr>
          <w:rFonts w:ascii="Times New Roman" w:hAnsi="Times New Roman" w:cs="Times New Roman" w:eastAsia="Times New Roman" w:hint="default"/>
          <w:spacing w:val="-1"/>
          <w:sz w:val="22"/>
          <w:szCs w:val="22"/>
        </w:rPr>
        <w:t>—</w:t>
      </w:r>
      <w:r>
        <w:rPr>
          <w:rFonts w:ascii="Times New Roman" w:hAnsi="Times New Roman" w:cs="Times New Roman" w:eastAsia="Times New Roman" w:hint="default"/>
          <w:spacing w:val="-1"/>
          <w:sz w:val="22"/>
          <w:szCs w:val="22"/>
        </w:rPr>
        <w:t>Operate</w:t>
      </w:r>
      <w:r>
        <w:rPr>
          <w:rFonts w:ascii="Times New Roman" w:hAnsi="Times New Roman" w:cs="Times New Roman" w:eastAsia="Times New Roman" w:hint="default"/>
          <w:spacing w:val="-1"/>
          <w:sz w:val="22"/>
          <w:szCs w:val="22"/>
        </w:rPr>
        <w:t>—</w:t>
      </w:r>
      <w:r>
        <w:rPr>
          <w:rFonts w:ascii="Times New Roman" w:hAnsi="Times New Roman" w:cs="Times New Roman" w:eastAsia="Times New Roman" w:hint="default"/>
          <w:spacing w:val="-1"/>
          <w:sz w:val="22"/>
          <w:szCs w:val="22"/>
        </w:rPr>
        <w:t>Transfer</w:t>
      </w:r>
      <w:r>
        <w:rPr>
          <w:rFonts w:ascii="宋体" w:hAnsi="宋体" w:cs="宋体" w:eastAsia="宋体" w:hint="default"/>
          <w:spacing w:val="-1"/>
          <w:sz w:val="22"/>
          <w:szCs w:val="22"/>
        </w:rPr>
        <w:t>）经营方式，是指政府将基础设施项目的特许</w:t>
      </w:r>
    </w:p>
    <w:p>
      <w:pPr>
        <w:spacing w:line="233" w:lineRule="exact" w:before="0"/>
        <w:ind w:left="153" w:right="0" w:firstLine="0"/>
        <w:jc w:val="left"/>
        <w:rPr>
          <w:rFonts w:ascii="宋体" w:hAnsi="宋体" w:cs="宋体" w:eastAsia="宋体" w:hint="default"/>
          <w:sz w:val="22"/>
          <w:szCs w:val="22"/>
        </w:rPr>
      </w:pPr>
      <w:r>
        <w:rPr>
          <w:rFonts w:ascii="宋体" w:hAnsi="宋体" w:cs="宋体" w:eastAsia="宋体" w:hint="default"/>
          <w:sz w:val="22"/>
          <w:szCs w:val="22"/>
        </w:rPr>
        <w:t>权授予承包方，承包方在特许期内负责项目设计、融资、建设和运营，并回收成本、偿还债务、赚取</w:t>
      </w:r>
    </w:p>
    <w:p>
      <w:pPr>
        <w:spacing w:before="24"/>
        <w:ind w:left="153" w:right="0" w:firstLine="0"/>
        <w:jc w:val="left"/>
        <w:rPr>
          <w:rFonts w:ascii="宋体" w:hAnsi="宋体" w:cs="宋体" w:eastAsia="宋体" w:hint="default"/>
          <w:sz w:val="22"/>
          <w:szCs w:val="22"/>
        </w:rPr>
      </w:pPr>
      <w:r>
        <w:rPr>
          <w:rFonts w:ascii="宋体" w:hAnsi="宋体" w:cs="宋体" w:eastAsia="宋体" w:hint="default"/>
          <w:sz w:val="22"/>
          <w:szCs w:val="22"/>
        </w:rPr>
        <w:t>利润，特许期结束后将项目所有权移交政府或政府指定的关单位。本公司的会计核算方法为：</w:t>
      </w:r>
    </w:p>
    <w:p>
      <w:pPr>
        <w:spacing w:line="240" w:lineRule="auto" w:before="3"/>
        <w:rPr>
          <w:rFonts w:ascii="宋体" w:hAnsi="宋体" w:cs="宋体" w:eastAsia="宋体" w:hint="default"/>
          <w:sz w:val="20"/>
          <w:szCs w:val="20"/>
        </w:rPr>
      </w:pPr>
    </w:p>
    <w:p>
      <w:pPr>
        <w:spacing w:before="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）本公司提供建造服务的情况下，在建造期间，对于所提供的建造服务按照《企业会计准则第</w:t>
      </w:r>
    </w:p>
    <w:p>
      <w:pPr>
        <w:spacing w:line="244" w:lineRule="auto" w:before="7"/>
        <w:ind w:left="153"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15</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建造合同》确认相关的收入和费用。基础设施建成后，按照《企业会计准则第</w:t>
      </w:r>
      <w:r>
        <w:rPr>
          <w:rFonts w:ascii="Times New Roman" w:hAnsi="Times New Roman" w:cs="Times New Roman" w:eastAsia="Times New Roman" w:hint="default"/>
          <w:sz w:val="22"/>
          <w:szCs w:val="22"/>
        </w:rPr>
        <w:t>14</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收入》确</w:t>
      </w:r>
      <w:r>
        <w:rPr>
          <w:rFonts w:ascii="宋体" w:hAnsi="宋体" w:cs="宋体" w:eastAsia="宋体" w:hint="default"/>
          <w:spacing w:val="-11"/>
          <w:sz w:val="22"/>
          <w:szCs w:val="22"/>
        </w:rPr>
        <w:t> </w:t>
      </w:r>
      <w:r>
        <w:rPr>
          <w:rFonts w:ascii="宋体" w:hAnsi="宋体" w:cs="宋体" w:eastAsia="宋体" w:hint="default"/>
          <w:spacing w:val="-11"/>
          <w:sz w:val="22"/>
          <w:szCs w:val="22"/>
        </w:rPr>
      </w:r>
      <w:r>
        <w:rPr>
          <w:rFonts w:ascii="宋体" w:hAnsi="宋体" w:cs="宋体" w:eastAsia="宋体" w:hint="default"/>
          <w:sz w:val="22"/>
          <w:szCs w:val="22"/>
        </w:rPr>
        <w:t>认与后续经营服务相关的收入。</w:t>
      </w:r>
    </w:p>
    <w:p>
      <w:pPr>
        <w:spacing w:line="240" w:lineRule="auto" w:before="11"/>
        <w:rPr>
          <w:rFonts w:ascii="宋体" w:hAnsi="宋体" w:cs="宋体" w:eastAsia="宋体" w:hint="default"/>
          <w:sz w:val="19"/>
          <w:szCs w:val="19"/>
        </w:rPr>
      </w:pPr>
    </w:p>
    <w:p>
      <w:pPr>
        <w:spacing w:line="261"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建造合同收入按照收取或应收对价的公允价值计量，并分别以下情况在确认收入的同时，确认金</w:t>
      </w:r>
      <w:r>
        <w:rPr>
          <w:rFonts w:ascii="宋体" w:hAnsi="宋体" w:cs="宋体" w:eastAsia="宋体" w:hint="default"/>
          <w:w w:val="100"/>
          <w:sz w:val="22"/>
          <w:szCs w:val="22"/>
        </w:rPr>
        <w:t> </w:t>
      </w:r>
      <w:r>
        <w:rPr>
          <w:rFonts w:ascii="宋体" w:hAnsi="宋体" w:cs="宋体" w:eastAsia="宋体" w:hint="default"/>
          <w:sz w:val="22"/>
          <w:szCs w:val="22"/>
        </w:rPr>
        <w:t>融资产或无形资产：</w:t>
      </w:r>
    </w:p>
    <w:p>
      <w:pPr>
        <w:spacing w:line="240" w:lineRule="auto" w:before="9"/>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①合同规定基础设施建成后的一定期间内，公司可以无条件地自合同授予方收取确定金额的货币</w:t>
      </w:r>
      <w:r>
        <w:rPr>
          <w:rFonts w:ascii="宋体" w:hAnsi="宋体" w:cs="宋体" w:eastAsia="宋体" w:hint="default"/>
          <w:w w:val="100"/>
          <w:sz w:val="22"/>
          <w:szCs w:val="22"/>
        </w:rPr>
        <w:t> </w:t>
      </w:r>
      <w:r>
        <w:rPr>
          <w:rFonts w:ascii="宋体" w:hAnsi="宋体" w:cs="宋体" w:eastAsia="宋体" w:hint="default"/>
          <w:spacing w:val="-2"/>
          <w:sz w:val="22"/>
          <w:szCs w:val="22"/>
        </w:rPr>
        <w:t>资金或其他金融资产的，或在公司提供经营服务的收费低于某一限定金额的情况下，合同授予方按照</w:t>
      </w:r>
    </w:p>
    <w:p>
      <w:pPr>
        <w:spacing w:after="0" w:line="259" w:lineRule="auto"/>
        <w:jc w:val="both"/>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before="32"/>
        <w:ind w:left="153" w:right="0" w:firstLine="0"/>
        <w:jc w:val="both"/>
        <w:rPr>
          <w:rFonts w:ascii="宋体" w:hAnsi="宋体" w:cs="宋体" w:eastAsia="宋体" w:hint="default"/>
          <w:sz w:val="22"/>
          <w:szCs w:val="22"/>
        </w:rPr>
      </w:pPr>
      <w:r>
        <w:rPr>
          <w:rFonts w:ascii="宋体" w:hAnsi="宋体" w:cs="宋体" w:eastAsia="宋体" w:hint="default"/>
          <w:sz w:val="22"/>
          <w:szCs w:val="22"/>
        </w:rPr>
        <w:t>合同规定负责将有关差价补偿给公司的，在确认收入的同时确认金融资产，并按照《企业会计准则第</w:t>
      </w:r>
    </w:p>
    <w:p>
      <w:pPr>
        <w:spacing w:before="24"/>
        <w:ind w:left="153"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22</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金融工具确认和计量》的规定对金融资产进行后续计量。</w:t>
      </w:r>
    </w:p>
    <w:p>
      <w:pPr>
        <w:spacing w:line="240" w:lineRule="auto" w:before="13"/>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②合同规定公司在有关基础设施建成后，在项目所有权移交前的运营期间内，公司有权利向获取</w:t>
      </w:r>
      <w:r>
        <w:rPr>
          <w:rFonts w:ascii="宋体" w:hAnsi="宋体" w:cs="宋体" w:eastAsia="宋体" w:hint="default"/>
          <w:w w:val="100"/>
          <w:sz w:val="22"/>
          <w:szCs w:val="22"/>
        </w:rPr>
        <w:t> </w:t>
      </w:r>
      <w:r>
        <w:rPr>
          <w:rFonts w:ascii="宋体" w:hAnsi="宋体" w:cs="宋体" w:eastAsia="宋体" w:hint="default"/>
          <w:spacing w:val="-2"/>
          <w:sz w:val="22"/>
          <w:szCs w:val="22"/>
        </w:rPr>
        <w:t>服务的对象收取费用，但收费金额不确定的，且该权利不构成一项无条件收取现金的权利，公司在确</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认收入的同时将有关基础设施的特许运营权确认为无形资产。</w:t>
      </w:r>
    </w:p>
    <w:p>
      <w:pPr>
        <w:spacing w:line="240" w:lineRule="auto" w:before="11"/>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建造过程如发生借款利息，按照《企业会计准则第</w:t>
      </w:r>
      <w:r>
        <w:rPr>
          <w:rFonts w:ascii="Times New Roman" w:hAnsi="Times New Roman" w:cs="Times New Roman" w:eastAsia="Times New Roman" w:hint="default"/>
          <w:sz w:val="22"/>
          <w:szCs w:val="22"/>
        </w:rPr>
        <w:t>17</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借款费用》的规定处理。</w:t>
      </w:r>
    </w:p>
    <w:p>
      <w:pPr>
        <w:spacing w:line="240" w:lineRule="auto" w:before="12"/>
        <w:rPr>
          <w:rFonts w:ascii="宋体" w:hAnsi="宋体" w:cs="宋体" w:eastAsia="宋体" w:hint="default"/>
          <w:sz w:val="18"/>
          <w:szCs w:val="18"/>
        </w:rPr>
      </w:pPr>
    </w:p>
    <w:p>
      <w:pPr>
        <w:spacing w:line="244" w:lineRule="auto" w:before="0"/>
        <w:ind w:left="153" w:right="1133"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）本公司未提供实际建造服务，将基础设施建造发包给其他方的，不确认建造服务收入，按照</w:t>
      </w:r>
      <w:r>
        <w:rPr>
          <w:rFonts w:ascii="宋体" w:hAnsi="宋体" w:cs="宋体" w:eastAsia="宋体" w:hint="default"/>
          <w:w w:val="100"/>
          <w:sz w:val="22"/>
          <w:szCs w:val="22"/>
        </w:rPr>
        <w:t> </w:t>
      </w:r>
      <w:r>
        <w:rPr>
          <w:rFonts w:ascii="宋体" w:hAnsi="宋体" w:cs="宋体" w:eastAsia="宋体" w:hint="default"/>
          <w:sz w:val="22"/>
          <w:szCs w:val="22"/>
        </w:rPr>
        <w:t>建造过程中支付的工程价款等结合合同规定，分别确认为金融资产或无形资产。</w:t>
      </w:r>
    </w:p>
    <w:p>
      <w:pPr>
        <w:spacing w:line="240" w:lineRule="auto" w:before="2"/>
        <w:rPr>
          <w:rFonts w:ascii="宋体" w:hAnsi="宋体" w:cs="宋体" w:eastAsia="宋体" w:hint="default"/>
          <w:sz w:val="25"/>
          <w:szCs w:val="25"/>
        </w:rPr>
      </w:pPr>
    </w:p>
    <w:p>
      <w:pPr>
        <w:spacing w:before="0"/>
        <w:ind w:left="153" w:right="0" w:firstLine="0"/>
        <w:jc w:val="both"/>
        <w:rPr>
          <w:rFonts w:ascii="宋体" w:hAnsi="宋体" w:cs="宋体" w:eastAsia="宋体" w:hint="default"/>
          <w:sz w:val="21"/>
          <w:szCs w:val="21"/>
        </w:rPr>
      </w:pPr>
      <w:bookmarkStart w:name="40、政府补助" w:id="216"/>
      <w:bookmarkEnd w:id="216"/>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550" w:lineRule="atLeast" w:before="50"/>
        <w:ind w:left="594" w:right="0" w:firstLine="0"/>
        <w:jc w:val="left"/>
        <w:rPr>
          <w:rFonts w:ascii="宋体" w:hAnsi="宋体" w:cs="宋体" w:eastAsia="宋体" w:hint="default"/>
          <w:sz w:val="22"/>
          <w:szCs w:val="22"/>
        </w:rPr>
      </w:pPr>
      <w:r>
        <w:rPr>
          <w:rFonts w:ascii="宋体" w:hAnsi="宋体" w:cs="宋体" w:eastAsia="宋体" w:hint="default"/>
          <w:sz w:val="22"/>
          <w:szCs w:val="22"/>
        </w:rPr>
        <w:t>政府补助在本集团能够满足其所附的条件以及能够收到时予以确认。</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政府补助为货币性资产的，按照实际收到的金额计量，对于按照固定的定额标准拨付的补助，按</w:t>
      </w:r>
    </w:p>
    <w:p>
      <w:pPr>
        <w:spacing w:line="259" w:lineRule="auto" w:before="24"/>
        <w:ind w:left="153" w:right="0" w:firstLine="0"/>
        <w:jc w:val="left"/>
        <w:rPr>
          <w:rFonts w:ascii="宋体" w:hAnsi="宋体" w:cs="宋体" w:eastAsia="宋体" w:hint="default"/>
          <w:sz w:val="22"/>
          <w:szCs w:val="22"/>
        </w:rPr>
      </w:pPr>
      <w:r>
        <w:rPr>
          <w:rFonts w:ascii="宋体" w:hAnsi="宋体" w:cs="宋体" w:eastAsia="宋体" w:hint="default"/>
          <w:spacing w:val="-2"/>
          <w:sz w:val="22"/>
          <w:szCs w:val="22"/>
        </w:rPr>
        <w:t>照应收的金额计量；政府补助为非货币性资产的，按照公允价值计量，公允价值不能可靠取得的，按</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照名义金额（</w:t>
      </w:r>
      <w:r>
        <w:rPr>
          <w:rFonts w:ascii="Times New Roman" w:hAnsi="Times New Roman" w:cs="Times New Roman" w:eastAsia="Times New Roman" w:hint="default"/>
          <w:sz w:val="22"/>
          <w:szCs w:val="22"/>
        </w:rPr>
        <w:t>1</w:t>
      </w:r>
      <w:r>
        <w:rPr>
          <w:rFonts w:ascii="宋体" w:hAnsi="宋体" w:cs="宋体" w:eastAsia="宋体" w:hint="default"/>
          <w:sz w:val="22"/>
          <w:szCs w:val="22"/>
        </w:rPr>
        <w:t>元）计量。</w:t>
      </w:r>
    </w:p>
    <w:p>
      <w:pPr>
        <w:spacing w:line="552" w:lineRule="exact" w:before="43"/>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）与资产相关的政府补助判断依据及会计处理方法</w:t>
      </w:r>
      <w:r>
        <w:rPr>
          <w:rFonts w:ascii="宋体" w:hAnsi="宋体" w:cs="宋体" w:eastAsia="宋体" w:hint="default"/>
          <w:w w:val="100"/>
          <w:sz w:val="22"/>
          <w:szCs w:val="22"/>
        </w:rPr>
        <w:t> </w:t>
      </w:r>
      <w:r>
        <w:rPr>
          <w:rFonts w:ascii="宋体" w:hAnsi="宋体" w:cs="宋体" w:eastAsia="宋体" w:hint="default"/>
          <w:sz w:val="22"/>
          <w:szCs w:val="22"/>
        </w:rPr>
        <w:t>与资产相关的政府补助，是指本集团取得的、用于购建或以其他方式形成长期资产的政府补助。</w:t>
      </w:r>
    </w:p>
    <w:p>
      <w:pPr>
        <w:spacing w:line="233" w:lineRule="exact" w:before="0"/>
        <w:ind w:left="153" w:right="0" w:firstLine="0"/>
        <w:jc w:val="both"/>
        <w:rPr>
          <w:rFonts w:ascii="宋体" w:hAnsi="宋体" w:cs="宋体" w:eastAsia="宋体" w:hint="default"/>
          <w:sz w:val="22"/>
          <w:szCs w:val="22"/>
        </w:rPr>
      </w:pPr>
      <w:r>
        <w:rPr>
          <w:rFonts w:ascii="宋体" w:hAnsi="宋体" w:cs="宋体" w:eastAsia="宋体" w:hint="default"/>
          <w:sz w:val="22"/>
          <w:szCs w:val="22"/>
        </w:rPr>
        <w:t>与资产相关的政府补助，原则上均判定为与日常活动相关，在取得时确认为递延收益，在相关资产使</w:t>
      </w:r>
    </w:p>
    <w:p>
      <w:pPr>
        <w:spacing w:before="24"/>
        <w:ind w:left="153" w:right="0" w:firstLine="0"/>
        <w:jc w:val="both"/>
        <w:rPr>
          <w:rFonts w:ascii="宋体" w:hAnsi="宋体" w:cs="宋体" w:eastAsia="宋体" w:hint="default"/>
          <w:sz w:val="22"/>
          <w:szCs w:val="22"/>
        </w:rPr>
      </w:pPr>
      <w:r>
        <w:rPr>
          <w:rFonts w:ascii="宋体" w:hAnsi="宋体" w:cs="宋体" w:eastAsia="宋体" w:hint="default"/>
          <w:sz w:val="22"/>
          <w:szCs w:val="22"/>
        </w:rPr>
        <w:t>用寿命内平均分配，计入其他收益。</w:t>
      </w:r>
    </w:p>
    <w:p>
      <w:pPr>
        <w:spacing w:line="530" w:lineRule="atLeast" w:before="39"/>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）与收益相关的政府补助判断依据及会计处理方法</w:t>
      </w:r>
      <w:r>
        <w:rPr>
          <w:rFonts w:ascii="宋体" w:hAnsi="宋体" w:cs="宋体" w:eastAsia="宋体" w:hint="default"/>
          <w:w w:val="100"/>
          <w:sz w:val="22"/>
          <w:szCs w:val="22"/>
        </w:rPr>
        <w:t> </w:t>
      </w:r>
      <w:r>
        <w:rPr>
          <w:rFonts w:ascii="宋体" w:hAnsi="宋体" w:cs="宋体" w:eastAsia="宋体" w:hint="default"/>
          <w:spacing w:val="-5"/>
          <w:sz w:val="22"/>
          <w:szCs w:val="22"/>
        </w:rPr>
        <w:t>与收益相关的政府补助，是指除与资产相关的政府补助之外的政府补助。与收益相关的政府补助，</w:t>
      </w:r>
    </w:p>
    <w:p>
      <w:pPr>
        <w:spacing w:line="259" w:lineRule="auto" w:before="24"/>
        <w:ind w:left="153" w:right="1021" w:firstLine="0"/>
        <w:jc w:val="both"/>
        <w:rPr>
          <w:rFonts w:ascii="宋体" w:hAnsi="宋体" w:cs="宋体" w:eastAsia="宋体" w:hint="default"/>
          <w:sz w:val="22"/>
          <w:szCs w:val="22"/>
        </w:rPr>
      </w:pPr>
      <w:r>
        <w:rPr>
          <w:rFonts w:ascii="宋体" w:hAnsi="宋体" w:cs="宋体" w:eastAsia="宋体" w:hint="default"/>
          <w:sz w:val="22"/>
          <w:szCs w:val="22"/>
        </w:rPr>
        <w:t>用于补偿公司以后期间费用或损失的，确认为递延收益，并在确认相关费用的期间计入当期损益。其</w:t>
      </w:r>
      <w:r>
        <w:rPr>
          <w:rFonts w:ascii="宋体" w:hAnsi="宋体" w:cs="宋体" w:eastAsia="宋体" w:hint="default"/>
          <w:w w:val="100"/>
          <w:sz w:val="22"/>
          <w:szCs w:val="22"/>
        </w:rPr>
        <w:t> </w:t>
      </w:r>
      <w:r>
        <w:rPr>
          <w:rFonts w:ascii="宋体" w:hAnsi="宋体" w:cs="宋体" w:eastAsia="宋体" w:hint="default"/>
          <w:sz w:val="22"/>
          <w:szCs w:val="22"/>
        </w:rPr>
        <w:t>中与公司日常活动相关的在确认相关费用或损失的期间计入其他收益；与公司日常活动无关的在确认</w:t>
      </w:r>
      <w:r>
        <w:rPr>
          <w:rFonts w:ascii="宋体" w:hAnsi="宋体" w:cs="宋体" w:eastAsia="宋体" w:hint="default"/>
          <w:w w:val="100"/>
          <w:sz w:val="22"/>
          <w:szCs w:val="22"/>
        </w:rPr>
        <w:t> </w:t>
      </w:r>
      <w:r>
        <w:rPr>
          <w:rFonts w:ascii="宋体" w:hAnsi="宋体" w:cs="宋体" w:eastAsia="宋体" w:hint="default"/>
          <w:sz w:val="22"/>
          <w:szCs w:val="22"/>
        </w:rPr>
        <w:t>相关费用或损失的期间计入营业外收入。用于补偿公司已发生的相关成本费用或损失的，与公司日常</w:t>
      </w:r>
      <w:r>
        <w:rPr>
          <w:rFonts w:ascii="宋体" w:hAnsi="宋体" w:cs="宋体" w:eastAsia="宋体" w:hint="default"/>
          <w:w w:val="100"/>
          <w:sz w:val="22"/>
          <w:szCs w:val="22"/>
        </w:rPr>
        <w:t> </w:t>
      </w:r>
      <w:r>
        <w:rPr>
          <w:rFonts w:ascii="宋体" w:hAnsi="宋体" w:cs="宋体" w:eastAsia="宋体" w:hint="default"/>
          <w:sz w:val="22"/>
          <w:szCs w:val="22"/>
        </w:rPr>
        <w:t>活动相关的，在取得时直接计入其他收益；与公司日常活动无关的，在取得时直接计入营业外收入。</w:t>
      </w:r>
    </w:p>
    <w:p>
      <w:pPr>
        <w:spacing w:line="240" w:lineRule="auto" w:before="11"/>
        <w:rPr>
          <w:rFonts w:ascii="宋体" w:hAnsi="宋体" w:cs="宋体" w:eastAsia="宋体" w:hint="default"/>
          <w:sz w:val="18"/>
          <w:szCs w:val="18"/>
        </w:rPr>
      </w:pPr>
    </w:p>
    <w:p>
      <w:pPr>
        <w:spacing w:line="25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对于同时包含与资产相关部分和与收益相关部分的政府补助，应当区分不同部分分别进行会计处</w:t>
      </w:r>
      <w:r>
        <w:rPr>
          <w:rFonts w:ascii="宋体" w:hAnsi="宋体" w:cs="宋体" w:eastAsia="宋体" w:hint="default"/>
          <w:w w:val="100"/>
          <w:sz w:val="22"/>
          <w:szCs w:val="22"/>
        </w:rPr>
        <w:t> </w:t>
      </w:r>
      <w:r>
        <w:rPr>
          <w:rFonts w:ascii="宋体" w:hAnsi="宋体" w:cs="宋体" w:eastAsia="宋体" w:hint="default"/>
          <w:sz w:val="22"/>
          <w:szCs w:val="22"/>
        </w:rPr>
        <w:t>理；难以区分的，应该整体归类为与收益相关的政府补助。</w:t>
      </w:r>
    </w:p>
    <w:p>
      <w:pPr>
        <w:spacing w:line="530" w:lineRule="atLeast" w:before="21"/>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）本公司取得的政策性优惠贷款贴息，区分以下两种情况，分别进行会计处理：</w:t>
      </w:r>
      <w:r>
        <w:rPr>
          <w:rFonts w:ascii="宋体" w:hAnsi="宋体" w:cs="宋体" w:eastAsia="宋体" w:hint="default"/>
          <w:w w:val="100"/>
          <w:sz w:val="22"/>
          <w:szCs w:val="22"/>
        </w:rPr>
        <w:t> </w:t>
      </w:r>
      <w:r>
        <w:rPr>
          <w:rFonts w:ascii="宋体" w:hAnsi="宋体" w:cs="宋体" w:eastAsia="宋体" w:hint="default"/>
          <w:spacing w:val="-2"/>
          <w:sz w:val="22"/>
          <w:szCs w:val="22"/>
        </w:rPr>
        <w:t>财政将贴息资金拨付给贷款银行，公司以实际收到的借款金额作为借款的入账价值，按照借款本</w:t>
      </w:r>
    </w:p>
    <w:p>
      <w:pPr>
        <w:spacing w:line="460" w:lineRule="auto" w:before="24"/>
        <w:ind w:left="594" w:right="1838" w:hanging="442"/>
        <w:jc w:val="left"/>
        <w:rPr>
          <w:rFonts w:ascii="宋体" w:hAnsi="宋体" w:cs="宋体" w:eastAsia="宋体" w:hint="default"/>
          <w:sz w:val="22"/>
          <w:szCs w:val="22"/>
        </w:rPr>
      </w:pPr>
      <w:r>
        <w:rPr>
          <w:rFonts w:ascii="宋体" w:hAnsi="宋体" w:cs="宋体" w:eastAsia="宋体" w:hint="default"/>
          <w:sz w:val="22"/>
          <w:szCs w:val="22"/>
        </w:rPr>
        <w:t>金和该政策性优惠利率计算相关借款费用。</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1"/>
          <w:sz w:val="22"/>
          <w:szCs w:val="22"/>
        </w:rPr>
        <w:t>财政将贴息资金拨付给公司，公司将对应的贴息冲减相关借款费用。</w:t>
      </w:r>
    </w:p>
    <w:p>
      <w:pPr>
        <w:spacing w:before="131"/>
        <w:ind w:left="153" w:right="0" w:firstLine="0"/>
        <w:jc w:val="both"/>
        <w:rPr>
          <w:rFonts w:ascii="宋体" w:hAnsi="宋体" w:cs="宋体" w:eastAsia="宋体" w:hint="default"/>
          <w:sz w:val="21"/>
          <w:szCs w:val="21"/>
        </w:rPr>
      </w:pPr>
      <w:bookmarkStart w:name="41、递延所得税资产/递延所得税负债" w:id="217"/>
      <w:bookmarkEnd w:id="217"/>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本集团递延所得税资产和递延所得税负债根据资产和负债的计税基础与其账面价值的差额（暂时</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59" w:lineRule="auto" w:before="32"/>
        <w:ind w:left="153" w:right="1030" w:firstLine="0"/>
        <w:jc w:val="both"/>
        <w:rPr>
          <w:rFonts w:ascii="宋体" w:hAnsi="宋体" w:cs="宋体" w:eastAsia="宋体" w:hint="default"/>
          <w:sz w:val="22"/>
          <w:szCs w:val="22"/>
        </w:rPr>
      </w:pPr>
      <w:r>
        <w:rPr>
          <w:rFonts w:ascii="宋体" w:hAnsi="宋体" w:cs="宋体" w:eastAsia="宋体" w:hint="default"/>
          <w:sz w:val="22"/>
          <w:szCs w:val="22"/>
        </w:rPr>
        <w:t>性差异）计算确认。对于按照税法规定能够于以后年度抵减应纳税所得额的可抵扣亏损和税款抵减，</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视同暂时性差异确认相应的递延所得税资产。于资产负债表日，递延所得税资产和递延所得税负债，</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按照预期收回该资产或清偿该负债期间的适用税率计量。</w:t>
      </w:r>
    </w:p>
    <w:p>
      <w:pPr>
        <w:spacing w:line="240" w:lineRule="auto" w:before="12"/>
        <w:rPr>
          <w:rFonts w:ascii="宋体" w:hAnsi="宋体" w:cs="宋体" w:eastAsia="宋体" w:hint="default"/>
          <w:sz w:val="18"/>
          <w:szCs w:val="18"/>
        </w:rPr>
      </w:pPr>
    </w:p>
    <w:p>
      <w:pPr>
        <w:spacing w:line="259" w:lineRule="auto" w:before="0"/>
        <w:ind w:left="153" w:right="1122" w:firstLine="441"/>
        <w:jc w:val="both"/>
        <w:rPr>
          <w:rFonts w:ascii="宋体" w:hAnsi="宋体" w:cs="宋体" w:eastAsia="宋体" w:hint="default"/>
          <w:sz w:val="22"/>
          <w:szCs w:val="22"/>
        </w:rPr>
      </w:pPr>
      <w:r>
        <w:rPr>
          <w:rFonts w:ascii="宋体" w:hAnsi="宋体" w:cs="宋体" w:eastAsia="宋体" w:hint="default"/>
          <w:spacing w:val="-2"/>
          <w:sz w:val="22"/>
          <w:szCs w:val="22"/>
        </w:rPr>
        <w:t>本集团以很可能取得用来抵扣可抵扣暂时性差异的应纳税所得额为限，确认由可抵扣暂时性差异</w:t>
      </w:r>
      <w:r>
        <w:rPr>
          <w:rFonts w:ascii="宋体" w:hAnsi="宋体" w:cs="宋体" w:eastAsia="宋体" w:hint="default"/>
          <w:w w:val="100"/>
          <w:sz w:val="22"/>
          <w:szCs w:val="22"/>
        </w:rPr>
        <w:t> </w:t>
      </w:r>
      <w:r>
        <w:rPr>
          <w:rFonts w:ascii="宋体" w:hAnsi="宋体" w:cs="宋体" w:eastAsia="宋体" w:hint="default"/>
          <w:spacing w:val="-2"/>
          <w:sz w:val="22"/>
          <w:szCs w:val="22"/>
        </w:rPr>
        <w:t>产生的递延所得税资产。对已确认的递延所得税资产，当预计到未来期间很可能无法获得足够的应纳</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pacing w:val="-2"/>
          <w:sz w:val="22"/>
          <w:szCs w:val="22"/>
        </w:rPr>
        <w:t>税所得额用以抵扣递延所得税资产时，应当减记递延所得税资产的账面价值。在很可能获得足够的应</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纳税所得额时，减记的金额予以转回。</w:t>
      </w:r>
    </w:p>
    <w:p>
      <w:pPr>
        <w:spacing w:line="240" w:lineRule="auto" w:before="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42、租赁" w:id="218"/>
      <w:bookmarkEnd w:id="218"/>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经营租赁的会计处理方法" w:id="219"/>
      <w:bookmarkEnd w:id="2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2）融资租赁的会计处理方法"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43、其他重要的会计政策和会计估计" w:id="221"/>
      <w:bookmarkEnd w:id="221"/>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编制财务报表时，本集团管理层需要运用估计和假设，这些估计和假设会对会计政策的应用及资</w:t>
      </w:r>
      <w:r>
        <w:rPr>
          <w:rFonts w:ascii="宋体" w:hAnsi="宋体" w:cs="宋体" w:eastAsia="宋体" w:hint="default"/>
          <w:w w:val="100"/>
          <w:sz w:val="22"/>
          <w:szCs w:val="22"/>
        </w:rPr>
        <w:t> </w:t>
      </w:r>
      <w:r>
        <w:rPr>
          <w:rFonts w:ascii="宋体" w:hAnsi="宋体" w:cs="宋体" w:eastAsia="宋体" w:hint="default"/>
          <w:sz w:val="22"/>
          <w:szCs w:val="22"/>
        </w:rPr>
        <w:t>产、负债、收入及费用的金额产生影响。实际情况可能与这些估计不同。本集团管理层对估计涉及的</w:t>
      </w:r>
      <w:r>
        <w:rPr>
          <w:rFonts w:ascii="宋体" w:hAnsi="宋体" w:cs="宋体" w:eastAsia="宋体" w:hint="default"/>
          <w:w w:val="100"/>
          <w:sz w:val="22"/>
          <w:szCs w:val="22"/>
        </w:rPr>
        <w:t> </w:t>
      </w:r>
      <w:r>
        <w:rPr>
          <w:rFonts w:ascii="宋体" w:hAnsi="宋体" w:cs="宋体" w:eastAsia="宋体" w:hint="default"/>
          <w:spacing w:val="-2"/>
          <w:sz w:val="22"/>
          <w:szCs w:val="22"/>
        </w:rPr>
        <w:t>关键假设和不确定性因素的判断进行持续评估。会计估计变更的影响在变更当期和未来期间予以确认。</w:t>
      </w:r>
    </w:p>
    <w:p>
      <w:pPr>
        <w:spacing w:line="240" w:lineRule="auto" w:before="11"/>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下列会计估计及关键假设存在导致未来期间的资产及负债账面值发生重大调整的重要风险。</w:t>
      </w:r>
    </w:p>
    <w:p>
      <w:pPr>
        <w:spacing w:line="530" w:lineRule="atLeast" w:before="38"/>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）应收款项减值</w:t>
      </w:r>
      <w:r>
        <w:rPr>
          <w:rFonts w:ascii="宋体" w:hAnsi="宋体" w:cs="宋体" w:eastAsia="宋体" w:hint="default"/>
          <w:spacing w:val="-104"/>
          <w:sz w:val="22"/>
          <w:szCs w:val="22"/>
        </w:rPr>
        <w:t> </w:t>
      </w:r>
      <w:r>
        <w:rPr>
          <w:rFonts w:ascii="宋体" w:hAnsi="宋体" w:cs="宋体" w:eastAsia="宋体" w:hint="default"/>
          <w:spacing w:val="-2"/>
          <w:sz w:val="22"/>
          <w:szCs w:val="22"/>
        </w:rPr>
        <w:t>本集团在资产负债表日按摊余成本计量的应收款项，以评估是否出现减值情況，并在出现减值情</w:t>
      </w:r>
    </w:p>
    <w:p>
      <w:pPr>
        <w:spacing w:line="259" w:lineRule="auto" w:before="24"/>
        <w:ind w:left="153" w:right="1130" w:firstLine="0"/>
        <w:jc w:val="both"/>
        <w:rPr>
          <w:rFonts w:ascii="宋体" w:hAnsi="宋体" w:cs="宋体" w:eastAsia="宋体" w:hint="default"/>
          <w:sz w:val="22"/>
          <w:szCs w:val="22"/>
        </w:rPr>
      </w:pPr>
      <w:r>
        <w:rPr>
          <w:rFonts w:ascii="宋体" w:hAnsi="宋体" w:cs="宋体" w:eastAsia="宋体" w:hint="default"/>
          <w:spacing w:val="-2"/>
          <w:sz w:val="22"/>
          <w:szCs w:val="22"/>
        </w:rPr>
        <w:t>況时评估减值损失的具体金额。减值的客观证据包括显示个别或组合应收款项预计未来现金流量出现</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大幅下降的可判断数据，显示个别或组合应收款项中债务人的财务状况出现重大负面的可判断数据等</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事项。如果有证据表明该应收款项价值已恢复，且客观上与确认该损失后发生的事项有关，则将原确</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认的减值损失予以转回。</w:t>
      </w:r>
    </w:p>
    <w:p>
      <w:pPr>
        <w:spacing w:line="530" w:lineRule="atLeast" w:before="21"/>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）存货减值准备</w:t>
      </w:r>
      <w:r>
        <w:rPr>
          <w:rFonts w:ascii="宋体" w:hAnsi="宋体" w:cs="宋体" w:eastAsia="宋体" w:hint="default"/>
          <w:spacing w:val="-104"/>
          <w:sz w:val="22"/>
          <w:szCs w:val="22"/>
        </w:rPr>
        <w:t> </w:t>
      </w:r>
      <w:r>
        <w:rPr>
          <w:rFonts w:ascii="宋体" w:hAnsi="宋体" w:cs="宋体" w:eastAsia="宋体" w:hint="default"/>
          <w:spacing w:val="-2"/>
          <w:sz w:val="22"/>
          <w:szCs w:val="22"/>
        </w:rPr>
        <w:t>本集团定期估计存货的可变现净值，并对存货成本高于可变现净值的差额确认存货跌价损失。本</w:t>
      </w:r>
    </w:p>
    <w:p>
      <w:pPr>
        <w:spacing w:line="259" w:lineRule="auto" w:before="24"/>
        <w:ind w:left="153" w:right="1125" w:firstLine="0"/>
        <w:jc w:val="both"/>
        <w:rPr>
          <w:rFonts w:ascii="宋体" w:hAnsi="宋体" w:cs="宋体" w:eastAsia="宋体" w:hint="default"/>
          <w:sz w:val="22"/>
          <w:szCs w:val="22"/>
        </w:rPr>
      </w:pPr>
      <w:r>
        <w:rPr>
          <w:rFonts w:ascii="宋体" w:hAnsi="宋体" w:cs="宋体" w:eastAsia="宋体" w:hint="default"/>
          <w:spacing w:val="-2"/>
          <w:sz w:val="22"/>
          <w:szCs w:val="22"/>
        </w:rPr>
        <w:t>集团在估计存货的可变现净值时，以同类货物的预计售价减去完工时将要发生的成本、销售费用以及</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相关税费后的金额确定。当实际售价或成本费用与以前估计不同时，管理层将会对可变现净值进行相</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应的调整。因此根据现有经验进行估计的结果可能会与之后实际结果有所不同，可能导致对资产负债</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表中的存货账面价值的调整。因此存货跌价准备的金额可能会随上述原因而发生变化。对存货跌价准</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备的调整将影响估计变更当期的损益。</w:t>
      </w:r>
    </w:p>
    <w:p>
      <w:pPr>
        <w:spacing w:line="530" w:lineRule="atLeast" w:before="21"/>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）商誉减值准备的会计估计</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2"/>
          <w:sz w:val="22"/>
          <w:szCs w:val="22"/>
        </w:rPr>
        <w:t>本集团每年对商誉进行减值测试。包含商誉的资产组和资产组组合的可收回金额为其预计未来现</w:t>
      </w:r>
    </w:p>
    <w:p>
      <w:pPr>
        <w:spacing w:before="24"/>
        <w:ind w:left="153" w:right="0" w:firstLine="0"/>
        <w:jc w:val="both"/>
        <w:rPr>
          <w:rFonts w:ascii="宋体" w:hAnsi="宋体" w:cs="宋体" w:eastAsia="宋体" w:hint="default"/>
          <w:sz w:val="22"/>
          <w:szCs w:val="22"/>
        </w:rPr>
      </w:pPr>
      <w:r>
        <w:rPr>
          <w:rFonts w:ascii="宋体" w:hAnsi="宋体" w:cs="宋体" w:eastAsia="宋体" w:hint="default"/>
          <w:sz w:val="22"/>
          <w:szCs w:val="22"/>
        </w:rPr>
        <w:t>金流量的现值，其计算需要采用会计估计。</w:t>
      </w:r>
    </w:p>
    <w:p>
      <w:pPr>
        <w:spacing w:line="240" w:lineRule="auto" w:before="2"/>
        <w:rPr>
          <w:rFonts w:ascii="宋体" w:hAnsi="宋体" w:cs="宋体" w:eastAsia="宋体" w:hint="default"/>
          <w:sz w:val="20"/>
          <w:szCs w:val="20"/>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如果管理层对资产组和资产组组合未来现金流量计算中采用的毛利率进行修订，修订后的毛利率</w:t>
      </w:r>
      <w:r>
        <w:rPr>
          <w:rFonts w:ascii="宋体" w:hAnsi="宋体" w:cs="宋体" w:eastAsia="宋体" w:hint="default"/>
          <w:w w:val="100"/>
          <w:sz w:val="22"/>
          <w:szCs w:val="22"/>
        </w:rPr>
        <w:t> </w:t>
      </w:r>
      <w:r>
        <w:rPr>
          <w:rFonts w:ascii="宋体" w:hAnsi="宋体" w:cs="宋体" w:eastAsia="宋体" w:hint="default"/>
          <w:sz w:val="22"/>
          <w:szCs w:val="22"/>
        </w:rPr>
        <w:t>低于目前采用的毛利率，本集团需对商誉增加计提减值准备。</w:t>
      </w:r>
    </w:p>
    <w:p>
      <w:pPr>
        <w:spacing w:after="0" w:line="259" w:lineRule="auto"/>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59" w:lineRule="auto" w:before="32"/>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如果管理层对应用于现金流量折现的税前折现率进行重新修订，修订后的税前折率高于目前采用</w:t>
      </w:r>
      <w:r>
        <w:rPr>
          <w:rFonts w:ascii="宋体" w:hAnsi="宋体" w:cs="宋体" w:eastAsia="宋体" w:hint="default"/>
          <w:w w:val="100"/>
          <w:sz w:val="22"/>
          <w:szCs w:val="22"/>
        </w:rPr>
        <w:t> </w:t>
      </w:r>
      <w:r>
        <w:rPr>
          <w:rFonts w:ascii="宋体" w:hAnsi="宋体" w:cs="宋体" w:eastAsia="宋体" w:hint="default"/>
          <w:sz w:val="22"/>
          <w:szCs w:val="22"/>
        </w:rPr>
        <w:t>的折现率，本集团需对商誉增加计提减值准备。</w:t>
      </w:r>
    </w:p>
    <w:p>
      <w:pPr>
        <w:spacing w:line="240" w:lineRule="auto" w:before="12"/>
        <w:rPr>
          <w:rFonts w:ascii="宋体" w:hAnsi="宋体" w:cs="宋体" w:eastAsia="宋体" w:hint="default"/>
          <w:sz w:val="18"/>
          <w:szCs w:val="18"/>
        </w:rPr>
      </w:pPr>
    </w:p>
    <w:p>
      <w:pPr>
        <w:spacing w:line="259" w:lineRule="auto" w:before="0"/>
        <w:ind w:left="153" w:right="1131" w:firstLine="441"/>
        <w:jc w:val="left"/>
        <w:rPr>
          <w:rFonts w:ascii="宋体" w:hAnsi="宋体" w:cs="宋体" w:eastAsia="宋体" w:hint="default"/>
          <w:sz w:val="22"/>
          <w:szCs w:val="22"/>
        </w:rPr>
      </w:pPr>
      <w:r>
        <w:rPr>
          <w:rFonts w:ascii="宋体" w:hAnsi="宋体" w:cs="宋体" w:eastAsia="宋体" w:hint="default"/>
          <w:spacing w:val="-2"/>
          <w:sz w:val="22"/>
          <w:szCs w:val="22"/>
        </w:rPr>
        <w:t>如果实际毛利率或税前折现率高于或低于管理层的估计，本集团不能转回原已计提的商誉减值损</w:t>
      </w:r>
      <w:r>
        <w:rPr>
          <w:rFonts w:ascii="宋体" w:hAnsi="宋体" w:cs="宋体" w:eastAsia="宋体" w:hint="default"/>
          <w:w w:val="100"/>
          <w:sz w:val="22"/>
          <w:szCs w:val="22"/>
        </w:rPr>
        <w:t> </w:t>
      </w:r>
      <w:r>
        <w:rPr>
          <w:rFonts w:ascii="宋体" w:hAnsi="宋体" w:cs="宋体" w:eastAsia="宋体" w:hint="default"/>
          <w:sz w:val="22"/>
          <w:szCs w:val="22"/>
        </w:rPr>
        <w:t>失。</w:t>
      </w:r>
    </w:p>
    <w:p>
      <w:pPr>
        <w:spacing w:line="530" w:lineRule="atLeast" w:before="21"/>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）固定资产减值准备的会计估计</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本集团在资产负债表日对存在减值迹象的房屋建筑物、机器设备等固定资产进行减值测试。固定</w:t>
      </w:r>
    </w:p>
    <w:p>
      <w:pPr>
        <w:spacing w:line="259" w:lineRule="auto" w:before="24"/>
        <w:ind w:left="153" w:right="0" w:firstLine="0"/>
        <w:jc w:val="left"/>
        <w:rPr>
          <w:rFonts w:ascii="宋体" w:hAnsi="宋体" w:cs="宋体" w:eastAsia="宋体" w:hint="default"/>
          <w:sz w:val="22"/>
          <w:szCs w:val="22"/>
        </w:rPr>
      </w:pPr>
      <w:r>
        <w:rPr>
          <w:rFonts w:ascii="宋体" w:hAnsi="宋体" w:cs="宋体" w:eastAsia="宋体" w:hint="default"/>
          <w:sz w:val="22"/>
          <w:szCs w:val="22"/>
        </w:rPr>
        <w:t>资产的可收回金额为其预计未来现金流量的现值和资产的公允价值减去处置费用后的净额中较高者，</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其计算需要采用会计估计。</w:t>
      </w:r>
    </w:p>
    <w:p>
      <w:pPr>
        <w:spacing w:line="240" w:lineRule="auto" w:before="11"/>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如果管理层对资产组和资产组组合未来现金流量计算中采用的毛利率进行修订，修订后的毛利率</w:t>
      </w:r>
      <w:r>
        <w:rPr>
          <w:rFonts w:ascii="宋体" w:hAnsi="宋体" w:cs="宋体" w:eastAsia="宋体" w:hint="default"/>
          <w:w w:val="100"/>
          <w:sz w:val="22"/>
          <w:szCs w:val="22"/>
        </w:rPr>
        <w:t> </w:t>
      </w:r>
      <w:r>
        <w:rPr>
          <w:rFonts w:ascii="宋体" w:hAnsi="宋体" w:cs="宋体" w:eastAsia="宋体" w:hint="default"/>
          <w:sz w:val="22"/>
          <w:szCs w:val="22"/>
        </w:rPr>
        <w:t>低于目前采用的毛利率，本集团需对固定资产增加计提减值准备。</w:t>
      </w:r>
    </w:p>
    <w:p>
      <w:pPr>
        <w:spacing w:line="240" w:lineRule="auto" w:before="12"/>
        <w:rPr>
          <w:rFonts w:ascii="宋体" w:hAnsi="宋体" w:cs="宋体" w:eastAsia="宋体" w:hint="default"/>
          <w:sz w:val="18"/>
          <w:szCs w:val="18"/>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如果管理层对应用于现金流量折现的税前折现率进行重新修订，修订后的税前折现率高于目前采</w:t>
      </w:r>
      <w:r>
        <w:rPr>
          <w:rFonts w:ascii="宋体" w:hAnsi="宋体" w:cs="宋体" w:eastAsia="宋体" w:hint="default"/>
          <w:w w:val="100"/>
          <w:sz w:val="22"/>
          <w:szCs w:val="22"/>
        </w:rPr>
        <w:t> </w:t>
      </w:r>
      <w:r>
        <w:rPr>
          <w:rFonts w:ascii="宋体" w:hAnsi="宋体" w:cs="宋体" w:eastAsia="宋体" w:hint="default"/>
          <w:sz w:val="22"/>
          <w:szCs w:val="22"/>
        </w:rPr>
        <w:t>用的折现率，本集团需对固定资产增加计提减值准备。</w:t>
      </w:r>
    </w:p>
    <w:p>
      <w:pPr>
        <w:spacing w:line="240" w:lineRule="auto" w:before="11"/>
        <w:rPr>
          <w:rFonts w:ascii="宋体" w:hAnsi="宋体" w:cs="宋体" w:eastAsia="宋体" w:hint="default"/>
          <w:sz w:val="18"/>
          <w:szCs w:val="18"/>
        </w:rPr>
      </w:pPr>
    </w:p>
    <w:p>
      <w:pPr>
        <w:spacing w:line="259" w:lineRule="auto" w:before="0"/>
        <w:ind w:left="153" w:right="1131" w:firstLine="441"/>
        <w:jc w:val="left"/>
        <w:rPr>
          <w:rFonts w:ascii="宋体" w:hAnsi="宋体" w:cs="宋体" w:eastAsia="宋体" w:hint="default"/>
          <w:sz w:val="22"/>
          <w:szCs w:val="22"/>
        </w:rPr>
      </w:pPr>
      <w:r>
        <w:rPr>
          <w:rFonts w:ascii="宋体" w:hAnsi="宋体" w:cs="宋体" w:eastAsia="宋体" w:hint="default"/>
          <w:spacing w:val="-2"/>
          <w:sz w:val="22"/>
          <w:szCs w:val="22"/>
        </w:rPr>
        <w:t>如果实际毛利率或税前折现率高于或低于管理层估计，本集团不能转回原已计提的固定资产减值</w:t>
      </w:r>
      <w:r>
        <w:rPr>
          <w:rFonts w:ascii="宋体" w:hAnsi="宋体" w:cs="宋体" w:eastAsia="宋体" w:hint="default"/>
          <w:w w:val="100"/>
          <w:sz w:val="22"/>
          <w:szCs w:val="22"/>
        </w:rPr>
        <w:t> </w:t>
      </w:r>
      <w:r>
        <w:rPr>
          <w:rFonts w:ascii="宋体" w:hAnsi="宋体" w:cs="宋体" w:eastAsia="宋体" w:hint="default"/>
          <w:sz w:val="22"/>
          <w:szCs w:val="22"/>
        </w:rPr>
        <w:t>准备。</w:t>
      </w:r>
    </w:p>
    <w:p>
      <w:pPr>
        <w:spacing w:line="530" w:lineRule="atLeast" w:before="21"/>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5</w:t>
      </w:r>
      <w:r>
        <w:rPr>
          <w:rFonts w:ascii="宋体" w:hAnsi="宋体" w:cs="宋体" w:eastAsia="宋体" w:hint="default"/>
          <w:sz w:val="22"/>
          <w:szCs w:val="22"/>
        </w:rPr>
        <w:t>）递延所得税资产确认的会计估计</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2"/>
          <w:sz w:val="22"/>
          <w:szCs w:val="22"/>
        </w:rPr>
        <w:t>递延所得税资产的估计需要对未来各个年度的应纳税所得额及适用的税率进行估计，递延所得税</w:t>
      </w:r>
    </w:p>
    <w:p>
      <w:pPr>
        <w:spacing w:line="259" w:lineRule="auto" w:before="24"/>
        <w:ind w:left="153" w:right="1130" w:firstLine="0"/>
        <w:jc w:val="both"/>
        <w:rPr>
          <w:rFonts w:ascii="宋体" w:hAnsi="宋体" w:cs="宋体" w:eastAsia="宋体" w:hint="default"/>
          <w:sz w:val="22"/>
          <w:szCs w:val="22"/>
        </w:rPr>
      </w:pPr>
      <w:r>
        <w:rPr>
          <w:rFonts w:ascii="宋体" w:hAnsi="宋体" w:cs="宋体" w:eastAsia="宋体" w:hint="default"/>
          <w:spacing w:val="-2"/>
          <w:sz w:val="22"/>
          <w:szCs w:val="22"/>
        </w:rPr>
        <w:t>资产的实现取决于集团未来是否很可能获得足够的应纳税所得额。未来税率的变化和暂时性差异的转</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pacing w:val="-2"/>
          <w:sz w:val="22"/>
          <w:szCs w:val="22"/>
        </w:rPr>
        <w:t>回时间也可能影响所得税费用（收益）以及递延所得税的余额。上述估计的变化可能导致对递延所得</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税的重要调整。</w:t>
      </w:r>
    </w:p>
    <w:p>
      <w:pPr>
        <w:spacing w:line="530" w:lineRule="atLeast" w:before="21"/>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）固定资产、无形资产的可使用年限</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2"/>
          <w:sz w:val="22"/>
          <w:szCs w:val="22"/>
        </w:rPr>
        <w:t>本集团至少于每年年度终了，对固定资产和无形资产的预计使用寿命进行复核。预计使用寿命是</w:t>
      </w:r>
    </w:p>
    <w:p>
      <w:pPr>
        <w:spacing w:line="259" w:lineRule="auto" w:before="24"/>
        <w:ind w:left="153" w:right="1125" w:firstLine="0"/>
        <w:jc w:val="both"/>
        <w:rPr>
          <w:rFonts w:ascii="宋体" w:hAnsi="宋体" w:cs="宋体" w:eastAsia="宋体" w:hint="default"/>
          <w:sz w:val="22"/>
          <w:szCs w:val="22"/>
        </w:rPr>
      </w:pPr>
      <w:r>
        <w:rPr>
          <w:rFonts w:ascii="宋体" w:hAnsi="宋体" w:cs="宋体" w:eastAsia="宋体" w:hint="default"/>
          <w:spacing w:val="-2"/>
          <w:sz w:val="22"/>
          <w:szCs w:val="22"/>
        </w:rPr>
        <w:t>管理层基于同类资产历史经验、参考同行业普遍所应用的估计并结合预期技术更新而决定的。当以往</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的估计发生重大变化时，则相应调整未来期间的折旧费用和摊销费用。</w:t>
      </w:r>
    </w:p>
    <w:p>
      <w:pPr>
        <w:spacing w:line="240" w:lineRule="auto" w:before="2"/>
        <w:rPr>
          <w:rFonts w:ascii="宋体" w:hAnsi="宋体" w:cs="宋体" w:eastAsia="宋体" w:hint="default"/>
          <w:sz w:val="24"/>
          <w:szCs w:val="24"/>
        </w:rPr>
      </w:pPr>
    </w:p>
    <w:p>
      <w:pPr>
        <w:spacing w:before="0"/>
        <w:ind w:left="153" w:right="0" w:firstLine="0"/>
        <w:jc w:val="both"/>
        <w:rPr>
          <w:rFonts w:ascii="宋体" w:hAnsi="宋体" w:cs="宋体" w:eastAsia="宋体" w:hint="default"/>
          <w:sz w:val="21"/>
          <w:szCs w:val="21"/>
        </w:rPr>
      </w:pPr>
      <w:bookmarkStart w:name="44、重要会计政策和会计估计变更" w:id="222"/>
      <w:bookmarkEnd w:id="222"/>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重要会计政策变更"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both"/>
        <w:rPr>
          <w:rFonts w:ascii="宋体" w:hAnsi="宋体" w:cs="宋体" w:eastAsia="宋体" w:hint="default"/>
          <w:sz w:val="18"/>
          <w:szCs w:val="18"/>
        </w:rPr>
      </w:pPr>
      <w:r>
        <w:rPr/>
        <w:pict>
          <v:group style="position:absolute;margin-left:312.119995pt;margin-top:37.39172pt;width:120.05pt;height:59.2pt;mso-position-horizontal-relative:page;mso-position-vertical-relative:paragraph;z-index:-1180288" coordorigin="6242,748" coordsize="2401,1184">
            <v:group style="position:absolute;left:6242;top:748;width:2401;height:783" coordorigin="6242,748" coordsize="2401,783">
              <v:shape style="position:absolute;left:6242;top:748;width:2401;height:783" coordorigin="6242,748" coordsize="2401,783" path="m6242,1530l8643,1530,8643,748,6242,748,6242,1530xe" filled="true" fillcolor="#ffffff" stroked="false">
                <v:path arrowok="t"/>
                <v:fill type="solid"/>
              </v:shape>
            </v:group>
            <v:group style="position:absolute;left:6254;top:1530;width:2;height:390" coordorigin="6254,1530" coordsize="2,390">
              <v:shape style="position:absolute;left:6254;top:1530;width:2;height:390" coordorigin="6254,1530" coordsize="0,390" path="m6254,1530l6254,1920e" filled="false" stroked="true" strokeweight="1.2pt" strokecolor="#ffffff">
                <v:path arrowok="t"/>
              </v:shape>
            </v:group>
            <v:group style="position:absolute;left:6266;top:1530;width:2358;height:390" coordorigin="6266,1530" coordsize="2358,390">
              <v:shape style="position:absolute;left:6266;top:1530;width:2358;height:390" coordorigin="6266,1530" coordsize="2358,390" path="m6266,1920l8624,1920,8624,1530,6266,1530,6266,1920xe" filled="true" fillcolor="#ffffff"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5104"/>
        <w:gridCol w:w="2411"/>
        <w:gridCol w:w="2060"/>
      </w:tblGrid>
      <w:tr>
        <w:trPr>
          <w:trHeight w:val="40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64"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4"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pacing w:val="-3"/>
                <w:sz w:val="18"/>
                <w:szCs w:val="18"/>
              </w:rPr>
              <w:t>年度，财政部修订并发布了《企业会计准则第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w w:val="101"/>
                <w:sz w:val="18"/>
                <w:szCs w:val="18"/>
              </w:rPr>
              <w:t>具确认和计量》（财会</w:t>
            </w:r>
            <w:r>
              <w:rPr>
                <w:rFonts w:ascii="Times New Roman" w:hAnsi="Times New Roman" w:cs="Times New Roman" w:eastAsia="Times New Roman" w:hint="default"/>
                <w:spacing w:val="-7"/>
                <w:w w:val="101"/>
                <w:sz w:val="18"/>
                <w:szCs w:val="18"/>
              </w:rPr>
              <w:t>[2017]7</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19"/>
                <w:w w:val="101"/>
                <w:sz w:val="18"/>
                <w:szCs w:val="18"/>
              </w:rPr>
              <w:t>号）、《企业会计准则第</w:t>
            </w:r>
            <w:r>
              <w:rPr>
                <w:rFonts w:ascii="宋体" w:hAnsi="宋体" w:cs="宋体" w:eastAsia="宋体" w:hint="default"/>
                <w:spacing w:val="-52"/>
                <w:w w:val="101"/>
                <w:sz w:val="18"/>
                <w:szCs w:val="18"/>
              </w:rPr>
              <w:t> </w:t>
            </w:r>
            <w:r>
              <w:rPr>
                <w:rFonts w:ascii="Times New Roman" w:hAnsi="Times New Roman" w:cs="Times New Roman" w:eastAsia="Times New Roman" w:hint="default"/>
                <w:w w:val="101"/>
                <w:sz w:val="18"/>
                <w:szCs w:val="18"/>
              </w:rPr>
              <w:t>23</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4"/>
                <w:w w:val="101"/>
                <w:sz w:val="18"/>
                <w:szCs w:val="18"/>
              </w:rPr>
              <w:t>号</w:t>
            </w:r>
            <w:r>
              <w:rPr>
                <w:rFonts w:ascii="Times New Roman" w:hAnsi="Times New Roman" w:cs="Times New Roman" w:eastAsia="Times New Roman" w:hint="default"/>
                <w:spacing w:val="-4"/>
                <w:w w:val="101"/>
                <w:sz w:val="18"/>
                <w:szCs w:val="18"/>
              </w:rPr>
              <w:t>-</w:t>
            </w:r>
            <w:r>
              <w:rPr>
                <w:rFonts w:ascii="宋体" w:hAnsi="宋体" w:cs="宋体" w:eastAsia="宋体" w:hint="default"/>
                <w:spacing w:val="-4"/>
                <w:w w:val="101"/>
                <w:sz w:val="18"/>
                <w:szCs w:val="18"/>
              </w:rPr>
              <w:t>金融</w:t>
            </w:r>
            <w:r>
              <w:rPr>
                <w:rFonts w:ascii="宋体" w:hAnsi="宋体" w:cs="宋体" w:eastAsia="宋体" w:hint="default"/>
                <w:spacing w:val="-89"/>
                <w:w w:val="101"/>
                <w:sz w:val="18"/>
                <w:szCs w:val="18"/>
              </w:rPr>
              <w:t> </w:t>
            </w:r>
            <w:r>
              <w:rPr>
                <w:rFonts w:ascii="宋体" w:hAnsi="宋体" w:cs="宋体" w:eastAsia="宋体" w:hint="default"/>
                <w:spacing w:val="-9"/>
                <w:w w:val="101"/>
                <w:sz w:val="18"/>
                <w:szCs w:val="18"/>
              </w:rPr>
              <w:t>资产转移》（财会</w:t>
            </w:r>
            <w:r>
              <w:rPr>
                <w:rFonts w:ascii="Times New Roman" w:hAnsi="Times New Roman" w:cs="Times New Roman" w:eastAsia="Times New Roman" w:hint="default"/>
                <w:spacing w:val="-9"/>
                <w:w w:val="101"/>
                <w:sz w:val="18"/>
                <w:szCs w:val="18"/>
              </w:rPr>
              <w:t>[2017]8</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20"/>
                <w:w w:val="101"/>
                <w:sz w:val="18"/>
                <w:szCs w:val="18"/>
              </w:rPr>
              <w:t>号）、《企业会计准则第</w:t>
            </w:r>
            <w:r>
              <w:rPr>
                <w:rFonts w:ascii="宋体" w:hAnsi="宋体" w:cs="宋体" w:eastAsia="宋体" w:hint="default"/>
                <w:spacing w:val="-52"/>
                <w:w w:val="101"/>
                <w:sz w:val="18"/>
                <w:szCs w:val="18"/>
              </w:rPr>
              <w:t> </w:t>
            </w:r>
            <w:r>
              <w:rPr>
                <w:rFonts w:ascii="Times New Roman" w:hAnsi="Times New Roman" w:cs="Times New Roman" w:eastAsia="Times New Roman" w:hint="default"/>
                <w:w w:val="101"/>
                <w:sz w:val="18"/>
                <w:szCs w:val="18"/>
              </w:rPr>
              <w:t>24</w:t>
            </w:r>
            <w:r>
              <w:rPr>
                <w:rFonts w:ascii="Times New Roman" w:hAnsi="Times New Roman" w:cs="Times New Roman" w:eastAsia="Times New Roman" w:hint="default"/>
                <w:spacing w:val="-2"/>
                <w:w w:val="101"/>
                <w:sz w:val="18"/>
                <w:szCs w:val="18"/>
              </w:rPr>
              <w:t> </w:t>
            </w:r>
            <w:r>
              <w:rPr>
                <w:rFonts w:ascii="宋体" w:hAnsi="宋体" w:cs="宋体" w:eastAsia="宋体" w:hint="default"/>
                <w:spacing w:val="-3"/>
                <w:w w:val="101"/>
                <w:sz w:val="18"/>
                <w:szCs w:val="18"/>
              </w:rPr>
              <w:t>号</w:t>
            </w:r>
            <w:r>
              <w:rPr>
                <w:rFonts w:ascii="Times New Roman" w:hAnsi="Times New Roman" w:cs="Times New Roman" w:eastAsia="Times New Roman" w:hint="default"/>
                <w:spacing w:val="-3"/>
                <w:w w:val="101"/>
                <w:sz w:val="18"/>
                <w:szCs w:val="18"/>
              </w:rPr>
              <w:t>-</w:t>
            </w:r>
            <w:r>
              <w:rPr>
                <w:rFonts w:ascii="宋体" w:hAnsi="宋体" w:cs="宋体" w:eastAsia="宋体" w:hint="default"/>
                <w:spacing w:val="-3"/>
                <w:w w:val="101"/>
                <w:sz w:val="18"/>
                <w:szCs w:val="18"/>
              </w:rPr>
              <w:t>套期保值</w:t>
            </w:r>
            <w:r>
              <w:rPr>
                <w:rFonts w:ascii="宋体" w:hAnsi="宋体" w:cs="宋体" w:eastAsia="宋体" w:hint="default"/>
                <w:spacing w:val="-3"/>
                <w:sz w:val="18"/>
                <w:szCs w:val="18"/>
              </w:rPr>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（财会</w:t>
            </w:r>
            <w:r>
              <w:rPr>
                <w:rFonts w:ascii="Times New Roman" w:hAnsi="Times New Roman" w:cs="Times New Roman" w:eastAsia="Times New Roman" w:hint="default"/>
                <w:sz w:val="18"/>
                <w:szCs w:val="18"/>
              </w:rPr>
              <w:t>[2017]9  </w:t>
            </w:r>
            <w:r>
              <w:rPr>
                <w:rFonts w:ascii="宋体" w:hAnsi="宋体" w:cs="宋体" w:eastAsia="宋体" w:hint="default"/>
                <w:spacing w:val="-3"/>
                <w:sz w:val="18"/>
                <w:szCs w:val="18"/>
              </w:rPr>
              <w:t>号）以及《企业会计准则第</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金融工具列报》</w:t>
            </w:r>
          </w:p>
          <w:p>
            <w:pPr>
              <w:pStyle w:val="TableParagraph"/>
              <w:spacing w:line="304" w:lineRule="auto" w:before="63"/>
              <w:ind w:left="24" w:right="41"/>
              <w:jc w:val="both"/>
              <w:rPr>
                <w:rFonts w:ascii="宋体" w:hAnsi="宋体" w:cs="宋体" w:eastAsia="宋体" w:hint="default"/>
                <w:sz w:val="18"/>
                <w:szCs w:val="18"/>
              </w:rPr>
            </w:pPr>
            <w:r>
              <w:rPr>
                <w:rFonts w:ascii="宋体" w:hAnsi="宋体" w:cs="宋体" w:eastAsia="宋体" w:hint="default"/>
                <w:spacing w:val="-2"/>
                <w:w w:val="101"/>
                <w:sz w:val="18"/>
                <w:szCs w:val="18"/>
              </w:rPr>
              <w:t>（财会</w:t>
            </w:r>
            <w:r>
              <w:rPr>
                <w:rFonts w:ascii="Times New Roman" w:hAnsi="Times New Roman" w:cs="Times New Roman" w:eastAsia="Times New Roman" w:hint="default"/>
                <w:spacing w:val="-2"/>
                <w:w w:val="101"/>
                <w:sz w:val="18"/>
                <w:szCs w:val="18"/>
              </w:rPr>
              <w:t>[2017]14</w:t>
            </w:r>
            <w:r>
              <w:rPr>
                <w:rFonts w:ascii="Times New Roman" w:hAnsi="Times New Roman" w:cs="Times New Roman" w:eastAsia="Times New Roman" w:hint="default"/>
                <w:w w:val="101"/>
                <w:sz w:val="18"/>
                <w:szCs w:val="18"/>
              </w:rPr>
              <w:t> </w:t>
            </w:r>
            <w:r>
              <w:rPr>
                <w:rFonts w:ascii="宋体" w:hAnsi="宋体" w:cs="宋体" w:eastAsia="宋体" w:hint="default"/>
                <w:spacing w:val="-11"/>
                <w:w w:val="101"/>
                <w:sz w:val="18"/>
                <w:szCs w:val="18"/>
              </w:rPr>
              <w:t>号）（以上四项简称新金融工具准则）。在境内上</w:t>
            </w:r>
            <w:r>
              <w:rPr>
                <w:rFonts w:ascii="宋体" w:hAnsi="宋体" w:cs="宋体" w:eastAsia="宋体" w:hint="default"/>
                <w:spacing w:val="-82"/>
                <w:w w:val="101"/>
                <w:sz w:val="18"/>
                <w:szCs w:val="18"/>
              </w:rPr>
              <w:t> </w:t>
            </w:r>
            <w:r>
              <w:rPr>
                <w:rFonts w:ascii="宋体" w:hAnsi="宋体" w:cs="宋体" w:eastAsia="宋体" w:hint="default"/>
                <w:spacing w:val="-82"/>
                <w:w w:val="101"/>
                <w:sz w:val="18"/>
                <w:szCs w:val="18"/>
              </w:rPr>
            </w:r>
            <w:r>
              <w:rPr>
                <w:rFonts w:ascii="宋体" w:hAnsi="宋体" w:cs="宋体" w:eastAsia="宋体" w:hint="default"/>
                <w:sz w:val="18"/>
                <w:szCs w:val="18"/>
              </w:rPr>
              <w:t>市的企业自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日起施行。</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197" w:lineRule="exact"/>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197" w:lineRule="exact"/>
              <w:ind w:left="28" w:right="0"/>
              <w:jc w:val="left"/>
              <w:rPr>
                <w:rFonts w:ascii="宋体" w:hAnsi="宋体" w:cs="宋体" w:eastAsia="宋体" w:hint="default"/>
                <w:sz w:val="18"/>
                <w:szCs w:val="18"/>
              </w:rPr>
            </w:pPr>
            <w:r>
              <w:rPr>
                <w:rFonts w:ascii="宋体" w:hAnsi="宋体" w:cs="宋体" w:eastAsia="宋体" w:hint="default"/>
                <w:spacing w:val="-3"/>
                <w:sz w:val="18"/>
                <w:szCs w:val="18"/>
              </w:rPr>
              <w:t>第四届董事会第三次会议决议</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详见下表</w:t>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88" w:type="dxa"/>
        <w:tblLayout w:type="fixed"/>
        <w:tblCellMar>
          <w:top w:w="0" w:type="dxa"/>
          <w:left w:w="0" w:type="dxa"/>
          <w:bottom w:w="0" w:type="dxa"/>
          <w:right w:w="0" w:type="dxa"/>
        </w:tblCellMar>
        <w:tblLook w:val="01E0"/>
      </w:tblPr>
      <w:tblGrid>
        <w:gridCol w:w="5104"/>
        <w:gridCol w:w="2411"/>
        <w:gridCol w:w="2060"/>
      </w:tblGrid>
      <w:tr>
        <w:trPr>
          <w:trHeight w:val="1027"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17"/>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月发布了《关于修订印发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年度一般企业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w w:val="101"/>
                <w:sz w:val="18"/>
                <w:szCs w:val="18"/>
              </w:rPr>
              <w:t>财务报表格式的通知》（财会</w:t>
            </w:r>
            <w:r>
              <w:rPr>
                <w:rFonts w:ascii="Times New Roman" w:hAnsi="Times New Roman" w:cs="Times New Roman" w:eastAsia="Times New Roman" w:hint="default"/>
                <w:spacing w:val="-9"/>
                <w:w w:val="101"/>
                <w:sz w:val="18"/>
                <w:szCs w:val="18"/>
              </w:rPr>
              <w:t>[2019]6</w:t>
            </w:r>
            <w:r>
              <w:rPr>
                <w:rFonts w:ascii="Times New Roman" w:hAnsi="Times New Roman" w:cs="Times New Roman" w:eastAsia="Times New Roman" w:hint="default"/>
                <w:w w:val="101"/>
                <w:sz w:val="18"/>
                <w:szCs w:val="18"/>
              </w:rPr>
              <w:t> </w:t>
            </w:r>
            <w:r>
              <w:rPr>
                <w:rFonts w:ascii="宋体" w:hAnsi="宋体" w:cs="宋体" w:eastAsia="宋体" w:hint="default"/>
                <w:spacing w:val="-12"/>
                <w:w w:val="101"/>
                <w:sz w:val="18"/>
                <w:szCs w:val="18"/>
              </w:rPr>
              <w:t>号），对一般企业财务报表格</w:t>
            </w:r>
            <w:r>
              <w:rPr>
                <w:rFonts w:ascii="宋体" w:hAnsi="宋体" w:cs="宋体" w:eastAsia="宋体" w:hint="default"/>
                <w:spacing w:val="-76"/>
                <w:w w:val="101"/>
                <w:sz w:val="18"/>
                <w:szCs w:val="18"/>
              </w:rPr>
              <w:t> </w:t>
            </w:r>
            <w:r>
              <w:rPr>
                <w:rFonts w:ascii="宋体" w:hAnsi="宋体" w:cs="宋体" w:eastAsia="宋体" w:hint="default"/>
                <w:spacing w:val="-76"/>
                <w:w w:val="101"/>
                <w:sz w:val="18"/>
                <w:szCs w:val="18"/>
              </w:rPr>
            </w:r>
            <w:r>
              <w:rPr>
                <w:rFonts w:ascii="宋体" w:hAnsi="宋体" w:cs="宋体" w:eastAsia="宋体" w:hint="default"/>
                <w:spacing w:val="-3"/>
                <w:sz w:val="18"/>
                <w:szCs w:val="18"/>
              </w:rPr>
              <w:t>式进行了修订。</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pacing w:val="-3"/>
                <w:sz w:val="18"/>
                <w:szCs w:val="18"/>
              </w:rPr>
              <w:t>第四届董事会第六次会议决议</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62" w:right="0"/>
              <w:jc w:val="left"/>
              <w:rPr>
                <w:rFonts w:ascii="宋体" w:hAnsi="宋体" w:cs="宋体" w:eastAsia="宋体" w:hint="default"/>
                <w:sz w:val="18"/>
                <w:szCs w:val="18"/>
              </w:rPr>
            </w:pPr>
            <w:r>
              <w:rPr>
                <w:rFonts w:ascii="宋体" w:hAnsi="宋体" w:cs="宋体" w:eastAsia="宋体" w:hint="default"/>
                <w:sz w:val="18"/>
                <w:szCs w:val="18"/>
              </w:rPr>
              <w:t>详见下表</w:t>
            </w:r>
          </w:p>
        </w:tc>
      </w:tr>
    </w:tbl>
    <w:p>
      <w:pPr>
        <w:spacing w:line="240" w:lineRule="auto" w:before="3"/>
        <w:rPr>
          <w:rFonts w:ascii="宋体" w:hAnsi="宋体" w:cs="宋体" w:eastAsia="宋体" w:hint="default"/>
          <w:sz w:val="14"/>
          <w:szCs w:val="14"/>
        </w:rPr>
      </w:pPr>
    </w:p>
    <w:p>
      <w:pPr>
        <w:spacing w:line="244" w:lineRule="auto" w:before="32"/>
        <w:ind w:left="193" w:right="0" w:firstLine="441"/>
        <w:jc w:val="left"/>
        <w:rPr>
          <w:rFonts w:ascii="宋体" w:hAnsi="宋体" w:cs="宋体" w:eastAsia="宋体" w:hint="default"/>
          <w:sz w:val="22"/>
          <w:szCs w:val="22"/>
        </w:rPr>
      </w:pPr>
      <w:r>
        <w:rPr>
          <w:rFonts w:ascii="宋体" w:hAnsi="宋体" w:cs="宋体" w:eastAsia="宋体" w:hint="default"/>
          <w:spacing w:val="-3"/>
          <w:sz w:val="22"/>
          <w:szCs w:val="22"/>
        </w:rPr>
        <w:t>本公司及其子公司已按照财会</w:t>
      </w:r>
      <w:r>
        <w:rPr>
          <w:rFonts w:ascii="Times New Roman" w:hAnsi="Times New Roman" w:cs="Times New Roman" w:eastAsia="Times New Roman" w:hint="default"/>
          <w:spacing w:val="-3"/>
          <w:sz w:val="22"/>
          <w:szCs w:val="22"/>
        </w:rPr>
        <w:t>[2019]6</w:t>
      </w:r>
      <w:r>
        <w:rPr>
          <w:rFonts w:ascii="宋体" w:hAnsi="宋体" w:cs="宋体" w:eastAsia="宋体" w:hint="default"/>
          <w:spacing w:val="-3"/>
          <w:sz w:val="22"/>
          <w:szCs w:val="22"/>
        </w:rPr>
        <w:t>号文要求编制</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年度财务报表，并采用追溯调整法变更了</w:t>
      </w:r>
      <w:r>
        <w:rPr>
          <w:rFonts w:ascii="宋体" w:hAnsi="宋体" w:cs="宋体" w:eastAsia="宋体" w:hint="default"/>
          <w:w w:val="100"/>
          <w:sz w:val="22"/>
          <w:szCs w:val="22"/>
        </w:rPr>
        <w:t> </w:t>
      </w:r>
      <w:r>
        <w:rPr>
          <w:rFonts w:ascii="宋体" w:hAnsi="宋体" w:cs="宋体" w:eastAsia="宋体" w:hint="default"/>
          <w:sz w:val="22"/>
          <w:szCs w:val="22"/>
        </w:rPr>
        <w:t>相关财务报表列报，对</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日受影响的报表项目名称和金额的列示如下：</w:t>
      </w:r>
    </w:p>
    <w:p>
      <w:pPr>
        <w:spacing w:line="240" w:lineRule="auto" w:before="0"/>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133"/>
        <w:gridCol w:w="1460"/>
        <w:gridCol w:w="1517"/>
        <w:gridCol w:w="1560"/>
        <w:gridCol w:w="1277"/>
        <w:gridCol w:w="1421"/>
        <w:gridCol w:w="1417"/>
      </w:tblGrid>
      <w:tr>
        <w:trPr>
          <w:trHeight w:val="350" w:hRule="exact"/>
        </w:trPr>
        <w:tc>
          <w:tcPr>
            <w:tcW w:w="113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9" w:right="0"/>
              <w:jc w:val="left"/>
              <w:rPr>
                <w:rFonts w:ascii="宋体" w:hAnsi="宋体" w:cs="宋体" w:eastAsia="宋体" w:hint="default"/>
                <w:sz w:val="18"/>
                <w:szCs w:val="18"/>
              </w:rPr>
            </w:pPr>
            <w:r>
              <w:rPr>
                <w:rFonts w:ascii="宋体" w:hAnsi="宋体" w:cs="宋体" w:eastAsia="宋体" w:hint="default"/>
                <w:sz w:val="18"/>
                <w:szCs w:val="18"/>
              </w:rPr>
              <w:t>受影响的项目</w:t>
            </w:r>
          </w:p>
        </w:tc>
        <w:tc>
          <w:tcPr>
            <w:tcW w:w="8653"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r>
      <w:tr>
        <w:trPr>
          <w:trHeight w:val="350" w:hRule="exact"/>
        </w:trPr>
        <w:tc>
          <w:tcPr>
            <w:tcW w:w="1133" w:type="dxa"/>
            <w:vMerge/>
            <w:tcBorders>
              <w:left w:val="single" w:sz="4" w:space="0" w:color="000000"/>
              <w:right w:val="single" w:sz="4" w:space="0" w:color="000000"/>
            </w:tcBorders>
            <w:shd w:val="clear" w:color="auto" w:fill="D9D9D9"/>
          </w:tcPr>
          <w:p>
            <w:pPr/>
          </w:p>
        </w:tc>
        <w:tc>
          <w:tcPr>
            <w:tcW w:w="453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spacing w:val="-3"/>
                <w:sz w:val="18"/>
                <w:szCs w:val="18"/>
              </w:rPr>
              <w:t>合并资产负债表</w:t>
            </w:r>
          </w:p>
        </w:tc>
        <w:tc>
          <w:tcPr>
            <w:tcW w:w="411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1334"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r>
      <w:tr>
        <w:trPr>
          <w:trHeight w:val="351" w:hRule="exact"/>
        </w:trPr>
        <w:tc>
          <w:tcPr>
            <w:tcW w:w="1133" w:type="dxa"/>
            <w:vMerge/>
            <w:tcBorders>
              <w:left w:val="single" w:sz="4" w:space="0" w:color="000000"/>
              <w:bottom w:val="single" w:sz="4" w:space="0" w:color="000000"/>
              <w:right w:val="single" w:sz="4" w:space="0" w:color="000000"/>
            </w:tcBorders>
            <w:shd w:val="clear" w:color="auto" w:fill="D9D9D9"/>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45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5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393"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50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37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341"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43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65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应收票据及应</w:t>
            </w:r>
            <w:r>
              <w:rPr>
                <w:rFonts w:ascii="宋体" w:hAnsi="宋体" w:cs="宋体" w:eastAsia="宋体" w:hint="default"/>
                <w:spacing w:val="-70"/>
                <w:sz w:val="18"/>
                <w:szCs w:val="18"/>
              </w:rPr>
              <w:t> </w:t>
            </w:r>
            <w:r>
              <w:rPr>
                <w:rFonts w:ascii="宋体" w:hAnsi="宋体" w:cs="宋体" w:eastAsia="宋体" w:hint="default"/>
                <w:sz w:val="18"/>
                <w:szCs w:val="18"/>
              </w:rPr>
              <w:t>收账款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
                <w:sz w:val="18"/>
              </w:rPr>
              <w:t>1,211,304,520.59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-1,211,304,520.59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233,225,083.37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-233,225,083.37</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24,674,846.50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24,674,846.50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9,363,597.90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9,363,597.90</w:t>
            </w:r>
          </w:p>
        </w:tc>
      </w:tr>
      <w:tr>
        <w:trPr>
          <w:trHeight w:val="35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1,186,629,674.09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2"/>
                <w:sz w:val="18"/>
              </w:rPr>
              <w:t>1,186,629,674.09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223,861,485.47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223,861,485.47</w:t>
            </w:r>
          </w:p>
        </w:tc>
      </w:tr>
      <w:tr>
        <w:trPr>
          <w:trHeight w:val="65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5"/>
              <w:jc w:val="left"/>
              <w:rPr>
                <w:rFonts w:ascii="宋体" w:hAnsi="宋体" w:cs="宋体" w:eastAsia="宋体" w:hint="default"/>
                <w:sz w:val="18"/>
                <w:szCs w:val="18"/>
              </w:rPr>
            </w:pPr>
            <w:r>
              <w:rPr>
                <w:rFonts w:ascii="宋体" w:hAnsi="宋体" w:cs="宋体" w:eastAsia="宋体" w:hint="default"/>
                <w:spacing w:val="3"/>
                <w:sz w:val="18"/>
                <w:szCs w:val="18"/>
              </w:rPr>
              <w:t>应付票据及应</w:t>
            </w:r>
            <w:r>
              <w:rPr>
                <w:rFonts w:ascii="宋体" w:hAnsi="宋体" w:cs="宋体" w:eastAsia="宋体" w:hint="default"/>
                <w:spacing w:val="-70"/>
                <w:sz w:val="18"/>
                <w:szCs w:val="18"/>
              </w:rPr>
              <w:t> </w:t>
            </w:r>
            <w:r>
              <w:rPr>
                <w:rFonts w:ascii="宋体" w:hAnsi="宋体" w:cs="宋体" w:eastAsia="宋体" w:hint="default"/>
                <w:sz w:val="18"/>
                <w:szCs w:val="18"/>
              </w:rPr>
              <w:t>付账款</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738,445,791.65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-738,445,791.65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104,831,962.73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-104,831,962.73</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119,337,138.28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119,337,138.28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18,798,946.82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18,798,946.82</w:t>
            </w:r>
          </w:p>
        </w:tc>
      </w:tr>
      <w:tr>
        <w:trPr>
          <w:trHeight w:val="350"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60"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619,108,653.37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
              <w:jc w:val="right"/>
              <w:rPr>
                <w:rFonts w:ascii="Times New Roman" w:hAnsi="Times New Roman" w:cs="Times New Roman" w:eastAsia="Times New Roman" w:hint="default"/>
                <w:sz w:val="18"/>
                <w:szCs w:val="18"/>
              </w:rPr>
            </w:pPr>
            <w:r>
              <w:rPr>
                <w:rFonts w:ascii="Times New Roman"/>
                <w:spacing w:val="-1"/>
                <w:sz w:val="18"/>
              </w:rPr>
              <w:t>619,108,653.37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
              <w:jc w:val="right"/>
              <w:rPr>
                <w:rFonts w:ascii="Times New Roman" w:hAnsi="Times New Roman" w:cs="Times New Roman" w:eastAsia="Times New Roman" w:hint="default"/>
                <w:sz w:val="18"/>
                <w:szCs w:val="18"/>
              </w:rPr>
            </w:pPr>
            <w:r>
              <w:rPr>
                <w:rFonts w:ascii="Times New Roman"/>
                <w:spacing w:val="-1"/>
                <w:sz w:val="18"/>
              </w:rPr>
              <w:t>86,033,015.91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86,033,015.91</w:t>
            </w:r>
          </w:p>
        </w:tc>
      </w:tr>
    </w:tbl>
    <w:p>
      <w:pPr>
        <w:spacing w:line="240" w:lineRule="auto" w:before="3"/>
        <w:rPr>
          <w:rFonts w:ascii="宋体" w:hAnsi="宋体" w:cs="宋体" w:eastAsia="宋体" w:hint="default"/>
          <w:sz w:val="14"/>
          <w:szCs w:val="14"/>
        </w:rPr>
      </w:pPr>
    </w:p>
    <w:p>
      <w:pPr>
        <w:spacing w:line="244" w:lineRule="auto" w:before="32"/>
        <w:ind w:left="193" w:right="0" w:firstLine="441"/>
        <w:jc w:val="left"/>
        <w:rPr>
          <w:rFonts w:ascii="宋体" w:hAnsi="宋体" w:cs="宋体" w:eastAsia="宋体" w:hint="default"/>
          <w:sz w:val="22"/>
          <w:szCs w:val="22"/>
        </w:rPr>
      </w:pPr>
      <w:r>
        <w:rPr>
          <w:rFonts w:ascii="宋体" w:hAnsi="宋体" w:cs="宋体" w:eastAsia="宋体" w:hint="default"/>
          <w:sz w:val="22"/>
          <w:szCs w:val="22"/>
        </w:rPr>
        <w:t>本公司及其子公司本期首次执行新金融工具准则，按照财政部会计司财会〔</w:t>
      </w:r>
      <w:r>
        <w:rPr>
          <w:rFonts w:ascii="Times New Roman" w:hAnsi="Times New Roman" w:cs="Times New Roman" w:eastAsia="Times New Roman" w:hint="default"/>
          <w:sz w:val="22"/>
          <w:szCs w:val="22"/>
        </w:rPr>
        <w:t>2019</w:t>
      </w:r>
      <w:r>
        <w:rPr>
          <w:rFonts w:ascii="宋体" w:hAnsi="宋体" w:cs="宋体" w:eastAsia="宋体" w:hint="default"/>
          <w:sz w:val="22"/>
          <w:szCs w:val="22"/>
        </w:rPr>
        <w:t>〕</w:t>
      </w:r>
      <w:r>
        <w:rPr>
          <w:rFonts w:ascii="Times New Roman" w:hAnsi="Times New Roman" w:cs="Times New Roman" w:eastAsia="Times New Roman" w:hint="default"/>
          <w:sz w:val="22"/>
          <w:szCs w:val="22"/>
        </w:rPr>
        <w:t>6</w:t>
      </w:r>
      <w:r>
        <w:rPr>
          <w:rFonts w:ascii="宋体" w:hAnsi="宋体" w:cs="宋体" w:eastAsia="宋体" w:hint="default"/>
          <w:sz w:val="22"/>
          <w:szCs w:val="22"/>
        </w:rPr>
        <w:t>号的规定，</w:t>
      </w:r>
      <w:r>
        <w:rPr>
          <w:rFonts w:ascii="宋体" w:hAnsi="宋体" w:cs="宋体" w:eastAsia="宋体" w:hint="default"/>
          <w:w w:val="100"/>
          <w:sz w:val="22"/>
          <w:szCs w:val="22"/>
        </w:rPr>
        <w:t> </w:t>
      </w:r>
      <w:r>
        <w:rPr>
          <w:rFonts w:ascii="宋体" w:hAnsi="宋体" w:cs="宋体" w:eastAsia="宋体" w:hint="default"/>
          <w:sz w:val="22"/>
          <w:szCs w:val="22"/>
        </w:rPr>
        <w:t>上述会计政策变更对合并及母公司资产负债表期初数的影响列示如下：</w:t>
      </w:r>
    </w:p>
    <w:p>
      <w:pPr>
        <w:spacing w:line="240" w:lineRule="auto" w:before="4"/>
        <w:rPr>
          <w:rFonts w:ascii="宋体" w:hAnsi="宋体" w:cs="宋体" w:eastAsia="宋体" w:hint="default"/>
          <w:sz w:val="12"/>
          <w:szCs w:val="12"/>
        </w:rPr>
      </w:pPr>
    </w:p>
    <w:tbl>
      <w:tblPr>
        <w:tblW w:w="0" w:type="auto"/>
        <w:jc w:val="left"/>
        <w:tblInd w:w="188" w:type="dxa"/>
        <w:tblLayout w:type="fixed"/>
        <w:tblCellMar>
          <w:top w:w="0" w:type="dxa"/>
          <w:left w:w="0" w:type="dxa"/>
          <w:bottom w:w="0" w:type="dxa"/>
          <w:right w:w="0" w:type="dxa"/>
        </w:tblCellMar>
        <w:tblLook w:val="01E0"/>
      </w:tblPr>
      <w:tblGrid>
        <w:gridCol w:w="1993"/>
        <w:gridCol w:w="1272"/>
        <w:gridCol w:w="1383"/>
        <w:gridCol w:w="1287"/>
        <w:gridCol w:w="1229"/>
        <w:gridCol w:w="1306"/>
        <w:gridCol w:w="1301"/>
      </w:tblGrid>
      <w:tr>
        <w:trPr>
          <w:trHeight w:val="341" w:hRule="exact"/>
        </w:trPr>
        <w:tc>
          <w:tcPr>
            <w:tcW w:w="199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受影响的项目</w:t>
            </w:r>
          </w:p>
        </w:tc>
        <w:tc>
          <w:tcPr>
            <w:tcW w:w="394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pacing w:val="-3"/>
                <w:sz w:val="18"/>
                <w:szCs w:val="18"/>
              </w:rPr>
              <w:t>合并资产负债表</w:t>
            </w:r>
          </w:p>
        </w:tc>
        <w:tc>
          <w:tcPr>
            <w:tcW w:w="3837"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190" w:right="0"/>
              <w:jc w:val="left"/>
              <w:rPr>
                <w:rFonts w:ascii="宋体" w:hAnsi="宋体" w:cs="宋体" w:eastAsia="宋体" w:hint="default"/>
                <w:sz w:val="18"/>
                <w:szCs w:val="18"/>
              </w:rPr>
            </w:pPr>
            <w:r>
              <w:rPr>
                <w:rFonts w:ascii="宋体" w:hAnsi="宋体" w:cs="宋体" w:eastAsia="宋体" w:hint="default"/>
                <w:sz w:val="18"/>
                <w:szCs w:val="18"/>
              </w:rPr>
              <w:t>母公司资产负债表</w:t>
            </w:r>
          </w:p>
        </w:tc>
      </w:tr>
      <w:tr>
        <w:trPr>
          <w:trHeight w:val="658" w:hRule="exact"/>
        </w:trPr>
        <w:tc>
          <w:tcPr>
            <w:tcW w:w="1993" w:type="dxa"/>
            <w:vMerge/>
            <w:tcBorders>
              <w:left w:val="single" w:sz="4" w:space="0" w:color="000000"/>
              <w:bottom w:val="single" w:sz="4" w:space="0" w:color="000000"/>
              <w:right w:val="single" w:sz="4" w:space="0" w:color="000000"/>
            </w:tcBorders>
            <w:shd w:val="clear" w:color="auto" w:fill="D9D9D9"/>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9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3"/>
              <w:ind w:left="91" w:right="0"/>
              <w:jc w:val="left"/>
              <w:rPr>
                <w:rFonts w:ascii="宋体" w:hAnsi="宋体" w:cs="宋体" w:eastAsia="宋体" w:hint="default"/>
                <w:sz w:val="18"/>
                <w:szCs w:val="18"/>
              </w:rPr>
            </w:pPr>
            <w:r>
              <w:rPr>
                <w:rFonts w:ascii="宋体" w:hAnsi="宋体" w:cs="宋体" w:eastAsia="宋体" w:hint="default"/>
                <w:sz w:val="18"/>
                <w:szCs w:val="18"/>
              </w:rPr>
              <w:t>日（变更前）</w:t>
            </w:r>
          </w:p>
        </w:tc>
        <w:tc>
          <w:tcPr>
            <w:tcW w:w="1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2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p>
            <w:pPr>
              <w:pStyle w:val="TableParagraph"/>
              <w:spacing w:line="240" w:lineRule="auto" w:before="63"/>
              <w:ind w:left="187" w:right="0"/>
              <w:jc w:val="left"/>
              <w:rPr>
                <w:rFonts w:ascii="宋体" w:hAnsi="宋体" w:cs="宋体" w:eastAsia="宋体" w:hint="default"/>
                <w:sz w:val="18"/>
                <w:szCs w:val="18"/>
              </w:rPr>
            </w:pPr>
            <w:r>
              <w:rPr>
                <w:rFonts w:ascii="宋体" w:hAnsi="宋体" w:cs="宋体" w:eastAsia="宋体" w:hint="default"/>
                <w:sz w:val="18"/>
                <w:szCs w:val="18"/>
              </w:rPr>
              <w:t>（变更后）</w:t>
            </w:r>
          </w:p>
        </w:tc>
        <w:tc>
          <w:tcPr>
            <w:tcW w:w="12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p>
          <w:p>
            <w:pPr>
              <w:pStyle w:val="TableParagraph"/>
              <w:spacing w:line="240" w:lineRule="auto" w:before="63"/>
              <w:ind w:left="67" w:right="0"/>
              <w:jc w:val="left"/>
              <w:rPr>
                <w:rFonts w:ascii="宋体" w:hAnsi="宋体" w:cs="宋体" w:eastAsia="宋体" w:hint="default"/>
                <w:sz w:val="18"/>
                <w:szCs w:val="18"/>
              </w:rPr>
            </w:pPr>
            <w:r>
              <w:rPr>
                <w:rFonts w:ascii="宋体" w:hAnsi="宋体" w:cs="宋体" w:eastAsia="宋体" w:hint="default"/>
                <w:sz w:val="18"/>
                <w:szCs w:val="18"/>
              </w:rPr>
              <w:t>日（变更前）</w:t>
            </w:r>
          </w:p>
        </w:tc>
        <w:tc>
          <w:tcPr>
            <w:tcW w:w="1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13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p>
            <w:pPr>
              <w:pStyle w:val="TableParagraph"/>
              <w:spacing w:line="240" w:lineRule="auto" w:before="63"/>
              <w:ind w:left="196" w:right="0"/>
              <w:jc w:val="left"/>
              <w:rPr>
                <w:rFonts w:ascii="宋体" w:hAnsi="宋体" w:cs="宋体" w:eastAsia="宋体" w:hint="default"/>
                <w:sz w:val="18"/>
                <w:szCs w:val="18"/>
              </w:rPr>
            </w:pPr>
            <w:r>
              <w:rPr>
                <w:rFonts w:ascii="宋体" w:hAnsi="宋体" w:cs="宋体" w:eastAsia="宋体" w:hint="default"/>
                <w:sz w:val="18"/>
                <w:szCs w:val="18"/>
              </w:rPr>
              <w:t>（变更后）</w:t>
            </w:r>
          </w:p>
        </w:tc>
      </w:tr>
      <w:tr>
        <w:trPr>
          <w:trHeight w:val="341"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24,674,846.50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-15,295,154.40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9,379,692.10</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9,363,597.90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-6,246,250.40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3,117,347.50</w:t>
            </w:r>
          </w:p>
        </w:tc>
      </w:tr>
      <w:tr>
        <w:trPr>
          <w:trHeight w:val="346"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272"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15,295,154.40</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15,295,154.40</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6,246,250.40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6,246,250.40</w:t>
            </w:r>
          </w:p>
        </w:tc>
      </w:tr>
      <w:tr>
        <w:trPr>
          <w:trHeight w:val="346"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22,340,984.54</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-22,340,984.54</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21,879,732.08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-21,879,732.08</w:t>
            </w: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1272"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22,340,984.54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22,340,984.54</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21,879,732.08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21,879,732.08</w:t>
            </w:r>
          </w:p>
        </w:tc>
      </w:tr>
      <w:tr>
        <w:trPr>
          <w:trHeight w:val="346"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-22,848.92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22,848.92</w:t>
            </w:r>
          </w:p>
        </w:tc>
        <w:tc>
          <w:tcPr>
            <w:tcW w:w="1287"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年初未分配利润</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257,534,402.60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-22,848.92</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257,511,553.68</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93" w:right="0" w:firstLine="0"/>
        <w:jc w:val="left"/>
        <w:rPr>
          <w:rFonts w:ascii="宋体" w:hAnsi="宋体" w:cs="宋体" w:eastAsia="宋体" w:hint="default"/>
          <w:sz w:val="21"/>
          <w:szCs w:val="21"/>
        </w:rPr>
      </w:pPr>
      <w:bookmarkStart w:name="（2）重要会计估计变更"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93" w:right="0" w:firstLine="0"/>
        <w:jc w:val="left"/>
        <w:rPr>
          <w:rFonts w:ascii="宋体" w:hAnsi="宋体" w:cs="宋体" w:eastAsia="宋体" w:hint="default"/>
          <w:sz w:val="21"/>
          <w:szCs w:val="21"/>
        </w:rPr>
      </w:pPr>
      <w:bookmarkStart w:name="（3）2019年起执行新金融工具准则、新收入准则或新租赁准则调整执行当年年初财务" w:id="225"/>
      <w:bookmarkEnd w:id="2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年起执行新金融工具准则、新收入准则或新租赁准则调整执行当年年初财务报表相关项目情况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3" w:footer="979" w:top="1060" w:bottom="1160" w:left="940" w:right="0"/>
        </w:sectPr>
      </w:pPr>
    </w:p>
    <w:p>
      <w:pPr>
        <w:spacing w:line="343" w:lineRule="auto" w:before="46"/>
        <w:ind w:left="1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pacing w:val="-3"/>
          <w:sz w:val="18"/>
          <w:szCs w:val="18"/>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19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40" w:right="0"/>
          <w:cols w:num="2" w:equalWidth="0">
            <w:col w:w="1577" w:space="7345"/>
            <w:col w:w="2048"/>
          </w:cols>
        </w:sectPr>
      </w:pPr>
    </w:p>
    <w:p>
      <w:pPr>
        <w:spacing w:line="240" w:lineRule="auto" w:before="8"/>
        <w:rPr>
          <w:rFonts w:ascii="宋体" w:hAnsi="宋体" w:cs="宋体" w:eastAsia="宋体" w:hint="default"/>
          <w:sz w:val="7"/>
          <w:szCs w:val="7"/>
        </w:rPr>
      </w:pPr>
    </w:p>
    <w:tbl>
      <w:tblPr>
        <w:tblW w:w="0" w:type="auto"/>
        <w:jc w:val="left"/>
        <w:tblInd w:w="188" w:type="dxa"/>
        <w:tblLayout w:type="fixed"/>
        <w:tblCellMar>
          <w:top w:w="0" w:type="dxa"/>
          <w:left w:w="0" w:type="dxa"/>
          <w:bottom w:w="0" w:type="dxa"/>
          <w:right w:w="0" w:type="dxa"/>
        </w:tblCellMar>
        <w:tblLook w:val="01E0"/>
      </w:tblPr>
      <w:tblGrid>
        <w:gridCol w:w="2555"/>
        <w:gridCol w:w="2411"/>
        <w:gridCol w:w="2411"/>
        <w:gridCol w:w="2194"/>
      </w:tblGrid>
      <w:tr>
        <w:trPr>
          <w:trHeight w:val="40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4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531"/>
        <w:gridCol w:w="2423"/>
        <w:gridCol w:w="2411"/>
        <w:gridCol w:w="2194"/>
      </w:tblGrid>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347,304,473.18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347,304,473.18</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22,340,984.54</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22,340,984.54</w:t>
            </w:r>
          </w:p>
        </w:tc>
      </w:tr>
      <w:tr>
        <w:trPr>
          <w:trHeight w:val="715"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64"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w:t>
            </w:r>
            <w:r>
              <w:rPr>
                <w:rFonts w:ascii="宋体" w:hAnsi="宋体" w:cs="宋体" w:eastAsia="宋体" w:hint="default"/>
                <w:w w:val="101"/>
                <w:sz w:val="18"/>
                <w:szCs w:val="18"/>
              </w:rPr>
              <w:t> </w:t>
            </w:r>
            <w:r>
              <w:rPr>
                <w:rFonts w:ascii="宋体" w:hAnsi="宋体" w:cs="宋体" w:eastAsia="宋体" w:hint="default"/>
                <w:spacing w:val="-3"/>
                <w:sz w:val="18"/>
                <w:szCs w:val="18"/>
              </w:rPr>
              <w:t>计入当期损益的金融资产</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24,674,846.50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9,379,692.10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-15,295,154.40</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1,186,629,674.09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1,186,629,674.09</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15,295,154.40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15,295,154.40</w:t>
            </w: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111,824,519.30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111,824,519.30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71,744,805.52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71,744,805.52</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364,111,257.30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364,111,257.30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3,842,343.79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3,842,343.79</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35,813,283.80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35,813,283.80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2,145,945,203.48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2,145,945,203.48</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22,340,984.54</w:t>
            </w: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-22,340,984.54</w:t>
            </w: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29,936,637.87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29,936,637.87</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531"/>
        <w:gridCol w:w="2423"/>
        <w:gridCol w:w="2411"/>
        <w:gridCol w:w="2194"/>
      </w:tblGrid>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229,524,267.14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229,524,267.14</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218,944,026.83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218,944,026.83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39,363,749.51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39,363,749.51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166,644,550.23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166,644,550.23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55,763,011.49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55,763,011.49</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2,314,870.41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2,314,870.41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35,701,394.73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35,701,394.73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800,533,492.75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800,533,492.75</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2,946,478,696.23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2,946,478,696.23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349,000,000.00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349,000,000.00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64"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w:t>
            </w:r>
            <w:r>
              <w:rPr>
                <w:rFonts w:ascii="宋体" w:hAnsi="宋体" w:cs="宋体" w:eastAsia="宋体" w:hint="default"/>
                <w:w w:val="101"/>
                <w:sz w:val="18"/>
                <w:szCs w:val="18"/>
              </w:rPr>
              <w:t> </w:t>
            </w:r>
            <w:r>
              <w:rPr>
                <w:rFonts w:ascii="宋体" w:hAnsi="宋体" w:cs="宋体" w:eastAsia="宋体" w:hint="default"/>
                <w:spacing w:val="-3"/>
                <w:sz w:val="18"/>
                <w:szCs w:val="18"/>
              </w:rPr>
              <w:t>计入当期损益的金融负债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119,337,138.28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119,337,138.28</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619,108,653.37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619,108,653.37</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179,244,033.11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179,244,033.11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24"/>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24"/>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12,045,613.92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12,045,613.92</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21,918,725.67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21,918,725.67</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165,137,910.29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165,137,910.29</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531"/>
        <w:gridCol w:w="2423"/>
        <w:gridCol w:w="2411"/>
        <w:gridCol w:w="2194"/>
      </w:tblGrid>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1,517,060.14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1,517,060.14</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87,575,046.76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87,575,046.76</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97,950,781.61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97,950,781.61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1,651,317,903.01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1,651,317,903.01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74,000,000.00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74,000,000.00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177,401,140.25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177,401,140.25</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8,638,920.06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8,638,920.06</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34,937,625.09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34,937,625.09</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294,977,685.40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294,977,685.40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1,946,295,588.41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1,946,295,588.41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445,987,594.00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445,987,594.00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111,699,891.57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111,699,891.57</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52,055,456.00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52,055,456.00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-22,848.92</w:t>
            </w: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22,848.92</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3,576,174.63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3,576,174.63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24,363,534.41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24,363,534.41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23"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257,534,402.60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257,511,553.68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-22,848.92</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555"/>
        <w:gridCol w:w="2411"/>
        <w:gridCol w:w="2411"/>
        <w:gridCol w:w="2194"/>
      </w:tblGrid>
      <w:tr>
        <w:trPr>
          <w:trHeight w:val="40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791,083,292.29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791,083,292.29</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209,099,815.53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209,099,815.53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1,000,183,107.82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1,000,183,107.82</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2,946,478,696.23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2,946,478,696.23</w:t>
            </w: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360" w:lineRule="auto"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适用于新金融工具准则调整受影响的科目</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399" w:space="5523"/>
            <w:col w:w="2008"/>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2567"/>
        <w:gridCol w:w="2411"/>
        <w:gridCol w:w="2194"/>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187,034,485.85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187,034,485.85</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21,879,732.08</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21,879,732.08</w:t>
            </w:r>
          </w:p>
        </w:tc>
      </w:tr>
      <w:tr>
        <w:trPr>
          <w:trHeight w:val="710"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0"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w:t>
            </w:r>
            <w:r>
              <w:rPr>
                <w:rFonts w:ascii="宋体" w:hAnsi="宋体" w:cs="宋体" w:eastAsia="宋体" w:hint="default"/>
                <w:w w:val="101"/>
                <w:sz w:val="18"/>
                <w:szCs w:val="18"/>
              </w:rPr>
              <w:t> </w:t>
            </w:r>
            <w:r>
              <w:rPr>
                <w:rFonts w:ascii="宋体" w:hAnsi="宋体" w:cs="宋体" w:eastAsia="宋体" w:hint="default"/>
                <w:spacing w:val="-3"/>
                <w:sz w:val="18"/>
                <w:szCs w:val="18"/>
              </w:rPr>
              <w:t>计入当期损益的金融资产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9,363,597.90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3,117,347.50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-6,246,250.40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223,861,485.47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223,861,485.47</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6,246,250.40</w:t>
            </w: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6,246,250.40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26,112,892.40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26,112,892.40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63,997,391.24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63,997,391.24</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1,578,980.97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1,578,980.97</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126,715,563.48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126,715,563.48</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637,085,416.34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637,085,416.34</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21,879,732.08</w:t>
            </w: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-21,879,732.08</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28,232,450.29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28,232,450.29</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527,457,600.91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527,457,600.91</w:t>
            </w: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87"/>
        <w:gridCol w:w="2567"/>
        <w:gridCol w:w="2411"/>
        <w:gridCol w:w="2194"/>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8,670,475.83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8,670,475.83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92,901,420.34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92,901,420.34</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2,819,223.45</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2,819,223.45</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22,081,837.54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22,081,837.54</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269,477.71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269,477.71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5,665,618.03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5,665,618.03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709,977,836.18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709,977,836.18</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1,347,063,252.52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1,347,063,252.52</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133,000,000.00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133,000,000.00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20"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w:t>
            </w:r>
            <w:r>
              <w:rPr>
                <w:rFonts w:ascii="宋体" w:hAnsi="宋体" w:cs="宋体" w:eastAsia="宋体" w:hint="default"/>
                <w:w w:val="101"/>
                <w:sz w:val="18"/>
                <w:szCs w:val="18"/>
              </w:rPr>
              <w:t> </w:t>
            </w:r>
            <w:r>
              <w:rPr>
                <w:rFonts w:ascii="宋体" w:hAnsi="宋体" w:cs="宋体" w:eastAsia="宋体" w:hint="default"/>
                <w:spacing w:val="-3"/>
                <w:sz w:val="18"/>
                <w:szCs w:val="18"/>
              </w:rPr>
              <w:t>计入当期损益的金融负债</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18,798,946.82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18,798,946.82</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86,033,015.91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86,033,015.91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47,711,463.43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47,711,463.43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554,936.92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554,936.92</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4,150,224.06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4,150,224.06</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174,864,726.77</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174,864,726.77</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35,288,658.70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35,288,658.70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26,332,059.03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26,332,059.03</w:t>
            </w: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87"/>
        <w:gridCol w:w="2567"/>
        <w:gridCol w:w="2411"/>
        <w:gridCol w:w="2194"/>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526,734,031.64</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526,734,031.64</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50,000,000.00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25,487,224.00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25,487,224.00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3,488,920.06</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3,488,920.06</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9,263,080.13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9,263,080.13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88,239,224.19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88,239,224.19</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614,973,255.83</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614,973,255.83</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445,987,594.00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445,987,594.00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135,878,956.50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135,878,956.50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52,055,456.00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52,055,456.00</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67" w:type="dxa"/>
            <w:tcBorders>
              <w:top w:val="single" w:sz="4" w:space="0" w:color="000000"/>
              <w:left w:val="single" w:sz="13" w:space="0" w:color="D2D2D2"/>
              <w:bottom w:val="single" w:sz="4" w:space="0" w:color="000000"/>
              <w:right w:val="single" w:sz="4" w:space="0" w:color="000000"/>
            </w:tcBorders>
          </w:tcPr>
          <w:p>
            <w:pPr/>
          </w:p>
        </w:tc>
        <w:tc>
          <w:tcPr>
            <w:tcW w:w="2411" w:type="dxa"/>
            <w:tcBorders>
              <w:top w:val="single" w:sz="4" w:space="0" w:color="000000"/>
              <w:left w:val="single" w:sz="4" w:space="0" w:color="000000"/>
              <w:bottom w:val="single" w:sz="4" w:space="0" w:color="000000"/>
              <w:right w:val="single" w:sz="4" w:space="0" w:color="000000"/>
            </w:tcBorders>
          </w:tcPr>
          <w:p>
            <w:pP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24,363,534.41</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24,363,534.41</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177,915,367.78</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177,915,367.78</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732,089,996.69</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732,089,996.69</w:t>
            </w:r>
          </w:p>
        </w:tc>
        <w:tc>
          <w:tcPr>
            <w:tcW w:w="21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1,347,063,252.52</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1,347,063,252.52</w:t>
            </w:r>
          </w:p>
        </w:tc>
        <w:tc>
          <w:tcPr>
            <w:tcW w:w="2194"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3"/>
        <w:ind w:left="153" w:right="6680" w:firstLine="0"/>
        <w:jc w:val="left"/>
        <w:rPr>
          <w:rFonts w:ascii="宋体" w:hAnsi="宋体" w:cs="宋体" w:eastAsia="宋体" w:hint="default"/>
          <w:sz w:val="18"/>
          <w:szCs w:val="18"/>
        </w:rPr>
      </w:pPr>
      <w:r>
        <w:rPr>
          <w:rFonts w:ascii="宋体" w:hAnsi="宋体" w:cs="宋体" w:eastAsia="宋体" w:hint="default"/>
          <w:sz w:val="18"/>
          <w:szCs w:val="18"/>
        </w:rPr>
        <w:t>调整情况说明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适用于新金融工具准则调整受影响的科目</w:t>
      </w:r>
    </w:p>
    <w:p>
      <w:pPr>
        <w:spacing w:line="240" w:lineRule="auto" w:before="3"/>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4）2019年起执行新金融工具准则或新租赁准则追溯调整前期比较数据说明" w:id="226"/>
      <w:bookmarkEnd w:id="2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年起执行新金融工具准则或新租赁准则追溯调整前期比较数据说明</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line="487" w:lineRule="auto" w:before="36"/>
        <w:ind w:left="153" w:right="8964" w:firstLine="0"/>
        <w:jc w:val="left"/>
        <w:rPr>
          <w:rFonts w:ascii="宋体" w:hAnsi="宋体" w:cs="宋体" w:eastAsia="宋体" w:hint="default"/>
          <w:sz w:val="21"/>
          <w:szCs w:val="21"/>
        </w:rPr>
      </w:pPr>
      <w:bookmarkStart w:name="45、其他" w:id="227"/>
      <w:bookmarkEnd w:id="227"/>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六、税项" w:id="228"/>
      <w:bookmarkEnd w:id="228"/>
      <w:r>
        <w:rPr>
          <w:rFonts w:ascii="宋体" w:hAnsi="宋体" w:cs="宋体" w:eastAsia="宋体" w:hint="default"/>
          <w:b/>
          <w:bCs/>
          <w:spacing w:val="-104"/>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29"/>
      <w:bookmarkEnd w:id="22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3"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pacing w:val="-3"/>
                <w:sz w:val="18"/>
                <w:szCs w:val="18"/>
              </w:rPr>
              <w:t>销售收入、技术服务</w:t>
            </w:r>
          </w:p>
        </w:tc>
        <w:tc>
          <w:tcPr>
            <w:tcW w:w="3193" w:type="dxa"/>
            <w:vMerge w:val="restart"/>
            <w:tcBorders>
              <w:top w:val="single" w:sz="4" w:space="0" w:color="000000"/>
              <w:left w:val="single" w:sz="4" w:space="0" w:color="000000"/>
              <w:right w:val="single" w:sz="4" w:space="0" w:color="000000"/>
            </w:tcBorders>
          </w:tcPr>
          <w:p>
            <w:pPr>
              <w:pStyle w:val="TableParagraph"/>
              <w:spacing w:line="300" w:lineRule="auto" w:before="53"/>
              <w:ind w:left="23" w:right="93"/>
              <w:jc w:val="left"/>
              <w:rPr>
                <w:rFonts w:ascii="宋体" w:hAnsi="宋体" w:cs="宋体" w:eastAsia="宋体" w:hint="default"/>
                <w:sz w:val="18"/>
                <w:szCs w:val="18"/>
              </w:rPr>
            </w:pPr>
            <w:r>
              <w:rPr>
                <w:rFonts w:ascii="Times New Roman" w:hAnsi="Times New Roman" w:cs="Times New Roman" w:eastAsia="Times New Roman" w:hint="default"/>
                <w:spacing w:val="-6"/>
                <w:w w:val="101"/>
                <w:sz w:val="18"/>
                <w:szCs w:val="18"/>
              </w:rPr>
              <w:t>16%</w:t>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13%</w:t>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10%</w:t>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9%</w:t>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6%</w:t>
            </w:r>
            <w:r>
              <w:rPr>
                <w:rFonts w:ascii="宋体" w:hAnsi="宋体" w:cs="宋体" w:eastAsia="宋体" w:hint="default"/>
                <w:spacing w:val="-6"/>
                <w:w w:val="101"/>
                <w:sz w:val="18"/>
                <w:szCs w:val="18"/>
              </w:rPr>
              <w:t>、</w:t>
            </w:r>
            <w:r>
              <w:rPr>
                <w:rFonts w:ascii="Times New Roman" w:hAnsi="Times New Roman" w:cs="Times New Roman" w:eastAsia="Times New Roman" w:hint="default"/>
                <w:spacing w:val="-6"/>
                <w:w w:val="101"/>
                <w:sz w:val="18"/>
                <w:szCs w:val="18"/>
              </w:rPr>
              <w:t>5%</w:t>
            </w:r>
            <w:r>
              <w:rPr>
                <w:rFonts w:ascii="宋体" w:hAnsi="宋体" w:cs="宋体" w:eastAsia="宋体" w:hint="default"/>
                <w:spacing w:val="-6"/>
                <w:w w:val="101"/>
                <w:sz w:val="18"/>
                <w:szCs w:val="18"/>
              </w:rPr>
              <w:t>、（抵</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扣进项税后缴纳）</w:t>
            </w:r>
          </w:p>
        </w:tc>
      </w:tr>
      <w:tr>
        <w:trPr>
          <w:trHeight w:val="389"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163"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z w:val="18"/>
                <w:szCs w:val="18"/>
              </w:rPr>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沈阳桑瑞思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四川龙控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依米康软件</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依米康智能</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杭州亿金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亿金物资贸易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依米康冷元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辽宁亿金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临沧亿金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腾龙资产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华延芯光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平昌依米康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依米康智云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依米康信息服务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依米康企业管理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曲水智成中心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曲水智控中心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both"/>
        <w:rPr>
          <w:rFonts w:ascii="宋体" w:hAnsi="宋体" w:cs="宋体" w:eastAsia="宋体" w:hint="default"/>
          <w:sz w:val="21"/>
          <w:szCs w:val="21"/>
        </w:rPr>
      </w:pPr>
      <w:bookmarkStart w:name="2、税收优惠" w:id="230"/>
      <w:bookmarkEnd w:id="23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47" w:lineRule="auto" w:before="0"/>
        <w:ind w:left="153" w:right="1122"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）根据科技部、财政部、国家税务总局《高新技术企业认定管理办法》（国科发火〔</w:t>
      </w:r>
      <w:r>
        <w:rPr>
          <w:rFonts w:ascii="Times New Roman" w:hAnsi="Times New Roman" w:cs="Times New Roman" w:eastAsia="Times New Roman" w:hint="default"/>
          <w:sz w:val="22"/>
          <w:szCs w:val="22"/>
        </w:rPr>
        <w:t>2008</w:t>
      </w:r>
      <w:r>
        <w:rPr>
          <w:rFonts w:ascii="宋体" w:hAnsi="宋体" w:cs="宋体" w:eastAsia="宋体" w:hint="default"/>
          <w:sz w:val="22"/>
          <w:szCs w:val="22"/>
        </w:rPr>
        <w:t>〕</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172</w:t>
      </w:r>
      <w:r>
        <w:rPr>
          <w:rFonts w:ascii="宋体" w:hAnsi="宋体" w:cs="宋体" w:eastAsia="宋体" w:hint="default"/>
          <w:sz w:val="22"/>
          <w:szCs w:val="22"/>
        </w:rPr>
        <w:t>号）和《高新技术企业认定管理工作指引》（国科发火</w:t>
      </w:r>
      <w:r>
        <w:rPr>
          <w:rFonts w:ascii="Times New Roman" w:hAnsi="Times New Roman" w:cs="Times New Roman" w:eastAsia="Times New Roman" w:hint="default"/>
          <w:sz w:val="22"/>
          <w:szCs w:val="22"/>
        </w:rPr>
        <w:t>[2008]362</w:t>
      </w:r>
      <w:r>
        <w:rPr>
          <w:rFonts w:ascii="宋体" w:hAnsi="宋体" w:cs="宋体" w:eastAsia="宋体" w:hint="default"/>
          <w:sz w:val="22"/>
          <w:szCs w:val="22"/>
        </w:rPr>
        <w:t>号）的规定，本公司于</w:t>
      </w:r>
      <w:r>
        <w:rPr>
          <w:rFonts w:ascii="Times New Roman" w:hAnsi="Times New Roman" w:cs="Times New Roman" w:eastAsia="Times New Roman" w:hint="default"/>
          <w:sz w:val="22"/>
          <w:szCs w:val="22"/>
        </w:rPr>
        <w:t>2008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23"/>
          <w:sz w:val="22"/>
          <w:szCs w:val="22"/>
        </w:rPr>
        <w:t> </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15</w:t>
      </w:r>
      <w:r>
        <w:rPr>
          <w:rFonts w:ascii="宋体" w:hAnsi="宋体" w:cs="宋体" w:eastAsia="宋体" w:hint="default"/>
          <w:spacing w:val="-1"/>
          <w:sz w:val="22"/>
          <w:szCs w:val="22"/>
        </w:rPr>
        <w:t>日被认定为高新技术企业，原证书编号为</w:t>
      </w:r>
      <w:r>
        <w:rPr>
          <w:rFonts w:ascii="Times New Roman" w:hAnsi="Times New Roman" w:cs="Times New Roman" w:eastAsia="Times New Roman" w:hint="default"/>
          <w:spacing w:val="-1"/>
          <w:sz w:val="22"/>
          <w:szCs w:val="22"/>
        </w:rPr>
        <w:t>GR200851000162</w:t>
      </w:r>
      <w:r>
        <w:rPr>
          <w:rFonts w:ascii="宋体" w:hAnsi="宋体" w:cs="宋体" w:eastAsia="宋体" w:hint="default"/>
          <w:spacing w:val="-1"/>
          <w:sz w:val="22"/>
          <w:szCs w:val="22"/>
        </w:rPr>
        <w:t>，有效期</w:t>
      </w:r>
      <w:r>
        <w:rPr>
          <w:rFonts w:ascii="Times New Roman" w:hAnsi="Times New Roman" w:cs="Times New Roman" w:eastAsia="Times New Roman" w:hint="default"/>
          <w:spacing w:val="-1"/>
          <w:sz w:val="22"/>
          <w:szCs w:val="22"/>
        </w:rPr>
        <w:t>3</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2014</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10</w:t>
      </w:r>
      <w:r>
        <w:rPr>
          <w:rFonts w:ascii="宋体" w:hAnsi="宋体" w:cs="宋体" w:eastAsia="宋体" w:hint="default"/>
          <w:spacing w:val="-1"/>
          <w:sz w:val="22"/>
          <w:szCs w:val="22"/>
        </w:rPr>
        <w:t>月，本公司通</w:t>
      </w:r>
      <w:r>
        <w:rPr>
          <w:rFonts w:ascii="宋体" w:hAnsi="宋体" w:cs="宋体" w:eastAsia="宋体" w:hint="default"/>
          <w:spacing w:val="-73"/>
          <w:sz w:val="22"/>
          <w:szCs w:val="22"/>
        </w:rPr>
        <w:t> </w:t>
      </w:r>
      <w:r>
        <w:rPr>
          <w:rFonts w:ascii="宋体" w:hAnsi="宋体" w:cs="宋体" w:eastAsia="宋体" w:hint="default"/>
          <w:spacing w:val="-73"/>
          <w:sz w:val="22"/>
          <w:szCs w:val="22"/>
        </w:rPr>
      </w:r>
      <w:r>
        <w:rPr>
          <w:rFonts w:ascii="宋体" w:hAnsi="宋体" w:cs="宋体" w:eastAsia="宋体" w:hint="default"/>
          <w:spacing w:val="-2"/>
          <w:sz w:val="22"/>
          <w:szCs w:val="22"/>
        </w:rPr>
        <w:t>过高新技术企业复审，于</w:t>
      </w:r>
      <w:r>
        <w:rPr>
          <w:rFonts w:ascii="Times New Roman" w:hAnsi="Times New Roman" w:cs="Times New Roman" w:eastAsia="Times New Roman" w:hint="default"/>
          <w:spacing w:val="-2"/>
          <w:sz w:val="22"/>
          <w:szCs w:val="22"/>
        </w:rPr>
        <w:t>2014</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10</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11</w:t>
      </w:r>
      <w:r>
        <w:rPr>
          <w:rFonts w:ascii="宋体" w:hAnsi="宋体" w:cs="宋体" w:eastAsia="宋体" w:hint="default"/>
          <w:spacing w:val="-2"/>
          <w:sz w:val="22"/>
          <w:szCs w:val="22"/>
        </w:rPr>
        <w:t>日取得了由四川省科学技术厅、四川省财政厅、四川省国家税</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务局、四川省地方税务局联合颁发的《高新技术企业证书》，证书编号为</w:t>
      </w:r>
      <w:r>
        <w:rPr>
          <w:rFonts w:ascii="Times New Roman" w:hAnsi="Times New Roman" w:cs="Times New Roman" w:eastAsia="Times New Roman" w:hint="default"/>
          <w:sz w:val="22"/>
          <w:szCs w:val="22"/>
        </w:rPr>
        <w:t>GR201451000897</w:t>
      </w:r>
      <w:r>
        <w:rPr>
          <w:rFonts w:ascii="宋体" w:hAnsi="宋体" w:cs="宋体" w:eastAsia="宋体" w:hint="default"/>
          <w:sz w:val="22"/>
          <w:szCs w:val="22"/>
        </w:rPr>
        <w:t>，发证时</w:t>
      </w:r>
      <w:r>
        <w:rPr>
          <w:rFonts w:ascii="宋体" w:hAnsi="宋体" w:cs="宋体" w:eastAsia="宋体" w:hint="default"/>
          <w:spacing w:val="-21"/>
          <w:sz w:val="22"/>
          <w:szCs w:val="22"/>
        </w:rPr>
        <w:t> </w:t>
      </w:r>
      <w:r>
        <w:rPr>
          <w:rFonts w:ascii="宋体" w:hAnsi="宋体" w:cs="宋体" w:eastAsia="宋体" w:hint="default"/>
          <w:spacing w:val="-21"/>
          <w:sz w:val="22"/>
          <w:szCs w:val="22"/>
        </w:rPr>
      </w:r>
      <w:r>
        <w:rPr>
          <w:rFonts w:ascii="宋体" w:hAnsi="宋体" w:cs="宋体" w:eastAsia="宋体" w:hint="default"/>
          <w:spacing w:val="-2"/>
          <w:sz w:val="22"/>
          <w:szCs w:val="22"/>
        </w:rPr>
        <w:t>间为</w:t>
      </w:r>
      <w:r>
        <w:rPr>
          <w:rFonts w:ascii="Times New Roman" w:hAnsi="Times New Roman" w:cs="Times New Roman" w:eastAsia="Times New Roman" w:hint="default"/>
          <w:spacing w:val="-2"/>
          <w:sz w:val="22"/>
          <w:szCs w:val="22"/>
        </w:rPr>
        <w:t>2014</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10</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11</w:t>
      </w:r>
      <w:r>
        <w:rPr>
          <w:rFonts w:ascii="宋体" w:hAnsi="宋体" w:cs="宋体" w:eastAsia="宋体" w:hint="default"/>
          <w:spacing w:val="-2"/>
          <w:sz w:val="22"/>
          <w:szCs w:val="22"/>
        </w:rPr>
        <w:t>日，有效期</w:t>
      </w:r>
      <w:r>
        <w:rPr>
          <w:rFonts w:ascii="Times New Roman" w:hAnsi="Times New Roman" w:cs="Times New Roman" w:eastAsia="Times New Roman" w:hint="default"/>
          <w:spacing w:val="-2"/>
          <w:sz w:val="22"/>
          <w:szCs w:val="22"/>
        </w:rPr>
        <w:t>3</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2017</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8</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29</w:t>
      </w:r>
      <w:r>
        <w:rPr>
          <w:rFonts w:ascii="宋体" w:hAnsi="宋体" w:cs="宋体" w:eastAsia="宋体" w:hint="default"/>
          <w:spacing w:val="-2"/>
          <w:sz w:val="22"/>
          <w:szCs w:val="22"/>
        </w:rPr>
        <w:t>日，本公司再次取得《高新技术企业证书》，证书编</w:t>
      </w:r>
      <w:r>
        <w:rPr>
          <w:rFonts w:ascii="宋体" w:hAnsi="宋体" w:cs="宋体" w:eastAsia="宋体" w:hint="default"/>
          <w:spacing w:val="-51"/>
          <w:sz w:val="22"/>
          <w:szCs w:val="22"/>
        </w:rPr>
        <w:t> </w:t>
      </w:r>
      <w:r>
        <w:rPr>
          <w:rFonts w:ascii="宋体" w:hAnsi="宋体" w:cs="宋体" w:eastAsia="宋体" w:hint="default"/>
          <w:spacing w:val="-51"/>
          <w:sz w:val="22"/>
          <w:szCs w:val="22"/>
        </w:rPr>
      </w:r>
      <w:r>
        <w:rPr>
          <w:rFonts w:ascii="宋体" w:hAnsi="宋体" w:cs="宋体" w:eastAsia="宋体" w:hint="default"/>
          <w:sz w:val="22"/>
          <w:szCs w:val="22"/>
        </w:rPr>
        <w:t>号为</w:t>
      </w:r>
      <w:r>
        <w:rPr>
          <w:rFonts w:ascii="Times New Roman" w:hAnsi="Times New Roman" w:cs="Times New Roman" w:eastAsia="Times New Roman" w:hint="default"/>
          <w:sz w:val="22"/>
          <w:szCs w:val="22"/>
        </w:rPr>
        <w:t>GR201751000431</w:t>
      </w:r>
      <w:r>
        <w:rPr>
          <w:rFonts w:ascii="宋体" w:hAnsi="宋体" w:cs="宋体" w:eastAsia="宋体" w:hint="default"/>
          <w:sz w:val="22"/>
          <w:szCs w:val="22"/>
        </w:rPr>
        <w:t>，认定有效期三年。根据《中华人民共和国企业所得税法》、《中华人民共和</w:t>
      </w:r>
      <w:r>
        <w:rPr>
          <w:rFonts w:ascii="宋体" w:hAnsi="宋体" w:cs="宋体" w:eastAsia="宋体" w:hint="default"/>
          <w:spacing w:val="-29"/>
          <w:sz w:val="22"/>
          <w:szCs w:val="22"/>
        </w:rPr>
        <w:t> </w:t>
      </w:r>
      <w:r>
        <w:rPr>
          <w:rFonts w:ascii="宋体" w:hAnsi="宋体" w:cs="宋体" w:eastAsia="宋体" w:hint="default"/>
          <w:spacing w:val="-29"/>
          <w:sz w:val="22"/>
          <w:szCs w:val="22"/>
        </w:rPr>
      </w:r>
      <w:r>
        <w:rPr>
          <w:rFonts w:ascii="宋体" w:hAnsi="宋体" w:cs="宋体" w:eastAsia="宋体" w:hint="default"/>
          <w:spacing w:val="-7"/>
          <w:w w:val="100"/>
          <w:sz w:val="22"/>
          <w:szCs w:val="22"/>
        </w:rPr>
        <w:t>国企业所得税法实施条例》、国家税务总局《关于实施高新技术企业所得税优惠有关问题的通知》（国</w:t>
      </w:r>
      <w:r>
        <w:rPr>
          <w:rFonts w:ascii="宋体" w:hAnsi="宋体" w:cs="宋体" w:eastAsia="宋体" w:hint="default"/>
          <w:spacing w:val="-96"/>
          <w:w w:val="100"/>
          <w:sz w:val="22"/>
          <w:szCs w:val="22"/>
        </w:rPr>
        <w:t> </w:t>
      </w:r>
      <w:r>
        <w:rPr>
          <w:rFonts w:ascii="宋体" w:hAnsi="宋体" w:cs="宋体" w:eastAsia="宋体" w:hint="default"/>
          <w:spacing w:val="-96"/>
          <w:w w:val="100"/>
          <w:sz w:val="22"/>
          <w:szCs w:val="22"/>
        </w:rPr>
      </w:r>
      <w:r>
        <w:rPr>
          <w:rFonts w:ascii="宋体" w:hAnsi="宋体" w:cs="宋体" w:eastAsia="宋体" w:hint="default"/>
          <w:spacing w:val="-6"/>
          <w:w w:val="100"/>
          <w:sz w:val="22"/>
          <w:szCs w:val="22"/>
        </w:rPr>
        <w:t>税函</w:t>
      </w:r>
      <w:r>
        <w:rPr>
          <w:rFonts w:ascii="Times New Roman" w:hAnsi="Times New Roman" w:cs="Times New Roman" w:eastAsia="Times New Roman" w:hint="default"/>
          <w:spacing w:val="-6"/>
          <w:w w:val="100"/>
          <w:sz w:val="22"/>
          <w:szCs w:val="22"/>
        </w:rPr>
        <w:t>[2009]203</w:t>
      </w:r>
      <w:r>
        <w:rPr>
          <w:rFonts w:ascii="宋体" w:hAnsi="宋体" w:cs="宋体" w:eastAsia="宋体" w:hint="default"/>
          <w:spacing w:val="-6"/>
          <w:w w:val="100"/>
          <w:sz w:val="22"/>
          <w:szCs w:val="22"/>
        </w:rPr>
        <w:t>号）的规定，本公司可享受高新技术企业税收优惠，因此在编制本年财务报表时暂按</w:t>
      </w:r>
      <w:r>
        <w:rPr>
          <w:rFonts w:ascii="Times New Roman" w:hAnsi="Times New Roman" w:cs="Times New Roman" w:eastAsia="Times New Roman" w:hint="default"/>
          <w:spacing w:val="-6"/>
          <w:w w:val="100"/>
          <w:sz w:val="22"/>
          <w:szCs w:val="22"/>
        </w:rPr>
        <w:t>15%</w:t>
      </w:r>
      <w:r>
        <w:rPr>
          <w:rFonts w:ascii="Times New Roman" w:hAnsi="Times New Roman" w:cs="Times New Roman" w:eastAsia="Times New Roman" w:hint="default"/>
          <w:spacing w:val="-52"/>
          <w:w w:val="100"/>
          <w:sz w:val="22"/>
          <w:szCs w:val="22"/>
        </w:rPr>
        <w:t> </w:t>
      </w:r>
      <w:r>
        <w:rPr>
          <w:rFonts w:ascii="Times New Roman" w:hAnsi="Times New Roman" w:cs="Times New Roman" w:eastAsia="Times New Roman" w:hint="default"/>
          <w:spacing w:val="-52"/>
          <w:w w:val="100"/>
          <w:sz w:val="22"/>
          <w:szCs w:val="22"/>
        </w:rPr>
      </w:r>
      <w:r>
        <w:rPr>
          <w:rFonts w:ascii="宋体" w:hAnsi="宋体" w:cs="宋体" w:eastAsia="宋体" w:hint="default"/>
          <w:sz w:val="22"/>
          <w:szCs w:val="22"/>
        </w:rPr>
        <w:t>的税率计提企业所得税，上述税收优惠尚需由税务机关最终核定。</w:t>
      </w:r>
    </w:p>
    <w:p>
      <w:pPr>
        <w:spacing w:line="240" w:lineRule="auto" w:before="9"/>
        <w:rPr>
          <w:rFonts w:ascii="宋体" w:hAnsi="宋体" w:cs="宋体" w:eastAsia="宋体" w:hint="default"/>
          <w:sz w:val="19"/>
          <w:szCs w:val="19"/>
        </w:rPr>
      </w:pPr>
    </w:p>
    <w:p>
      <w:pPr>
        <w:spacing w:line="247" w:lineRule="auto" w:before="0"/>
        <w:ind w:left="153" w:right="1122"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）根据科技部、财政部、国家税务总局《高新技术企业认定管理办法》（国科发火〔</w:t>
      </w:r>
      <w:r>
        <w:rPr>
          <w:rFonts w:ascii="Times New Roman" w:hAnsi="Times New Roman" w:cs="Times New Roman" w:eastAsia="Times New Roman" w:hint="default"/>
          <w:sz w:val="22"/>
          <w:szCs w:val="22"/>
        </w:rPr>
        <w:t>2008</w:t>
      </w:r>
      <w:r>
        <w:rPr>
          <w:rFonts w:ascii="宋体" w:hAnsi="宋体" w:cs="宋体" w:eastAsia="宋体" w:hint="default"/>
          <w:sz w:val="22"/>
          <w:szCs w:val="22"/>
        </w:rPr>
        <w:t>〕</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172</w:t>
      </w:r>
      <w:r>
        <w:rPr>
          <w:rFonts w:ascii="宋体" w:hAnsi="宋体" w:cs="宋体" w:eastAsia="宋体" w:hint="default"/>
          <w:sz w:val="22"/>
          <w:szCs w:val="22"/>
        </w:rPr>
        <w:t>号）和《高新技术企业认定管理工作指引》（国科发火</w:t>
      </w:r>
      <w:r>
        <w:rPr>
          <w:rFonts w:ascii="Times New Roman" w:hAnsi="Times New Roman" w:cs="Times New Roman" w:eastAsia="Times New Roman" w:hint="default"/>
          <w:sz w:val="22"/>
          <w:szCs w:val="22"/>
        </w:rPr>
        <w:t>[2008]362</w:t>
      </w:r>
      <w:r>
        <w:rPr>
          <w:rFonts w:ascii="宋体" w:hAnsi="宋体" w:cs="宋体" w:eastAsia="宋体" w:hint="default"/>
          <w:sz w:val="22"/>
          <w:szCs w:val="22"/>
        </w:rPr>
        <w:t>号）的规定，本公司之子公司深</w:t>
      </w:r>
      <w:r>
        <w:rPr>
          <w:rFonts w:ascii="宋体" w:hAnsi="宋体" w:cs="宋体" w:eastAsia="宋体" w:hint="default"/>
          <w:spacing w:val="-79"/>
          <w:sz w:val="22"/>
          <w:szCs w:val="22"/>
        </w:rPr>
        <w:t> </w:t>
      </w:r>
      <w:r>
        <w:rPr>
          <w:rFonts w:ascii="宋体" w:hAnsi="宋体" w:cs="宋体" w:eastAsia="宋体" w:hint="default"/>
          <w:spacing w:val="-1"/>
          <w:sz w:val="22"/>
          <w:szCs w:val="22"/>
        </w:rPr>
        <w:t>圳龙控于</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9</w:t>
      </w:r>
      <w:r>
        <w:rPr>
          <w:rFonts w:ascii="宋体" w:hAnsi="宋体" w:cs="宋体" w:eastAsia="宋体" w:hint="default"/>
          <w:spacing w:val="-1"/>
          <w:sz w:val="22"/>
          <w:szCs w:val="22"/>
        </w:rPr>
        <w:t>日再次取得《高新技术企业证书》，证书编号为</w:t>
      </w:r>
      <w:r>
        <w:rPr>
          <w:rFonts w:ascii="Times New Roman" w:hAnsi="Times New Roman" w:cs="Times New Roman" w:eastAsia="Times New Roman" w:hint="default"/>
          <w:spacing w:val="-1"/>
          <w:sz w:val="22"/>
          <w:szCs w:val="22"/>
        </w:rPr>
        <w:t>GR201944203786</w:t>
      </w:r>
      <w:r>
        <w:rPr>
          <w:rFonts w:ascii="宋体" w:hAnsi="宋体" w:cs="宋体" w:eastAsia="宋体" w:hint="default"/>
          <w:spacing w:val="-1"/>
          <w:sz w:val="22"/>
          <w:szCs w:val="22"/>
        </w:rPr>
        <w:t>，认定有效期</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2"/>
          <w:sz w:val="22"/>
          <w:szCs w:val="22"/>
        </w:rPr>
        <w:t>三年。根据《中华人民共和国所得税法》、《中华人民共和国企业所得税法实施条例》、国家税务总</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3"/>
          <w:sz w:val="22"/>
          <w:szCs w:val="22"/>
        </w:rPr>
        <w:t>局《关于实施高新技术企业所得税优惠有关问题的通知》（国税函</w:t>
      </w:r>
      <w:r>
        <w:rPr>
          <w:rFonts w:ascii="Times New Roman" w:hAnsi="Times New Roman" w:cs="Times New Roman" w:eastAsia="Times New Roman" w:hint="default"/>
          <w:spacing w:val="-3"/>
          <w:sz w:val="22"/>
          <w:szCs w:val="22"/>
        </w:rPr>
        <w:t>[2009]203</w:t>
      </w:r>
      <w:r>
        <w:rPr>
          <w:rFonts w:ascii="宋体" w:hAnsi="宋体" w:cs="宋体" w:eastAsia="宋体" w:hint="default"/>
          <w:spacing w:val="-3"/>
          <w:sz w:val="22"/>
          <w:szCs w:val="22"/>
        </w:rPr>
        <w:t>号）的规定，深圳龙控可</w:t>
      </w:r>
      <w:r>
        <w:rPr>
          <w:rFonts w:ascii="宋体" w:hAnsi="宋体" w:cs="宋体" w:eastAsia="宋体" w:hint="default"/>
          <w:spacing w:val="-39"/>
          <w:sz w:val="22"/>
          <w:szCs w:val="22"/>
        </w:rPr>
        <w:t> </w:t>
      </w:r>
      <w:r>
        <w:rPr>
          <w:rFonts w:ascii="宋体" w:hAnsi="宋体" w:cs="宋体" w:eastAsia="宋体" w:hint="default"/>
          <w:spacing w:val="-39"/>
          <w:sz w:val="22"/>
          <w:szCs w:val="22"/>
        </w:rPr>
      </w:r>
      <w:r>
        <w:rPr>
          <w:rFonts w:ascii="宋体" w:hAnsi="宋体" w:cs="宋体" w:eastAsia="宋体" w:hint="default"/>
          <w:spacing w:val="-1"/>
          <w:sz w:val="22"/>
          <w:szCs w:val="22"/>
        </w:rPr>
        <w:t>享受高新技术企业税收优惠，因此在编制本年财务报表时暂按</w:t>
      </w:r>
      <w:r>
        <w:rPr>
          <w:rFonts w:ascii="Times New Roman" w:hAnsi="Times New Roman" w:cs="Times New Roman" w:eastAsia="Times New Roman" w:hint="default"/>
          <w:spacing w:val="-1"/>
          <w:sz w:val="22"/>
          <w:szCs w:val="22"/>
        </w:rPr>
        <w:t>15%</w:t>
      </w:r>
      <w:r>
        <w:rPr>
          <w:rFonts w:ascii="宋体" w:hAnsi="宋体" w:cs="宋体" w:eastAsia="宋体" w:hint="default"/>
          <w:spacing w:val="-1"/>
          <w:sz w:val="22"/>
          <w:szCs w:val="22"/>
        </w:rPr>
        <w:t>的税率计提企业所得税，上述税收</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优惠尚需由税务机关最终核定。</w:t>
      </w:r>
    </w:p>
    <w:p>
      <w:pPr>
        <w:spacing w:line="240" w:lineRule="auto" w:before="9"/>
        <w:rPr>
          <w:rFonts w:ascii="宋体" w:hAnsi="宋体" w:cs="宋体" w:eastAsia="宋体" w:hint="default"/>
          <w:sz w:val="19"/>
          <w:szCs w:val="19"/>
        </w:rPr>
      </w:pPr>
    </w:p>
    <w:p>
      <w:pPr>
        <w:spacing w:line="249" w:lineRule="auto" w:before="0"/>
        <w:ind w:left="153" w:right="1125" w:firstLine="441"/>
        <w:jc w:val="both"/>
        <w:rPr>
          <w:rFonts w:ascii="宋体" w:hAnsi="宋体" w:cs="宋体" w:eastAsia="宋体" w:hint="default"/>
          <w:sz w:val="22"/>
          <w:szCs w:val="22"/>
        </w:rPr>
      </w:pPr>
      <w:r>
        <w:rPr>
          <w:rFonts w:ascii="宋体" w:hAnsi="宋体" w:cs="宋体" w:eastAsia="宋体" w:hint="default"/>
          <w:spacing w:val="-2"/>
          <w:sz w:val="22"/>
          <w:szCs w:val="22"/>
        </w:rPr>
        <w:t>依据《财政部、国家税务总局、海关总署关于鼓励软件产业和集成电路产业发展有关税收政策问</w:t>
      </w:r>
      <w:r>
        <w:rPr>
          <w:rFonts w:ascii="宋体" w:hAnsi="宋体" w:cs="宋体" w:eastAsia="宋体" w:hint="default"/>
          <w:w w:val="100"/>
          <w:sz w:val="22"/>
          <w:szCs w:val="22"/>
        </w:rPr>
        <w:t> </w:t>
      </w:r>
      <w:r>
        <w:rPr>
          <w:rFonts w:ascii="宋体" w:hAnsi="宋体" w:cs="宋体" w:eastAsia="宋体" w:hint="default"/>
          <w:spacing w:val="3"/>
          <w:sz w:val="22"/>
          <w:szCs w:val="22"/>
        </w:rPr>
        <w:t>题的通知》（财税</w:t>
      </w:r>
      <w:r>
        <w:rPr>
          <w:rFonts w:ascii="Times New Roman" w:hAnsi="Times New Roman" w:cs="Times New Roman" w:eastAsia="Times New Roman" w:hint="default"/>
          <w:spacing w:val="3"/>
          <w:sz w:val="22"/>
          <w:szCs w:val="22"/>
        </w:rPr>
        <w:t>[2000]25</w:t>
      </w:r>
      <w:r>
        <w:rPr>
          <w:rFonts w:ascii="宋体" w:hAnsi="宋体" w:cs="宋体" w:eastAsia="宋体" w:hint="default"/>
          <w:spacing w:val="3"/>
          <w:sz w:val="22"/>
          <w:szCs w:val="22"/>
        </w:rPr>
        <w:t>号）及《财政部国家税务总局关于软件产品增值税政策的通知》（财税</w:t>
      </w:r>
      <w:r>
        <w:rPr>
          <w:rFonts w:ascii="宋体" w:hAnsi="宋体" w:cs="宋体" w:eastAsia="宋体" w:hint="default"/>
          <w:spacing w:val="-39"/>
          <w:sz w:val="22"/>
          <w:szCs w:val="22"/>
        </w:rPr>
        <w:t> </w:t>
      </w:r>
      <w:r>
        <w:rPr>
          <w:rFonts w:ascii="宋体" w:hAnsi="宋体" w:cs="宋体" w:eastAsia="宋体" w:hint="default"/>
          <w:spacing w:val="-39"/>
          <w:sz w:val="22"/>
          <w:szCs w:val="22"/>
        </w:rPr>
      </w:r>
      <w:r>
        <w:rPr>
          <w:rFonts w:ascii="Times New Roman" w:hAnsi="Times New Roman" w:cs="Times New Roman" w:eastAsia="Times New Roman" w:hint="default"/>
          <w:spacing w:val="-6"/>
          <w:w w:val="100"/>
          <w:sz w:val="22"/>
          <w:szCs w:val="22"/>
        </w:rPr>
        <w:t>[2011]100</w:t>
      </w:r>
      <w:r>
        <w:rPr>
          <w:rFonts w:ascii="宋体" w:hAnsi="宋体" w:cs="宋体" w:eastAsia="宋体" w:hint="default"/>
          <w:spacing w:val="-6"/>
          <w:w w:val="100"/>
          <w:sz w:val="22"/>
          <w:szCs w:val="22"/>
        </w:rPr>
        <w:t>号）的规定，增值税一般纳税人销售其自行开发生产的软件产品，按</w:t>
      </w:r>
      <w:r>
        <w:rPr>
          <w:rFonts w:ascii="Times New Roman" w:hAnsi="Times New Roman" w:cs="Times New Roman" w:eastAsia="Times New Roman" w:hint="default"/>
          <w:spacing w:val="-6"/>
          <w:w w:val="100"/>
          <w:sz w:val="22"/>
          <w:szCs w:val="22"/>
        </w:rPr>
        <w:t>13%</w:t>
      </w:r>
      <w:r>
        <w:rPr>
          <w:rFonts w:ascii="宋体" w:hAnsi="宋体" w:cs="宋体" w:eastAsia="宋体" w:hint="default"/>
          <w:spacing w:val="-6"/>
          <w:w w:val="100"/>
          <w:sz w:val="22"/>
          <w:szCs w:val="22"/>
        </w:rPr>
        <w:t>税率征收增值税后，</w:t>
      </w:r>
      <w:r>
        <w:rPr>
          <w:rFonts w:ascii="宋体" w:hAnsi="宋体" w:cs="宋体" w:eastAsia="宋体" w:hint="default"/>
          <w:w w:val="100"/>
          <w:sz w:val="22"/>
          <w:szCs w:val="22"/>
        </w:rPr>
        <w:t> </w:t>
      </w:r>
      <w:r>
        <w:rPr>
          <w:rFonts w:ascii="宋体" w:hAnsi="宋体" w:cs="宋体" w:eastAsia="宋体" w:hint="default"/>
          <w:spacing w:val="7"/>
          <w:sz w:val="22"/>
          <w:szCs w:val="22"/>
        </w:rPr>
        <w:t>对其增值税实际税负超过</w:t>
      </w:r>
      <w:r>
        <w:rPr>
          <w:rFonts w:ascii="Times New Roman" w:hAnsi="Times New Roman" w:cs="Times New Roman" w:eastAsia="Times New Roman" w:hint="default"/>
          <w:spacing w:val="7"/>
          <w:sz w:val="22"/>
          <w:szCs w:val="22"/>
        </w:rPr>
        <w:t>3%</w:t>
      </w:r>
      <w:r>
        <w:rPr>
          <w:rFonts w:ascii="宋体" w:hAnsi="宋体" w:cs="宋体" w:eastAsia="宋体" w:hint="default"/>
          <w:spacing w:val="7"/>
          <w:sz w:val="22"/>
          <w:szCs w:val="22"/>
        </w:rPr>
        <w:t>的部分实行即征即退政策。深圳龙控于</w:t>
      </w:r>
      <w:r>
        <w:rPr>
          <w:rFonts w:ascii="Times New Roman" w:hAnsi="Times New Roman" w:cs="Times New Roman" w:eastAsia="Times New Roman" w:hint="default"/>
          <w:spacing w:val="7"/>
          <w:sz w:val="22"/>
          <w:szCs w:val="22"/>
        </w:rPr>
        <w:t>2009</w:t>
      </w:r>
      <w:r>
        <w:rPr>
          <w:rFonts w:ascii="宋体" w:hAnsi="宋体" w:cs="宋体" w:eastAsia="宋体" w:hint="default"/>
          <w:spacing w:val="7"/>
          <w:sz w:val="22"/>
          <w:szCs w:val="22"/>
        </w:rPr>
        <w:t>年</w:t>
      </w:r>
      <w:r>
        <w:rPr>
          <w:rFonts w:ascii="Times New Roman" w:hAnsi="Times New Roman" w:cs="Times New Roman" w:eastAsia="Times New Roman" w:hint="default"/>
          <w:spacing w:val="7"/>
          <w:sz w:val="22"/>
          <w:szCs w:val="22"/>
        </w:rPr>
        <w:t>3</w:t>
      </w:r>
      <w:r>
        <w:rPr>
          <w:rFonts w:ascii="宋体" w:hAnsi="宋体" w:cs="宋体" w:eastAsia="宋体" w:hint="default"/>
          <w:spacing w:val="7"/>
          <w:sz w:val="22"/>
          <w:szCs w:val="22"/>
        </w:rPr>
        <w:t>月</w:t>
      </w:r>
      <w:r>
        <w:rPr>
          <w:rFonts w:ascii="Times New Roman" w:hAnsi="Times New Roman" w:cs="Times New Roman" w:eastAsia="Times New Roman" w:hint="default"/>
          <w:spacing w:val="7"/>
          <w:sz w:val="22"/>
          <w:szCs w:val="22"/>
        </w:rPr>
        <w:t>31</w:t>
      </w:r>
      <w:r>
        <w:rPr>
          <w:rFonts w:ascii="宋体" w:hAnsi="宋体" w:cs="宋体" w:eastAsia="宋体" w:hint="default"/>
          <w:spacing w:val="7"/>
          <w:sz w:val="22"/>
          <w:szCs w:val="22"/>
        </w:rPr>
        <w:t>日取得编号为深</w:t>
      </w:r>
      <w:r>
        <w:rPr>
          <w:rFonts w:ascii="宋体" w:hAnsi="宋体" w:cs="宋体" w:eastAsia="宋体" w:hint="default"/>
          <w:spacing w:val="-10"/>
          <w:sz w:val="22"/>
          <w:szCs w:val="22"/>
        </w:rPr>
        <w:t> </w:t>
      </w:r>
      <w:r>
        <w:rPr>
          <w:rFonts w:ascii="宋体" w:hAnsi="宋体" w:cs="宋体" w:eastAsia="宋体" w:hint="default"/>
          <w:spacing w:val="-10"/>
          <w:sz w:val="22"/>
          <w:szCs w:val="22"/>
        </w:rPr>
      </w:r>
      <w:r>
        <w:rPr>
          <w:rFonts w:ascii="Times New Roman" w:hAnsi="Times New Roman" w:cs="Times New Roman" w:eastAsia="Times New Roman" w:hint="default"/>
          <w:spacing w:val="-3"/>
          <w:sz w:val="22"/>
          <w:szCs w:val="22"/>
        </w:rPr>
        <w:t>R-2009-0080</w:t>
      </w:r>
      <w:r>
        <w:rPr>
          <w:rFonts w:ascii="宋体" w:hAnsi="宋体" w:cs="宋体" w:eastAsia="宋体" w:hint="default"/>
          <w:spacing w:val="-3"/>
          <w:sz w:val="22"/>
          <w:szCs w:val="22"/>
        </w:rPr>
        <w:t>的软件企业认定证书，深圳龙控软件销售收入享受按</w:t>
      </w:r>
      <w:r>
        <w:rPr>
          <w:rFonts w:ascii="Times New Roman" w:hAnsi="Times New Roman" w:cs="Times New Roman" w:eastAsia="Times New Roman" w:hint="default"/>
          <w:spacing w:val="-3"/>
          <w:sz w:val="22"/>
          <w:szCs w:val="22"/>
        </w:rPr>
        <w:t>13%</w:t>
      </w:r>
      <w:r>
        <w:rPr>
          <w:rFonts w:ascii="宋体" w:hAnsi="宋体" w:cs="宋体" w:eastAsia="宋体" w:hint="default"/>
          <w:spacing w:val="-3"/>
          <w:sz w:val="22"/>
          <w:szCs w:val="22"/>
        </w:rPr>
        <w:t>税率征收增值税后，对其增值税</w:t>
      </w:r>
      <w:r>
        <w:rPr>
          <w:rFonts w:ascii="宋体" w:hAnsi="宋体" w:cs="宋体" w:eastAsia="宋体" w:hint="default"/>
          <w:spacing w:val="-38"/>
          <w:sz w:val="22"/>
          <w:szCs w:val="22"/>
        </w:rPr>
        <w:t> </w:t>
      </w:r>
      <w:r>
        <w:rPr>
          <w:rFonts w:ascii="宋体" w:hAnsi="宋体" w:cs="宋体" w:eastAsia="宋体" w:hint="default"/>
          <w:spacing w:val="-38"/>
          <w:sz w:val="22"/>
          <w:szCs w:val="22"/>
        </w:rPr>
      </w:r>
      <w:r>
        <w:rPr>
          <w:rFonts w:ascii="宋体" w:hAnsi="宋体" w:cs="宋体" w:eastAsia="宋体" w:hint="default"/>
          <w:sz w:val="22"/>
          <w:szCs w:val="22"/>
        </w:rPr>
        <w:t>实际税负超过</w:t>
      </w:r>
      <w:r>
        <w:rPr>
          <w:rFonts w:ascii="Times New Roman" w:hAnsi="Times New Roman" w:cs="Times New Roman" w:eastAsia="Times New Roman" w:hint="default"/>
          <w:sz w:val="22"/>
          <w:szCs w:val="22"/>
        </w:rPr>
        <w:t>3%</w:t>
      </w:r>
      <w:r>
        <w:rPr>
          <w:rFonts w:ascii="宋体" w:hAnsi="宋体" w:cs="宋体" w:eastAsia="宋体" w:hint="default"/>
          <w:sz w:val="22"/>
          <w:szCs w:val="22"/>
        </w:rPr>
        <w:t>的部分实行即征即退政策。</w:t>
      </w:r>
    </w:p>
    <w:p>
      <w:pPr>
        <w:spacing w:line="240" w:lineRule="auto" w:before="2"/>
        <w:rPr>
          <w:rFonts w:ascii="宋体" w:hAnsi="宋体" w:cs="宋体" w:eastAsia="宋体" w:hint="default"/>
          <w:sz w:val="18"/>
          <w:szCs w:val="18"/>
        </w:rPr>
      </w:pPr>
    </w:p>
    <w:p>
      <w:pPr>
        <w:spacing w:line="247"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）根据科技部、财政部、国家税务总局《高新技术企业认定管理办法》（国科发火〔</w:t>
      </w:r>
      <w:r>
        <w:rPr>
          <w:rFonts w:ascii="Times New Roman" w:hAnsi="Times New Roman" w:cs="Times New Roman" w:eastAsia="Times New Roman" w:hint="default"/>
          <w:sz w:val="22"/>
          <w:szCs w:val="22"/>
        </w:rPr>
        <w:t>2008</w:t>
      </w:r>
      <w:r>
        <w:rPr>
          <w:rFonts w:ascii="宋体" w:hAnsi="宋体" w:cs="宋体" w:eastAsia="宋体" w:hint="default"/>
          <w:sz w:val="22"/>
          <w:szCs w:val="22"/>
        </w:rPr>
        <w:t>〕</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172</w:t>
      </w:r>
      <w:r>
        <w:rPr>
          <w:rFonts w:ascii="宋体" w:hAnsi="宋体" w:cs="宋体" w:eastAsia="宋体" w:hint="default"/>
          <w:sz w:val="22"/>
          <w:szCs w:val="22"/>
        </w:rPr>
        <w:t>号）和《高新技术企业认定管理工作指引》（国科发火</w:t>
      </w:r>
      <w:r>
        <w:rPr>
          <w:rFonts w:ascii="Times New Roman" w:hAnsi="Times New Roman" w:cs="Times New Roman" w:eastAsia="Times New Roman" w:hint="default"/>
          <w:sz w:val="22"/>
          <w:szCs w:val="22"/>
        </w:rPr>
        <w:t>[2008]362</w:t>
      </w:r>
      <w:r>
        <w:rPr>
          <w:rFonts w:ascii="宋体" w:hAnsi="宋体" w:cs="宋体" w:eastAsia="宋体" w:hint="default"/>
          <w:sz w:val="22"/>
          <w:szCs w:val="22"/>
        </w:rPr>
        <w:t>号）的规定，本公司之子公司依</w:t>
      </w:r>
      <w:r>
        <w:rPr>
          <w:rFonts w:ascii="宋体" w:hAnsi="宋体" w:cs="宋体" w:eastAsia="宋体" w:hint="default"/>
          <w:spacing w:val="-79"/>
          <w:sz w:val="22"/>
          <w:szCs w:val="22"/>
        </w:rPr>
        <w:t> </w:t>
      </w:r>
      <w:r>
        <w:rPr>
          <w:rFonts w:ascii="宋体" w:hAnsi="宋体" w:cs="宋体" w:eastAsia="宋体" w:hint="default"/>
          <w:sz w:val="22"/>
          <w:szCs w:val="22"/>
        </w:rPr>
        <w:t>米康智能于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10</w:t>
      </w:r>
      <w:r>
        <w:rPr>
          <w:rFonts w:ascii="宋体" w:hAnsi="宋体" w:cs="宋体" w:eastAsia="宋体" w:hint="default"/>
          <w:sz w:val="22"/>
          <w:szCs w:val="22"/>
        </w:rPr>
        <w:t>月</w:t>
      </w:r>
      <w:r>
        <w:rPr>
          <w:rFonts w:ascii="Times New Roman" w:hAnsi="Times New Roman" w:cs="Times New Roman" w:eastAsia="Times New Roman" w:hint="default"/>
          <w:sz w:val="22"/>
          <w:szCs w:val="22"/>
        </w:rPr>
        <w:t>29</w:t>
      </w:r>
      <w:r>
        <w:rPr>
          <w:rFonts w:ascii="宋体" w:hAnsi="宋体" w:cs="宋体" w:eastAsia="宋体" w:hint="default"/>
          <w:sz w:val="22"/>
          <w:szCs w:val="22"/>
        </w:rPr>
        <w:t>日再次取得高新技术企业证书，证书编号为</w:t>
      </w:r>
      <w:r>
        <w:rPr>
          <w:rFonts w:ascii="Times New Roman" w:hAnsi="Times New Roman" w:cs="Times New Roman" w:eastAsia="Times New Roman" w:hint="default"/>
          <w:sz w:val="22"/>
          <w:szCs w:val="22"/>
        </w:rPr>
        <w:t>GR201861000639</w:t>
      </w:r>
      <w:r>
        <w:rPr>
          <w:rFonts w:ascii="宋体" w:hAnsi="宋体" w:cs="宋体" w:eastAsia="宋体" w:hint="default"/>
          <w:sz w:val="22"/>
          <w:szCs w:val="22"/>
        </w:rPr>
        <w:t>，有效期</w:t>
      </w:r>
      <w:r>
        <w:rPr>
          <w:rFonts w:ascii="Times New Roman" w:hAnsi="Times New Roman" w:cs="Times New Roman" w:eastAsia="Times New Roman" w:hint="default"/>
          <w:sz w:val="22"/>
          <w:szCs w:val="22"/>
        </w:rPr>
        <w:t>3</w:t>
      </w:r>
      <w:r>
        <w:rPr>
          <w:rFonts w:ascii="宋体" w:hAnsi="宋体" w:cs="宋体" w:eastAsia="宋体" w:hint="default"/>
          <w:sz w:val="22"/>
          <w:szCs w:val="22"/>
        </w:rPr>
        <w:t>年。</w:t>
      </w:r>
      <w:r>
        <w:rPr>
          <w:rFonts w:ascii="宋体" w:hAnsi="宋体" w:cs="宋体" w:eastAsia="宋体" w:hint="default"/>
          <w:spacing w:val="-23"/>
          <w:sz w:val="22"/>
          <w:szCs w:val="22"/>
        </w:rPr>
        <w:t> </w:t>
      </w:r>
      <w:r>
        <w:rPr>
          <w:rFonts w:ascii="宋体" w:hAnsi="宋体" w:cs="宋体" w:eastAsia="宋体" w:hint="default"/>
          <w:sz w:val="22"/>
          <w:szCs w:val="22"/>
        </w:rPr>
        <w:t>根据《中华人民共和国企业所得税法》、《中华人民共和国企业所得税法实施条例》、国家税务总局</w:t>
      </w:r>
    </w:p>
    <w:p>
      <w:pPr>
        <w:spacing w:line="244" w:lineRule="auto" w:before="17"/>
        <w:ind w:left="153" w:right="1123" w:firstLine="0"/>
        <w:jc w:val="both"/>
        <w:rPr>
          <w:rFonts w:ascii="宋体" w:hAnsi="宋体" w:cs="宋体" w:eastAsia="宋体" w:hint="default"/>
          <w:sz w:val="22"/>
          <w:szCs w:val="22"/>
        </w:rPr>
      </w:pPr>
      <w:r>
        <w:rPr>
          <w:rFonts w:ascii="宋体" w:hAnsi="宋体" w:cs="宋体" w:eastAsia="宋体" w:hint="default"/>
          <w:spacing w:val="-3"/>
          <w:sz w:val="22"/>
          <w:szCs w:val="22"/>
        </w:rPr>
        <w:t>《关于实施高新技术企业所得税优惠有关问题的通知》（国税函</w:t>
      </w:r>
      <w:r>
        <w:rPr>
          <w:rFonts w:ascii="Times New Roman" w:hAnsi="Times New Roman" w:cs="Times New Roman" w:eastAsia="Times New Roman" w:hint="default"/>
          <w:spacing w:val="-3"/>
          <w:sz w:val="22"/>
          <w:szCs w:val="22"/>
        </w:rPr>
        <w:t>[2009]203</w:t>
      </w:r>
      <w:r>
        <w:rPr>
          <w:rFonts w:ascii="宋体" w:hAnsi="宋体" w:cs="宋体" w:eastAsia="宋体" w:hint="default"/>
          <w:spacing w:val="-3"/>
          <w:sz w:val="22"/>
          <w:szCs w:val="22"/>
        </w:rPr>
        <w:t>号）的规定，依米康智能可</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pacing w:val="-1"/>
          <w:sz w:val="22"/>
          <w:szCs w:val="22"/>
        </w:rPr>
        <w:t>享受高新技术企业税收优惠，因此在编制本年财务报表时暂按</w:t>
      </w:r>
      <w:r>
        <w:rPr>
          <w:rFonts w:ascii="Times New Roman" w:hAnsi="Times New Roman" w:cs="Times New Roman" w:eastAsia="Times New Roman" w:hint="default"/>
          <w:spacing w:val="-1"/>
          <w:sz w:val="22"/>
          <w:szCs w:val="22"/>
        </w:rPr>
        <w:t>15%</w:t>
      </w:r>
      <w:r>
        <w:rPr>
          <w:rFonts w:ascii="宋体" w:hAnsi="宋体" w:cs="宋体" w:eastAsia="宋体" w:hint="default"/>
          <w:spacing w:val="-1"/>
          <w:sz w:val="22"/>
          <w:szCs w:val="22"/>
        </w:rPr>
        <w:t>的税率计提企业所得税，上述税收</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优惠尚需由税务机关最终核定。</w:t>
      </w:r>
    </w:p>
    <w:p>
      <w:pPr>
        <w:spacing w:line="240" w:lineRule="auto" w:before="11"/>
        <w:rPr>
          <w:rFonts w:ascii="宋体" w:hAnsi="宋体" w:cs="宋体" w:eastAsia="宋体" w:hint="default"/>
          <w:sz w:val="19"/>
          <w:szCs w:val="19"/>
        </w:rPr>
      </w:pPr>
    </w:p>
    <w:p>
      <w:pPr>
        <w:spacing w:line="247" w:lineRule="auto" w:before="0"/>
        <w:ind w:left="153" w:right="1122" w:firstLine="441"/>
        <w:jc w:val="both"/>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4</w:t>
      </w:r>
      <w:r>
        <w:rPr>
          <w:rFonts w:ascii="宋体" w:hAnsi="宋体" w:cs="宋体" w:eastAsia="宋体" w:hint="default"/>
          <w:sz w:val="22"/>
          <w:szCs w:val="22"/>
        </w:rPr>
        <w:t>）根据科技部、财政部、国家税务总局《高新技术企业认定管理办法》（国科发火〔</w:t>
      </w:r>
      <w:r>
        <w:rPr>
          <w:rFonts w:ascii="Times New Roman" w:hAnsi="Times New Roman" w:cs="Times New Roman" w:eastAsia="Times New Roman" w:hint="default"/>
          <w:sz w:val="22"/>
          <w:szCs w:val="22"/>
        </w:rPr>
        <w:t>2008</w:t>
      </w:r>
      <w:r>
        <w:rPr>
          <w:rFonts w:ascii="宋体" w:hAnsi="宋体" w:cs="宋体" w:eastAsia="宋体" w:hint="default"/>
          <w:sz w:val="22"/>
          <w:szCs w:val="22"/>
        </w:rPr>
        <w:t>〕</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172</w:t>
      </w:r>
      <w:r>
        <w:rPr>
          <w:rFonts w:ascii="宋体" w:hAnsi="宋体" w:cs="宋体" w:eastAsia="宋体" w:hint="default"/>
          <w:sz w:val="22"/>
          <w:szCs w:val="22"/>
        </w:rPr>
        <w:t>号）和《高新技术企业认定管理工作指引》（国科发火</w:t>
      </w:r>
      <w:r>
        <w:rPr>
          <w:rFonts w:ascii="Times New Roman" w:hAnsi="Times New Roman" w:cs="Times New Roman" w:eastAsia="Times New Roman" w:hint="default"/>
          <w:sz w:val="22"/>
          <w:szCs w:val="22"/>
        </w:rPr>
        <w:t>[2008]362</w:t>
      </w:r>
      <w:r>
        <w:rPr>
          <w:rFonts w:ascii="宋体" w:hAnsi="宋体" w:cs="宋体" w:eastAsia="宋体" w:hint="default"/>
          <w:sz w:val="22"/>
          <w:szCs w:val="22"/>
        </w:rPr>
        <w:t>号）的规定，本公司之控股子公</w:t>
      </w:r>
      <w:r>
        <w:rPr>
          <w:rFonts w:ascii="宋体" w:hAnsi="宋体" w:cs="宋体" w:eastAsia="宋体" w:hint="default"/>
          <w:spacing w:val="-79"/>
          <w:sz w:val="22"/>
          <w:szCs w:val="22"/>
        </w:rPr>
        <w:t> </w:t>
      </w:r>
      <w:r>
        <w:rPr>
          <w:rFonts w:ascii="宋体" w:hAnsi="宋体" w:cs="宋体" w:eastAsia="宋体" w:hint="default"/>
          <w:sz w:val="22"/>
          <w:szCs w:val="22"/>
        </w:rPr>
        <w:t>司江苏亿金于</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10</w:t>
      </w:r>
      <w:r>
        <w:rPr>
          <w:rFonts w:ascii="宋体" w:hAnsi="宋体" w:cs="宋体" w:eastAsia="宋体" w:hint="default"/>
          <w:sz w:val="22"/>
          <w:szCs w:val="22"/>
        </w:rPr>
        <w:t>月</w:t>
      </w:r>
      <w:r>
        <w:rPr>
          <w:rFonts w:ascii="Times New Roman" w:hAnsi="Times New Roman" w:cs="Times New Roman" w:eastAsia="Times New Roman" w:hint="default"/>
          <w:sz w:val="22"/>
          <w:szCs w:val="22"/>
        </w:rPr>
        <w:t>24</w:t>
      </w:r>
      <w:r>
        <w:rPr>
          <w:rFonts w:ascii="宋体" w:hAnsi="宋体" w:cs="宋体" w:eastAsia="宋体" w:hint="default"/>
          <w:sz w:val="22"/>
          <w:szCs w:val="22"/>
        </w:rPr>
        <w:t>日再次取得《高新技术企业证书》，证书编号为</w:t>
      </w:r>
      <w:r>
        <w:rPr>
          <w:rFonts w:ascii="Times New Roman" w:hAnsi="Times New Roman" w:cs="Times New Roman" w:eastAsia="Times New Roman" w:hint="default"/>
          <w:sz w:val="22"/>
          <w:szCs w:val="22"/>
        </w:rPr>
        <w:t>GR201832001180</w:t>
      </w:r>
      <w:r>
        <w:rPr>
          <w:rFonts w:ascii="宋体" w:hAnsi="宋体" w:cs="宋体" w:eastAsia="宋体" w:hint="default"/>
          <w:sz w:val="22"/>
          <w:szCs w:val="22"/>
        </w:rPr>
        <w:t>，认定</w:t>
      </w:r>
      <w:r>
        <w:rPr>
          <w:rFonts w:ascii="宋体" w:hAnsi="宋体" w:cs="宋体" w:eastAsia="宋体" w:hint="default"/>
          <w:spacing w:val="-23"/>
          <w:sz w:val="22"/>
          <w:szCs w:val="22"/>
        </w:rPr>
        <w:t> </w:t>
      </w:r>
      <w:r>
        <w:rPr>
          <w:rFonts w:ascii="宋体" w:hAnsi="宋体" w:cs="宋体" w:eastAsia="宋体" w:hint="default"/>
          <w:spacing w:val="-23"/>
          <w:sz w:val="22"/>
          <w:szCs w:val="22"/>
        </w:rPr>
      </w:r>
      <w:r>
        <w:rPr>
          <w:rFonts w:ascii="宋体" w:hAnsi="宋体" w:cs="宋体" w:eastAsia="宋体" w:hint="default"/>
          <w:spacing w:val="-2"/>
          <w:sz w:val="22"/>
          <w:szCs w:val="22"/>
        </w:rPr>
        <w:t>有效期三年。根据《中华人民共和国所得税法》、《中华人民共和国企业所得税法实施条例》、国家</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3"/>
          <w:sz w:val="22"/>
          <w:szCs w:val="22"/>
        </w:rPr>
        <w:t>税务总局《关于实施高新技术企业所得税优惠有关问题的通知》（国税函</w:t>
      </w:r>
      <w:r>
        <w:rPr>
          <w:rFonts w:ascii="Times New Roman" w:hAnsi="Times New Roman" w:cs="Times New Roman" w:eastAsia="Times New Roman" w:hint="default"/>
          <w:spacing w:val="-3"/>
          <w:sz w:val="22"/>
          <w:szCs w:val="22"/>
        </w:rPr>
        <w:t>[2009]203</w:t>
      </w:r>
      <w:r>
        <w:rPr>
          <w:rFonts w:ascii="宋体" w:hAnsi="宋体" w:cs="宋体" w:eastAsia="宋体" w:hint="default"/>
          <w:spacing w:val="-3"/>
          <w:sz w:val="22"/>
          <w:szCs w:val="22"/>
        </w:rPr>
        <w:t>号）的规定，江苏</w:t>
      </w:r>
      <w:r>
        <w:rPr>
          <w:rFonts w:ascii="宋体" w:hAnsi="宋体" w:cs="宋体" w:eastAsia="宋体" w:hint="default"/>
          <w:spacing w:val="-39"/>
          <w:sz w:val="22"/>
          <w:szCs w:val="22"/>
        </w:rPr>
        <w:t> </w:t>
      </w:r>
      <w:r>
        <w:rPr>
          <w:rFonts w:ascii="宋体" w:hAnsi="宋体" w:cs="宋体" w:eastAsia="宋体" w:hint="default"/>
          <w:spacing w:val="-39"/>
          <w:sz w:val="22"/>
          <w:szCs w:val="22"/>
        </w:rPr>
      </w:r>
      <w:r>
        <w:rPr>
          <w:rFonts w:ascii="宋体" w:hAnsi="宋体" w:cs="宋体" w:eastAsia="宋体" w:hint="default"/>
          <w:spacing w:val="-1"/>
          <w:sz w:val="22"/>
          <w:szCs w:val="22"/>
        </w:rPr>
        <w:t>亿金可享受高新技术企业税收优惠，因此在编制本年财务报表时暂按</w:t>
      </w:r>
      <w:r>
        <w:rPr>
          <w:rFonts w:ascii="Times New Roman" w:hAnsi="Times New Roman" w:cs="Times New Roman" w:eastAsia="Times New Roman" w:hint="default"/>
          <w:spacing w:val="-1"/>
          <w:sz w:val="22"/>
          <w:szCs w:val="22"/>
        </w:rPr>
        <w:t>15%</w:t>
      </w:r>
      <w:r>
        <w:rPr>
          <w:rFonts w:ascii="宋体" w:hAnsi="宋体" w:cs="宋体" w:eastAsia="宋体" w:hint="default"/>
          <w:spacing w:val="-1"/>
          <w:sz w:val="22"/>
          <w:szCs w:val="22"/>
        </w:rPr>
        <w:t>的税率计提企业所得税，上</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述税收优惠尚需由税务机关最终核定。</w:t>
      </w:r>
    </w:p>
    <w:p>
      <w:pPr>
        <w:spacing w:line="240" w:lineRule="auto" w:before="9"/>
        <w:rPr>
          <w:rFonts w:ascii="宋体" w:hAnsi="宋体" w:cs="宋体" w:eastAsia="宋体" w:hint="default"/>
          <w:sz w:val="19"/>
          <w:szCs w:val="19"/>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依据《财政部、国家税务总局、海关总署关于鼓励软件产业和集成电路产业发展有关税收政策问</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44" w:lineRule="auto" w:before="32"/>
        <w:ind w:left="153" w:right="1123" w:firstLine="0"/>
        <w:jc w:val="both"/>
        <w:rPr>
          <w:rFonts w:ascii="宋体" w:hAnsi="宋体" w:cs="宋体" w:eastAsia="宋体" w:hint="default"/>
          <w:sz w:val="22"/>
          <w:szCs w:val="22"/>
        </w:rPr>
      </w:pPr>
      <w:r>
        <w:rPr>
          <w:rFonts w:ascii="宋体" w:hAnsi="宋体" w:cs="宋体" w:eastAsia="宋体" w:hint="default"/>
          <w:spacing w:val="3"/>
          <w:sz w:val="22"/>
          <w:szCs w:val="22"/>
        </w:rPr>
        <w:t>题的通知》（财税</w:t>
      </w:r>
      <w:r>
        <w:rPr>
          <w:rFonts w:ascii="Times New Roman" w:hAnsi="Times New Roman" w:cs="Times New Roman" w:eastAsia="Times New Roman" w:hint="default"/>
          <w:spacing w:val="3"/>
          <w:sz w:val="22"/>
          <w:szCs w:val="22"/>
        </w:rPr>
        <w:t>[2000]25</w:t>
      </w:r>
      <w:r>
        <w:rPr>
          <w:rFonts w:ascii="宋体" w:hAnsi="宋体" w:cs="宋体" w:eastAsia="宋体" w:hint="default"/>
          <w:spacing w:val="3"/>
          <w:sz w:val="22"/>
          <w:szCs w:val="22"/>
        </w:rPr>
        <w:t>号）及《财政部国家税务总局关于软件产品增值税政策的通知》（财税</w:t>
      </w:r>
      <w:r>
        <w:rPr>
          <w:rFonts w:ascii="宋体" w:hAnsi="宋体" w:cs="宋体" w:eastAsia="宋体" w:hint="default"/>
          <w:spacing w:val="-39"/>
          <w:sz w:val="22"/>
          <w:szCs w:val="22"/>
        </w:rPr>
        <w:t> </w:t>
      </w:r>
      <w:r>
        <w:rPr>
          <w:rFonts w:ascii="宋体" w:hAnsi="宋体" w:cs="宋体" w:eastAsia="宋体" w:hint="default"/>
          <w:spacing w:val="-39"/>
          <w:sz w:val="22"/>
          <w:szCs w:val="22"/>
        </w:rPr>
      </w:r>
      <w:r>
        <w:rPr>
          <w:rFonts w:ascii="Times New Roman" w:hAnsi="Times New Roman" w:cs="Times New Roman" w:eastAsia="Times New Roman" w:hint="default"/>
          <w:spacing w:val="-6"/>
          <w:w w:val="100"/>
          <w:sz w:val="22"/>
          <w:szCs w:val="22"/>
        </w:rPr>
        <w:t>[2011]100</w:t>
      </w:r>
      <w:r>
        <w:rPr>
          <w:rFonts w:ascii="宋体" w:hAnsi="宋体" w:cs="宋体" w:eastAsia="宋体" w:hint="default"/>
          <w:spacing w:val="-6"/>
          <w:w w:val="100"/>
          <w:sz w:val="22"/>
          <w:szCs w:val="22"/>
        </w:rPr>
        <w:t>号）的规定，增值税一般纳税人销售其自行开发生产的软件产品，按</w:t>
      </w:r>
      <w:r>
        <w:rPr>
          <w:rFonts w:ascii="Times New Roman" w:hAnsi="Times New Roman" w:cs="Times New Roman" w:eastAsia="Times New Roman" w:hint="default"/>
          <w:spacing w:val="-6"/>
          <w:w w:val="100"/>
          <w:sz w:val="22"/>
          <w:szCs w:val="22"/>
        </w:rPr>
        <w:t>13%</w:t>
      </w:r>
      <w:r>
        <w:rPr>
          <w:rFonts w:ascii="宋体" w:hAnsi="宋体" w:cs="宋体" w:eastAsia="宋体" w:hint="default"/>
          <w:spacing w:val="-6"/>
          <w:w w:val="100"/>
          <w:sz w:val="22"/>
          <w:szCs w:val="22"/>
        </w:rPr>
        <w:t>税率征收增值税后，</w:t>
      </w:r>
      <w:r>
        <w:rPr>
          <w:rFonts w:ascii="宋体" w:hAnsi="宋体" w:cs="宋体" w:eastAsia="宋体" w:hint="default"/>
          <w:w w:val="100"/>
          <w:sz w:val="22"/>
          <w:szCs w:val="22"/>
        </w:rPr>
        <w:t> </w:t>
      </w:r>
      <w:r>
        <w:rPr>
          <w:rFonts w:ascii="宋体" w:hAnsi="宋体" w:cs="宋体" w:eastAsia="宋体" w:hint="default"/>
          <w:sz w:val="22"/>
          <w:szCs w:val="22"/>
        </w:rPr>
        <w:t>对其增值税实际税负超过</w:t>
      </w:r>
      <w:r>
        <w:rPr>
          <w:rFonts w:ascii="Times New Roman" w:hAnsi="Times New Roman" w:cs="Times New Roman" w:eastAsia="Times New Roman" w:hint="default"/>
          <w:sz w:val="22"/>
          <w:szCs w:val="22"/>
        </w:rPr>
        <w:t>3%</w:t>
      </w:r>
      <w:r>
        <w:rPr>
          <w:rFonts w:ascii="宋体" w:hAnsi="宋体" w:cs="宋体" w:eastAsia="宋体" w:hint="default"/>
          <w:sz w:val="22"/>
          <w:szCs w:val="22"/>
        </w:rPr>
        <w:t>的部分实行即征即退政策。江苏亿金于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9</w:t>
      </w:r>
      <w:r>
        <w:rPr>
          <w:rFonts w:ascii="宋体" w:hAnsi="宋体" w:cs="宋体" w:eastAsia="宋体" w:hint="default"/>
          <w:sz w:val="22"/>
          <w:szCs w:val="22"/>
        </w:rPr>
        <w:t>日取得编号为软著登</w:t>
      </w:r>
      <w:r>
        <w:rPr>
          <w:rFonts w:ascii="宋体" w:hAnsi="宋体" w:cs="宋体" w:eastAsia="宋体" w:hint="default"/>
          <w:spacing w:val="-9"/>
          <w:sz w:val="22"/>
          <w:szCs w:val="22"/>
        </w:rPr>
        <w:t> </w:t>
      </w:r>
      <w:r>
        <w:rPr>
          <w:rFonts w:ascii="宋体" w:hAnsi="宋体" w:cs="宋体" w:eastAsia="宋体" w:hint="default"/>
          <w:spacing w:val="-9"/>
          <w:sz w:val="22"/>
          <w:szCs w:val="22"/>
        </w:rPr>
      </w:r>
      <w:r>
        <w:rPr>
          <w:rFonts w:ascii="宋体" w:hAnsi="宋体" w:cs="宋体" w:eastAsia="宋体" w:hint="default"/>
          <w:spacing w:val="-2"/>
          <w:sz w:val="22"/>
          <w:szCs w:val="22"/>
        </w:rPr>
        <w:t>字第</w:t>
      </w:r>
      <w:r>
        <w:rPr>
          <w:rFonts w:ascii="Times New Roman" w:hAnsi="Times New Roman" w:cs="Times New Roman" w:eastAsia="Times New Roman" w:hint="default"/>
          <w:spacing w:val="-2"/>
          <w:sz w:val="22"/>
          <w:szCs w:val="22"/>
        </w:rPr>
        <w:t>3867319</w:t>
      </w:r>
      <w:r>
        <w:rPr>
          <w:rFonts w:ascii="宋体" w:hAnsi="宋体" w:cs="宋体" w:eastAsia="宋体" w:hint="default"/>
          <w:spacing w:val="-2"/>
          <w:sz w:val="22"/>
          <w:szCs w:val="22"/>
        </w:rPr>
        <w:t>号的湿电设备嵌入式控制软件著作权登记证书、编号为软著登字第</w:t>
      </w:r>
      <w:r>
        <w:rPr>
          <w:rFonts w:ascii="Times New Roman" w:hAnsi="Times New Roman" w:cs="Times New Roman" w:eastAsia="Times New Roman" w:hint="default"/>
          <w:spacing w:val="-2"/>
          <w:sz w:val="22"/>
          <w:szCs w:val="22"/>
        </w:rPr>
        <w:t>3867323</w:t>
      </w:r>
      <w:r>
        <w:rPr>
          <w:rFonts w:ascii="宋体" w:hAnsi="宋体" w:cs="宋体" w:eastAsia="宋体" w:hint="default"/>
          <w:spacing w:val="-2"/>
          <w:sz w:val="22"/>
          <w:szCs w:val="22"/>
        </w:rPr>
        <w:t>号的脱硫设备</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2"/>
          <w:sz w:val="22"/>
          <w:szCs w:val="22"/>
        </w:rPr>
        <w:t>嵌入式控制软件著作权登记证书，于</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5</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10</w:t>
      </w:r>
      <w:r>
        <w:rPr>
          <w:rFonts w:ascii="宋体" w:hAnsi="宋体" w:cs="宋体" w:eastAsia="宋体" w:hint="default"/>
          <w:spacing w:val="-2"/>
          <w:sz w:val="22"/>
          <w:szCs w:val="22"/>
        </w:rPr>
        <w:t>日取得编号为软著登字第</w:t>
      </w:r>
      <w:r>
        <w:rPr>
          <w:rFonts w:ascii="Times New Roman" w:hAnsi="Times New Roman" w:cs="Times New Roman" w:eastAsia="Times New Roman" w:hint="default"/>
          <w:spacing w:val="-2"/>
          <w:sz w:val="22"/>
          <w:szCs w:val="22"/>
        </w:rPr>
        <w:t>3869518</w:t>
      </w:r>
      <w:r>
        <w:rPr>
          <w:rFonts w:ascii="宋体" w:hAnsi="宋体" w:cs="宋体" w:eastAsia="宋体" w:hint="default"/>
          <w:spacing w:val="-2"/>
          <w:sz w:val="22"/>
          <w:szCs w:val="22"/>
        </w:rPr>
        <w:t>号的除尘设备嵌入</w:t>
      </w:r>
      <w:r>
        <w:rPr>
          <w:rFonts w:ascii="宋体" w:hAnsi="宋体" w:cs="宋体" w:eastAsia="宋体" w:hint="default"/>
          <w:spacing w:val="-49"/>
          <w:sz w:val="22"/>
          <w:szCs w:val="22"/>
        </w:rPr>
        <w:t> </w:t>
      </w:r>
      <w:r>
        <w:rPr>
          <w:rFonts w:ascii="宋体" w:hAnsi="宋体" w:cs="宋体" w:eastAsia="宋体" w:hint="default"/>
          <w:spacing w:val="-49"/>
          <w:sz w:val="22"/>
          <w:szCs w:val="22"/>
        </w:rPr>
      </w:r>
      <w:r>
        <w:rPr>
          <w:rFonts w:ascii="宋体" w:hAnsi="宋体" w:cs="宋体" w:eastAsia="宋体" w:hint="default"/>
          <w:spacing w:val="-2"/>
          <w:sz w:val="22"/>
          <w:szCs w:val="22"/>
        </w:rPr>
        <w:t>式控制软件著作权登记证书，于</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5</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15</w:t>
      </w:r>
      <w:r>
        <w:rPr>
          <w:rFonts w:ascii="宋体" w:hAnsi="宋体" w:cs="宋体" w:eastAsia="宋体" w:hint="default"/>
          <w:spacing w:val="-2"/>
          <w:sz w:val="22"/>
          <w:szCs w:val="22"/>
        </w:rPr>
        <w:t>日取得编号为软著登字第</w:t>
      </w:r>
      <w:r>
        <w:rPr>
          <w:rFonts w:ascii="Times New Roman" w:hAnsi="Times New Roman" w:cs="Times New Roman" w:eastAsia="Times New Roman" w:hint="default"/>
          <w:spacing w:val="-2"/>
          <w:sz w:val="22"/>
          <w:szCs w:val="22"/>
        </w:rPr>
        <w:t>3887204</w:t>
      </w:r>
      <w:r>
        <w:rPr>
          <w:rFonts w:ascii="宋体" w:hAnsi="宋体" w:cs="宋体" w:eastAsia="宋体" w:hint="default"/>
          <w:spacing w:val="-2"/>
          <w:sz w:val="22"/>
          <w:szCs w:val="22"/>
        </w:rPr>
        <w:t>号的脱硝设备嵌入式控</w:t>
      </w:r>
      <w:r>
        <w:rPr>
          <w:rFonts w:ascii="宋体" w:hAnsi="宋体" w:cs="宋体" w:eastAsia="宋体" w:hint="default"/>
          <w:spacing w:val="-51"/>
          <w:sz w:val="22"/>
          <w:szCs w:val="22"/>
        </w:rPr>
        <w:t> </w:t>
      </w:r>
      <w:r>
        <w:rPr>
          <w:rFonts w:ascii="宋体" w:hAnsi="宋体" w:cs="宋体" w:eastAsia="宋体" w:hint="default"/>
          <w:spacing w:val="-51"/>
          <w:sz w:val="22"/>
          <w:szCs w:val="22"/>
        </w:rPr>
      </w:r>
      <w:r>
        <w:rPr>
          <w:rFonts w:ascii="宋体" w:hAnsi="宋体" w:cs="宋体" w:eastAsia="宋体" w:hint="default"/>
          <w:spacing w:val="-1"/>
          <w:sz w:val="22"/>
          <w:szCs w:val="22"/>
        </w:rPr>
        <w:t>制软件著作权登记证书，江苏亿金软件销售收入享受按</w:t>
      </w:r>
      <w:r>
        <w:rPr>
          <w:rFonts w:ascii="Times New Roman" w:hAnsi="Times New Roman" w:cs="Times New Roman" w:eastAsia="Times New Roman" w:hint="default"/>
          <w:spacing w:val="-1"/>
          <w:sz w:val="22"/>
          <w:szCs w:val="22"/>
        </w:rPr>
        <w:t>13%</w:t>
      </w:r>
      <w:r>
        <w:rPr>
          <w:rFonts w:ascii="宋体" w:hAnsi="宋体" w:cs="宋体" w:eastAsia="宋体" w:hint="default"/>
          <w:spacing w:val="-1"/>
          <w:sz w:val="22"/>
          <w:szCs w:val="22"/>
        </w:rPr>
        <w:t>税率征收增值税后，对其增值税实际税负</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超过</w:t>
      </w:r>
      <w:r>
        <w:rPr>
          <w:rFonts w:ascii="Times New Roman" w:hAnsi="Times New Roman" w:cs="Times New Roman" w:eastAsia="Times New Roman" w:hint="default"/>
          <w:sz w:val="22"/>
          <w:szCs w:val="22"/>
        </w:rPr>
        <w:t>3%</w:t>
      </w:r>
      <w:r>
        <w:rPr>
          <w:rFonts w:ascii="宋体" w:hAnsi="宋体" w:cs="宋体" w:eastAsia="宋体" w:hint="default"/>
          <w:sz w:val="22"/>
          <w:szCs w:val="22"/>
        </w:rPr>
        <w:t>的部分实行即征即退政策。</w:t>
      </w:r>
    </w:p>
    <w:p>
      <w:pPr>
        <w:spacing w:line="240" w:lineRule="auto" w:before="7"/>
        <w:rPr>
          <w:rFonts w:ascii="宋体" w:hAnsi="宋体" w:cs="宋体" w:eastAsia="宋体" w:hint="default"/>
          <w:sz w:val="18"/>
          <w:szCs w:val="18"/>
        </w:rPr>
      </w:pPr>
    </w:p>
    <w:p>
      <w:pPr>
        <w:spacing w:line="244" w:lineRule="auto" w:before="0"/>
        <w:ind w:left="153" w:right="0" w:firstLine="441"/>
        <w:jc w:val="left"/>
        <w:rPr>
          <w:rFonts w:ascii="宋体" w:hAnsi="宋体" w:cs="宋体" w:eastAsia="宋体" w:hint="default"/>
          <w:sz w:val="22"/>
          <w:szCs w:val="22"/>
        </w:rPr>
      </w:pPr>
      <w:r>
        <w:rPr>
          <w:rFonts w:ascii="宋体" w:hAnsi="宋体" w:cs="宋体" w:eastAsia="宋体" w:hint="default"/>
          <w:spacing w:val="-6"/>
          <w:w w:val="100"/>
          <w:sz w:val="22"/>
          <w:szCs w:val="22"/>
        </w:rPr>
        <w:t>（</w:t>
      </w:r>
      <w:r>
        <w:rPr>
          <w:rFonts w:ascii="Times New Roman" w:hAnsi="Times New Roman" w:cs="Times New Roman" w:eastAsia="Times New Roman" w:hint="default"/>
          <w:spacing w:val="-6"/>
          <w:w w:val="100"/>
          <w:sz w:val="22"/>
          <w:szCs w:val="22"/>
        </w:rPr>
        <w:t>5</w:t>
      </w:r>
      <w:r>
        <w:rPr>
          <w:rFonts w:ascii="宋体" w:hAnsi="宋体" w:cs="宋体" w:eastAsia="宋体" w:hint="default"/>
          <w:spacing w:val="-6"/>
          <w:w w:val="100"/>
          <w:sz w:val="22"/>
          <w:szCs w:val="22"/>
        </w:rPr>
        <w:t>）本公司之子公司依米康软件公司于</w:t>
      </w:r>
      <w:r>
        <w:rPr>
          <w:rFonts w:ascii="Times New Roman" w:hAnsi="Times New Roman" w:cs="Times New Roman" w:eastAsia="Times New Roman" w:hint="default"/>
          <w:spacing w:val="-6"/>
          <w:w w:val="100"/>
          <w:sz w:val="22"/>
          <w:szCs w:val="22"/>
        </w:rPr>
        <w:t>2016</w:t>
      </w:r>
      <w:r>
        <w:rPr>
          <w:rFonts w:ascii="宋体" w:hAnsi="宋体" w:cs="宋体" w:eastAsia="宋体" w:hint="default"/>
          <w:spacing w:val="-6"/>
          <w:w w:val="100"/>
          <w:sz w:val="22"/>
          <w:szCs w:val="22"/>
        </w:rPr>
        <w:t>年</w:t>
      </w:r>
      <w:r>
        <w:rPr>
          <w:rFonts w:ascii="Times New Roman" w:hAnsi="Times New Roman" w:cs="Times New Roman" w:eastAsia="Times New Roman" w:hint="default"/>
          <w:spacing w:val="-6"/>
          <w:w w:val="100"/>
          <w:sz w:val="22"/>
          <w:szCs w:val="22"/>
        </w:rPr>
        <w:t>5</w:t>
      </w:r>
      <w:r>
        <w:rPr>
          <w:rFonts w:ascii="宋体" w:hAnsi="宋体" w:cs="宋体" w:eastAsia="宋体" w:hint="default"/>
          <w:spacing w:val="-6"/>
          <w:w w:val="100"/>
          <w:sz w:val="22"/>
          <w:szCs w:val="22"/>
        </w:rPr>
        <w:t>月</w:t>
      </w:r>
      <w:r>
        <w:rPr>
          <w:rFonts w:ascii="Times New Roman" w:hAnsi="Times New Roman" w:cs="Times New Roman" w:eastAsia="Times New Roman" w:hint="default"/>
          <w:spacing w:val="-6"/>
          <w:w w:val="100"/>
          <w:sz w:val="22"/>
          <w:szCs w:val="22"/>
        </w:rPr>
        <w:t>25</w:t>
      </w:r>
      <w:r>
        <w:rPr>
          <w:rFonts w:ascii="宋体" w:hAnsi="宋体" w:cs="宋体" w:eastAsia="宋体" w:hint="default"/>
          <w:spacing w:val="-6"/>
          <w:w w:val="100"/>
          <w:sz w:val="22"/>
          <w:szCs w:val="22"/>
        </w:rPr>
        <w:t>日通过软件企业认证，取得［川</w:t>
      </w:r>
      <w:r>
        <w:rPr>
          <w:rFonts w:ascii="Times New Roman" w:hAnsi="Times New Roman" w:cs="Times New Roman" w:eastAsia="Times New Roman" w:hint="default"/>
          <w:spacing w:val="-6"/>
          <w:w w:val="100"/>
          <w:sz w:val="22"/>
          <w:szCs w:val="22"/>
        </w:rPr>
        <w:t>RQ-2016-0005</w:t>
      </w:r>
      <w:r>
        <w:rPr>
          <w:rFonts w:ascii="宋体" w:hAnsi="宋体" w:cs="宋体" w:eastAsia="宋体" w:hint="default"/>
          <w:spacing w:val="-6"/>
          <w:w w:val="100"/>
          <w:sz w:val="22"/>
          <w:szCs w:val="22"/>
        </w:rPr>
        <w:t>］</w:t>
      </w:r>
      <w:r>
        <w:rPr>
          <w:rFonts w:ascii="宋体" w:hAnsi="宋体" w:cs="宋体" w:eastAsia="宋体" w:hint="default"/>
          <w:w w:val="100"/>
          <w:sz w:val="22"/>
          <w:szCs w:val="22"/>
        </w:rPr>
        <w:t> </w:t>
      </w:r>
      <w:r>
        <w:rPr>
          <w:rFonts w:ascii="宋体" w:hAnsi="宋体" w:cs="宋体" w:eastAsia="宋体" w:hint="default"/>
          <w:sz w:val="22"/>
          <w:szCs w:val="22"/>
        </w:rPr>
        <w:t>号《软件企业证书》，依米康软件公司软件销售收入享受按</w:t>
      </w:r>
      <w:r>
        <w:rPr>
          <w:rFonts w:ascii="Times New Roman" w:hAnsi="Times New Roman" w:cs="Times New Roman" w:eastAsia="Times New Roman" w:hint="default"/>
          <w:sz w:val="22"/>
          <w:szCs w:val="22"/>
        </w:rPr>
        <w:t>13%</w:t>
      </w:r>
      <w:r>
        <w:rPr>
          <w:rFonts w:ascii="宋体" w:hAnsi="宋体" w:cs="宋体" w:eastAsia="宋体" w:hint="default"/>
          <w:sz w:val="22"/>
          <w:szCs w:val="22"/>
        </w:rPr>
        <w:t>税率征收增值税后，对其增值税实际</w:t>
      </w:r>
      <w:r>
        <w:rPr>
          <w:rFonts w:ascii="宋体" w:hAnsi="宋体" w:cs="宋体" w:eastAsia="宋体" w:hint="default"/>
          <w:w w:val="100"/>
          <w:sz w:val="22"/>
          <w:szCs w:val="22"/>
        </w:rPr>
        <w:t> </w:t>
      </w:r>
      <w:r>
        <w:rPr>
          <w:rFonts w:ascii="宋体" w:hAnsi="宋体" w:cs="宋体" w:eastAsia="宋体" w:hint="default"/>
          <w:sz w:val="22"/>
          <w:szCs w:val="22"/>
        </w:rPr>
        <w:t>税负超过</w:t>
      </w:r>
      <w:r>
        <w:rPr>
          <w:rFonts w:ascii="Times New Roman" w:hAnsi="Times New Roman" w:cs="Times New Roman" w:eastAsia="Times New Roman" w:hint="default"/>
          <w:sz w:val="22"/>
          <w:szCs w:val="22"/>
        </w:rPr>
        <w:t>3%</w:t>
      </w:r>
      <w:r>
        <w:rPr>
          <w:rFonts w:ascii="宋体" w:hAnsi="宋体" w:cs="宋体" w:eastAsia="宋体" w:hint="default"/>
          <w:sz w:val="22"/>
          <w:szCs w:val="22"/>
        </w:rPr>
        <w:t>的部分实行即征即退政策。</w:t>
      </w:r>
    </w:p>
    <w:p>
      <w:pPr>
        <w:spacing w:line="240" w:lineRule="auto" w:before="7"/>
        <w:rPr>
          <w:rFonts w:ascii="宋体" w:hAnsi="宋体" w:cs="宋体" w:eastAsia="宋体" w:hint="default"/>
          <w:sz w:val="18"/>
          <w:szCs w:val="18"/>
        </w:rPr>
      </w:pPr>
    </w:p>
    <w:p>
      <w:pPr>
        <w:spacing w:line="247" w:lineRule="auto" w:before="0"/>
        <w:ind w:left="153" w:right="0" w:firstLine="441"/>
        <w:jc w:val="left"/>
        <w:rPr>
          <w:rFonts w:ascii="宋体" w:hAnsi="宋体" w:cs="宋体" w:eastAsia="宋体" w:hint="default"/>
          <w:sz w:val="22"/>
          <w:szCs w:val="22"/>
        </w:rPr>
      </w:pPr>
      <w:r>
        <w:rPr>
          <w:rFonts w:ascii="宋体" w:hAnsi="宋体" w:cs="宋体" w:eastAsia="宋体" w:hint="default"/>
          <w:sz w:val="22"/>
          <w:szCs w:val="22"/>
        </w:rPr>
        <w:t>根据依米康软件公司</w:t>
      </w:r>
      <w:r>
        <w:rPr>
          <w:rFonts w:ascii="Times New Roman" w:hAnsi="Times New Roman" w:cs="Times New Roman" w:eastAsia="Times New Roman" w:hint="default"/>
          <w:sz w:val="22"/>
          <w:szCs w:val="22"/>
        </w:rPr>
        <w:t>2016</w:t>
      </w:r>
      <w:r>
        <w:rPr>
          <w:rFonts w:ascii="宋体" w:hAnsi="宋体" w:cs="宋体" w:eastAsia="宋体" w:hint="default"/>
          <w:sz w:val="22"/>
          <w:szCs w:val="22"/>
        </w:rPr>
        <w:t>年度《企业所得税优惠事项备案表》，依米康软件公司属于符合条件的</w:t>
      </w:r>
      <w:r>
        <w:rPr>
          <w:rFonts w:ascii="宋体" w:hAnsi="宋体" w:cs="宋体" w:eastAsia="宋体" w:hint="default"/>
          <w:w w:val="100"/>
          <w:sz w:val="22"/>
          <w:szCs w:val="22"/>
        </w:rPr>
        <w:t> </w:t>
      </w:r>
      <w:r>
        <w:rPr>
          <w:rFonts w:ascii="宋体" w:hAnsi="宋体" w:cs="宋体" w:eastAsia="宋体" w:hint="default"/>
          <w:spacing w:val="-4"/>
          <w:sz w:val="22"/>
          <w:szCs w:val="22"/>
        </w:rPr>
        <w:t>软件企业定期减免企业所得税，该公司首次获利年度为</w:t>
      </w:r>
      <w:r>
        <w:rPr>
          <w:rFonts w:ascii="Times New Roman" w:hAnsi="Times New Roman" w:cs="Times New Roman" w:eastAsia="Times New Roman" w:hint="default"/>
          <w:spacing w:val="-4"/>
          <w:sz w:val="22"/>
          <w:szCs w:val="22"/>
        </w:rPr>
        <w:t>2016</w:t>
      </w:r>
      <w:r>
        <w:rPr>
          <w:rFonts w:ascii="宋体" w:hAnsi="宋体" w:cs="宋体" w:eastAsia="宋体" w:hint="default"/>
          <w:spacing w:val="-4"/>
          <w:sz w:val="22"/>
          <w:szCs w:val="22"/>
        </w:rPr>
        <w:t>年，</w:t>
      </w:r>
      <w:r>
        <w:rPr>
          <w:rFonts w:ascii="Times New Roman" w:hAnsi="Times New Roman" w:cs="Times New Roman" w:eastAsia="Times New Roman" w:hint="default"/>
          <w:spacing w:val="-4"/>
          <w:sz w:val="22"/>
          <w:szCs w:val="22"/>
        </w:rPr>
        <w:t>2016</w:t>
      </w:r>
      <w:r>
        <w:rPr>
          <w:rFonts w:ascii="宋体" w:hAnsi="宋体" w:cs="宋体" w:eastAsia="宋体" w:hint="default"/>
          <w:spacing w:val="-4"/>
          <w:sz w:val="22"/>
          <w:szCs w:val="22"/>
        </w:rPr>
        <w:t>年度至</w:t>
      </w:r>
      <w:r>
        <w:rPr>
          <w:rFonts w:ascii="Times New Roman" w:hAnsi="Times New Roman" w:cs="Times New Roman" w:eastAsia="Times New Roman" w:hint="default"/>
          <w:spacing w:val="-4"/>
          <w:sz w:val="22"/>
          <w:szCs w:val="22"/>
        </w:rPr>
        <w:t>2017</w:t>
      </w:r>
      <w:r>
        <w:rPr>
          <w:rFonts w:ascii="宋体" w:hAnsi="宋体" w:cs="宋体" w:eastAsia="宋体" w:hint="default"/>
          <w:spacing w:val="-4"/>
          <w:sz w:val="22"/>
          <w:szCs w:val="22"/>
        </w:rPr>
        <w:t>年度免征企业所得税，</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Times New Roman" w:hAnsi="Times New Roman" w:cs="Times New Roman" w:eastAsia="Times New Roman" w:hint="default"/>
          <w:sz w:val="22"/>
          <w:szCs w:val="22"/>
        </w:rPr>
        <w:t>2018</w:t>
      </w:r>
      <w:r>
        <w:rPr>
          <w:rFonts w:ascii="宋体" w:hAnsi="宋体" w:cs="宋体" w:eastAsia="宋体" w:hint="default"/>
          <w:sz w:val="22"/>
          <w:szCs w:val="22"/>
        </w:rPr>
        <w:t>年度至</w:t>
      </w:r>
      <w:r>
        <w:rPr>
          <w:rFonts w:ascii="Times New Roman" w:hAnsi="Times New Roman" w:cs="Times New Roman" w:eastAsia="Times New Roman" w:hint="default"/>
          <w:sz w:val="22"/>
          <w:szCs w:val="22"/>
        </w:rPr>
        <w:t>2020</w:t>
      </w:r>
      <w:r>
        <w:rPr>
          <w:rFonts w:ascii="宋体" w:hAnsi="宋体" w:cs="宋体" w:eastAsia="宋体" w:hint="default"/>
          <w:sz w:val="22"/>
          <w:szCs w:val="22"/>
        </w:rPr>
        <w:t>年度减半征收企业所得税。</w:t>
      </w: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40" w:lineRule="auto" w:before="4"/>
        <w:rPr>
          <w:rFonts w:ascii="宋体" w:hAnsi="宋体" w:cs="宋体" w:eastAsia="宋体" w:hint="default"/>
          <w:sz w:val="20"/>
          <w:szCs w:val="20"/>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详见上述内容。</w:t>
      </w:r>
    </w:p>
    <w:p>
      <w:pPr>
        <w:spacing w:line="240" w:lineRule="auto" w:before="7"/>
        <w:rPr>
          <w:rFonts w:ascii="宋体" w:hAnsi="宋体" w:cs="宋体" w:eastAsia="宋体" w:hint="default"/>
          <w:sz w:val="25"/>
          <w:szCs w:val="25"/>
        </w:rPr>
      </w:pPr>
    </w:p>
    <w:p>
      <w:pPr>
        <w:spacing w:line="484" w:lineRule="auto" w:before="0"/>
        <w:ind w:left="153" w:right="7859" w:firstLine="0"/>
        <w:jc w:val="left"/>
        <w:rPr>
          <w:rFonts w:ascii="宋体" w:hAnsi="宋体" w:cs="宋体" w:eastAsia="宋体" w:hint="default"/>
          <w:sz w:val="21"/>
          <w:szCs w:val="21"/>
        </w:rPr>
      </w:pPr>
      <w:bookmarkStart w:name="3、其他" w:id="231"/>
      <w:bookmarkEnd w:id="23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2"/>
      <w:bookmarkEnd w:id="232"/>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3"/>
      <w:bookmarkEnd w:id="23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17"/>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636,414.27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208,647.61</w:t>
            </w:r>
          </w:p>
        </w:tc>
      </w:tr>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146,946,329.06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262,843,540.46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59,247,265.92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84,252,285.11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206,830,009.25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347,304,473.18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1"/>
          <w:szCs w:val="21"/>
        </w:rPr>
      </w:pPr>
    </w:p>
    <w:p>
      <w:pPr>
        <w:spacing w:line="244" w:lineRule="auto" w:before="0"/>
        <w:ind w:left="153" w:right="1122" w:firstLine="441"/>
        <w:jc w:val="both"/>
        <w:rPr>
          <w:rFonts w:ascii="宋体" w:hAnsi="宋体" w:cs="宋体" w:eastAsia="宋体" w:hint="default"/>
          <w:sz w:val="22"/>
          <w:szCs w:val="22"/>
        </w:rPr>
      </w:pPr>
      <w:r>
        <w:rPr>
          <w:rFonts w:ascii="宋体" w:hAnsi="宋体" w:cs="宋体" w:eastAsia="宋体" w:hint="default"/>
          <w:spacing w:val="-1"/>
          <w:sz w:val="22"/>
          <w:szCs w:val="22"/>
        </w:rPr>
        <w:t>注：其他货币资金主要为银行承兑保证金、保函保证金，其中</w:t>
      </w:r>
      <w:r>
        <w:rPr>
          <w:rFonts w:ascii="Times New Roman" w:hAnsi="Times New Roman" w:cs="Times New Roman" w:eastAsia="Times New Roman" w:hint="default"/>
          <w:spacing w:val="-1"/>
          <w:sz w:val="22"/>
          <w:szCs w:val="22"/>
        </w:rPr>
        <w:t>59,244,845.07</w:t>
      </w:r>
      <w:r>
        <w:rPr>
          <w:rFonts w:ascii="宋体" w:hAnsi="宋体" w:cs="宋体" w:eastAsia="宋体" w:hint="default"/>
          <w:spacing w:val="-1"/>
          <w:sz w:val="22"/>
          <w:szCs w:val="22"/>
        </w:rPr>
        <w:t>元使用受限；银行存</w:t>
      </w:r>
      <w:r>
        <w:rPr>
          <w:rFonts w:ascii="宋体" w:hAnsi="宋体" w:cs="宋体" w:eastAsia="宋体" w:hint="default"/>
          <w:w w:val="100"/>
          <w:sz w:val="22"/>
          <w:szCs w:val="22"/>
        </w:rPr>
        <w:t> </w:t>
      </w:r>
      <w:r>
        <w:rPr>
          <w:rFonts w:ascii="宋体" w:hAnsi="宋体" w:cs="宋体" w:eastAsia="宋体" w:hint="default"/>
          <w:spacing w:val="-1"/>
          <w:sz w:val="22"/>
          <w:szCs w:val="22"/>
        </w:rPr>
        <w:t>款中受限资金</w:t>
      </w:r>
      <w:r>
        <w:rPr>
          <w:rFonts w:ascii="Times New Roman" w:hAnsi="Times New Roman" w:cs="Times New Roman" w:eastAsia="Times New Roman" w:hint="default"/>
          <w:spacing w:val="-1"/>
          <w:sz w:val="22"/>
          <w:szCs w:val="22"/>
        </w:rPr>
        <w:t>21,035,767.95</w:t>
      </w:r>
      <w:r>
        <w:rPr>
          <w:rFonts w:ascii="宋体" w:hAnsi="宋体" w:cs="宋体" w:eastAsia="宋体" w:hint="default"/>
          <w:spacing w:val="-1"/>
          <w:sz w:val="22"/>
          <w:szCs w:val="22"/>
        </w:rPr>
        <w:t>元，其中因诉讼被冻结</w:t>
      </w:r>
      <w:r>
        <w:rPr>
          <w:rFonts w:ascii="Times New Roman" w:hAnsi="Times New Roman" w:cs="Times New Roman" w:eastAsia="Times New Roman" w:hint="default"/>
          <w:spacing w:val="-1"/>
          <w:sz w:val="22"/>
          <w:szCs w:val="22"/>
        </w:rPr>
        <w:t>16,391,867.95</w:t>
      </w:r>
      <w:r>
        <w:rPr>
          <w:rFonts w:ascii="宋体" w:hAnsi="宋体" w:cs="宋体" w:eastAsia="宋体" w:hint="default"/>
          <w:spacing w:val="-1"/>
          <w:sz w:val="22"/>
          <w:szCs w:val="22"/>
        </w:rPr>
        <w:t>元，专用存款</w:t>
      </w:r>
      <w:r>
        <w:rPr>
          <w:rFonts w:ascii="Times New Roman" w:hAnsi="Times New Roman" w:cs="Times New Roman" w:eastAsia="Times New Roman" w:hint="default"/>
          <w:spacing w:val="-1"/>
          <w:sz w:val="22"/>
          <w:szCs w:val="22"/>
        </w:rPr>
        <w:t>3,203,900.00</w:t>
      </w:r>
      <w:r>
        <w:rPr>
          <w:rFonts w:ascii="宋体" w:hAnsi="宋体" w:cs="宋体" w:eastAsia="宋体" w:hint="default"/>
          <w:spacing w:val="-1"/>
          <w:sz w:val="22"/>
          <w:szCs w:val="22"/>
        </w:rPr>
        <w:t>元，定期存</w:t>
      </w:r>
      <w:r>
        <w:rPr>
          <w:rFonts w:ascii="宋体" w:hAnsi="宋体" w:cs="宋体" w:eastAsia="宋体" w:hint="default"/>
          <w:spacing w:val="-36"/>
          <w:sz w:val="22"/>
          <w:szCs w:val="22"/>
        </w:rPr>
        <w:t> </w:t>
      </w:r>
      <w:r>
        <w:rPr>
          <w:rFonts w:ascii="宋体" w:hAnsi="宋体" w:cs="宋体" w:eastAsia="宋体" w:hint="default"/>
          <w:spacing w:val="-36"/>
          <w:sz w:val="22"/>
          <w:szCs w:val="22"/>
        </w:rPr>
      </w:r>
      <w:r>
        <w:rPr>
          <w:rFonts w:ascii="宋体" w:hAnsi="宋体" w:cs="宋体" w:eastAsia="宋体" w:hint="default"/>
          <w:sz w:val="22"/>
          <w:szCs w:val="22"/>
        </w:rPr>
        <w:t>款</w:t>
      </w:r>
      <w:r>
        <w:rPr>
          <w:rFonts w:ascii="Times New Roman" w:hAnsi="Times New Roman" w:cs="Times New Roman" w:eastAsia="Times New Roman" w:hint="default"/>
          <w:sz w:val="22"/>
          <w:szCs w:val="22"/>
        </w:rPr>
        <w:t>1,440,000.00</w:t>
      </w:r>
      <w:r>
        <w:rPr>
          <w:rFonts w:ascii="宋体" w:hAnsi="宋体" w:cs="宋体" w:eastAsia="宋体" w:hint="default"/>
          <w:sz w:val="22"/>
          <w:szCs w:val="22"/>
        </w:rPr>
        <w:t>元。</w:t>
      </w:r>
    </w:p>
    <w:p>
      <w:pPr>
        <w:spacing w:line="240" w:lineRule="auto" w:before="11"/>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2、交易性金融资产" w:id="234"/>
      <w:bookmarkEnd w:id="23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79"/>
        <w:gridCol w:w="3203"/>
        <w:gridCol w:w="3193"/>
      </w:tblGrid>
      <w:tr>
        <w:trPr>
          <w:trHeight w:val="715"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439,854.15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461,252.46</w:t>
            </w:r>
          </w:p>
        </w:tc>
      </w:tr>
      <w:tr>
        <w:trPr>
          <w:trHeight w:val="399"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439,854.15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461,252.46</w:t>
            </w:r>
          </w:p>
        </w:tc>
      </w:tr>
      <w:tr>
        <w:trPr>
          <w:trHeight w:val="715"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80"/>
              <w:jc w:val="left"/>
              <w:rPr>
                <w:rFonts w:ascii="宋体" w:hAnsi="宋体" w:cs="宋体" w:eastAsia="宋体" w:hint="default"/>
                <w:sz w:val="18"/>
                <w:szCs w:val="18"/>
              </w:rPr>
            </w:pPr>
            <w:r>
              <w:rPr>
                <w:rFonts w:ascii="宋体" w:hAnsi="宋体" w:cs="宋体" w:eastAsia="宋体" w:hint="default"/>
                <w:spacing w:val="-3"/>
                <w:sz w:val="18"/>
                <w:szCs w:val="18"/>
              </w:rPr>
              <w:t>指定以公允价值计量且其变动计入当期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损益的金融资产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46,278,973.00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21,879,732.08</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46,278,973.00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21,879,732.08</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46,718,827.15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22,340,984.54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衍生金融资产" w:id="235"/>
      <w:bookmarkEnd w:id="23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应收票据" w:id="236"/>
      <w:bookmarkEnd w:id="23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票据分类列示" w:id="237"/>
      <w:bookmarkEnd w:id="2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1,269,260.80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9,379,692.10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1,269,260.80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9,379,692.10</w:t>
            </w:r>
          </w:p>
        </w:tc>
      </w:tr>
    </w:tbl>
    <w:p>
      <w:pPr>
        <w:spacing w:before="53"/>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5"/>
        <w:gridCol w:w="764"/>
        <w:gridCol w:w="758"/>
        <w:gridCol w:w="764"/>
        <w:gridCol w:w="764"/>
        <w:gridCol w:w="787"/>
        <w:gridCol w:w="778"/>
        <w:gridCol w:w="797"/>
        <w:gridCol w:w="749"/>
        <w:gridCol w:w="850"/>
        <w:gridCol w:w="922"/>
      </w:tblGrid>
      <w:tr>
        <w:trPr>
          <w:trHeight w:val="398" w:hRule="exact"/>
        </w:trPr>
        <w:tc>
          <w:tcPr>
            <w:tcW w:w="1625"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25" w:type="dxa"/>
            <w:vMerge/>
            <w:tcBorders>
              <w:left w:val="single" w:sz="4" w:space="0" w:color="000000"/>
              <w:bottom w:val="nil" w:sz="6" w:space="0" w:color="auto"/>
              <w:right w:val="single" w:sz="4" w:space="0" w:color="000000"/>
            </w:tcBorders>
            <w:shd w:val="clear" w:color="auto" w:fill="D2D2D2"/>
          </w:tcPr>
          <w:p>
            <w:pP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2"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9" w:type="dxa"/>
            <w:gridSpan w:val="2"/>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25" w:type="dxa"/>
            <w:vMerge/>
            <w:tcBorders>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4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5" w:type="dxa"/>
            <w:vMerge w:val="restart"/>
            <w:tcBorders>
              <w:top w:val="single" w:sz="4" w:space="0" w:color="FFFFFF"/>
              <w:left w:val="single" w:sz="4" w:space="0" w:color="000000"/>
              <w:right w:val="single" w:sz="4" w:space="0" w:color="000000"/>
            </w:tcBorders>
            <w:shd w:val="clear" w:color="auto" w:fill="D2D2D2"/>
          </w:tcPr>
          <w:p>
            <w:pP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1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57"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2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5"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25"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4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876"/>
              <w:jc w:val="right"/>
              <w:rPr>
                <w:rFonts w:ascii="宋体" w:hAnsi="宋体" w:cs="宋体" w:eastAsia="宋体" w:hint="default"/>
                <w:sz w:val="18"/>
                <w:szCs w:val="18"/>
              </w:rPr>
            </w:pPr>
            <w:r>
              <w:rPr>
                <w:rFonts w:ascii="宋体" w:hAnsi="宋体" w:cs="宋体" w:eastAsia="宋体" w:hint="default"/>
                <w:spacing w:val="-2"/>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备的应收票据</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1,336,06</w:t>
            </w:r>
          </w:p>
          <w:p>
            <w:pPr>
              <w:pStyle w:val="TableParagraph"/>
              <w:spacing w:line="240" w:lineRule="auto" w:before="105"/>
              <w:ind w:left="401" w:right="0"/>
              <w:jc w:val="left"/>
              <w:rPr>
                <w:rFonts w:ascii="Times New Roman" w:hAnsi="Times New Roman" w:cs="Times New Roman" w:eastAsia="Times New Roman" w:hint="default"/>
                <w:sz w:val="18"/>
                <w:szCs w:val="18"/>
              </w:rPr>
            </w:pPr>
            <w:r>
              <w:rPr>
                <w:rFonts w:ascii="Times New Roman"/>
                <w:sz w:val="18"/>
              </w:rPr>
              <w:t>4.00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66,803.2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1,269,260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9,379,692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9,379,692.1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76"/>
              <w:jc w:val="right"/>
              <w:rPr>
                <w:rFonts w:ascii="宋体" w:hAnsi="宋体" w:cs="宋体" w:eastAsia="宋体" w:hint="default"/>
                <w:sz w:val="18"/>
                <w:szCs w:val="18"/>
              </w:rPr>
            </w:pPr>
            <w:r>
              <w:rPr>
                <w:rFonts w:ascii="宋体" w:hAnsi="宋体" w:cs="宋体" w:eastAsia="宋体" w:hint="default"/>
                <w:spacing w:val="-2"/>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40" w:hRule="exact"/>
        </w:trPr>
        <w:tc>
          <w:tcPr>
            <w:tcW w:w="16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4"/>
              <w:ind w:left="93" w:right="94"/>
              <w:jc w:val="left"/>
              <w:rPr>
                <w:rFonts w:ascii="宋体" w:hAnsi="宋体" w:cs="宋体" w:eastAsia="宋体" w:hint="default"/>
                <w:sz w:val="18"/>
                <w:szCs w:val="18"/>
              </w:rPr>
            </w:pPr>
            <w:r>
              <w:rPr>
                <w:rFonts w:ascii="宋体" w:hAnsi="宋体" w:cs="宋体" w:eastAsia="宋体" w:hint="default"/>
                <w:spacing w:val="-5"/>
                <w:sz w:val="18"/>
                <w:szCs w:val="18"/>
              </w:rPr>
              <w:t>其中：按信用风险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特征组合计提坏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账准备的应收账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1,336,0</w:t>
            </w:r>
          </w:p>
          <w:p>
            <w:pPr>
              <w:pStyle w:val="TableParagraph"/>
              <w:spacing w:line="240" w:lineRule="auto" w:before="110"/>
              <w:ind w:left="143" w:right="0"/>
              <w:jc w:val="center"/>
              <w:rPr>
                <w:rFonts w:ascii="Times New Roman" w:hAnsi="Times New Roman" w:cs="Times New Roman" w:eastAsia="Times New Roman" w:hint="default"/>
                <w:sz w:val="18"/>
                <w:szCs w:val="18"/>
              </w:rPr>
            </w:pPr>
            <w:r>
              <w:rPr>
                <w:rFonts w:ascii="Times New Roman"/>
                <w:sz w:val="18"/>
              </w:rPr>
              <w:t>64.00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66,803.</w:t>
            </w:r>
          </w:p>
          <w:p>
            <w:pPr>
              <w:pStyle w:val="TableParagraph"/>
              <w:spacing w:line="240" w:lineRule="auto" w:before="110"/>
              <w:ind w:left="475" w:right="0"/>
              <w:jc w:val="left"/>
              <w:rPr>
                <w:rFonts w:ascii="Times New Roman" w:hAnsi="Times New Roman" w:cs="Times New Roman" w:eastAsia="Times New Roman" w:hint="default"/>
                <w:sz w:val="18"/>
                <w:szCs w:val="18"/>
              </w:rPr>
            </w:pPr>
            <w:r>
              <w:rPr>
                <w:rFonts w:ascii="Times New Roman"/>
                <w:sz w:val="18"/>
              </w:rPr>
              <w:t>20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1,269,2</w:t>
            </w:r>
          </w:p>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sz w:val="18"/>
              </w:rPr>
              <w:t>60.80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9,379,6</w:t>
            </w:r>
          </w:p>
          <w:p>
            <w:pPr>
              <w:pStyle w:val="TableParagraph"/>
              <w:spacing w:line="240" w:lineRule="auto" w:before="110"/>
              <w:ind w:left="167" w:right="0"/>
              <w:jc w:val="center"/>
              <w:rPr>
                <w:rFonts w:ascii="Times New Roman" w:hAnsi="Times New Roman" w:cs="Times New Roman" w:eastAsia="Times New Roman" w:hint="default"/>
                <w:sz w:val="18"/>
                <w:szCs w:val="18"/>
              </w:rPr>
            </w:pPr>
            <w:r>
              <w:rPr>
                <w:rFonts w:ascii="Times New Roman"/>
                <w:sz w:val="18"/>
              </w:rPr>
              <w:t>92.10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9,379,69</w:t>
            </w:r>
          </w:p>
          <w:p>
            <w:pPr>
              <w:pStyle w:val="TableParagraph"/>
              <w:spacing w:line="240" w:lineRule="auto" w:before="110"/>
              <w:ind w:left="494" w:right="0"/>
              <w:jc w:val="left"/>
              <w:rPr>
                <w:rFonts w:ascii="Times New Roman" w:hAnsi="Times New Roman" w:cs="Times New Roman" w:eastAsia="Times New Roman" w:hint="default"/>
                <w:sz w:val="18"/>
                <w:szCs w:val="18"/>
              </w:rPr>
            </w:pPr>
            <w:r>
              <w:rPr>
                <w:rFonts w:ascii="Times New Roman"/>
                <w:sz w:val="18"/>
              </w:rPr>
              <w:t>2.10</w:t>
            </w:r>
          </w:p>
        </w:tc>
      </w:tr>
      <w:tr>
        <w:trPr>
          <w:trHeight w:val="716"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1,336,06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66,803.2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1,269,260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9,379,692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9,379,692.1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1,336,064.00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66,803.20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1,336,064.00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66,803.20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362" w:lineRule="auto" w:before="53"/>
        <w:ind w:left="153" w:right="1838"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如是按照预期信用损失一般模型计提应收票据坏账准备，请参照其他应收款的披露方式披露坏账准备的相关信息：</w:t>
      </w:r>
    </w:p>
    <w:p>
      <w:pPr>
        <w:spacing w:before="2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1"/>
        <w:gridCol w:w="1647"/>
        <w:gridCol w:w="2098"/>
        <w:gridCol w:w="2103"/>
        <w:gridCol w:w="1800"/>
      </w:tblGrid>
      <w:tr>
        <w:trPr>
          <w:trHeight w:val="411" w:hRule="exact"/>
        </w:trPr>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81"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34" w:hRule="exact"/>
        </w:trPr>
        <w:tc>
          <w:tcPr>
            <w:tcW w:w="1921" w:type="dxa"/>
            <w:vMerge/>
            <w:tcBorders>
              <w:left w:val="single" w:sz="4" w:space="0" w:color="000000"/>
              <w:bottom w:val="single" w:sz="4" w:space="0" w:color="000000"/>
              <w:right w:val="single" w:sz="4" w:space="0" w:color="000000"/>
            </w:tcBorders>
            <w:shd w:val="clear" w:color="auto" w:fill="D2D2D2"/>
          </w:tcPr>
          <w:p>
            <w:pP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63"/>
              <w:ind w:left="638" w:right="3" w:hanging="630"/>
              <w:jc w:val="left"/>
              <w:rPr>
                <w:rFonts w:ascii="宋体" w:hAnsi="宋体" w:cs="宋体" w:eastAsia="宋体" w:hint="default"/>
                <w:sz w:val="18"/>
                <w:szCs w:val="18"/>
              </w:rPr>
            </w:pPr>
            <w:r>
              <w:rPr>
                <w:rFonts w:ascii="宋体" w:hAnsi="宋体" w:cs="宋体" w:eastAsia="宋体" w:hint="default"/>
                <w:spacing w:val="-2"/>
                <w:sz w:val="18"/>
                <w:szCs w:val="18"/>
              </w:rPr>
              <w:t>未来</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个月预期信用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8"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427"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p>
        </w:tc>
        <w:tc>
          <w:tcPr>
            <w:tcW w:w="164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9"/>
              <w:ind w:left="4" w:right="9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日余额在本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期</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4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66,803.20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66,803.20</w:t>
            </w:r>
          </w:p>
        </w:tc>
      </w:tr>
      <w:tr>
        <w:trPr>
          <w:trHeight w:val="403" w:hRule="exact"/>
        </w:trPr>
        <w:tc>
          <w:tcPr>
            <w:tcW w:w="19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1647"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66,803.20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66,803.20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本期计提、收回或转回的坏账准备情况" w:id="238"/>
      <w:bookmarkEnd w:id="2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9"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66,803.20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66,803.20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66,803.20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66,803.20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其中本期坏账准备收回或转回金额重要的：</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期末公司已质押的应收票据" w:id="239"/>
      <w:bookmarkEnd w:id="2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期末公司已背书或贴现且在资产负债表日尚未到期的应收票据"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期末公司因出票人未履约而将其转应收账款的票据"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本期实际核销的应收票据情况"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）本期实际核销的应收票据情况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应收账款" w:id="243"/>
      <w:bookmarkEnd w:id="24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账款分类披露" w:id="244"/>
      <w:bookmarkEnd w:id="2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4" w:hRule="exact"/>
        </w:trPr>
        <w:tc>
          <w:tcPr>
            <w:tcW w:w="1637" w:type="dxa"/>
            <w:vMerge/>
            <w:tcBorders>
              <w:left w:val="single" w:sz="4" w:space="0" w:color="000000"/>
              <w:bottom w:val="nil" w:sz="6" w:space="0" w:color="auto"/>
              <w:right w:val="single" w:sz="4" w:space="0" w:color="000000"/>
            </w:tcBorders>
            <w:shd w:val="clear" w:color="auto" w:fill="D2D2D2"/>
          </w:tcPr>
          <w:p>
            <w:pP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7" w:type="dxa"/>
            <w:vMerge/>
            <w:tcBorders>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7" w:type="dxa"/>
            <w:vMerge w:val="restart"/>
            <w:tcBorders>
              <w:top w:val="single" w:sz="4" w:space="0" w:color="FFFFFF"/>
              <w:left w:val="single" w:sz="4" w:space="0" w:color="000000"/>
              <w:right w:val="single" w:sz="4" w:space="0" w:color="000000"/>
            </w:tcBorders>
            <w:shd w:val="clear" w:color="auto" w:fill="D2D2D2"/>
          </w:tcPr>
          <w:p>
            <w:pP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7"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9,727,39</w:t>
            </w:r>
          </w:p>
          <w:p>
            <w:pPr>
              <w:pStyle w:val="TableParagraph"/>
              <w:spacing w:line="240" w:lineRule="auto" w:before="110"/>
              <w:ind w:left="401" w:right="0"/>
              <w:jc w:val="left"/>
              <w:rPr>
                <w:rFonts w:ascii="Times New Roman" w:hAnsi="Times New Roman" w:cs="Times New Roman" w:eastAsia="Times New Roman" w:hint="default"/>
                <w:sz w:val="18"/>
                <w:szCs w:val="18"/>
              </w:rPr>
            </w:pPr>
            <w:r>
              <w:rPr>
                <w:rFonts w:ascii="Times New Roman"/>
                <w:sz w:val="18"/>
              </w:rPr>
              <w:t>9.00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0.76%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9,727,39</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9.00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10,767,73</w:t>
            </w:r>
          </w:p>
          <w:p>
            <w:pPr>
              <w:pStyle w:val="TableParagraph"/>
              <w:spacing w:line="240" w:lineRule="auto" w:before="110"/>
              <w:ind w:left="427" w:right="0"/>
              <w:jc w:val="left"/>
              <w:rPr>
                <w:rFonts w:ascii="Times New Roman" w:hAnsi="Times New Roman" w:cs="Times New Roman" w:eastAsia="Times New Roman" w:hint="default"/>
                <w:sz w:val="18"/>
                <w:szCs w:val="18"/>
              </w:rPr>
            </w:pPr>
            <w:r>
              <w:rPr>
                <w:rFonts w:ascii="Times New Roman"/>
                <w:sz w:val="18"/>
              </w:rPr>
              <w:t>5.74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8,166,158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2,601,577.5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5" w:hRule="exact"/>
        </w:trPr>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5"/>
                <w:sz w:val="18"/>
                <w:szCs w:val="18"/>
              </w:rPr>
              <w:t>其中：单项金额重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大并单项计提坏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账准备的应收账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9,067,3</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99.00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0.71%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9,067,3</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99.00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9,067,3</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99.00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6,623,2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99.50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73.05%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2,444,09</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9.50</w:t>
            </w:r>
          </w:p>
        </w:tc>
      </w:tr>
      <w:tr>
        <w:trPr>
          <w:trHeight w:val="1339" w:hRule="exact"/>
        </w:trPr>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8"/>
              <w:ind w:left="105" w:right="94"/>
              <w:jc w:val="left"/>
              <w:rPr>
                <w:rFonts w:ascii="宋体" w:hAnsi="宋体" w:cs="宋体" w:eastAsia="宋体" w:hint="default"/>
                <w:sz w:val="18"/>
                <w:szCs w:val="18"/>
              </w:rPr>
            </w:pPr>
            <w:r>
              <w:rPr>
                <w:rFonts w:ascii="宋体" w:hAnsi="宋体" w:cs="宋体" w:eastAsia="宋体" w:hint="default"/>
                <w:spacing w:val="-5"/>
                <w:sz w:val="18"/>
                <w:szCs w:val="18"/>
              </w:rPr>
              <w:t>其中：单项金额不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重大但单独计提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坏账准备的应收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229" w:right="0"/>
              <w:jc w:val="center"/>
              <w:rPr>
                <w:rFonts w:ascii="Times New Roman" w:hAnsi="Times New Roman" w:cs="Times New Roman" w:eastAsia="Times New Roman" w:hint="default"/>
                <w:sz w:val="18"/>
                <w:szCs w:val="18"/>
              </w:rPr>
            </w:pPr>
            <w:r>
              <w:rPr>
                <w:rFonts w:ascii="Times New Roman"/>
                <w:sz w:val="18"/>
              </w:rPr>
              <w:t>0.00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0.05%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05"/>
              <w:ind w:left="240" w:right="0"/>
              <w:jc w:val="center"/>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1,700,3</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36.74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0.12%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1,542,8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58.74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90.74%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157,478.</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1,260,98</w:t>
            </w:r>
          </w:p>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6,014.29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99.24%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194,980,</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796.25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15.46%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1,066,005</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,218.04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1,365,184</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,706.71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181,156,6</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10.12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1,184,028,0</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96.59</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5" w:hRule="exact"/>
        </w:trPr>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5"/>
                <w:sz w:val="18"/>
                <w:szCs w:val="18"/>
              </w:rPr>
              <w:t>其中：按信用风险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特征组合计提坏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账准备的应收账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1,260,9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86,014.</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29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99.24</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194,98</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0,796.2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15.46</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1,066,0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05,218.</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04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1,365,1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84,706.</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99.22%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181,15</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6,610.1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13.27%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91" w:right="0"/>
              <w:jc w:val="left"/>
              <w:rPr>
                <w:rFonts w:ascii="Times New Roman" w:hAnsi="Times New Roman" w:cs="Times New Roman" w:eastAsia="Times New Roman" w:hint="default"/>
                <w:sz w:val="18"/>
                <w:szCs w:val="18"/>
              </w:rPr>
            </w:pPr>
            <w:r>
              <w:rPr>
                <w:rFonts w:ascii="Times New Roman"/>
                <w:sz w:val="18"/>
              </w:rPr>
              <w:t>1,184,02</w:t>
            </w:r>
          </w:p>
          <w:p>
            <w:pPr>
              <w:pStyle w:val="TableParagraph"/>
              <w:spacing w:line="240" w:lineRule="auto" w:before="105"/>
              <w:ind w:left="191" w:right="0"/>
              <w:jc w:val="left"/>
              <w:rPr>
                <w:rFonts w:ascii="Times New Roman" w:hAnsi="Times New Roman" w:cs="Times New Roman" w:eastAsia="Times New Roman" w:hint="default"/>
                <w:sz w:val="18"/>
                <w:szCs w:val="18"/>
              </w:rPr>
            </w:pPr>
            <w:r>
              <w:rPr>
                <w:rFonts w:ascii="Times New Roman"/>
                <w:sz w:val="18"/>
              </w:rPr>
              <w:t>8,096.59</w:t>
            </w:r>
          </w:p>
        </w:tc>
      </w:tr>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1,270,71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3,413.29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8" w:right="0"/>
              <w:jc w:val="center"/>
              <w:rPr>
                <w:rFonts w:ascii="Times New Roman" w:hAnsi="Times New Roman" w:cs="Times New Roman" w:eastAsia="Times New Roman" w:hint="default"/>
                <w:sz w:val="18"/>
                <w:szCs w:val="18"/>
              </w:rPr>
            </w:pPr>
            <w:r>
              <w:rPr>
                <w:rFonts w:ascii="Times New Roman"/>
                <w:sz w:val="18"/>
              </w:rPr>
              <w:t>204,708,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195.25</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center"/>
              <w:rPr>
                <w:rFonts w:ascii="Times New Roman" w:hAnsi="Times New Roman" w:cs="Times New Roman" w:eastAsia="Times New Roman" w:hint="default"/>
                <w:sz w:val="18"/>
                <w:szCs w:val="18"/>
              </w:rPr>
            </w:pPr>
            <w:r>
              <w:rPr>
                <w:rFonts w:ascii="Times New Roman"/>
                <w:sz w:val="18"/>
              </w:rPr>
              <w:t>1,066,005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,218.04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1,375,952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,442.45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189,322,7</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68.36</w:t>
            </w: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1,186,629,6</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74.09</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2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8014"/>
      </w:tblGrid>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8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1"/>
        <w:gridCol w:w="1700"/>
        <w:gridCol w:w="1844"/>
        <w:gridCol w:w="1560"/>
        <w:gridCol w:w="2910"/>
      </w:tblGrid>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98"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2,954,000.00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2,954,000.00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公司停产清算，收回可能性低</w:t>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1,225,200.00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1,225,200.00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公司停产清算，收回可能性低</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4,888,199.00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4,888,199.00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回收可能性低</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9,067,399.00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9,067,399.00</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1844"/>
        <w:gridCol w:w="1700"/>
        <w:gridCol w:w="1844"/>
        <w:gridCol w:w="2627"/>
      </w:tblGrid>
      <w:tr>
        <w:trPr>
          <w:trHeight w:val="403" w:hRule="exact"/>
        </w:trPr>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80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66" w:right="0"/>
              <w:jc w:val="left"/>
              <w:rPr>
                <w:rFonts w:ascii="Times New Roman" w:hAnsi="Times New Roman" w:cs="Times New Roman" w:eastAsia="Times New Roman" w:hint="default"/>
                <w:sz w:val="18"/>
                <w:szCs w:val="18"/>
              </w:rPr>
            </w:pPr>
            <w:r>
              <w:rPr>
                <w:rFonts w:ascii="Times New Roman"/>
                <w:sz w:val="18"/>
              </w:rPr>
              <w:t>100.00%</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账龄较长，回收可能性低</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660,000.00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660,000.00</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575,536,836.78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28,776,841.85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432,496,415.21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43,249,641.52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129,857,467.85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38,957,240.37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47,103,148.67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23,551,574.36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31,093,295.26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15,546,647.63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44,898,850.52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44,898,850.52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1,260,986,014.29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194,980,796.25</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352" w:lineRule="auto" w:before="53"/>
        <w:ind w:left="153" w:right="6287"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组合中，采用余额百分比法计提坏账准备的应收账款</w:t>
      </w:r>
    </w:p>
    <w:p>
      <w:pPr>
        <w:spacing w:before="35"/>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38" w:lineRule="auto" w:before="119"/>
        <w:ind w:left="15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575,536,836.78</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432,496,415.21</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129,857,467.85</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132,822,693.45</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47,103,148.67</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31,093,295.26</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54,626,249.52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1,270,713,413.29</w:t>
            </w:r>
          </w:p>
        </w:tc>
      </w:tr>
    </w:tbl>
    <w:p>
      <w:pPr>
        <w:spacing w:before="53"/>
        <w:ind w:left="17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公司需要遵守《深圳证券交易所行业信息披露指引第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上市公司从事软件与信息技术服务业务》的披露要求</w:t>
      </w:r>
    </w:p>
    <w:p>
      <w:pPr>
        <w:spacing w:line="240" w:lineRule="auto" w:before="5"/>
        <w:rPr>
          <w:rFonts w:ascii="宋体" w:hAnsi="宋体" w:cs="宋体" w:eastAsia="宋体" w:hint="default"/>
          <w:sz w:val="20"/>
          <w:szCs w:val="20"/>
        </w:rPr>
      </w:pPr>
    </w:p>
    <w:p>
      <w:pPr>
        <w:spacing w:before="0"/>
        <w:ind w:left="514" w:right="0" w:firstLine="0"/>
        <w:jc w:val="left"/>
        <w:rPr>
          <w:rFonts w:ascii="宋体" w:hAnsi="宋体" w:cs="宋体" w:eastAsia="宋体" w:hint="default"/>
          <w:sz w:val="22"/>
          <w:szCs w:val="22"/>
        </w:rPr>
      </w:pPr>
      <w:r>
        <w:rPr>
          <w:rFonts w:ascii="宋体" w:hAnsi="宋体" w:cs="宋体" w:eastAsia="宋体" w:hint="default"/>
          <w:sz w:val="22"/>
          <w:szCs w:val="22"/>
        </w:rPr>
        <w:t>账龄超过三年的单项金额重大的应收账款</w:t>
      </w:r>
    </w:p>
    <w:p>
      <w:pPr>
        <w:spacing w:line="240" w:lineRule="auto" w:before="7"/>
        <w:rPr>
          <w:rFonts w:ascii="宋体" w:hAnsi="宋体" w:cs="宋体" w:eastAsia="宋体"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989"/>
        <w:gridCol w:w="1368"/>
        <w:gridCol w:w="1129"/>
        <w:gridCol w:w="1368"/>
        <w:gridCol w:w="1364"/>
        <w:gridCol w:w="883"/>
        <w:gridCol w:w="1042"/>
        <w:gridCol w:w="1623"/>
      </w:tblGrid>
      <w:tr>
        <w:trPr>
          <w:trHeight w:val="470" w:hRule="exact"/>
        </w:trPr>
        <w:tc>
          <w:tcPr>
            <w:tcW w:w="98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2"/>
              <w:ind w:left="129"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13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合同金额</w:t>
            </w:r>
          </w:p>
        </w:tc>
        <w:tc>
          <w:tcPr>
            <w:tcW w:w="1129"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签订时间</w:t>
            </w:r>
          </w:p>
        </w:tc>
        <w:tc>
          <w:tcPr>
            <w:tcW w:w="136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已经回款金额</w:t>
            </w:r>
          </w:p>
        </w:tc>
        <w:tc>
          <w:tcPr>
            <w:tcW w:w="136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欠款金额</w:t>
            </w:r>
          </w:p>
        </w:tc>
        <w:tc>
          <w:tcPr>
            <w:tcW w:w="88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0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2"/>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62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风险</w:t>
            </w:r>
          </w:p>
        </w:tc>
      </w:tr>
      <w:tr>
        <w:trPr>
          <w:trHeight w:val="157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58,700,000.00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2016/7/22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48,496,217.00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10,203,783.00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106" w:right="93"/>
              <w:jc w:val="left"/>
              <w:rPr>
                <w:rFonts w:ascii="宋体" w:hAnsi="宋体" w:cs="宋体" w:eastAsia="宋体" w:hint="default"/>
                <w:sz w:val="18"/>
                <w:szCs w:val="18"/>
              </w:rPr>
            </w:pPr>
            <w:r>
              <w:rPr>
                <w:rFonts w:ascii="宋体" w:hAnsi="宋体" w:cs="宋体" w:eastAsia="宋体" w:hint="default"/>
                <w:sz w:val="18"/>
                <w:szCs w:val="18"/>
              </w:rPr>
              <w:t>客户资金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w w:val="101"/>
                <w:sz w:val="18"/>
                <w:szCs w:val="18"/>
              </w:rPr>
              <w:t>紧张，款项</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尚未收回</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99"/>
              <w:jc w:val="left"/>
              <w:rPr>
                <w:rFonts w:ascii="宋体" w:hAnsi="宋体" w:cs="宋体" w:eastAsia="宋体" w:hint="default"/>
                <w:sz w:val="18"/>
                <w:szCs w:val="18"/>
              </w:rPr>
            </w:pPr>
            <w:r>
              <w:rPr>
                <w:rFonts w:ascii="宋体" w:hAnsi="宋体" w:cs="宋体" w:eastAsia="宋体" w:hint="default"/>
                <w:spacing w:val="-7"/>
                <w:sz w:val="18"/>
                <w:szCs w:val="18"/>
              </w:rPr>
              <w:t>客户经营正常，无</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7"/>
                <w:sz w:val="18"/>
                <w:szCs w:val="18"/>
              </w:rPr>
              <w:t>合同纠纷，公司已</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采取各项催收措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施，积极跟进回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w:t>
            </w:r>
          </w:p>
        </w:tc>
      </w:tr>
      <w:tr>
        <w:trPr>
          <w:trHeight w:val="1570"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61,495,000.00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2015/10/16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52,220,750.00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9,274,250.00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9" w:lineRule="auto"/>
              <w:ind w:left="106" w:right="93"/>
              <w:jc w:val="left"/>
              <w:rPr>
                <w:rFonts w:ascii="宋体" w:hAnsi="宋体" w:cs="宋体" w:eastAsia="宋体" w:hint="default"/>
                <w:sz w:val="18"/>
                <w:szCs w:val="18"/>
              </w:rPr>
            </w:pPr>
            <w:r>
              <w:rPr>
                <w:rFonts w:ascii="宋体" w:hAnsi="宋体" w:cs="宋体" w:eastAsia="宋体" w:hint="default"/>
                <w:sz w:val="18"/>
                <w:szCs w:val="18"/>
              </w:rPr>
              <w:t>客户资金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w w:val="101"/>
                <w:sz w:val="18"/>
                <w:szCs w:val="18"/>
              </w:rPr>
              <w:t>紧张，款项</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尚未收回</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5" w:right="99"/>
              <w:jc w:val="left"/>
              <w:rPr>
                <w:rFonts w:ascii="宋体" w:hAnsi="宋体" w:cs="宋体" w:eastAsia="宋体" w:hint="default"/>
                <w:sz w:val="18"/>
                <w:szCs w:val="18"/>
              </w:rPr>
            </w:pPr>
            <w:r>
              <w:rPr>
                <w:rFonts w:ascii="宋体" w:hAnsi="宋体" w:cs="宋体" w:eastAsia="宋体" w:hint="default"/>
                <w:spacing w:val="-7"/>
                <w:sz w:val="18"/>
                <w:szCs w:val="18"/>
              </w:rPr>
              <w:t>客户经营正常，无</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7"/>
                <w:sz w:val="18"/>
                <w:szCs w:val="18"/>
              </w:rPr>
              <w:t>合同纠纷，公司已</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采取各项催收措</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施，积极跟进回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款。</w:t>
            </w:r>
          </w:p>
        </w:tc>
      </w:tr>
    </w:tbl>
    <w:p>
      <w:pPr>
        <w:spacing w:line="240" w:lineRule="auto" w:before="2"/>
        <w:rPr>
          <w:rFonts w:ascii="宋体" w:hAnsi="宋体" w:cs="宋体" w:eastAsia="宋体" w:hint="default"/>
          <w:sz w:val="14"/>
          <w:szCs w:val="14"/>
        </w:rPr>
      </w:pPr>
    </w:p>
    <w:p>
      <w:pPr>
        <w:spacing w:before="32"/>
        <w:ind w:left="514" w:right="0" w:firstLine="0"/>
        <w:jc w:val="left"/>
        <w:rPr>
          <w:rFonts w:ascii="宋体" w:hAnsi="宋体" w:cs="宋体" w:eastAsia="宋体" w:hint="default"/>
          <w:sz w:val="22"/>
          <w:szCs w:val="22"/>
        </w:rPr>
      </w:pPr>
      <w:r>
        <w:rPr>
          <w:rFonts w:ascii="宋体" w:hAnsi="宋体" w:cs="宋体" w:eastAsia="宋体" w:hint="default"/>
          <w:sz w:val="22"/>
          <w:szCs w:val="22"/>
        </w:rPr>
        <w:t>注：上述两笔为本公司之子公司江苏亿金的应收账款。</w:t>
      </w:r>
    </w:p>
    <w:p>
      <w:pPr>
        <w:spacing w:line="240" w:lineRule="auto" w:before="7"/>
        <w:rPr>
          <w:rFonts w:ascii="宋体" w:hAnsi="宋体" w:cs="宋体" w:eastAsia="宋体" w:hint="default"/>
          <w:sz w:val="25"/>
          <w:szCs w:val="25"/>
        </w:rPr>
      </w:pPr>
    </w:p>
    <w:p>
      <w:pPr>
        <w:spacing w:before="0"/>
        <w:ind w:left="173" w:right="0" w:firstLine="0"/>
        <w:jc w:val="left"/>
        <w:rPr>
          <w:rFonts w:ascii="宋体" w:hAnsi="宋体" w:cs="宋体" w:eastAsia="宋体" w:hint="default"/>
          <w:sz w:val="21"/>
          <w:szCs w:val="21"/>
        </w:rPr>
      </w:pPr>
      <w:bookmarkStart w:name="（2）本期计提、收回或转回的坏账准备情况"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7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189,322,768.36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23,571,058.26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8,185,631.37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204,708,195.25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189,322,768.36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23,571,058.26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8,185,631.37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204,708,195.25</w:t>
            </w:r>
          </w:p>
        </w:tc>
      </w:tr>
    </w:tbl>
    <w:p>
      <w:pPr>
        <w:spacing w:line="240" w:lineRule="auto" w:before="3"/>
        <w:rPr>
          <w:rFonts w:ascii="宋体" w:hAnsi="宋体" w:cs="宋体" w:eastAsia="宋体" w:hint="default"/>
          <w:sz w:val="19"/>
          <w:szCs w:val="19"/>
        </w:rPr>
      </w:pPr>
    </w:p>
    <w:p>
      <w:pPr>
        <w:spacing w:before="36"/>
        <w:ind w:left="173" w:right="0" w:firstLine="0"/>
        <w:jc w:val="left"/>
        <w:rPr>
          <w:rFonts w:ascii="宋体" w:hAnsi="宋体" w:cs="宋体" w:eastAsia="宋体" w:hint="default"/>
          <w:sz w:val="21"/>
          <w:szCs w:val="21"/>
        </w:rPr>
      </w:pPr>
      <w:bookmarkStart w:name="（3）本期实际核销的应收账款情况"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68" w:type="dxa"/>
        <w:tblLayout w:type="fixed"/>
        <w:tblCellMar>
          <w:top w:w="0" w:type="dxa"/>
          <w:left w:w="0" w:type="dxa"/>
          <w:bottom w:w="0" w:type="dxa"/>
          <w:right w:w="0" w:type="dxa"/>
        </w:tblCellMar>
        <w:tblLook w:val="01E0"/>
      </w:tblPr>
      <w:tblGrid>
        <w:gridCol w:w="4788"/>
        <w:gridCol w:w="4782"/>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应收账款核销</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8,185,631.37</w:t>
            </w:r>
          </w:p>
        </w:tc>
      </w:tr>
    </w:tbl>
    <w:p>
      <w:pPr>
        <w:spacing w:line="240" w:lineRule="auto" w:before="3"/>
        <w:rPr>
          <w:rFonts w:ascii="宋体" w:hAnsi="宋体" w:cs="宋体" w:eastAsia="宋体" w:hint="default"/>
          <w:sz w:val="19"/>
          <w:szCs w:val="19"/>
        </w:rPr>
      </w:pPr>
    </w:p>
    <w:p>
      <w:pPr>
        <w:spacing w:before="36"/>
        <w:ind w:left="173" w:right="0" w:firstLine="0"/>
        <w:jc w:val="left"/>
        <w:rPr>
          <w:rFonts w:ascii="宋体" w:hAnsi="宋体" w:cs="宋体" w:eastAsia="宋体" w:hint="default"/>
          <w:sz w:val="21"/>
          <w:szCs w:val="21"/>
        </w:rPr>
      </w:pPr>
      <w:bookmarkStart w:name="（4）按欠款方归集的期末余额前五名的应收账款情况"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73" w:right="0" w:firstLine="0"/>
        <w:jc w:val="left"/>
        <w:rPr>
          <w:rFonts w:ascii="宋体" w:hAnsi="宋体" w:cs="宋体" w:eastAsia="宋体" w:hint="default"/>
          <w:sz w:val="21"/>
          <w:szCs w:val="21"/>
        </w:rPr>
      </w:pPr>
      <w:bookmarkStart w:name="（5）因金融资产转移而终止确认的应收账款"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73" w:right="0" w:firstLine="0"/>
        <w:jc w:val="left"/>
        <w:rPr>
          <w:rFonts w:ascii="宋体" w:hAnsi="宋体" w:cs="宋体" w:eastAsia="宋体" w:hint="default"/>
          <w:sz w:val="21"/>
          <w:szCs w:val="21"/>
        </w:rPr>
      </w:pPr>
      <w:bookmarkStart w:name="（6）转移应收账款且继续涉入形成的资产、负债金额" w:id="249"/>
      <w:bookmarkEnd w:id="2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7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其他说明：本年按欠款方归集的年末余额前五名应收账款汇总金额 </w:t>
      </w:r>
      <w:r>
        <w:rPr>
          <w:rFonts w:ascii="Times New Roman" w:hAnsi="Times New Roman" w:cs="Times New Roman" w:eastAsia="Times New Roman" w:hint="default"/>
          <w:sz w:val="18"/>
          <w:szCs w:val="18"/>
        </w:rPr>
        <w:t>414,292,311.92 </w:t>
      </w:r>
      <w:r>
        <w:rPr>
          <w:rFonts w:ascii="Times New Roman" w:hAnsi="Times New Roman" w:cs="Times New Roman" w:eastAsia="Times New Roman" w:hint="default"/>
          <w:spacing w:val="39"/>
          <w:sz w:val="18"/>
          <w:szCs w:val="18"/>
        </w:rPr>
        <w:t> </w:t>
      </w:r>
      <w:r>
        <w:rPr>
          <w:rFonts w:ascii="宋体" w:hAnsi="宋体" w:cs="宋体" w:eastAsia="宋体" w:hint="default"/>
          <w:spacing w:val="-3"/>
          <w:sz w:val="18"/>
          <w:szCs w:val="18"/>
        </w:rPr>
        <w:t>元，占应收账款年末余额合计数的比例</w:t>
      </w:r>
    </w:p>
    <w:p>
      <w:pPr>
        <w:spacing w:before="67"/>
        <w:ind w:left="17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32.60%</w:t>
      </w:r>
      <w:r>
        <w:rPr>
          <w:rFonts w:ascii="宋体" w:hAnsi="宋体" w:cs="宋体" w:eastAsia="宋体" w:hint="default"/>
          <w:spacing w:val="-2"/>
          <w:sz w:val="18"/>
          <w:szCs w:val="18"/>
        </w:rPr>
        <w:t>，相应计提的坏账准备年末余额汇总金额</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40,529,281.01</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pgSz w:w="11910" w:h="16840"/>
          <w:pgMar w:header="863" w:footer="979" w:top="1060" w:bottom="1160" w:left="96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6、应收款项融资" w:id="250"/>
      <w:bookmarkEnd w:id="25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01"/>
              <w:jc w:val="right"/>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31,692,324.24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15,295,154.40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01"/>
              <w:jc w:val="righ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31,692,324.24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15,295,154.40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应收款项融资本期增减变动及公允价值变动情况</w:t>
      </w:r>
    </w:p>
    <w:p>
      <w:pPr>
        <w:spacing w:line="338" w:lineRule="auto" w:before="119"/>
        <w:ind w:left="153" w:right="11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如是按照预期信用损失一般模型计提应收款项融资减值准备，请参照其他应收款的披露方式披露减值准备的相关信息：</w:t>
      </w: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7、预付款项" w:id="251"/>
      <w:bookmarkEnd w:id="25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预付款项按账龄列示"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6"/>
        <w:gridCol w:w="1916"/>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62,153,063.84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87,923,413.17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78.63%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13,149,815.16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12,562,960.60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11.23%</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4,947,431.22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5,284,147.88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4.73%</w:t>
            </w:r>
          </w:p>
        </w:tc>
      </w:tr>
      <w:tr>
        <w:trPr>
          <w:trHeight w:val="398"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8,619,788.26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6,053,997.65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1"/>
                <w:sz w:val="18"/>
              </w:rPr>
              <w:t>88,870,098.48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6"/>
              <w:ind w:right="6"/>
              <w:jc w:val="right"/>
              <w:rPr>
                <w:rFonts w:ascii="Times New Roman" w:hAnsi="Times New Roman" w:cs="Times New Roman" w:eastAsia="Times New Roman" w:hint="default"/>
                <w:sz w:val="18"/>
                <w:szCs w:val="18"/>
              </w:rPr>
            </w:pPr>
            <w:r>
              <w:rPr>
                <w:rFonts w:ascii="Times New Roman"/>
                <w:spacing w:val="-2"/>
                <w:sz w:val="18"/>
              </w:rPr>
              <w:t>111,824,519.30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账龄超过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年且金额重要的预付款项未及时结算原因的说明：</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按预付对象归集的期末余额前五名的预付款情况"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44" w:lineRule="auto" w:before="0"/>
        <w:ind w:left="162" w:right="1121" w:firstLine="331"/>
        <w:jc w:val="left"/>
        <w:rPr>
          <w:rFonts w:ascii="宋体" w:hAnsi="宋体" w:cs="宋体" w:eastAsia="宋体" w:hint="default"/>
          <w:sz w:val="22"/>
          <w:szCs w:val="22"/>
        </w:rPr>
      </w:pPr>
      <w:r>
        <w:rPr>
          <w:rFonts w:ascii="宋体" w:hAnsi="宋体" w:cs="宋体" w:eastAsia="宋体" w:hint="default"/>
          <w:spacing w:val="-3"/>
          <w:w w:val="100"/>
          <w:sz w:val="22"/>
          <w:szCs w:val="22"/>
        </w:rPr>
        <w:t>本年按预付对象归集的年末余额前五名预付款项汇总金额</w:t>
      </w:r>
      <w:r>
        <w:rPr>
          <w:rFonts w:ascii="Times New Roman" w:hAnsi="Times New Roman" w:cs="Times New Roman" w:eastAsia="Times New Roman" w:hint="default"/>
          <w:spacing w:val="-3"/>
          <w:w w:val="100"/>
          <w:sz w:val="22"/>
          <w:szCs w:val="22"/>
        </w:rPr>
        <w:t>18,775,190.43</w:t>
      </w:r>
      <w:r>
        <w:rPr>
          <w:rFonts w:ascii="宋体" w:hAnsi="宋体" w:cs="宋体" w:eastAsia="宋体" w:hint="default"/>
          <w:spacing w:val="-3"/>
          <w:w w:val="100"/>
          <w:sz w:val="22"/>
          <w:szCs w:val="22"/>
        </w:rPr>
        <w:t>元，占预付款项年末余额合</w:t>
      </w:r>
      <w:r>
        <w:rPr>
          <w:rFonts w:ascii="宋体" w:hAnsi="宋体" w:cs="宋体" w:eastAsia="宋体" w:hint="default"/>
          <w:w w:val="100"/>
          <w:sz w:val="22"/>
          <w:szCs w:val="22"/>
        </w:rPr>
        <w:t> </w:t>
      </w:r>
      <w:r>
        <w:rPr>
          <w:rFonts w:ascii="宋体" w:hAnsi="宋体" w:cs="宋体" w:eastAsia="宋体" w:hint="default"/>
          <w:sz w:val="22"/>
          <w:szCs w:val="22"/>
        </w:rPr>
        <w:t>计数的比例</w:t>
      </w:r>
      <w:r>
        <w:rPr>
          <w:rFonts w:ascii="Times New Roman" w:hAnsi="Times New Roman" w:cs="Times New Roman" w:eastAsia="Times New Roman" w:hint="default"/>
          <w:sz w:val="22"/>
          <w:szCs w:val="22"/>
        </w:rPr>
        <w:t>21.13%</w:t>
      </w:r>
      <w:r>
        <w:rPr>
          <w:rFonts w:ascii="宋体" w:hAnsi="宋体" w:cs="宋体" w:eastAsia="宋体" w:hint="default"/>
          <w:sz w:val="22"/>
          <w:szCs w:val="22"/>
        </w:rPr>
        <w:t>。</w:t>
      </w:r>
    </w:p>
    <w:p>
      <w:pPr>
        <w:spacing w:line="240" w:lineRule="auto" w:before="11"/>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8、其他应收款" w:id="254"/>
      <w:bookmarkEnd w:id="25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68,070,926.09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71,744,805.52</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68,070,926.09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71,744,805.52</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1）应收利息" w:id="255"/>
      <w:bookmarkEnd w:id="2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利息分类" w:id="256"/>
      <w:bookmarkEnd w:id="25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重要逾期利息" w:id="257"/>
      <w:bookmarkEnd w:id="2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坏账准备计提情况" w:id="258"/>
      <w:bookmarkEnd w:id="25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应收股利"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股利分类" w:id="260"/>
      <w:bookmarkEnd w:id="2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重要的账龄超过1年的应收股利" w:id="261"/>
      <w:bookmarkEnd w:id="26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坏账准备计提情况" w:id="262"/>
      <w:bookmarkEnd w:id="26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其他应收款"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其他应收款按款项性质分类情况" w:id="264"/>
      <w:bookmarkEnd w:id="26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41,055,152.80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47,572,674.53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18,847,148.18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13,118,490.47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3,440,099.94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6,238,452.87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6,988,154.43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6,393,971.40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84,600,555.35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83,193,589.27</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坏账准备计提情况" w:id="265"/>
      <w:bookmarkEnd w:id="2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6"/>
        <w:gridCol w:w="1650"/>
        <w:gridCol w:w="2100"/>
        <w:gridCol w:w="2089"/>
        <w:gridCol w:w="1812"/>
      </w:tblGrid>
      <w:tr>
        <w:trPr>
          <w:trHeight w:val="401" w:hRule="exact"/>
        </w:trPr>
        <w:tc>
          <w:tcPr>
            <w:tcW w:w="19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58"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9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6"/>
              <w:ind w:left="550"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pacing w:val="-3"/>
                <w:sz w:val="18"/>
                <w:szCs w:val="18"/>
              </w:rPr>
              <w:t>（未发生信用减值）</w:t>
            </w:r>
          </w:p>
        </w:tc>
        <w:tc>
          <w:tcPr>
            <w:tcW w:w="20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pacing w:val="-3"/>
                <w:sz w:val="18"/>
                <w:szCs w:val="18"/>
              </w:rPr>
              <w:t>（已发生信用减值）</w:t>
            </w:r>
          </w:p>
        </w:tc>
        <w:tc>
          <w:tcPr>
            <w:tcW w:w="18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72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9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0" w:type="dxa"/>
            <w:vMerge/>
            <w:tcBorders>
              <w:left w:val="single" w:sz="4" w:space="0" w:color="000000"/>
              <w:bottom w:val="single" w:sz="4" w:space="0" w:color="000000"/>
              <w:right w:val="single" w:sz="4" w:space="0" w:color="000000"/>
            </w:tcBorders>
            <w:shd w:val="clear" w:color="auto" w:fill="D2D2D2"/>
          </w:tcPr>
          <w:p>
            <w:pPr/>
          </w:p>
        </w:tc>
        <w:tc>
          <w:tcPr>
            <w:tcW w:w="2100" w:type="dxa"/>
            <w:vMerge/>
            <w:tcBorders>
              <w:left w:val="single" w:sz="4" w:space="0" w:color="000000"/>
              <w:bottom w:val="single" w:sz="4" w:space="0" w:color="000000"/>
              <w:right w:val="single" w:sz="4" w:space="0" w:color="000000"/>
            </w:tcBorders>
            <w:shd w:val="clear" w:color="auto" w:fill="D2D2D2"/>
          </w:tcPr>
          <w:p>
            <w:pPr/>
          </w:p>
        </w:tc>
        <w:tc>
          <w:tcPr>
            <w:tcW w:w="2089" w:type="dxa"/>
            <w:vMerge/>
            <w:tcBorders>
              <w:left w:val="single" w:sz="4" w:space="0" w:color="000000"/>
              <w:bottom w:val="single" w:sz="4" w:space="0" w:color="000000"/>
              <w:right w:val="single" w:sz="4" w:space="0" w:color="000000"/>
            </w:tcBorders>
            <w:shd w:val="clear" w:color="auto" w:fill="D2D2D2"/>
          </w:tcPr>
          <w:p>
            <w:pPr/>
          </w:p>
        </w:tc>
        <w:tc>
          <w:tcPr>
            <w:tcW w:w="18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0" w:type="dxa"/>
            <w:tcBorders>
              <w:top w:val="single" w:sz="4" w:space="0" w:color="000000"/>
              <w:left w:val="single" w:sz="8" w:space="0" w:color="D2D2D2"/>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2" w:right="0"/>
              <w:jc w:val="left"/>
              <w:rPr>
                <w:rFonts w:ascii="Times New Roman" w:hAnsi="Times New Roman" w:cs="Times New Roman" w:eastAsia="Times New Roman" w:hint="default"/>
                <w:sz w:val="18"/>
                <w:szCs w:val="18"/>
              </w:rPr>
            </w:pPr>
            <w:r>
              <w:rPr>
                <w:rFonts w:ascii="Times New Roman"/>
                <w:sz w:val="18"/>
              </w:rPr>
              <w:t>10,948,783.75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5" w:right="0"/>
              <w:jc w:val="left"/>
              <w:rPr>
                <w:rFonts w:ascii="Times New Roman" w:hAnsi="Times New Roman" w:cs="Times New Roman" w:eastAsia="Times New Roman" w:hint="default"/>
                <w:sz w:val="18"/>
                <w:szCs w:val="18"/>
              </w:rPr>
            </w:pPr>
            <w:r>
              <w:rPr>
                <w:rFonts w:ascii="Times New Roman"/>
                <w:sz w:val="18"/>
              </w:rPr>
              <w:t>500,000.00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6" w:right="0"/>
              <w:jc w:val="left"/>
              <w:rPr>
                <w:rFonts w:ascii="Times New Roman" w:hAnsi="Times New Roman" w:cs="Times New Roman" w:eastAsia="Times New Roman" w:hint="default"/>
                <w:sz w:val="18"/>
                <w:szCs w:val="18"/>
              </w:rPr>
            </w:pPr>
            <w:r>
              <w:rPr>
                <w:rFonts w:ascii="Times New Roman"/>
                <w:spacing w:val="-2"/>
                <w:sz w:val="18"/>
              </w:rPr>
              <w:t>11,448,783.75</w:t>
            </w:r>
          </w:p>
        </w:tc>
      </w:tr>
    </w:tbl>
    <w:p>
      <w:pPr>
        <w:spacing w:after="0" w:line="240" w:lineRule="auto"/>
        <w:jc w:val="lef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163"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9"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5,080,845.51</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5,080,845.51</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16,029,629.26</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57" w:right="0"/>
              <w:jc w:val="left"/>
              <w:rPr>
                <w:rFonts w:ascii="Times New Roman" w:hAnsi="Times New Roman" w:cs="Times New Roman" w:eastAsia="Times New Roman" w:hint="default"/>
                <w:sz w:val="18"/>
                <w:szCs w:val="18"/>
              </w:rPr>
            </w:pPr>
            <w:r>
              <w:rPr>
                <w:rFonts w:ascii="Times New Roman"/>
                <w:sz w:val="18"/>
              </w:rPr>
              <w:t>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16,529,629.26</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9"/>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985"/>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41,419,213.63</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24,637,940.25</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8,423,987.14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10,119,414.33</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1,601,191.05</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602,280.81</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7,915,942.47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84,600,555.35</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本期计提、收回或转回的坏账准备情况" w:id="266"/>
      <w:bookmarkEnd w:id="2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00"/>
        <w:gridCol w:w="1340"/>
        <w:gridCol w:w="1330"/>
        <w:gridCol w:w="1330"/>
        <w:gridCol w:w="1330"/>
        <w:gridCol w:w="1724"/>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11,448,783.75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5,080,845.51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16,529,629.26</w:t>
            </w:r>
          </w:p>
        </w:tc>
      </w:tr>
      <w:tr>
        <w:trPr>
          <w:trHeight w:val="404"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6" w:right="0"/>
              <w:jc w:val="left"/>
              <w:rPr>
                <w:rFonts w:ascii="Times New Roman" w:hAnsi="Times New Roman" w:cs="Times New Roman" w:eastAsia="Times New Roman" w:hint="default"/>
                <w:sz w:val="18"/>
                <w:szCs w:val="18"/>
              </w:rPr>
            </w:pPr>
            <w:r>
              <w:rPr>
                <w:rFonts w:ascii="Times New Roman"/>
                <w:sz w:val="18"/>
              </w:rPr>
              <w:t>11,448,783.75</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5,080,845.51</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16,529,629.26</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本期实际核销的其他应收款情况" w:id="267"/>
      <w:bookmarkEnd w:id="26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按欠款方归集的期末余额前五名的其他应收款情况" w:id="268"/>
      <w:bookmarkEnd w:id="26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387,000.00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2,772,010.99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277,201.10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100"/>
              <w:ind w:right="6"/>
              <w:jc w:val="right"/>
              <w:rPr>
                <w:rFonts w:ascii="Times New Roman" w:hAnsi="Times New Roman" w:cs="Times New Roman" w:eastAsia="Times New Roman" w:hint="default"/>
                <w:sz w:val="18"/>
                <w:szCs w:val="18"/>
              </w:rPr>
            </w:pPr>
            <w:r>
              <w:rPr>
                <w:rFonts w:ascii="Times New Roman"/>
                <w:spacing w:val="-1"/>
                <w:sz w:val="18"/>
              </w:rPr>
              <w:t>22,042,010.99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6,484,201.10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6）涉及政府补助的应收款项" w:id="269"/>
      <w:bookmarkEnd w:id="26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7）因金融资产转移而终止确认的其他应收款" w:id="270"/>
      <w:bookmarkEnd w:id="27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转移其他应收款且继续涉入形成的资产、负债金额" w:id="271"/>
      <w:bookmarkEnd w:id="27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9、存货" w:id="272"/>
      <w:bookmarkEnd w:id="27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存货分类" w:id="273"/>
      <w:bookmarkEnd w:id="2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存货跌价准备和合同履约成本减值准备"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）存货跌价准备和合同履约成本减值准备</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存货期末余额中利息资本化率的情况"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）存货期末余额中利息资本化率的情况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存货受限情况" w:id="276"/>
      <w:bookmarkEnd w:id="2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）存货受限情况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存货分类" w:id="277"/>
      <w:bookmarkEnd w:id="2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存货跌价准备" w:id="278"/>
      <w:bookmarkEnd w:id="2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7）存货期末余额中利息资本化率的情况" w:id="279"/>
      <w:bookmarkEnd w:id="2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）存货期末余额中利息资本化率的情况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存货受限情况" w:id="280"/>
      <w:bookmarkEnd w:id="2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）存货受限情况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9）期末建造合同形成的已完工未结算资产情况"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0）存货分类" w:id="282"/>
      <w:bookmarkEnd w:id="2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7"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56,868,598.79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128,541.73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56,740,057.06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56,643,307.27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128,541.73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56,514,765.54</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176,245,967.81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176,245,967.81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135,951,393.48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135,951,393.48</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12,276,102.36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365,827.13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11,910,275.23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15,885,672.21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365,827.13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15,519,845.08</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33,831,925.67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33,831,925.67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34,696,122.19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34,696,122.19</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57"/>
        <w:gridCol w:w="1380"/>
        <w:gridCol w:w="1369"/>
        <w:gridCol w:w="1368"/>
        <w:gridCol w:w="1364"/>
        <w:gridCol w:w="1369"/>
        <w:gridCol w:w="1369"/>
      </w:tblGrid>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8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758,614.54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758,614.54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771,439.15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771,439.15</w:t>
            </w:r>
          </w:p>
        </w:tc>
      </w:tr>
      <w:tr>
        <w:trPr>
          <w:trHeight w:val="398"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80"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154,088,839.23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10,617,851.58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143,470,987.65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120,042,457.22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120,042,457.22</w:t>
            </w: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80" w:type="dxa"/>
            <w:tcBorders>
              <w:top w:val="single" w:sz="4" w:space="0" w:color="000000"/>
              <w:left w:val="single" w:sz="13" w:space="0" w:color="D9D9D9"/>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615,234.64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615,234.64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434,070,048.40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11,112,220.44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422,957,827.96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364,605,626.16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494,368.86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364,111,257.30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1）存货跌价准备" w:id="283"/>
      <w:bookmarkEnd w:id="2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9"/>
        <w:gridCol w:w="1368"/>
        <w:gridCol w:w="1364"/>
        <w:gridCol w:w="1369"/>
        <w:gridCol w:w="1369"/>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4"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4"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128,541.73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128,541.73</w:t>
            </w:r>
          </w:p>
        </w:tc>
      </w:tr>
      <w:tr>
        <w:trPr>
          <w:trHeight w:val="404"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365,827.13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365,827.13</w:t>
            </w: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80" w:type="dxa"/>
            <w:tcBorders>
              <w:top w:val="single" w:sz="4" w:space="0" w:color="000000"/>
              <w:left w:val="single" w:sz="13" w:space="0" w:color="D9D9D9"/>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10,617,851.58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10,617,851.58</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494,368.86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10,617,851.58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11,112,220.44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29" w:type="dxa"/>
        <w:tblLayout w:type="fixed"/>
        <w:tblCellMar>
          <w:top w:w="0" w:type="dxa"/>
          <w:left w:w="0" w:type="dxa"/>
          <w:bottom w:w="0" w:type="dxa"/>
          <w:right w:w="0" w:type="dxa"/>
        </w:tblCellMar>
        <w:tblLook w:val="01E0"/>
      </w:tblPr>
      <w:tblGrid>
        <w:gridCol w:w="2886"/>
        <w:gridCol w:w="3462"/>
        <w:gridCol w:w="3333"/>
      </w:tblGrid>
      <w:tr>
        <w:trPr>
          <w:trHeight w:val="410" w:hRule="exact"/>
        </w:trPr>
        <w:tc>
          <w:tcPr>
            <w:tcW w:w="28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left="4"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确定可变现净值的具体依据</w:t>
            </w:r>
          </w:p>
        </w:tc>
        <w:tc>
          <w:tcPr>
            <w:tcW w:w="33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5"/>
              <w:ind w:left="759" w:right="0"/>
              <w:jc w:val="left"/>
              <w:rPr>
                <w:rFonts w:ascii="宋体" w:hAnsi="宋体" w:cs="宋体" w:eastAsia="宋体" w:hint="default"/>
                <w:sz w:val="20"/>
                <w:szCs w:val="20"/>
              </w:rPr>
            </w:pPr>
            <w:r>
              <w:rPr>
                <w:rFonts w:ascii="宋体" w:hAnsi="宋体" w:cs="宋体" w:eastAsia="宋体" w:hint="default"/>
                <w:sz w:val="20"/>
                <w:szCs w:val="20"/>
              </w:rPr>
              <w:t>本年转回或转销原因</w:t>
            </w:r>
          </w:p>
        </w:tc>
      </w:tr>
      <w:tr>
        <w:trPr>
          <w:trHeight w:val="425"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0"/>
                <w:szCs w:val="20"/>
              </w:rPr>
            </w:pPr>
            <w:r>
              <w:rPr>
                <w:rFonts w:ascii="宋体" w:hAnsi="宋体" w:cs="宋体" w:eastAsia="宋体" w:hint="default"/>
                <w:sz w:val="20"/>
                <w:szCs w:val="20"/>
              </w:rPr>
              <w:t>可收回金额低于账面价值</w:t>
            </w:r>
          </w:p>
        </w:tc>
        <w:tc>
          <w:tcPr>
            <w:tcW w:w="33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可收回金额低于账面价值</w:t>
            </w:r>
          </w:p>
        </w:tc>
        <w:tc>
          <w:tcPr>
            <w:tcW w:w="3333" w:type="dxa"/>
            <w:tcBorders>
              <w:top w:val="single" w:sz="4" w:space="0" w:color="000000"/>
              <w:left w:val="single" w:sz="4" w:space="0" w:color="000000"/>
              <w:bottom w:val="single" w:sz="4" w:space="0" w:color="000000"/>
              <w:right w:val="single" w:sz="4" w:space="0" w:color="000000"/>
            </w:tcBorders>
          </w:tcPr>
          <w:p>
            <w:pPr/>
          </w:p>
        </w:tc>
      </w:tr>
      <w:tr>
        <w:trPr>
          <w:trHeight w:val="437"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0" w:right="0"/>
              <w:jc w:val="left"/>
              <w:rPr>
                <w:rFonts w:ascii="宋体" w:hAnsi="宋体" w:cs="宋体" w:eastAsia="宋体" w:hint="default"/>
                <w:sz w:val="20"/>
                <w:szCs w:val="20"/>
              </w:rPr>
            </w:pPr>
            <w:r>
              <w:rPr>
                <w:rFonts w:ascii="宋体" w:hAnsi="宋体" w:cs="宋体" w:eastAsia="宋体" w:hint="default"/>
                <w:sz w:val="20"/>
                <w:szCs w:val="20"/>
              </w:rPr>
              <w:t>工程施工</w:t>
            </w:r>
          </w:p>
        </w:tc>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0"/>
                <w:szCs w:val="20"/>
              </w:rPr>
            </w:pPr>
            <w:r>
              <w:rPr>
                <w:rFonts w:ascii="宋体" w:hAnsi="宋体" w:cs="宋体" w:eastAsia="宋体" w:hint="default"/>
                <w:sz w:val="20"/>
                <w:szCs w:val="20"/>
              </w:rPr>
              <w:t>可收回金额低于账面价值</w:t>
            </w:r>
          </w:p>
        </w:tc>
        <w:tc>
          <w:tcPr>
            <w:tcW w:w="33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2）存货期末余额含有借款费用资本化金额的说明" w:id="284"/>
      <w:bookmarkEnd w:id="2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3）期末建造合同形成的已完工未结算资产情况"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0、合同资产" w:id="286"/>
      <w:bookmarkEnd w:id="286"/>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、合同资产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1、持有待售资产" w:id="287"/>
      <w:bookmarkEnd w:id="287"/>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2、一年内到期的非流动资产" w:id="288"/>
      <w:bookmarkEnd w:id="288"/>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一年内到期的长期应收款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2,582,259.46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3,842,343.79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2,582,259.46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3,842,343.79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3、其他流动资产" w:id="289"/>
      <w:bookmarkEnd w:id="289"/>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6"/>
        <w:rPr>
          <w:rFonts w:ascii="宋体" w:hAnsi="宋体" w:cs="宋体" w:eastAsia="宋体" w:hint="default"/>
          <w:sz w:val="26"/>
          <w:szCs w:val="26"/>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增值税留抵税额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9,622,146.02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25,665,973.92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待认证进项税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7,615,722.13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9,575,588.29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预缴的企业所得税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1,898,095.71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571,721.59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29,870.00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19,165,833.86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35,813,283.80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4、债权投资" w:id="290"/>
      <w:bookmarkEnd w:id="290"/>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、债权投资</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5、其他债权投资" w:id="291"/>
      <w:bookmarkEnd w:id="291"/>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、其他债权投资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6、长期应收款" w:id="292"/>
      <w:bookmarkEnd w:id="292"/>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长期应收款情况" w:id="293"/>
      <w:bookmarkEnd w:id="2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1133"/>
        <w:gridCol w:w="1047"/>
        <w:gridCol w:w="1167"/>
        <w:gridCol w:w="1167"/>
        <w:gridCol w:w="1167"/>
        <w:gridCol w:w="1167"/>
        <w:gridCol w:w="1167"/>
      </w:tblGrid>
      <w:tr>
        <w:trPr>
          <w:trHeight w:val="206" w:hRule="exact"/>
        </w:trPr>
        <w:tc>
          <w:tcPr>
            <w:tcW w:w="1561"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7" w:type="dxa"/>
            <w:gridSpan w:val="3"/>
            <w:vMerge/>
            <w:tcBorders>
              <w:left w:val="single" w:sz="4" w:space="0" w:color="000000"/>
              <w:bottom w:val="single" w:sz="4" w:space="0" w:color="000000"/>
              <w:right w:val="single" w:sz="4" w:space="0" w:color="000000"/>
            </w:tcBorders>
            <w:shd w:val="clear" w:color="auto" w:fill="D2D2D2"/>
          </w:tcPr>
          <w:p>
            <w:pPr/>
          </w:p>
        </w:tc>
        <w:tc>
          <w:tcPr>
            <w:tcW w:w="3501" w:type="dxa"/>
            <w:gridSpan w:val="3"/>
            <w:vMerge/>
            <w:tcBorders>
              <w:left w:val="single" w:sz="4" w:space="0" w:color="000000"/>
              <w:bottom w:val="single" w:sz="4" w:space="0" w:color="000000"/>
              <w:right w:val="single" w:sz="4" w:space="0" w:color="000000"/>
            </w:tcBorders>
            <w:shd w:val="clear" w:color="auto" w:fill="D2D2D2"/>
          </w:tcPr>
          <w:p>
            <w:pPr/>
          </w:p>
        </w:tc>
        <w:tc>
          <w:tcPr>
            <w:tcW w:w="11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7" w:hRule="exact"/>
        </w:trPr>
        <w:tc>
          <w:tcPr>
            <w:tcW w:w="1561" w:type="dxa"/>
            <w:vMerge/>
            <w:tcBorders>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1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04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23,157,817.71</w:t>
            </w:r>
          </w:p>
        </w:tc>
        <w:tc>
          <w:tcPr>
            <w:tcW w:w="104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Times New Roman" w:hAnsi="Times New Roman" w:cs="Times New Roman" w:eastAsia="Times New Roman" w:hint="default"/>
                <w:sz w:val="18"/>
                <w:szCs w:val="18"/>
              </w:rPr>
            </w:pPr>
            <w:r>
              <w:rPr>
                <w:rFonts w:ascii="Times New Roman"/>
                <w:sz w:val="18"/>
              </w:rPr>
              <w:t>23,157,817.71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28,232,450.29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28,232,450.29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4.75%</w:t>
            </w: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分期收款提供劳务</w:t>
            </w:r>
          </w:p>
        </w:tc>
        <w:tc>
          <w:tcPr>
            <w:tcW w:w="1133" w:type="dxa"/>
            <w:tcBorders>
              <w:top w:val="single" w:sz="4" w:space="0" w:color="000000"/>
              <w:left w:val="single" w:sz="13" w:space="0" w:color="D2D2D2"/>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1,742,648.95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38,461.37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1,704,187.58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3"/>
                <w:sz w:val="18"/>
              </w:rPr>
              <w:t>5%-7%</w:t>
            </w:r>
            <w:r>
              <w:rPr>
                <w:rFonts w:ascii="Times New Roman"/>
                <w:sz w:val="18"/>
              </w:rPr>
            </w:r>
          </w:p>
        </w:tc>
      </w:tr>
      <w:tr>
        <w:trPr>
          <w:trHeight w:val="404"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23,157,817.71</w:t>
            </w:r>
          </w:p>
        </w:tc>
        <w:tc>
          <w:tcPr>
            <w:tcW w:w="104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 w:right="0"/>
              <w:jc w:val="center"/>
              <w:rPr>
                <w:rFonts w:ascii="Times New Roman" w:hAnsi="Times New Roman" w:cs="Times New Roman" w:eastAsia="Times New Roman" w:hint="default"/>
                <w:sz w:val="18"/>
                <w:szCs w:val="18"/>
              </w:rPr>
            </w:pPr>
            <w:r>
              <w:rPr>
                <w:rFonts w:ascii="Times New Roman"/>
                <w:sz w:val="18"/>
              </w:rPr>
              <w:t>23,157,817.71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29,975,099.24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38,461.37</w:t>
            </w:r>
          </w:p>
        </w:tc>
        <w:tc>
          <w:tcPr>
            <w:tcW w:w="116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spacing w:val="-1"/>
                <w:sz w:val="18"/>
              </w:rPr>
              <w:t>29,936,637.87</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因金融资产转移而终止确认的长期应收款" w:id="294"/>
      <w:bookmarkEnd w:id="2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转移长期应收款且继续涉入形成的资产、负债金额"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7、长期股权投资" w:id="296"/>
      <w:bookmarkEnd w:id="296"/>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8、其他权益工具投资" w:id="297"/>
      <w:bookmarkEnd w:id="297"/>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、其他权益工具投资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9、其他非流动金融资产" w:id="298"/>
      <w:bookmarkEnd w:id="298"/>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、其他非流动金融资产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0、投资性房地产" w:id="299"/>
      <w:bookmarkEnd w:id="299"/>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采用成本计量模式的投资性房地产" w:id="300"/>
      <w:bookmarkEnd w:id="3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2"/>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254,225,503.83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4,234,865.37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258,460,369.20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40,929,840.85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40,929,840.85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）存货</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40,929,840.85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40,929,840.85</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）企业合并增加</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295,155,344.68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4,234,865.37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299,390,210.05</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60"/>
              <w:jc w:val="left"/>
              <w:rPr>
                <w:rFonts w:ascii="宋体" w:hAnsi="宋体" w:cs="宋体" w:eastAsia="宋体" w:hint="default"/>
                <w:sz w:val="18"/>
                <w:szCs w:val="18"/>
              </w:rPr>
            </w:pPr>
            <w:r>
              <w:rPr>
                <w:rFonts w:ascii="宋体" w:hAnsi="宋体" w:cs="宋体" w:eastAsia="宋体" w:hint="default"/>
                <w:spacing w:val="-2"/>
                <w:sz w:val="18"/>
                <w:szCs w:val="18"/>
              </w:rPr>
              <w:t>二、累计折旧和累计摊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销</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26,879,881.28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2,056,220.78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28,936,102.06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13,365,040.81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18,025.84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13,383,066.65</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9,045,540.32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18,025.84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9,063,566.16</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Times New Roman" w:hAnsi="Times New Roman" w:cs="Times New Roman" w:eastAsia="Times New Roman" w:hint="default"/>
                <w:spacing w:val="-5"/>
                <w:w w:val="101"/>
                <w:sz w:val="18"/>
                <w:szCs w:val="18"/>
              </w:rPr>
              <w:t>2</w:t>
            </w:r>
            <w:r>
              <w:rPr>
                <w:rFonts w:ascii="宋体" w:hAnsi="宋体" w:cs="宋体" w:eastAsia="宋体" w:hint="default"/>
                <w:spacing w:val="-82"/>
                <w:w w:val="101"/>
                <w:sz w:val="18"/>
                <w:szCs w:val="18"/>
              </w:rPr>
              <w:t>）</w:t>
            </w:r>
            <w:r>
              <w:rPr>
                <w:rFonts w:ascii="宋体" w:hAnsi="宋体" w:cs="宋体" w:eastAsia="宋体" w:hint="default"/>
                <w:spacing w:val="-5"/>
                <w:w w:val="101"/>
                <w:sz w:val="18"/>
                <w:szCs w:val="18"/>
              </w:rPr>
              <w:t>存</w:t>
            </w:r>
            <w:r>
              <w:rPr>
                <w:rFonts w:ascii="宋体" w:hAnsi="宋体" w:cs="宋体" w:eastAsia="宋体" w:hint="default"/>
                <w:w w:val="101"/>
                <w:sz w:val="18"/>
                <w:szCs w:val="18"/>
              </w:rPr>
              <w:t>货</w:t>
            </w:r>
            <w:r>
              <w:rPr>
                <w:rFonts w:ascii="Times New Roman" w:hAnsi="Times New Roman" w:cs="Times New Roman" w:eastAsia="Times New Roman" w:hint="default"/>
                <w:spacing w:val="-3"/>
                <w:w w:val="101"/>
                <w:sz w:val="18"/>
                <w:szCs w:val="18"/>
              </w:rPr>
              <w:t>\</w:t>
            </w:r>
            <w:r>
              <w:rPr>
                <w:rFonts w:ascii="宋体" w:hAnsi="宋体" w:cs="宋体" w:eastAsia="宋体" w:hint="default"/>
                <w:w w:val="101"/>
                <w:sz w:val="18"/>
                <w:szCs w:val="18"/>
              </w:rPr>
              <w:t>固</w:t>
            </w:r>
            <w:r>
              <w:rPr>
                <w:rFonts w:ascii="宋体" w:hAnsi="宋体" w:cs="宋体" w:eastAsia="宋体" w:hint="default"/>
                <w:spacing w:val="-5"/>
                <w:w w:val="101"/>
                <w:sz w:val="18"/>
                <w:szCs w:val="18"/>
              </w:rPr>
              <w:t>定</w:t>
            </w:r>
            <w:r>
              <w:rPr>
                <w:rFonts w:ascii="宋体" w:hAnsi="宋体" w:cs="宋体" w:eastAsia="宋体" w:hint="default"/>
                <w:w w:val="101"/>
                <w:sz w:val="18"/>
                <w:szCs w:val="18"/>
              </w:rPr>
              <w:t>资产</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31"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4,319,500.49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4,319,500.49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40,244,922.09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2,074,246.62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42,319,168.71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254,910,422.59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2,160,618.75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257,071,041.34</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227,345,622.55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2,178,644.59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229,524,267.14</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9"/>
        <w:rPr>
          <w:rFonts w:ascii="Times New Roman" w:hAnsi="Times New Roman" w:cs="Times New Roman" w:eastAsia="Times New Roman" w:hint="default"/>
          <w:sz w:val="28"/>
          <w:szCs w:val="28"/>
        </w:rPr>
      </w:pPr>
    </w:p>
    <w:p>
      <w:pPr>
        <w:spacing w:before="36"/>
        <w:ind w:left="153" w:right="0" w:firstLine="0"/>
        <w:jc w:val="left"/>
        <w:rPr>
          <w:rFonts w:ascii="宋体" w:hAnsi="宋体" w:cs="宋体" w:eastAsia="宋体" w:hint="default"/>
          <w:sz w:val="21"/>
          <w:szCs w:val="21"/>
        </w:rPr>
      </w:pPr>
      <w:bookmarkStart w:name="（2）采用公允价值计量模式的投资性房地产" w:id="301"/>
      <w:bookmarkEnd w:id="3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未办妥产权证书的投资性房地产情况" w:id="302"/>
      <w:bookmarkEnd w:id="3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9" w:lineRule="auto" w:before="0"/>
        <w:ind w:left="153" w:right="0" w:firstLine="0"/>
        <w:jc w:val="left"/>
        <w:rPr>
          <w:rFonts w:ascii="宋体" w:hAnsi="宋体" w:cs="宋体" w:eastAsia="宋体" w:hint="default"/>
          <w:sz w:val="22"/>
          <w:szCs w:val="22"/>
        </w:rPr>
      </w:pPr>
      <w:r>
        <w:rPr>
          <w:rFonts w:ascii="宋体" w:hAnsi="宋体" w:cs="宋体" w:eastAsia="宋体" w:hint="default"/>
          <w:sz w:val="22"/>
          <w:szCs w:val="22"/>
        </w:rPr>
        <w:t>年末无未办妥产权证书的投资性房地产。</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1"/>
          <w:sz w:val="22"/>
          <w:szCs w:val="22"/>
        </w:rPr>
        <w:t>年末用于抵押的投资性房地产情况详见附注六、</w:t>
      </w:r>
      <w:r>
        <w:rPr>
          <w:rFonts w:ascii="Times New Roman" w:hAnsi="Times New Roman" w:cs="Times New Roman" w:eastAsia="Times New Roman" w:hint="default"/>
          <w:spacing w:val="-1"/>
          <w:sz w:val="22"/>
          <w:szCs w:val="22"/>
        </w:rPr>
        <w:t>53.</w:t>
      </w:r>
      <w:r>
        <w:rPr>
          <w:rFonts w:ascii="宋体" w:hAnsi="宋体" w:cs="宋体" w:eastAsia="宋体" w:hint="default"/>
          <w:spacing w:val="-1"/>
          <w:sz w:val="22"/>
          <w:szCs w:val="22"/>
        </w:rPr>
        <w:t>所有权或使用权收到限制的资产。</w:t>
      </w:r>
    </w:p>
    <w:p>
      <w:pPr>
        <w:spacing w:line="240" w:lineRule="auto" w:before="10"/>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1、固定资产" w:id="303"/>
      <w:bookmarkEnd w:id="303"/>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196,679,591.97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218,944,026.83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196,679,591.97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218,944,026.83</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固定资产情况" w:id="304"/>
      <w:bookmarkEnd w:id="3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64"/>
        <w:gridCol w:w="1568"/>
        <w:gridCol w:w="1421"/>
        <w:gridCol w:w="1560"/>
        <w:gridCol w:w="1445"/>
        <w:gridCol w:w="1599"/>
      </w:tblGrid>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3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209,937,502.85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50,664,656.89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15,915,316.75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14,319,103.74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290,836,580.23</w:t>
            </w:r>
          </w:p>
        </w:tc>
      </w:tr>
      <w:tr>
        <w:trPr>
          <w:trHeight w:val="404"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12,090,403.69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15,237,149.10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2,030,712.17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334,785.19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29,693,050.15</w:t>
            </w:r>
          </w:p>
        </w:tc>
      </w:tr>
      <w:tr>
        <w:trPr>
          <w:trHeight w:val="398"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1,584,725.59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2,030,712.17</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334,785.19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3,950,222.95</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）在建工程转入</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12,090,403.69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13,652,423.51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25,742,827.20</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40,929,840.85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5,193,910.14</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46,123,750.99</w:t>
            </w:r>
          </w:p>
        </w:tc>
      </w:tr>
      <w:tr>
        <w:trPr>
          <w:trHeight w:val="399"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5,193,910.14</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5,193,910.14</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转为投资性房地产</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40,929,840.85</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40,929,840.85</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181,098,065.69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65,901,805.99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12,752,118.78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14,653,888.93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274,405,879.39</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26,493,051.50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25,367,506.77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10,290,986.53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9,741,008.60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71,892,553.40</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7,582,885.92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4,071,149.27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1,585,833.75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1,318,096.25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14,557,965.19</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7,582,885.92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4,071,149.27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1,585,833.75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1,318,096.25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14,557,965.19</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4,319,500.49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4,404,730.68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8,724,231.17</w:t>
            </w:r>
          </w:p>
        </w:tc>
      </w:tr>
      <w:tr>
        <w:trPr>
          <w:trHeight w:val="399"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4,404,730.68</w:t>
            </w: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4,404,730.68</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转为投资性房地产</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4,319,500.49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4,319,500.49</w:t>
            </w:r>
          </w:p>
        </w:tc>
      </w:tr>
      <w:tr>
        <w:trPr>
          <w:trHeight w:val="403" w:hRule="exact"/>
        </w:trPr>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29,756,436.93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29,438,656.04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7,472,089.60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11,059,104.85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77,726,287.42</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76"/>
        <w:gridCol w:w="1568"/>
        <w:gridCol w:w="1421"/>
        <w:gridCol w:w="1560"/>
        <w:gridCol w:w="1445"/>
        <w:gridCol w:w="1599"/>
      </w:tblGrid>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8" w:type="dxa"/>
            <w:tcBorders>
              <w:top w:val="single" w:sz="4" w:space="0" w:color="000000"/>
              <w:left w:val="single" w:sz="13" w:space="0" w:color="D2D2D2"/>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151,341,628.76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36,463,149.95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5,280,029.18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3,594,784.08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196,679,591.97</w:t>
            </w:r>
          </w:p>
        </w:tc>
      </w:tr>
      <w:tr>
        <w:trPr>
          <w:trHeight w:val="403" w:hRule="exact"/>
        </w:trPr>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183,444,451.35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25,297,150.12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5,624,330.22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4,578,095.14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218,944,026.83</w:t>
            </w:r>
          </w:p>
        </w:tc>
      </w:tr>
    </w:tbl>
    <w:p>
      <w:pPr>
        <w:spacing w:line="240" w:lineRule="auto" w:before="3"/>
        <w:rPr>
          <w:rFonts w:ascii="宋体" w:hAnsi="宋体" w:cs="宋体" w:eastAsia="宋体" w:hint="default"/>
          <w:sz w:val="19"/>
          <w:szCs w:val="19"/>
        </w:rPr>
      </w:pPr>
    </w:p>
    <w:p>
      <w:pPr>
        <w:spacing w:before="36"/>
        <w:ind w:left="254" w:right="0" w:firstLine="0"/>
        <w:jc w:val="left"/>
        <w:rPr>
          <w:rFonts w:ascii="宋体" w:hAnsi="宋体" w:cs="宋体" w:eastAsia="宋体" w:hint="default"/>
          <w:sz w:val="21"/>
          <w:szCs w:val="21"/>
        </w:rPr>
      </w:pPr>
      <w:bookmarkStart w:name="（2）暂时闲置的固定资产情况" w:id="305"/>
      <w:bookmarkEnd w:id="3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254" w:right="0" w:firstLine="0"/>
        <w:jc w:val="left"/>
        <w:rPr>
          <w:rFonts w:ascii="宋体" w:hAnsi="宋体" w:cs="宋体" w:eastAsia="宋体" w:hint="default"/>
          <w:sz w:val="21"/>
          <w:szCs w:val="21"/>
        </w:rPr>
      </w:pPr>
      <w:bookmarkStart w:name="（3）通过融资租赁租入的固定资产情况"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254" w:right="0" w:firstLine="0"/>
        <w:jc w:val="left"/>
        <w:rPr>
          <w:rFonts w:ascii="宋体" w:hAnsi="宋体" w:cs="宋体" w:eastAsia="宋体" w:hint="default"/>
          <w:sz w:val="21"/>
          <w:szCs w:val="21"/>
        </w:rPr>
      </w:pPr>
      <w:bookmarkStart w:name="（4）通过经营租赁租出的固定资产"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254" w:right="0" w:firstLine="0"/>
        <w:jc w:val="left"/>
        <w:rPr>
          <w:rFonts w:ascii="宋体" w:hAnsi="宋体" w:cs="宋体" w:eastAsia="宋体" w:hint="default"/>
          <w:sz w:val="21"/>
          <w:szCs w:val="21"/>
        </w:rPr>
      </w:pPr>
      <w:bookmarkStart w:name="（5）未办妥产权证书的固定资产情况"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244" w:right="0" w:firstLine="0"/>
        <w:jc w:val="left"/>
        <w:rPr>
          <w:rFonts w:ascii="宋体" w:hAnsi="宋体" w:cs="宋体" w:eastAsia="宋体" w:hint="default"/>
          <w:sz w:val="22"/>
          <w:szCs w:val="22"/>
        </w:rPr>
      </w:pPr>
      <w:r>
        <w:rPr>
          <w:rFonts w:ascii="宋体" w:hAnsi="宋体" w:cs="宋体" w:eastAsia="宋体" w:hint="default"/>
          <w:sz w:val="22"/>
          <w:szCs w:val="22"/>
        </w:rPr>
        <w:t>年末无未办妥产权证书的固定资产。</w:t>
      </w:r>
    </w:p>
    <w:p>
      <w:pPr>
        <w:spacing w:line="240" w:lineRule="auto" w:before="10"/>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6）固定资产清理" w:id="309"/>
      <w:bookmarkEnd w:id="3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2、在建工程" w:id="310"/>
      <w:bookmarkEnd w:id="310"/>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61,909,876.72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39,363,749.51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61,909,876.72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39,363,749.51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在建工程情况" w:id="311"/>
      <w:bookmarkEnd w:id="3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8"/>
        <w:gridCol w:w="1272"/>
        <w:gridCol w:w="1138"/>
        <w:gridCol w:w="1272"/>
        <w:gridCol w:w="1167"/>
        <w:gridCol w:w="1369"/>
        <w:gridCol w:w="1369"/>
      </w:tblGrid>
      <w:tr>
        <w:trPr>
          <w:trHeight w:val="401" w:hRule="exact"/>
        </w:trPr>
        <w:tc>
          <w:tcPr>
            <w:tcW w:w="1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88" w:type="dxa"/>
            <w:vMerge/>
            <w:tcBorders>
              <w:left w:val="single" w:sz="4" w:space="0" w:color="000000"/>
              <w:bottom w:val="single" w:sz="4" w:space="0" w:color="000000"/>
              <w:right w:val="single" w:sz="4" w:space="0" w:color="000000"/>
            </w:tcBorders>
            <w:shd w:val="clear" w:color="auto" w:fill="D2D2D2"/>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47"/>
              <w:jc w:val="left"/>
              <w:rPr>
                <w:rFonts w:ascii="宋体" w:hAnsi="宋体" w:cs="宋体" w:eastAsia="宋体" w:hint="default"/>
                <w:sz w:val="18"/>
                <w:szCs w:val="18"/>
              </w:rPr>
            </w:pPr>
            <w:r>
              <w:rPr>
                <w:rFonts w:ascii="宋体" w:hAnsi="宋体" w:cs="宋体" w:eastAsia="宋体" w:hint="default"/>
                <w:spacing w:val="-2"/>
                <w:sz w:val="18"/>
                <w:szCs w:val="18"/>
              </w:rPr>
              <w:t>昌图县曲家店镇生物质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发电项目</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38,707,208.32</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38,707,208.32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29,592,869.45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29,592,869.45</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喷涂生产线</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 w:right="0"/>
              <w:jc w:val="left"/>
              <w:rPr>
                <w:rFonts w:ascii="Times New Roman" w:hAnsi="Times New Roman" w:cs="Times New Roman" w:eastAsia="Times New Roman" w:hint="default"/>
                <w:sz w:val="18"/>
                <w:szCs w:val="18"/>
              </w:rPr>
            </w:pPr>
            <w:r>
              <w:rPr>
                <w:rFonts w:ascii="Times New Roman"/>
                <w:sz w:val="18"/>
              </w:rPr>
              <w:t>17,972,470.92</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17,972,470.92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展厅改造装修工程</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7" w:right="0"/>
              <w:jc w:val="left"/>
              <w:rPr>
                <w:rFonts w:ascii="Times New Roman" w:hAnsi="Times New Roman" w:cs="Times New Roman" w:eastAsia="Times New Roman" w:hint="default"/>
                <w:sz w:val="18"/>
                <w:szCs w:val="18"/>
              </w:rPr>
            </w:pPr>
            <w:r>
              <w:rPr>
                <w:rFonts w:ascii="Times New Roman"/>
                <w:sz w:val="18"/>
              </w:rPr>
              <w:t>1,893,201.39</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1,893,201.39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8"/>
        <w:gridCol w:w="1272"/>
        <w:gridCol w:w="1138"/>
        <w:gridCol w:w="1272"/>
        <w:gridCol w:w="1167"/>
        <w:gridCol w:w="1369"/>
        <w:gridCol w:w="1369"/>
      </w:tblGrid>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办公区改造装修工程</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2,013,963.75</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2,013,963.75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亦庄供电供水升级工程</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3,759,396.77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3,759,396.77</w:t>
            </w: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年装修整改工程</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2,819,223.45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2,819,223.45</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除尘器及净化器项目</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2,692,259.84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2,692,259.84</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研发大楼四期工程</w:t>
            </w:r>
          </w:p>
        </w:tc>
        <w:tc>
          <w:tcPr>
            <w:tcW w:w="127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9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其他零星工程</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1,323,032.34</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1,323,032.34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61,909,876.72</w:t>
            </w:r>
          </w:p>
        </w:tc>
        <w:tc>
          <w:tcPr>
            <w:tcW w:w="1138"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61,909,876.72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39,363,749.51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39,363,749.51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重要在建工程项目本期变动情况" w:id="312"/>
      <w:bookmarkEnd w:id="3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340"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1"/>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r>
        <w:trPr>
          <w:trHeight w:val="711"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z w:val="18"/>
                <w:szCs w:val="18"/>
              </w:rPr>
              <w:t>喷涂生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产线</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17,972,4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70.92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17,972,4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70.92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89.86%</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1651"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56"/>
              <w:jc w:val="both"/>
              <w:rPr>
                <w:rFonts w:ascii="宋体" w:hAnsi="宋体" w:cs="宋体" w:eastAsia="宋体" w:hint="default"/>
                <w:sz w:val="18"/>
                <w:szCs w:val="18"/>
              </w:rPr>
            </w:pPr>
            <w:r>
              <w:rPr>
                <w:rFonts w:ascii="宋体" w:hAnsi="宋体" w:cs="宋体" w:eastAsia="宋体" w:hint="default"/>
                <w:sz w:val="18"/>
                <w:szCs w:val="18"/>
              </w:rPr>
              <w:t>昌图县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曲家店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镇生物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质发电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项目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296,240,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29,592,8</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69.45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9,114,33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38,707,2</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08.32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13.07%</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自筹</w:t>
            </w:r>
          </w:p>
        </w:tc>
      </w:tr>
      <w:tr>
        <w:trPr>
          <w:trHeight w:val="716"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316,240,</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29,592,8</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69.45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27,086,8</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09.79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56,679,6</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79.24</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本期计提在建工程减值准备情况"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工程物资" w:id="314"/>
      <w:bookmarkEnd w:id="3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3、生产性生物资产" w:id="315"/>
      <w:bookmarkEnd w:id="315"/>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采用成本计量模式的生产性生物资产" w:id="316"/>
      <w:bookmarkEnd w:id="3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采用公允价值计量模式的生产性生物资产" w:id="317"/>
      <w:bookmarkEnd w:id="3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24、油气资产" w:id="318"/>
      <w:bookmarkEnd w:id="318"/>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5、使用权资产" w:id="319"/>
      <w:bookmarkEnd w:id="319"/>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6、无形资产" w:id="320"/>
      <w:bookmarkEnd w:id="320"/>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无形资产情况" w:id="321"/>
      <w:bookmarkEnd w:id="3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0"/>
        <w:gridCol w:w="1289"/>
        <w:gridCol w:w="1277"/>
        <w:gridCol w:w="1272"/>
        <w:gridCol w:w="1422"/>
        <w:gridCol w:w="1114"/>
        <w:gridCol w:w="1369"/>
      </w:tblGrid>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82,424,729.86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19,801,000.00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3,394,162.95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77,780,215.45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10,120,191.22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193,520,299.48</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58,966,034.64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104,504.42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59,070,539.06</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58,966,034.64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104,504.42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59,070,539.06</w:t>
            </w: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）内部研发</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w:t>
            </w:r>
          </w:p>
          <w:p>
            <w:pPr>
              <w:pStyle w:val="TableParagraph"/>
              <w:spacing w:line="240" w:lineRule="auto" w:before="68"/>
              <w:ind w:left="11"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477,586.21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477,586.21</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477,586.21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477,586.21</w:t>
            </w:r>
          </w:p>
        </w:tc>
      </w:tr>
      <w:tr>
        <w:trPr>
          <w:trHeight w:val="4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82,424,729.86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19,801,000.00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3,394,162.95</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136,746,250.09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9,747,109.43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252,113,252.33</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10,870,104.94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8,483,150.55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2,900,121.78</w:t>
            </w: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4,622,371.98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26,875,749.25</w:t>
            </w: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1,745,504.08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2,823,231.20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114,533.28</w:t>
            </w: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669,272.84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5,352,541.40</w:t>
            </w:r>
          </w:p>
        </w:tc>
      </w:tr>
      <w:tr>
        <w:trPr>
          <w:trHeight w:val="4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1,745,504.08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2,823,231.20</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114,533.28</w:t>
            </w: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669,272.84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5,352,541.40</w:t>
            </w: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12,615,609.02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11,306,381.75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3,014,655.06</w:t>
            </w: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5,291,644.82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32,228,290.65</w:t>
            </w:r>
          </w:p>
        </w:tc>
      </w:tr>
      <w:tr>
        <w:trPr>
          <w:trHeight w:val="4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7"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32"/>
        <w:gridCol w:w="1289"/>
        <w:gridCol w:w="1277"/>
        <w:gridCol w:w="1272"/>
        <w:gridCol w:w="1422"/>
        <w:gridCol w:w="1114"/>
        <w:gridCol w:w="1369"/>
      </w:tblGrid>
      <w:tr>
        <w:trPr>
          <w:trHeight w:val="403"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89" w:type="dxa"/>
            <w:tcBorders>
              <w:top w:val="single" w:sz="4" w:space="0" w:color="000000"/>
              <w:left w:val="single" w:sz="13"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422"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69,809,120.84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8,494,618.25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379,507.89</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136,746,250.09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4,455,464.61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219,884,961.68</w:t>
            </w:r>
          </w:p>
        </w:tc>
      </w:tr>
      <w:tr>
        <w:trPr>
          <w:trHeight w:val="40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16"/>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71,554,624.92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11,317,849.45</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494,041.17</w:t>
            </w:r>
          </w:p>
        </w:tc>
        <w:tc>
          <w:tcPr>
            <w:tcW w:w="1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77,780,215.45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5,497,819.24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166,644,550.23</w:t>
            </w:r>
          </w:p>
        </w:tc>
      </w:tr>
    </w:tbl>
    <w:p>
      <w:pPr>
        <w:spacing w:before="53"/>
        <w:ind w:left="0" w:right="5392" w:firstLine="0"/>
        <w:jc w:val="center"/>
        <w:rPr>
          <w:rFonts w:ascii="宋体" w:hAnsi="宋体" w:cs="宋体" w:eastAsia="宋体" w:hint="default"/>
          <w:sz w:val="18"/>
          <w:szCs w:val="18"/>
        </w:rPr>
      </w:pPr>
      <w:r>
        <w:rPr>
          <w:rFonts w:ascii="宋体" w:hAnsi="宋体" w:cs="宋体" w:eastAsia="宋体" w:hint="default"/>
          <w:spacing w:val="-3"/>
          <w:sz w:val="18"/>
          <w:szCs w:val="18"/>
        </w:rPr>
        <w:t>本期末通过公司内部研发形成的无形资产占无形资产余额的比例。</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未办妥产权证书的土地使用权情况"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5"/>
        <w:rPr>
          <w:rFonts w:ascii="宋体" w:hAnsi="宋体" w:cs="宋体" w:eastAsia="宋体" w:hint="default"/>
          <w:sz w:val="21"/>
          <w:szCs w:val="21"/>
        </w:rPr>
      </w:pPr>
    </w:p>
    <w:p>
      <w:pPr>
        <w:spacing w:before="0"/>
        <w:ind w:left="815" w:right="0" w:firstLine="0"/>
        <w:jc w:val="left"/>
        <w:rPr>
          <w:rFonts w:ascii="宋体" w:hAnsi="宋体" w:cs="宋体" w:eastAsia="宋体" w:hint="default"/>
          <w:sz w:val="22"/>
          <w:szCs w:val="22"/>
        </w:rPr>
      </w:pPr>
      <w:r>
        <w:rPr>
          <w:rFonts w:ascii="宋体" w:hAnsi="宋体" w:cs="宋体" w:eastAsia="宋体" w:hint="default"/>
          <w:sz w:val="22"/>
          <w:szCs w:val="22"/>
        </w:rPr>
        <w:t>注：本年处于建设期间的特许经营权有：</w:t>
      </w:r>
    </w:p>
    <w:p>
      <w:pPr>
        <w:spacing w:line="240" w:lineRule="auto" w:before="2"/>
        <w:rPr>
          <w:rFonts w:ascii="宋体" w:hAnsi="宋体" w:cs="宋体" w:eastAsia="宋体" w:hint="default"/>
          <w:sz w:val="20"/>
          <w:szCs w:val="20"/>
        </w:rPr>
      </w:pPr>
    </w:p>
    <w:p>
      <w:pPr>
        <w:spacing w:before="0"/>
        <w:ind w:left="815" w:right="0" w:firstLine="0"/>
        <w:jc w:val="left"/>
        <w:rPr>
          <w:rFonts w:ascii="宋体" w:hAnsi="宋体" w:cs="宋体" w:eastAsia="宋体" w:hint="default"/>
          <w:sz w:val="22"/>
          <w:szCs w:val="22"/>
        </w:rPr>
      </w:pPr>
      <w:r>
        <w:rPr>
          <w:rFonts w:ascii="宋体" w:hAnsi="宋体" w:cs="宋体" w:eastAsia="宋体" w:hint="default"/>
          <w:sz w:val="22"/>
          <w:szCs w:val="22"/>
        </w:rPr>
        <w:t>①平昌县黄滩坝医疗科技产业园</w:t>
      </w:r>
      <w:r>
        <w:rPr>
          <w:rFonts w:ascii="Times New Roman" w:hAnsi="Times New Roman" w:cs="Times New Roman" w:eastAsia="Times New Roman" w:hint="default"/>
          <w:sz w:val="22"/>
          <w:szCs w:val="22"/>
        </w:rPr>
        <w:t>B</w:t>
      </w:r>
      <w:r>
        <w:rPr>
          <w:rFonts w:ascii="宋体" w:hAnsi="宋体" w:cs="宋体" w:eastAsia="宋体" w:hint="default"/>
          <w:sz w:val="22"/>
          <w:szCs w:val="22"/>
        </w:rPr>
        <w:t>区建设项目</w:t>
      </w:r>
    </w:p>
    <w:p>
      <w:pPr>
        <w:spacing w:line="240" w:lineRule="auto" w:before="12"/>
        <w:rPr>
          <w:rFonts w:ascii="宋体" w:hAnsi="宋体" w:cs="宋体" w:eastAsia="宋体" w:hint="default"/>
          <w:sz w:val="18"/>
          <w:szCs w:val="18"/>
        </w:rPr>
      </w:pPr>
    </w:p>
    <w:p>
      <w:pPr>
        <w:spacing w:line="247" w:lineRule="auto" w:before="0"/>
        <w:ind w:left="153" w:right="1127" w:firstLine="662"/>
        <w:jc w:val="both"/>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8</w:t>
      </w:r>
      <w:r>
        <w:rPr>
          <w:rFonts w:ascii="宋体" w:hAnsi="宋体" w:cs="宋体" w:eastAsia="宋体" w:hint="default"/>
          <w:sz w:val="22"/>
          <w:szCs w:val="22"/>
        </w:rPr>
        <w:t>月，平昌县人民政府授权的项目实施机构平昌县卫生和计划生育局委托的政府出资方</w:t>
      </w:r>
      <w:r>
        <w:rPr>
          <w:rFonts w:ascii="宋体" w:hAnsi="宋体" w:cs="宋体" w:eastAsia="宋体" w:hint="default"/>
          <w:w w:val="100"/>
          <w:sz w:val="22"/>
          <w:szCs w:val="22"/>
        </w:rPr>
        <w:t> </w:t>
      </w:r>
      <w:r>
        <w:rPr>
          <w:rFonts w:ascii="宋体" w:hAnsi="宋体" w:cs="宋体" w:eastAsia="宋体" w:hint="default"/>
          <w:spacing w:val="-2"/>
          <w:sz w:val="22"/>
          <w:szCs w:val="22"/>
        </w:rPr>
        <w:t>四川巴山佛光医疗投资有限公司与本公司和联合体单位平昌县宏源建筑工程有限责任公司（简称宏源</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建筑）签订了《平昌县黄滩坝医疗科技产业园</w:t>
      </w:r>
      <w:r>
        <w:rPr>
          <w:rFonts w:ascii="Times New Roman" w:hAnsi="Times New Roman" w:cs="Times New Roman" w:eastAsia="Times New Roman" w:hint="default"/>
          <w:sz w:val="22"/>
          <w:szCs w:val="22"/>
        </w:rPr>
        <w:t>B</w:t>
      </w:r>
      <w:r>
        <w:rPr>
          <w:rFonts w:ascii="宋体" w:hAnsi="宋体" w:cs="宋体" w:eastAsia="宋体" w:hint="default"/>
          <w:sz w:val="22"/>
          <w:szCs w:val="22"/>
        </w:rPr>
        <w:t>区建设项目</w:t>
      </w:r>
      <w:r>
        <w:rPr>
          <w:rFonts w:ascii="Times New Roman" w:hAnsi="Times New Roman" w:cs="Times New Roman" w:eastAsia="Times New Roman" w:hint="default"/>
          <w:sz w:val="22"/>
          <w:szCs w:val="22"/>
        </w:rPr>
        <w:t>PPP</w:t>
      </w:r>
      <w:r>
        <w:rPr>
          <w:rFonts w:ascii="宋体" w:hAnsi="宋体" w:cs="宋体" w:eastAsia="宋体" w:hint="default"/>
          <w:sz w:val="22"/>
          <w:szCs w:val="22"/>
        </w:rPr>
        <w:t>项目合同》（简称平昌项目），合同</w:t>
      </w:r>
      <w:r>
        <w:rPr>
          <w:rFonts w:ascii="宋体" w:hAnsi="宋体" w:cs="宋体" w:eastAsia="宋体" w:hint="default"/>
          <w:spacing w:val="-15"/>
          <w:sz w:val="22"/>
          <w:szCs w:val="22"/>
        </w:rPr>
        <w:t> </w:t>
      </w:r>
      <w:r>
        <w:rPr>
          <w:rFonts w:ascii="宋体" w:hAnsi="宋体" w:cs="宋体" w:eastAsia="宋体" w:hint="default"/>
          <w:spacing w:val="-15"/>
          <w:sz w:val="22"/>
          <w:szCs w:val="22"/>
        </w:rPr>
      </w:r>
      <w:r>
        <w:rPr>
          <w:rFonts w:ascii="宋体" w:hAnsi="宋体" w:cs="宋体" w:eastAsia="宋体" w:hint="default"/>
          <w:sz w:val="22"/>
          <w:szCs w:val="22"/>
        </w:rPr>
        <w:t>约定按照</w:t>
      </w:r>
      <w:r>
        <w:rPr>
          <w:rFonts w:ascii="Times New Roman" w:hAnsi="Times New Roman" w:cs="Times New Roman" w:eastAsia="Times New Roman" w:hint="default"/>
          <w:sz w:val="22"/>
          <w:szCs w:val="22"/>
        </w:rPr>
        <w:t>BOT</w:t>
      </w:r>
      <w:r>
        <w:rPr>
          <w:rFonts w:ascii="宋体" w:hAnsi="宋体" w:cs="宋体" w:eastAsia="宋体" w:hint="default"/>
          <w:sz w:val="22"/>
          <w:szCs w:val="22"/>
        </w:rPr>
        <w:t>（建设</w:t>
      </w:r>
      <w:r>
        <w:rPr>
          <w:rFonts w:ascii="Times New Roman" w:hAnsi="Times New Roman" w:cs="Times New Roman" w:eastAsia="Times New Roman" w:hint="default"/>
          <w:sz w:val="22"/>
          <w:szCs w:val="22"/>
        </w:rPr>
        <w:t>-</w:t>
      </w:r>
      <w:r>
        <w:rPr>
          <w:rFonts w:ascii="宋体" w:hAnsi="宋体" w:cs="宋体" w:eastAsia="宋体" w:hint="default"/>
          <w:sz w:val="22"/>
          <w:szCs w:val="22"/>
        </w:rPr>
        <w:t>经营</w:t>
      </w:r>
      <w:r>
        <w:rPr>
          <w:rFonts w:ascii="Times New Roman" w:hAnsi="Times New Roman" w:cs="Times New Roman" w:eastAsia="Times New Roman" w:hint="default"/>
          <w:sz w:val="22"/>
          <w:szCs w:val="22"/>
        </w:rPr>
        <w:t>-</w:t>
      </w:r>
      <w:r>
        <w:rPr>
          <w:rFonts w:ascii="宋体" w:hAnsi="宋体" w:cs="宋体" w:eastAsia="宋体" w:hint="default"/>
          <w:sz w:val="22"/>
          <w:szCs w:val="22"/>
        </w:rPr>
        <w:t>移交）模式展开合作；平昌县卫生和计划生育局授予公司对平昌县黄滩坝</w:t>
      </w:r>
      <w:r>
        <w:rPr>
          <w:rFonts w:ascii="宋体" w:hAnsi="宋体" w:cs="宋体" w:eastAsia="宋体" w:hint="default"/>
          <w:spacing w:val="-82"/>
          <w:sz w:val="22"/>
          <w:szCs w:val="22"/>
        </w:rPr>
        <w:t> </w:t>
      </w:r>
      <w:r>
        <w:rPr>
          <w:rFonts w:ascii="宋体" w:hAnsi="宋体" w:cs="宋体" w:eastAsia="宋体" w:hint="default"/>
          <w:sz w:val="22"/>
          <w:szCs w:val="22"/>
        </w:rPr>
        <w:t>医疗科技产业园</w:t>
      </w:r>
      <w:r>
        <w:rPr>
          <w:rFonts w:ascii="Times New Roman" w:hAnsi="Times New Roman" w:cs="Times New Roman" w:eastAsia="Times New Roman" w:hint="default"/>
          <w:sz w:val="22"/>
          <w:szCs w:val="22"/>
        </w:rPr>
        <w:t>B</w:t>
      </w:r>
      <w:r>
        <w:rPr>
          <w:rFonts w:ascii="宋体" w:hAnsi="宋体" w:cs="宋体" w:eastAsia="宋体" w:hint="default"/>
          <w:sz w:val="22"/>
          <w:szCs w:val="22"/>
        </w:rPr>
        <w:t>区建设项目</w:t>
      </w:r>
      <w:r>
        <w:rPr>
          <w:rFonts w:ascii="Times New Roman" w:hAnsi="Times New Roman" w:cs="Times New Roman" w:eastAsia="Times New Roman" w:hint="default"/>
          <w:sz w:val="22"/>
          <w:szCs w:val="22"/>
        </w:rPr>
        <w:t>10</w:t>
      </w:r>
      <w:r>
        <w:rPr>
          <w:rFonts w:ascii="宋体" w:hAnsi="宋体" w:cs="宋体" w:eastAsia="宋体" w:hint="default"/>
          <w:sz w:val="22"/>
          <w:szCs w:val="22"/>
        </w:rPr>
        <w:t>年的特许经营权，本公司和宏源建筑负责平昌项目的投资、建设、维</w:t>
      </w:r>
      <w:r>
        <w:rPr>
          <w:rFonts w:ascii="宋体" w:hAnsi="宋体" w:cs="宋体" w:eastAsia="宋体" w:hint="default"/>
          <w:spacing w:val="-80"/>
          <w:sz w:val="22"/>
          <w:szCs w:val="22"/>
        </w:rPr>
        <w:t> </w:t>
      </w:r>
      <w:r>
        <w:rPr>
          <w:rFonts w:ascii="宋体" w:hAnsi="宋体" w:cs="宋体" w:eastAsia="宋体" w:hint="default"/>
          <w:spacing w:val="-3"/>
          <w:sz w:val="22"/>
          <w:szCs w:val="22"/>
        </w:rPr>
        <w:t>护经营，获得服务费，特许经营期届满</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平昌县卫生和计划生育局履行完政府支出责任义务后将项目设</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施无偿完整移交平昌县卫生和计划生育局或其指定机构。</w:t>
      </w:r>
    </w:p>
    <w:p>
      <w:pPr>
        <w:spacing w:line="240" w:lineRule="auto" w:before="9"/>
        <w:rPr>
          <w:rFonts w:ascii="宋体" w:hAnsi="宋体" w:cs="宋体" w:eastAsia="宋体" w:hint="default"/>
          <w:sz w:val="19"/>
          <w:szCs w:val="19"/>
        </w:rPr>
      </w:pPr>
    </w:p>
    <w:p>
      <w:pPr>
        <w:spacing w:before="0"/>
        <w:ind w:left="815" w:right="0" w:firstLine="0"/>
        <w:jc w:val="left"/>
        <w:rPr>
          <w:rFonts w:ascii="宋体" w:hAnsi="宋体" w:cs="宋体" w:eastAsia="宋体" w:hint="default"/>
          <w:sz w:val="22"/>
          <w:szCs w:val="22"/>
        </w:rPr>
      </w:pPr>
      <w:r>
        <w:rPr>
          <w:rFonts w:ascii="宋体" w:hAnsi="宋体" w:cs="宋体" w:eastAsia="宋体" w:hint="default"/>
          <w:sz w:val="22"/>
          <w:szCs w:val="22"/>
        </w:rPr>
        <w:t>②临翔区生活垃圾资源化处理工程项目</w:t>
      </w:r>
    </w:p>
    <w:p>
      <w:pPr>
        <w:spacing w:line="240" w:lineRule="auto" w:before="2"/>
        <w:rPr>
          <w:rFonts w:ascii="宋体" w:hAnsi="宋体" w:cs="宋体" w:eastAsia="宋体" w:hint="default"/>
          <w:sz w:val="20"/>
          <w:szCs w:val="20"/>
        </w:rPr>
      </w:pPr>
    </w:p>
    <w:p>
      <w:pPr>
        <w:spacing w:line="252" w:lineRule="auto" w:before="0"/>
        <w:ind w:left="153" w:right="1122" w:firstLine="662"/>
        <w:jc w:val="both"/>
        <w:rPr>
          <w:rFonts w:ascii="宋体" w:hAnsi="宋体" w:cs="宋体" w:eastAsia="宋体" w:hint="default"/>
          <w:sz w:val="22"/>
          <w:szCs w:val="22"/>
        </w:rPr>
      </w:pPr>
      <w:r>
        <w:rPr>
          <w:rFonts w:ascii="Times New Roman" w:hAnsi="Times New Roman" w:cs="Times New Roman" w:eastAsia="Times New Roman" w:hint="default"/>
          <w:sz w:val="22"/>
          <w:szCs w:val="22"/>
        </w:rPr>
        <w:t>2017</w:t>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月，临沧市临翔区人民政府授权的临沧市临翔区住房和城乡建设局与本公司控股子公</w:t>
      </w:r>
      <w:r>
        <w:rPr>
          <w:rFonts w:ascii="宋体" w:hAnsi="宋体" w:cs="宋体" w:eastAsia="宋体" w:hint="default"/>
          <w:w w:val="100"/>
          <w:sz w:val="22"/>
          <w:szCs w:val="22"/>
        </w:rPr>
        <w:t> </w:t>
      </w:r>
      <w:r>
        <w:rPr>
          <w:rFonts w:ascii="宋体" w:hAnsi="宋体" w:cs="宋体" w:eastAsia="宋体" w:hint="default"/>
          <w:spacing w:val="-2"/>
          <w:sz w:val="22"/>
          <w:szCs w:val="22"/>
        </w:rPr>
        <w:t>司江苏亿金签订了《临翔区生活垃圾资源化处理特许经营项目特许经营协议》（简称本协议），协议</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约定江苏亿金建设、运营临翔区生活垃圾资源化处理工程，按本协议规定提供生活垃圾资源化处理服</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务，收取生活垃圾处置费等允许费用，并履行本协议约定的各项义务。特许经营期限</w:t>
      </w:r>
      <w:r>
        <w:rPr>
          <w:rFonts w:ascii="Times New Roman" w:hAnsi="Times New Roman" w:cs="Times New Roman" w:eastAsia="Times New Roman" w:hint="default"/>
          <w:spacing w:val="-2"/>
          <w:sz w:val="22"/>
          <w:szCs w:val="22"/>
        </w:rPr>
        <w:t>30</w:t>
      </w:r>
      <w:r>
        <w:rPr>
          <w:rFonts w:ascii="宋体" w:hAnsi="宋体" w:cs="宋体" w:eastAsia="宋体" w:hint="default"/>
          <w:spacing w:val="-2"/>
          <w:sz w:val="22"/>
          <w:szCs w:val="22"/>
        </w:rPr>
        <w:t>年，临翔区住</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房和城乡建设局确保每天向江苏亿金提供的生活垃圾量不低于</w:t>
      </w:r>
      <w:r>
        <w:rPr>
          <w:rFonts w:ascii="Times New Roman" w:hAnsi="Times New Roman" w:cs="Times New Roman" w:eastAsia="Times New Roman" w:hint="default"/>
          <w:sz w:val="22"/>
          <w:szCs w:val="22"/>
        </w:rPr>
        <w:t>200</w:t>
      </w:r>
      <w:r>
        <w:rPr>
          <w:rFonts w:ascii="宋体" w:hAnsi="宋体" w:cs="宋体" w:eastAsia="宋体" w:hint="default"/>
          <w:sz w:val="22"/>
          <w:szCs w:val="22"/>
        </w:rPr>
        <w:t>吨，不足</w:t>
      </w:r>
      <w:r>
        <w:rPr>
          <w:rFonts w:ascii="Times New Roman" w:hAnsi="Times New Roman" w:cs="Times New Roman" w:eastAsia="Times New Roman" w:hint="default"/>
          <w:sz w:val="22"/>
          <w:szCs w:val="22"/>
        </w:rPr>
        <w:t>200</w:t>
      </w:r>
      <w:r>
        <w:rPr>
          <w:rFonts w:ascii="宋体" w:hAnsi="宋体" w:cs="宋体" w:eastAsia="宋体" w:hint="default"/>
          <w:sz w:val="22"/>
          <w:szCs w:val="22"/>
        </w:rPr>
        <w:t>吨的江苏亿金按</w:t>
      </w:r>
      <w:r>
        <w:rPr>
          <w:rFonts w:ascii="Times New Roman" w:hAnsi="Times New Roman" w:cs="Times New Roman" w:eastAsia="Times New Roman" w:hint="default"/>
          <w:sz w:val="22"/>
          <w:szCs w:val="22"/>
        </w:rPr>
        <w:t>200</w:t>
      </w:r>
      <w:r>
        <w:rPr>
          <w:rFonts w:ascii="宋体" w:hAnsi="宋体" w:cs="宋体" w:eastAsia="宋体" w:hint="default"/>
          <w:sz w:val="22"/>
          <w:szCs w:val="22"/>
        </w:rPr>
        <w:t>吨</w:t>
      </w:r>
      <w:r>
        <w:rPr>
          <w:rFonts w:ascii="宋体" w:hAnsi="宋体" w:cs="宋体" w:eastAsia="宋体" w:hint="default"/>
          <w:spacing w:val="-50"/>
          <w:sz w:val="22"/>
          <w:szCs w:val="22"/>
        </w:rPr>
        <w:t> </w:t>
      </w:r>
      <w:r>
        <w:rPr>
          <w:rFonts w:ascii="宋体" w:hAnsi="宋体" w:cs="宋体" w:eastAsia="宋体" w:hint="default"/>
          <w:spacing w:val="-1"/>
          <w:sz w:val="22"/>
          <w:szCs w:val="22"/>
        </w:rPr>
        <w:t>收取处置费，超出</w:t>
      </w:r>
      <w:r>
        <w:rPr>
          <w:rFonts w:ascii="Times New Roman" w:hAnsi="Times New Roman" w:cs="Times New Roman" w:eastAsia="Times New Roman" w:hint="default"/>
          <w:spacing w:val="-1"/>
          <w:sz w:val="22"/>
          <w:szCs w:val="22"/>
        </w:rPr>
        <w:t>200</w:t>
      </w:r>
      <w:r>
        <w:rPr>
          <w:rFonts w:ascii="宋体" w:hAnsi="宋体" w:cs="宋体" w:eastAsia="宋体" w:hint="default"/>
          <w:spacing w:val="-1"/>
          <w:sz w:val="22"/>
          <w:szCs w:val="22"/>
        </w:rPr>
        <w:t>吨江苏亿金按实际重量计量收取。江苏亿金的生活垃圾处置费初始单价为</w:t>
      </w:r>
      <w:r>
        <w:rPr>
          <w:rFonts w:ascii="Times New Roman" w:hAnsi="Times New Roman" w:cs="Times New Roman" w:eastAsia="Times New Roman" w:hint="default"/>
          <w:spacing w:val="-1"/>
          <w:sz w:val="22"/>
          <w:szCs w:val="22"/>
        </w:rPr>
        <w:t>79.98</w:t>
      </w:r>
      <w:r>
        <w:rPr>
          <w:rFonts w:ascii="Times New Roman" w:hAnsi="Times New Roman" w:cs="Times New Roman" w:eastAsia="Times New Roman" w:hint="default"/>
          <w:spacing w:val="11"/>
          <w:sz w:val="22"/>
          <w:szCs w:val="22"/>
        </w:rPr>
        <w:t> </w:t>
      </w:r>
      <w:r>
        <w:rPr>
          <w:rFonts w:ascii="Times New Roman" w:hAnsi="Times New Roman" w:cs="Times New Roman" w:eastAsia="Times New Roman" w:hint="default"/>
          <w:spacing w:val="11"/>
          <w:sz w:val="22"/>
          <w:szCs w:val="22"/>
        </w:rPr>
      </w:r>
      <w:r>
        <w:rPr>
          <w:rFonts w:ascii="宋体" w:hAnsi="宋体" w:cs="宋体" w:eastAsia="宋体" w:hint="default"/>
          <w:spacing w:val="-3"/>
          <w:sz w:val="22"/>
          <w:szCs w:val="22"/>
        </w:rPr>
        <w:t>元</w:t>
      </w:r>
      <w:r>
        <w:rPr>
          <w:rFonts w:ascii="Times New Roman" w:hAnsi="Times New Roman" w:cs="Times New Roman" w:eastAsia="Times New Roman" w:hint="default"/>
          <w:spacing w:val="-3"/>
          <w:sz w:val="22"/>
          <w:szCs w:val="22"/>
        </w:rPr>
        <w:t>/</w:t>
      </w:r>
      <w:r>
        <w:rPr>
          <w:rFonts w:ascii="宋体" w:hAnsi="宋体" w:cs="宋体" w:eastAsia="宋体" w:hint="default"/>
          <w:spacing w:val="-3"/>
          <w:sz w:val="22"/>
          <w:szCs w:val="22"/>
        </w:rPr>
        <w:t>吨，每月</w:t>
      </w:r>
      <w:r>
        <w:rPr>
          <w:rFonts w:ascii="Times New Roman" w:hAnsi="Times New Roman" w:cs="Times New Roman" w:eastAsia="Times New Roman" w:hint="default"/>
          <w:spacing w:val="-3"/>
          <w:sz w:val="22"/>
          <w:szCs w:val="22"/>
        </w:rPr>
        <w:t>25</w:t>
      </w:r>
      <w:r>
        <w:rPr>
          <w:rFonts w:ascii="宋体" w:hAnsi="宋体" w:cs="宋体" w:eastAsia="宋体" w:hint="default"/>
          <w:spacing w:val="-3"/>
          <w:sz w:val="22"/>
          <w:szCs w:val="22"/>
        </w:rPr>
        <w:t>日为结算时间，每月</w:t>
      </w:r>
      <w:r>
        <w:rPr>
          <w:rFonts w:ascii="Times New Roman" w:hAnsi="Times New Roman" w:cs="Times New Roman" w:eastAsia="Times New Roman" w:hint="default"/>
          <w:spacing w:val="-3"/>
          <w:sz w:val="22"/>
          <w:szCs w:val="22"/>
        </w:rPr>
        <w:t>30</w:t>
      </w:r>
      <w:r>
        <w:rPr>
          <w:rFonts w:ascii="宋体" w:hAnsi="宋体" w:cs="宋体" w:eastAsia="宋体" w:hint="default"/>
          <w:spacing w:val="-3"/>
          <w:sz w:val="22"/>
          <w:szCs w:val="22"/>
        </w:rPr>
        <w:t>日前由临翔区财政及时支付将当月生活垃圾处置费全额支付至临</w:t>
      </w:r>
      <w:r>
        <w:rPr>
          <w:rFonts w:ascii="宋体" w:hAnsi="宋体" w:cs="宋体" w:eastAsia="宋体" w:hint="default"/>
          <w:spacing w:val="-74"/>
          <w:sz w:val="22"/>
          <w:szCs w:val="22"/>
        </w:rPr>
        <w:t> </w:t>
      </w:r>
      <w:r>
        <w:rPr>
          <w:rFonts w:ascii="宋体" w:hAnsi="宋体" w:cs="宋体" w:eastAsia="宋体" w:hint="default"/>
          <w:spacing w:val="-74"/>
          <w:sz w:val="22"/>
          <w:szCs w:val="22"/>
        </w:rPr>
      </w:r>
      <w:r>
        <w:rPr>
          <w:rFonts w:ascii="宋体" w:hAnsi="宋体" w:cs="宋体" w:eastAsia="宋体" w:hint="default"/>
          <w:spacing w:val="-2"/>
          <w:sz w:val="22"/>
          <w:szCs w:val="22"/>
        </w:rPr>
        <w:t>沧亿金，双方同意当影响运营成本的因素发生较大变化时，由协议一方提出调价申请，并提供相关证</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7"/>
          <w:sz w:val="22"/>
          <w:szCs w:val="22"/>
        </w:rPr>
        <w:t>明材料，详细列明调价的理由，调价幅度，另一方按程序进行调查、核实，双方及时协商，在此期间，</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pacing w:val="-2"/>
          <w:sz w:val="22"/>
          <w:szCs w:val="22"/>
        </w:rPr>
        <w:t>江苏亿金不得中止项目设施的正常运营和维护。特许经营期届满，江苏亿金将本项目土地、项目设施</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及特许经营权无偿、无条件移交给临翔区人民政府或其指定机构。</w:t>
      </w:r>
    </w:p>
    <w:p>
      <w:pPr>
        <w:spacing w:line="240" w:lineRule="auto" w:before="4"/>
        <w:rPr>
          <w:rFonts w:ascii="宋体" w:hAnsi="宋体" w:cs="宋体" w:eastAsia="宋体" w:hint="default"/>
          <w:sz w:val="19"/>
          <w:szCs w:val="19"/>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由于建设期间的特许经营权未进入特许经营期，因此未作摊销处理。</w:t>
      </w:r>
    </w:p>
    <w:p>
      <w:pPr>
        <w:spacing w:line="240" w:lineRule="auto" w:before="3"/>
        <w:rPr>
          <w:rFonts w:ascii="宋体" w:hAnsi="宋体" w:cs="宋体" w:eastAsia="宋体" w:hint="default"/>
          <w:sz w:val="20"/>
          <w:szCs w:val="20"/>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）年末无未办妥产权证书的土地使用权。</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2</w:t>
      </w:r>
      <w:r>
        <w:rPr>
          <w:rFonts w:ascii="宋体" w:hAnsi="宋体" w:cs="宋体" w:eastAsia="宋体" w:hint="default"/>
          <w:sz w:val="22"/>
          <w:szCs w:val="22"/>
        </w:rPr>
        <w:t>）无形资产年末不存在减值迹象，未计提减值准备。</w:t>
      </w:r>
    </w:p>
    <w:p>
      <w:pPr>
        <w:spacing w:line="240" w:lineRule="auto" w:before="12"/>
        <w:rPr>
          <w:rFonts w:ascii="宋体" w:hAnsi="宋体" w:cs="宋体" w:eastAsia="宋体" w:hint="default"/>
          <w:sz w:val="18"/>
          <w:szCs w:val="18"/>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宋体" w:hAnsi="宋体" w:cs="宋体" w:eastAsia="宋体" w:hint="default"/>
          <w:sz w:val="22"/>
          <w:szCs w:val="22"/>
        </w:rPr>
        <w:t>）年末用于抵押的无形资产情况详见附注六、</w:t>
      </w:r>
      <w:r>
        <w:rPr>
          <w:rFonts w:ascii="Times New Roman" w:hAnsi="Times New Roman" w:cs="Times New Roman" w:eastAsia="Times New Roman" w:hint="default"/>
          <w:sz w:val="22"/>
          <w:szCs w:val="22"/>
        </w:rPr>
        <w:t>53.</w:t>
      </w:r>
      <w:r>
        <w:rPr>
          <w:rFonts w:ascii="宋体" w:hAnsi="宋体" w:cs="宋体" w:eastAsia="宋体" w:hint="default"/>
          <w:sz w:val="22"/>
          <w:szCs w:val="22"/>
        </w:rPr>
        <w:t>所有权或使用权受到限制的资产。</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7、开发支出" w:id="323"/>
      <w:bookmarkEnd w:id="323"/>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8、商誉" w:id="324"/>
      <w:bookmarkEnd w:id="324"/>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商誉账面原值"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78"/>
        <w:gridCol w:w="1287"/>
        <w:gridCol w:w="1421"/>
        <w:gridCol w:w="1071"/>
        <w:gridCol w:w="1368"/>
        <w:gridCol w:w="1105"/>
        <w:gridCol w:w="1633"/>
      </w:tblGrid>
      <w:tr>
        <w:trPr>
          <w:trHeight w:val="206" w:hRule="exact"/>
        </w:trPr>
        <w:tc>
          <w:tcPr>
            <w:tcW w:w="16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 w:right="31"/>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成商誉的事项</w:t>
            </w: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24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3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1678" w:type="dxa"/>
            <w:vMerge/>
            <w:tcBorders>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92" w:type="dxa"/>
            <w:gridSpan w:val="2"/>
            <w:vMerge/>
            <w:tcBorders>
              <w:left w:val="single" w:sz="4" w:space="0" w:color="000000"/>
              <w:bottom w:val="single" w:sz="4" w:space="0" w:color="000000"/>
              <w:right w:val="single" w:sz="4" w:space="0" w:color="000000"/>
            </w:tcBorders>
            <w:shd w:val="clear" w:color="auto" w:fill="D2D2D2"/>
          </w:tcPr>
          <w:p>
            <w:pPr/>
          </w:p>
        </w:tc>
        <w:tc>
          <w:tcPr>
            <w:tcW w:w="2473" w:type="dxa"/>
            <w:gridSpan w:val="2"/>
            <w:vMerge/>
            <w:tcBorders>
              <w:left w:val="single" w:sz="4" w:space="0" w:color="000000"/>
              <w:bottom w:val="single" w:sz="4" w:space="0" w:color="000000"/>
              <w:right w:val="single" w:sz="4" w:space="0" w:color="000000"/>
            </w:tcBorders>
            <w:shd w:val="clear" w:color="auto" w:fill="D2D2D2"/>
          </w:tcPr>
          <w:p>
            <w:pPr/>
          </w:p>
        </w:tc>
        <w:tc>
          <w:tcPr>
            <w:tcW w:w="16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678" w:type="dxa"/>
            <w:vMerge/>
            <w:tcBorders>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76"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071"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05" w:type="dxa"/>
            <w:vMerge w:val="restart"/>
            <w:tcBorders>
              <w:top w:val="single" w:sz="4" w:space="0" w:color="000000"/>
              <w:left w:val="single" w:sz="4" w:space="0" w:color="000000"/>
              <w:right w:val="single" w:sz="4" w:space="0" w:color="000000"/>
            </w:tcBorders>
            <w:shd w:val="clear" w:color="auto" w:fill="D2D2D2"/>
          </w:tcPr>
          <w:p>
            <w:pPr/>
          </w:p>
        </w:tc>
        <w:tc>
          <w:tcPr>
            <w:tcW w:w="163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78"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105" w:type="dxa"/>
            <w:vMerge/>
            <w:tcBorders>
              <w:left w:val="single" w:sz="4" w:space="0" w:color="000000"/>
              <w:bottom w:val="single" w:sz="4" w:space="0" w:color="000000"/>
              <w:right w:val="single" w:sz="4" w:space="0" w:color="000000"/>
            </w:tcBorders>
            <w:shd w:val="clear" w:color="auto" w:fill="D2D2D2"/>
          </w:tcPr>
          <w:p>
            <w:pPr/>
          </w:p>
        </w:tc>
        <w:tc>
          <w:tcPr>
            <w:tcW w:w="163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1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25,234,526.19</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25,234,526.19</w:t>
            </w: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依米康智能</w:t>
            </w:r>
          </w:p>
        </w:tc>
        <w:tc>
          <w:tcPr>
            <w:tcW w:w="1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30,038,218.23</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30,038,218.23</w:t>
            </w:r>
          </w:p>
        </w:tc>
      </w:tr>
      <w:tr>
        <w:trPr>
          <w:trHeight w:val="398"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33,241,756.28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33,241,756.28</w:t>
            </w:r>
          </w:p>
        </w:tc>
      </w:tr>
      <w:tr>
        <w:trPr>
          <w:trHeight w:val="404"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华延芯光</w:t>
            </w:r>
          </w:p>
        </w:tc>
        <w:tc>
          <w:tcPr>
            <w:tcW w:w="1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6,928,203.81</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6,928,203.81</w:t>
            </w: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95,442,704.51</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95,442,704.51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商誉减值准备"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78"/>
        <w:gridCol w:w="1287"/>
        <w:gridCol w:w="1421"/>
        <w:gridCol w:w="1071"/>
        <w:gridCol w:w="1368"/>
        <w:gridCol w:w="1244"/>
        <w:gridCol w:w="1493"/>
      </w:tblGrid>
      <w:tr>
        <w:trPr>
          <w:trHeight w:val="206" w:hRule="exact"/>
        </w:trPr>
        <w:tc>
          <w:tcPr>
            <w:tcW w:w="16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 w:right="31"/>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成商誉的事项</w:t>
            </w:r>
          </w:p>
        </w:tc>
        <w:tc>
          <w:tcPr>
            <w:tcW w:w="1287" w:type="dxa"/>
            <w:tcBorders>
              <w:top w:val="single" w:sz="4" w:space="0" w:color="000000"/>
              <w:left w:val="single" w:sz="4" w:space="0" w:color="000000"/>
              <w:bottom w:val="nil" w:sz="6" w:space="0" w:color="auto"/>
              <w:right w:val="single" w:sz="4" w:space="0" w:color="000000"/>
            </w:tcBorders>
            <w:shd w:val="clear" w:color="auto" w:fill="D2D2D2"/>
          </w:tcPr>
          <w:p>
            <w:pPr/>
          </w:p>
        </w:tc>
        <w:tc>
          <w:tcPr>
            <w:tcW w:w="24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6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1678" w:type="dxa"/>
            <w:vMerge/>
            <w:tcBorders>
              <w:left w:val="single" w:sz="4" w:space="0" w:color="000000"/>
              <w:right w:val="single" w:sz="4" w:space="0" w:color="000000"/>
            </w:tcBorders>
            <w:shd w:val="clear" w:color="auto" w:fill="D2D2D2"/>
          </w:tcPr>
          <w:p>
            <w:pPr/>
          </w:p>
        </w:tc>
        <w:tc>
          <w:tcPr>
            <w:tcW w:w="12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92" w:type="dxa"/>
            <w:gridSpan w:val="2"/>
            <w:vMerge/>
            <w:tcBorders>
              <w:left w:val="single" w:sz="4" w:space="0" w:color="000000"/>
              <w:bottom w:val="single" w:sz="4" w:space="0" w:color="000000"/>
              <w:right w:val="single" w:sz="4" w:space="0" w:color="000000"/>
            </w:tcBorders>
            <w:shd w:val="clear" w:color="auto" w:fill="D2D2D2"/>
          </w:tcPr>
          <w:p>
            <w:pPr/>
          </w:p>
        </w:tc>
        <w:tc>
          <w:tcPr>
            <w:tcW w:w="2612" w:type="dxa"/>
            <w:gridSpan w:val="2"/>
            <w:vMerge/>
            <w:tcBorders>
              <w:left w:val="single" w:sz="4" w:space="0" w:color="000000"/>
              <w:bottom w:val="single" w:sz="4" w:space="0" w:color="000000"/>
              <w:right w:val="single" w:sz="4" w:space="0" w:color="000000"/>
            </w:tcBorders>
            <w:shd w:val="clear" w:color="auto" w:fill="D2D2D2"/>
          </w:tcPr>
          <w:p>
            <w:pPr/>
          </w:p>
        </w:tc>
        <w:tc>
          <w:tcPr>
            <w:tcW w:w="1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678" w:type="dxa"/>
            <w:vMerge/>
            <w:tcBorders>
              <w:left w:val="single" w:sz="4" w:space="0" w:color="000000"/>
              <w:right w:val="single" w:sz="4" w:space="0" w:color="000000"/>
            </w:tcBorders>
            <w:shd w:val="clear" w:color="auto" w:fill="D2D2D2"/>
          </w:tcPr>
          <w:p>
            <w:pPr/>
          </w:p>
        </w:tc>
        <w:tc>
          <w:tcPr>
            <w:tcW w:w="1287" w:type="dxa"/>
            <w:vMerge/>
            <w:tcBorders>
              <w:left w:val="single" w:sz="4" w:space="0" w:color="000000"/>
              <w:bottom w:val="nil" w:sz="6" w:space="0" w:color="auto"/>
              <w:right w:val="single" w:sz="4" w:space="0" w:color="000000"/>
            </w:tcBorders>
            <w:shd w:val="clear" w:color="auto" w:fill="D2D2D2"/>
          </w:tcPr>
          <w:p>
            <w:pP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71"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49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78" w:type="dxa"/>
            <w:vMerge/>
            <w:tcBorders>
              <w:left w:val="single" w:sz="4" w:space="0" w:color="000000"/>
              <w:bottom w:val="single" w:sz="4" w:space="0" w:color="000000"/>
              <w:right w:val="single" w:sz="4" w:space="0" w:color="000000"/>
            </w:tcBorders>
            <w:shd w:val="clear" w:color="auto" w:fill="D2D2D2"/>
          </w:tcPr>
          <w:p>
            <w:pPr/>
          </w:p>
        </w:tc>
        <w:tc>
          <w:tcPr>
            <w:tcW w:w="12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244" w:type="dxa"/>
            <w:vMerge/>
            <w:tcBorders>
              <w:left w:val="single" w:sz="4" w:space="0" w:color="000000"/>
              <w:bottom w:val="single" w:sz="4" w:space="0" w:color="000000"/>
              <w:right w:val="single" w:sz="4" w:space="0" w:color="000000"/>
            </w:tcBorders>
            <w:shd w:val="clear" w:color="auto" w:fill="D2D2D2"/>
          </w:tcPr>
          <w:p>
            <w:pPr/>
          </w:p>
        </w:tc>
        <w:tc>
          <w:tcPr>
            <w:tcW w:w="149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1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6,437,936.74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3,637,378.43</w:t>
            </w: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10,075,315.17</w:t>
            </w:r>
          </w:p>
        </w:tc>
      </w:tr>
      <w:tr>
        <w:trPr>
          <w:trHeight w:val="404"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33,241,756.28</w:t>
            </w:r>
          </w:p>
        </w:tc>
        <w:tc>
          <w:tcPr>
            <w:tcW w:w="142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33,241,756.28</w:t>
            </w:r>
          </w:p>
        </w:tc>
      </w:tr>
      <w:tr>
        <w:trPr>
          <w:trHeight w:val="398" w:hRule="exact"/>
        </w:trPr>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39,679,693.02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3,637,378.43</w:t>
            </w:r>
          </w:p>
        </w:tc>
        <w:tc>
          <w:tcPr>
            <w:tcW w:w="10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43,317,071.45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商誉所在资产组或资产组组合的相关信息</w:t>
      </w:r>
    </w:p>
    <w:p>
      <w:pPr>
        <w:spacing w:line="240" w:lineRule="auto" w:before="9"/>
        <w:rPr>
          <w:rFonts w:ascii="宋体" w:hAnsi="宋体" w:cs="宋体" w:eastAsia="宋体" w:hint="default"/>
          <w:sz w:val="21"/>
          <w:szCs w:val="21"/>
        </w:rPr>
      </w:pPr>
    </w:p>
    <w:p>
      <w:pPr>
        <w:spacing w:line="254" w:lineRule="auto" w:before="0"/>
        <w:ind w:left="153" w:right="0" w:firstLine="662"/>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）资产组或资产组组合的确定方法：本公司将深圳龙控商誉以及商誉相关的长期资产及营运</w:t>
      </w:r>
      <w:r>
        <w:rPr>
          <w:rFonts w:ascii="宋体" w:hAnsi="宋体" w:cs="宋体" w:eastAsia="宋体" w:hint="default"/>
          <w:w w:val="100"/>
          <w:sz w:val="22"/>
          <w:szCs w:val="22"/>
        </w:rPr>
        <w:t> </w:t>
      </w:r>
      <w:r>
        <w:rPr>
          <w:rFonts w:ascii="宋体" w:hAnsi="宋体" w:cs="宋体" w:eastAsia="宋体" w:hint="default"/>
          <w:sz w:val="22"/>
          <w:szCs w:val="22"/>
        </w:rPr>
        <w:t>资金认定为与商誉相关的资产组；将依米康智能商誉以及商誉相关的固定资产认定为与商誉相关的</w:t>
      </w:r>
      <w:r>
        <w:rPr>
          <w:rFonts w:ascii="宋体" w:hAnsi="宋体" w:cs="宋体" w:eastAsia="宋体" w:hint="default"/>
          <w:w w:val="100"/>
          <w:sz w:val="22"/>
          <w:szCs w:val="22"/>
        </w:rPr>
        <w:t> </w:t>
      </w:r>
      <w:r>
        <w:rPr>
          <w:rFonts w:ascii="宋体" w:hAnsi="宋体" w:cs="宋体" w:eastAsia="宋体" w:hint="default"/>
          <w:sz w:val="22"/>
          <w:szCs w:val="22"/>
        </w:rPr>
        <w:t>资产组；将华延芯光商誉以及商誉相关的投资性房地产认定为与商誉相关的资产组。</w:t>
      </w:r>
    </w:p>
    <w:p>
      <w:pPr>
        <w:spacing w:line="240" w:lineRule="auto" w:before="2"/>
        <w:rPr>
          <w:rFonts w:ascii="宋体" w:hAnsi="宋体" w:cs="宋体" w:eastAsia="宋体" w:hint="default"/>
          <w:sz w:val="19"/>
          <w:szCs w:val="19"/>
        </w:rPr>
      </w:pPr>
    </w:p>
    <w:p>
      <w:pPr>
        <w:spacing w:before="0"/>
        <w:ind w:left="815"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w:t>
      </w:r>
      <w:r>
        <w:rPr>
          <w:rFonts w:ascii="宋体" w:hAnsi="宋体" w:cs="宋体" w:eastAsia="宋体" w:hint="default"/>
          <w:sz w:val="22"/>
          <w:szCs w:val="22"/>
        </w:rPr>
        <w:t>）年末各资产组及资产组组合的账面价值，由其相关的长期资产或长期资产及营运资产构成</w:t>
      </w:r>
    </w:p>
    <w:p>
      <w:pPr>
        <w:spacing w:before="7"/>
        <w:ind w:left="153" w:right="0" w:firstLine="0"/>
        <w:jc w:val="left"/>
        <w:rPr>
          <w:rFonts w:ascii="宋体" w:hAnsi="宋体" w:cs="宋体" w:eastAsia="宋体" w:hint="default"/>
          <w:sz w:val="22"/>
          <w:szCs w:val="22"/>
        </w:rPr>
      </w:pPr>
      <w:r>
        <w:rPr>
          <w:rFonts w:ascii="宋体" w:hAnsi="宋体" w:cs="宋体" w:eastAsia="宋体" w:hint="default"/>
          <w:sz w:val="22"/>
          <w:szCs w:val="22"/>
        </w:rPr>
        <w:t>，不包括非经营性资产。年末各资产组或资产组组合账面价值如下：</w:t>
      </w:r>
    </w:p>
    <w:p>
      <w:pPr>
        <w:spacing w:before="9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34" w:type="dxa"/>
        <w:tblLayout w:type="fixed"/>
        <w:tblCellMar>
          <w:top w:w="0" w:type="dxa"/>
          <w:left w:w="0" w:type="dxa"/>
          <w:bottom w:w="0" w:type="dxa"/>
          <w:right w:w="0" w:type="dxa"/>
        </w:tblCellMar>
        <w:tblLook w:val="01E0"/>
      </w:tblPr>
      <w:tblGrid>
        <w:gridCol w:w="1287"/>
        <w:gridCol w:w="1690"/>
        <w:gridCol w:w="1695"/>
        <w:gridCol w:w="1642"/>
        <w:gridCol w:w="1575"/>
        <w:gridCol w:w="1782"/>
      </w:tblGrid>
      <w:tr>
        <w:trPr>
          <w:trHeight w:val="754" w:hRule="exact"/>
        </w:trPr>
        <w:tc>
          <w:tcPr>
            <w:tcW w:w="12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16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78"/>
              <w:ind w:left="302" w:right="22" w:hanging="269"/>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年末账面金额</w:t>
            </w:r>
          </w:p>
        </w:tc>
        <w:tc>
          <w:tcPr>
            <w:tcW w:w="16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78"/>
              <w:ind w:left="302" w:right="27" w:hanging="269"/>
              <w:jc w:val="left"/>
              <w:rPr>
                <w:rFonts w:ascii="宋体" w:hAnsi="宋体" w:cs="宋体" w:eastAsia="宋体" w:hint="default"/>
                <w:sz w:val="18"/>
                <w:szCs w:val="18"/>
              </w:rPr>
            </w:pPr>
            <w:r>
              <w:rPr>
                <w:rFonts w:ascii="宋体" w:hAnsi="宋体" w:cs="宋体" w:eastAsia="宋体" w:hint="default"/>
                <w:spacing w:val="-3"/>
                <w:sz w:val="18"/>
                <w:szCs w:val="18"/>
              </w:rPr>
              <w:t>归属于母公司股东的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商誉账面价值</w:t>
            </w:r>
          </w:p>
        </w:tc>
        <w:tc>
          <w:tcPr>
            <w:tcW w:w="16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78"/>
              <w:ind w:left="278" w:right="84" w:hanging="178"/>
              <w:jc w:val="left"/>
              <w:rPr>
                <w:rFonts w:ascii="宋体" w:hAnsi="宋体" w:cs="宋体" w:eastAsia="宋体" w:hint="default"/>
                <w:sz w:val="18"/>
                <w:szCs w:val="18"/>
              </w:rPr>
            </w:pPr>
            <w:r>
              <w:rPr>
                <w:rFonts w:ascii="宋体" w:hAnsi="宋体" w:cs="宋体" w:eastAsia="宋体" w:hint="default"/>
                <w:spacing w:val="-2"/>
                <w:sz w:val="18"/>
                <w:szCs w:val="18"/>
              </w:rPr>
              <w:t>归属于少数股东的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商誉账面价值</w:t>
            </w:r>
          </w:p>
        </w:tc>
        <w:tc>
          <w:tcPr>
            <w:tcW w:w="15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62" w:lineRule="auto" w:before="54"/>
              <w:ind w:left="422" w:right="416"/>
              <w:jc w:val="left"/>
              <w:rPr>
                <w:rFonts w:ascii="宋体" w:hAnsi="宋体" w:cs="宋体" w:eastAsia="宋体" w:hint="default"/>
                <w:sz w:val="18"/>
                <w:szCs w:val="18"/>
              </w:rPr>
            </w:pPr>
            <w:r>
              <w:rPr>
                <w:rFonts w:ascii="宋体" w:hAnsi="宋体" w:cs="宋体" w:eastAsia="宋体" w:hint="default"/>
                <w:sz w:val="18"/>
                <w:szCs w:val="18"/>
              </w:rPr>
              <w:t>全部商誉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账面价值</w:t>
            </w:r>
          </w:p>
        </w:tc>
        <w:tc>
          <w:tcPr>
            <w:tcW w:w="17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78"/>
              <w:ind w:left="76" w:right="70"/>
              <w:jc w:val="left"/>
              <w:rPr>
                <w:rFonts w:ascii="宋体" w:hAnsi="宋体" w:cs="宋体" w:eastAsia="宋体" w:hint="default"/>
                <w:sz w:val="18"/>
                <w:szCs w:val="18"/>
              </w:rPr>
            </w:pPr>
            <w:r>
              <w:rPr>
                <w:rFonts w:ascii="宋体" w:hAnsi="宋体" w:cs="宋体" w:eastAsia="宋体" w:hint="default"/>
                <w:spacing w:val="-3"/>
                <w:sz w:val="18"/>
                <w:szCs w:val="18"/>
              </w:rPr>
              <w:t>包含商誉的资产组或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资产组组合账面价值</w:t>
            </w:r>
          </w:p>
        </w:tc>
      </w:tr>
      <w:tr>
        <w:trPr>
          <w:trHeight w:val="715"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4" w:right="176"/>
              <w:jc w:val="left"/>
              <w:rPr>
                <w:rFonts w:ascii="宋体" w:hAnsi="宋体" w:cs="宋体" w:eastAsia="宋体" w:hint="default"/>
                <w:sz w:val="18"/>
                <w:szCs w:val="18"/>
              </w:rPr>
            </w:pPr>
            <w:r>
              <w:rPr>
                <w:rFonts w:ascii="宋体" w:hAnsi="宋体" w:cs="宋体" w:eastAsia="宋体" w:hint="default"/>
                <w:spacing w:val="-2"/>
                <w:sz w:val="18"/>
                <w:szCs w:val="18"/>
              </w:rPr>
              <w:t>深圳龙控资产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组</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80,032,900.00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18,796,589.45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18,059,488.98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36,856,078.43</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116,888,978.43</w:t>
            </w:r>
          </w:p>
        </w:tc>
      </w:tr>
      <w:tr>
        <w:trPr>
          <w:trHeight w:val="1301"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4" w:right="176"/>
              <w:jc w:val="both"/>
              <w:rPr>
                <w:rFonts w:ascii="宋体" w:hAnsi="宋体" w:cs="宋体" w:eastAsia="宋体" w:hint="default"/>
                <w:sz w:val="18"/>
                <w:szCs w:val="18"/>
              </w:rPr>
            </w:pPr>
            <w:r>
              <w:rPr>
                <w:rFonts w:ascii="宋体" w:hAnsi="宋体" w:cs="宋体" w:eastAsia="宋体" w:hint="default"/>
                <w:spacing w:val="-2"/>
                <w:sz w:val="18"/>
                <w:szCs w:val="18"/>
              </w:rPr>
              <w:t>依米康合并依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米康智能所形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成的商誉以及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商誉相关的固</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117,448.89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30,038,218.23</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28,779,518.66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58,817,736.89</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58,935,185.78</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34" w:type="dxa"/>
        <w:tblLayout w:type="fixed"/>
        <w:tblCellMar>
          <w:top w:w="0" w:type="dxa"/>
          <w:left w:w="0" w:type="dxa"/>
          <w:bottom w:w="0" w:type="dxa"/>
          <w:right w:w="0" w:type="dxa"/>
        </w:tblCellMar>
        <w:tblLook w:val="01E0"/>
      </w:tblPr>
      <w:tblGrid>
        <w:gridCol w:w="1287"/>
        <w:gridCol w:w="1690"/>
        <w:gridCol w:w="1695"/>
        <w:gridCol w:w="1642"/>
        <w:gridCol w:w="1575"/>
        <w:gridCol w:w="1782"/>
      </w:tblGrid>
      <w:tr>
        <w:trPr>
          <w:trHeight w:val="754" w:hRule="exact"/>
        </w:trPr>
        <w:tc>
          <w:tcPr>
            <w:tcW w:w="128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169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1" w:lineRule="auto" w:before="73"/>
              <w:ind w:left="302" w:right="22" w:hanging="269"/>
              <w:jc w:val="left"/>
              <w:rPr>
                <w:rFonts w:ascii="宋体" w:hAnsi="宋体" w:cs="宋体" w:eastAsia="宋体" w:hint="default"/>
                <w:sz w:val="18"/>
                <w:szCs w:val="18"/>
              </w:rPr>
            </w:pPr>
            <w:r>
              <w:rPr>
                <w:rFonts w:ascii="宋体" w:hAnsi="宋体" w:cs="宋体" w:eastAsia="宋体" w:hint="default"/>
                <w:spacing w:val="-3"/>
                <w:sz w:val="18"/>
                <w:szCs w:val="18"/>
              </w:rPr>
              <w:t>资产组或资产组组合</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年末账面金额</w:t>
            </w:r>
          </w:p>
        </w:tc>
        <w:tc>
          <w:tcPr>
            <w:tcW w:w="169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1" w:lineRule="auto" w:before="73"/>
              <w:ind w:left="302" w:right="27" w:hanging="269"/>
              <w:jc w:val="left"/>
              <w:rPr>
                <w:rFonts w:ascii="宋体" w:hAnsi="宋体" w:cs="宋体" w:eastAsia="宋体" w:hint="default"/>
                <w:sz w:val="18"/>
                <w:szCs w:val="18"/>
              </w:rPr>
            </w:pPr>
            <w:r>
              <w:rPr>
                <w:rFonts w:ascii="宋体" w:hAnsi="宋体" w:cs="宋体" w:eastAsia="宋体" w:hint="default"/>
                <w:spacing w:val="-3"/>
                <w:sz w:val="18"/>
                <w:szCs w:val="18"/>
              </w:rPr>
              <w:t>归属于母公司股东的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商誉账面价值</w:t>
            </w:r>
          </w:p>
        </w:tc>
        <w:tc>
          <w:tcPr>
            <w:tcW w:w="164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1" w:lineRule="auto" w:before="73"/>
              <w:ind w:left="278" w:right="84" w:hanging="178"/>
              <w:jc w:val="left"/>
              <w:rPr>
                <w:rFonts w:ascii="宋体" w:hAnsi="宋体" w:cs="宋体" w:eastAsia="宋体" w:hint="default"/>
                <w:sz w:val="18"/>
                <w:szCs w:val="18"/>
              </w:rPr>
            </w:pPr>
            <w:r>
              <w:rPr>
                <w:rFonts w:ascii="宋体" w:hAnsi="宋体" w:cs="宋体" w:eastAsia="宋体" w:hint="default"/>
                <w:spacing w:val="-2"/>
                <w:sz w:val="18"/>
                <w:szCs w:val="18"/>
              </w:rPr>
              <w:t>归属于少数股东的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商誉账面价值</w:t>
            </w:r>
          </w:p>
        </w:tc>
        <w:tc>
          <w:tcPr>
            <w:tcW w:w="157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62" w:lineRule="auto" w:before="53"/>
              <w:ind w:left="422" w:right="416"/>
              <w:jc w:val="left"/>
              <w:rPr>
                <w:rFonts w:ascii="宋体" w:hAnsi="宋体" w:cs="宋体" w:eastAsia="宋体" w:hint="default"/>
                <w:sz w:val="18"/>
                <w:szCs w:val="18"/>
              </w:rPr>
            </w:pPr>
            <w:r>
              <w:rPr>
                <w:rFonts w:ascii="宋体" w:hAnsi="宋体" w:cs="宋体" w:eastAsia="宋体" w:hint="default"/>
                <w:sz w:val="18"/>
                <w:szCs w:val="18"/>
              </w:rPr>
              <w:t>全部商誉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账面价值</w:t>
            </w:r>
          </w:p>
        </w:tc>
        <w:tc>
          <w:tcPr>
            <w:tcW w:w="178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21" w:lineRule="auto" w:before="73"/>
              <w:ind w:left="76" w:right="70"/>
              <w:jc w:val="left"/>
              <w:rPr>
                <w:rFonts w:ascii="宋体" w:hAnsi="宋体" w:cs="宋体" w:eastAsia="宋体" w:hint="default"/>
                <w:sz w:val="18"/>
                <w:szCs w:val="18"/>
              </w:rPr>
            </w:pPr>
            <w:r>
              <w:rPr>
                <w:rFonts w:ascii="宋体" w:hAnsi="宋体" w:cs="宋体" w:eastAsia="宋体" w:hint="default"/>
                <w:spacing w:val="-3"/>
                <w:sz w:val="18"/>
                <w:szCs w:val="18"/>
              </w:rPr>
              <w:t>包含商誉的资产组或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资产组组合账面价值</w:t>
            </w:r>
          </w:p>
        </w:tc>
      </w:tr>
      <w:tr>
        <w:trPr>
          <w:trHeight w:val="361"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4" w:right="0"/>
              <w:jc w:val="left"/>
              <w:rPr>
                <w:rFonts w:ascii="宋体" w:hAnsi="宋体" w:cs="宋体" w:eastAsia="宋体" w:hint="default"/>
                <w:sz w:val="18"/>
                <w:szCs w:val="18"/>
              </w:rPr>
            </w:pPr>
            <w:r>
              <w:rPr>
                <w:rFonts w:ascii="宋体" w:hAnsi="宋体" w:cs="宋体" w:eastAsia="宋体" w:hint="default"/>
                <w:sz w:val="18"/>
                <w:szCs w:val="18"/>
              </w:rPr>
              <w:t>定资产</w:t>
            </w:r>
          </w:p>
        </w:tc>
        <w:tc>
          <w:tcPr>
            <w:tcW w:w="1690" w:type="dxa"/>
            <w:tcBorders>
              <w:top w:val="single" w:sz="4" w:space="0" w:color="000000"/>
              <w:left w:val="single" w:sz="4" w:space="0" w:color="000000"/>
              <w:bottom w:val="single" w:sz="4" w:space="0" w:color="000000"/>
              <w:right w:val="single" w:sz="4" w:space="0" w:color="000000"/>
            </w:tcBorders>
          </w:tcPr>
          <w:p>
            <w:pPr/>
          </w:p>
        </w:tc>
        <w:tc>
          <w:tcPr>
            <w:tcW w:w="1695" w:type="dxa"/>
            <w:tcBorders>
              <w:top w:val="single" w:sz="4" w:space="0" w:color="000000"/>
              <w:left w:val="single" w:sz="4" w:space="0" w:color="000000"/>
              <w:bottom w:val="single" w:sz="4" w:space="0" w:color="000000"/>
              <w:right w:val="single" w:sz="4" w:space="0" w:color="000000"/>
            </w:tcBorders>
          </w:tcPr>
          <w:p>
            <w:pPr/>
          </w:p>
        </w:tc>
        <w:tc>
          <w:tcPr>
            <w:tcW w:w="1642"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4" w:right="176"/>
              <w:jc w:val="both"/>
              <w:rPr>
                <w:rFonts w:ascii="宋体" w:hAnsi="宋体" w:cs="宋体" w:eastAsia="宋体" w:hint="default"/>
                <w:sz w:val="18"/>
                <w:szCs w:val="18"/>
              </w:rPr>
            </w:pPr>
            <w:r>
              <w:rPr>
                <w:rFonts w:ascii="宋体" w:hAnsi="宋体" w:cs="宋体" w:eastAsia="宋体" w:hint="default"/>
                <w:spacing w:val="-2"/>
                <w:sz w:val="18"/>
                <w:szCs w:val="18"/>
              </w:rPr>
              <w:t>华延芯光拥有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的投资性房地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204,274,614.96</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6,928,203.81</w:t>
            </w:r>
          </w:p>
        </w:tc>
        <w:tc>
          <w:tcPr>
            <w:tcW w:w="1642"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18" w:right="0"/>
              <w:jc w:val="left"/>
              <w:rPr>
                <w:rFonts w:ascii="Times New Roman" w:hAnsi="Times New Roman" w:cs="Times New Roman" w:eastAsia="Times New Roman" w:hint="default"/>
                <w:sz w:val="18"/>
                <w:szCs w:val="18"/>
              </w:rPr>
            </w:pPr>
            <w:r>
              <w:rPr>
                <w:rFonts w:ascii="Times New Roman"/>
                <w:sz w:val="18"/>
              </w:rPr>
              <w:t>6,928,203.81</w:t>
            </w: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52" w:right="0"/>
              <w:jc w:val="left"/>
              <w:rPr>
                <w:rFonts w:ascii="Times New Roman" w:hAnsi="Times New Roman" w:cs="Times New Roman" w:eastAsia="Times New Roman" w:hint="default"/>
                <w:sz w:val="18"/>
                <w:szCs w:val="18"/>
              </w:rPr>
            </w:pPr>
            <w:r>
              <w:rPr>
                <w:rFonts w:ascii="Times New Roman"/>
                <w:sz w:val="18"/>
              </w:rPr>
              <w:t>211,202,818.77</w:t>
            </w:r>
          </w:p>
        </w:tc>
      </w:tr>
    </w:tbl>
    <w:p>
      <w:pPr>
        <w:spacing w:line="240" w:lineRule="auto" w:before="8"/>
        <w:rPr>
          <w:rFonts w:ascii="宋体" w:hAnsi="宋体" w:cs="宋体" w:eastAsia="宋体" w:hint="default"/>
          <w:sz w:val="15"/>
          <w:szCs w:val="15"/>
        </w:rPr>
      </w:pPr>
    </w:p>
    <w:p>
      <w:pPr>
        <w:spacing w:line="324" w:lineRule="auto" w:before="46"/>
        <w:ind w:left="153" w:right="0" w:firstLine="0"/>
        <w:jc w:val="left"/>
        <w:rPr>
          <w:rFonts w:ascii="宋体" w:hAnsi="宋体" w:cs="宋体" w:eastAsia="宋体" w:hint="default"/>
          <w:sz w:val="18"/>
          <w:szCs w:val="18"/>
        </w:rPr>
      </w:pPr>
      <w:r>
        <w:rPr>
          <w:rFonts w:ascii="宋体" w:hAnsi="宋体" w:cs="宋体" w:eastAsia="宋体" w:hint="default"/>
          <w:spacing w:val="-4"/>
          <w:sz w:val="18"/>
          <w:szCs w:val="18"/>
        </w:rPr>
        <w:t>说明商誉减值测试过程、关键参数（如预计未来现金流量现值时的预测期增长率、稳定期增长率、利润率、折现率、预测期</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等）及商誉减值损失的确认方法：</w:t>
      </w:r>
    </w:p>
    <w:p>
      <w:pPr>
        <w:spacing w:line="240" w:lineRule="auto" w:before="12"/>
        <w:rPr>
          <w:rFonts w:ascii="宋体" w:hAnsi="宋体" w:cs="宋体" w:eastAsia="宋体" w:hint="default"/>
          <w:sz w:val="16"/>
          <w:szCs w:val="16"/>
        </w:rPr>
      </w:pPr>
    </w:p>
    <w:p>
      <w:pPr>
        <w:spacing w:line="242" w:lineRule="auto" w:before="0"/>
        <w:ind w:left="153" w:right="0" w:firstLine="662"/>
        <w:jc w:val="left"/>
        <w:rPr>
          <w:rFonts w:ascii="宋体" w:hAnsi="宋体" w:cs="宋体" w:eastAsia="宋体" w:hint="default"/>
          <w:sz w:val="22"/>
          <w:szCs w:val="22"/>
        </w:rPr>
      </w:pPr>
      <w:r>
        <w:rPr>
          <w:rFonts w:ascii="宋体" w:hAnsi="宋体" w:cs="宋体" w:eastAsia="宋体" w:hint="default"/>
          <w:spacing w:val="-1"/>
          <w:sz w:val="22"/>
          <w:szCs w:val="22"/>
        </w:rPr>
        <w:t>本集团根据《企业会计准则第</w:t>
      </w:r>
      <w:r>
        <w:rPr>
          <w:rFonts w:ascii="Times New Roman" w:hAnsi="Times New Roman" w:cs="Times New Roman" w:eastAsia="Times New Roman" w:hint="default"/>
          <w:spacing w:val="-1"/>
          <w:sz w:val="22"/>
          <w:szCs w:val="22"/>
        </w:rPr>
        <w:t>8</w:t>
      </w:r>
      <w:r>
        <w:rPr>
          <w:rFonts w:ascii="宋体" w:hAnsi="宋体" w:cs="宋体" w:eastAsia="宋体" w:hint="default"/>
          <w:spacing w:val="-1"/>
          <w:sz w:val="22"/>
          <w:szCs w:val="22"/>
        </w:rPr>
        <w:t>号</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资产减值》及相关指南、讲解，以及中国证监会《会计监</w:t>
      </w:r>
      <w:r>
        <w:rPr>
          <w:rFonts w:ascii="宋体" w:hAnsi="宋体" w:cs="宋体" w:eastAsia="宋体" w:hint="default"/>
          <w:w w:val="100"/>
          <w:sz w:val="22"/>
          <w:szCs w:val="22"/>
        </w:rPr>
        <w:t> </w:t>
      </w:r>
      <w:r>
        <w:rPr>
          <w:rFonts w:ascii="宋体" w:hAnsi="宋体" w:cs="宋体" w:eastAsia="宋体" w:hint="default"/>
          <w:sz w:val="22"/>
          <w:szCs w:val="22"/>
        </w:rPr>
        <w:t>管风险提示第</w:t>
      </w:r>
      <w:r>
        <w:rPr>
          <w:rFonts w:ascii="Times New Roman" w:hAnsi="Times New Roman" w:cs="Times New Roman" w:eastAsia="Times New Roman" w:hint="default"/>
          <w:sz w:val="22"/>
          <w:szCs w:val="22"/>
        </w:rPr>
        <w:t>8</w:t>
      </w:r>
      <w:r>
        <w:rPr>
          <w:rFonts w:ascii="宋体" w:hAnsi="宋体" w:cs="宋体" w:eastAsia="宋体" w:hint="default"/>
          <w:sz w:val="22"/>
          <w:szCs w:val="22"/>
        </w:rPr>
        <w:t>号</w:t>
      </w:r>
      <w:r>
        <w:rPr>
          <w:rFonts w:ascii="Times New Roman" w:hAnsi="Times New Roman" w:cs="Times New Roman" w:eastAsia="Times New Roman" w:hint="default"/>
          <w:sz w:val="22"/>
          <w:szCs w:val="22"/>
        </w:rPr>
        <w:t>——</w:t>
      </w:r>
      <w:r>
        <w:rPr>
          <w:rFonts w:ascii="宋体" w:hAnsi="宋体" w:cs="宋体" w:eastAsia="宋体" w:hint="default"/>
          <w:sz w:val="22"/>
          <w:szCs w:val="22"/>
        </w:rPr>
        <w:t>商誉减值》关于商誉减值测试的相关规定及要求，对商誉进行减值测试。</w:t>
      </w:r>
    </w:p>
    <w:p>
      <w:pPr>
        <w:spacing w:line="240" w:lineRule="auto" w:before="9"/>
        <w:rPr>
          <w:rFonts w:ascii="宋体" w:hAnsi="宋体" w:cs="宋体" w:eastAsia="宋体" w:hint="default"/>
          <w:sz w:val="18"/>
          <w:szCs w:val="18"/>
        </w:rPr>
      </w:pPr>
    </w:p>
    <w:p>
      <w:pPr>
        <w:spacing w:before="0"/>
        <w:ind w:left="815" w:right="0" w:firstLine="0"/>
        <w:jc w:val="left"/>
        <w:rPr>
          <w:rFonts w:ascii="宋体" w:hAnsi="宋体" w:cs="宋体" w:eastAsia="宋体" w:hint="default"/>
          <w:sz w:val="22"/>
          <w:szCs w:val="22"/>
        </w:rPr>
      </w:pPr>
      <w:r>
        <w:rPr>
          <w:rFonts w:ascii="宋体" w:hAnsi="宋体" w:cs="宋体" w:eastAsia="宋体" w:hint="default"/>
          <w:sz w:val="22"/>
          <w:szCs w:val="22"/>
        </w:rPr>
        <w:t>本年度，本公司聘请天源资产评估有限公司对依米康智能和华延芯光商誉进行减值测试评估</w:t>
      </w:r>
    </w:p>
    <w:p>
      <w:pPr>
        <w:spacing w:line="244" w:lineRule="auto" w:before="24"/>
        <w:ind w:left="153" w:right="1229" w:firstLine="0"/>
        <w:jc w:val="both"/>
        <w:rPr>
          <w:rFonts w:ascii="宋体" w:hAnsi="宋体" w:cs="宋体" w:eastAsia="宋体" w:hint="default"/>
          <w:sz w:val="22"/>
          <w:szCs w:val="22"/>
        </w:rPr>
      </w:pPr>
      <w:r>
        <w:rPr>
          <w:rFonts w:ascii="宋体" w:hAnsi="宋体" w:cs="宋体" w:eastAsia="宋体" w:hint="default"/>
          <w:spacing w:val="-1"/>
          <w:sz w:val="22"/>
          <w:szCs w:val="22"/>
        </w:rPr>
        <w:t>，并出具天源评报字</w:t>
      </w:r>
      <w:r>
        <w:rPr>
          <w:rFonts w:ascii="Times New Roman" w:hAnsi="Times New Roman" w:cs="Times New Roman" w:eastAsia="Times New Roman" w:hint="default"/>
          <w:spacing w:val="-1"/>
          <w:sz w:val="22"/>
          <w:szCs w:val="22"/>
        </w:rPr>
        <w:t>[2020]</w:t>
      </w:r>
      <w:r>
        <w:rPr>
          <w:rFonts w:ascii="宋体" w:hAnsi="宋体" w:cs="宋体" w:eastAsia="宋体" w:hint="default"/>
          <w:spacing w:val="-1"/>
          <w:sz w:val="22"/>
          <w:szCs w:val="22"/>
        </w:rPr>
        <w:t>第</w:t>
      </w:r>
      <w:r>
        <w:rPr>
          <w:rFonts w:ascii="Times New Roman" w:hAnsi="Times New Roman" w:cs="Times New Roman" w:eastAsia="Times New Roman" w:hint="default"/>
          <w:spacing w:val="-1"/>
          <w:sz w:val="22"/>
          <w:szCs w:val="22"/>
        </w:rPr>
        <w:t>0164</w:t>
      </w:r>
      <w:r>
        <w:rPr>
          <w:rFonts w:ascii="宋体" w:hAnsi="宋体" w:cs="宋体" w:eastAsia="宋体" w:hint="default"/>
          <w:spacing w:val="-1"/>
          <w:sz w:val="22"/>
          <w:szCs w:val="22"/>
        </w:rPr>
        <w:t>号、天源评报字</w:t>
      </w:r>
      <w:r>
        <w:rPr>
          <w:rFonts w:ascii="Times New Roman" w:hAnsi="Times New Roman" w:cs="Times New Roman" w:eastAsia="Times New Roman" w:hint="default"/>
          <w:spacing w:val="-1"/>
          <w:sz w:val="22"/>
          <w:szCs w:val="22"/>
        </w:rPr>
        <w:t>[2020]</w:t>
      </w:r>
      <w:r>
        <w:rPr>
          <w:rFonts w:ascii="宋体" w:hAnsi="宋体" w:cs="宋体" w:eastAsia="宋体" w:hint="default"/>
          <w:spacing w:val="-1"/>
          <w:sz w:val="22"/>
          <w:szCs w:val="22"/>
        </w:rPr>
        <w:t>第</w:t>
      </w:r>
      <w:r>
        <w:rPr>
          <w:rFonts w:ascii="Times New Roman" w:hAnsi="Times New Roman" w:cs="Times New Roman" w:eastAsia="Times New Roman" w:hint="default"/>
          <w:spacing w:val="-1"/>
          <w:sz w:val="22"/>
          <w:szCs w:val="22"/>
        </w:rPr>
        <w:t>0165</w:t>
      </w:r>
      <w:r>
        <w:rPr>
          <w:rFonts w:ascii="宋体" w:hAnsi="宋体" w:cs="宋体" w:eastAsia="宋体" w:hint="default"/>
          <w:spacing w:val="-1"/>
          <w:sz w:val="22"/>
          <w:szCs w:val="22"/>
        </w:rPr>
        <w:t>号评估报告；聘请北京经纬仁达资产</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评估有限公司对深圳龙控商誉进行减值测试评估，并出具经纬仁达评报字（</w:t>
      </w:r>
      <w:r>
        <w:rPr>
          <w:rFonts w:ascii="Times New Roman" w:hAnsi="Times New Roman" w:cs="Times New Roman" w:eastAsia="Times New Roman" w:hint="default"/>
          <w:sz w:val="22"/>
          <w:szCs w:val="22"/>
        </w:rPr>
        <w:t>2020</w:t>
      </w:r>
      <w:r>
        <w:rPr>
          <w:rFonts w:ascii="宋体" w:hAnsi="宋体" w:cs="宋体" w:eastAsia="宋体" w:hint="default"/>
          <w:sz w:val="22"/>
          <w:szCs w:val="22"/>
        </w:rPr>
        <w:t>）第</w:t>
      </w:r>
      <w:r>
        <w:rPr>
          <w:rFonts w:ascii="Times New Roman" w:hAnsi="Times New Roman" w:cs="Times New Roman" w:eastAsia="Times New Roman" w:hint="default"/>
          <w:sz w:val="22"/>
          <w:szCs w:val="22"/>
        </w:rPr>
        <w:t>2020112073</w:t>
      </w:r>
      <w:r>
        <w:rPr>
          <w:rFonts w:ascii="宋体" w:hAnsi="宋体" w:cs="宋体" w:eastAsia="宋体" w:hint="default"/>
          <w:sz w:val="22"/>
          <w:szCs w:val="22"/>
        </w:rPr>
        <w:t>号</w:t>
      </w:r>
      <w:r>
        <w:rPr>
          <w:rFonts w:ascii="宋体" w:hAnsi="宋体" w:cs="宋体" w:eastAsia="宋体" w:hint="default"/>
          <w:spacing w:val="-108"/>
          <w:sz w:val="22"/>
          <w:szCs w:val="22"/>
        </w:rPr>
        <w:t> </w:t>
      </w:r>
      <w:r>
        <w:rPr>
          <w:rFonts w:ascii="宋体" w:hAnsi="宋体" w:cs="宋体" w:eastAsia="宋体" w:hint="default"/>
          <w:sz w:val="22"/>
          <w:szCs w:val="22"/>
        </w:rPr>
        <w:t>评估报告。</w:t>
      </w:r>
    </w:p>
    <w:p>
      <w:pPr>
        <w:spacing w:line="550" w:lineRule="atLeast" w:before="14"/>
        <w:ind w:left="815"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w:t>
      </w:r>
      <w:r>
        <w:rPr>
          <w:rFonts w:ascii="宋体" w:hAnsi="宋体" w:cs="宋体" w:eastAsia="宋体" w:hint="default"/>
          <w:sz w:val="22"/>
          <w:szCs w:val="22"/>
        </w:rPr>
        <w:t>）可收回金额的确定方法</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pacing w:val="-1"/>
          <w:sz w:val="22"/>
          <w:szCs w:val="22"/>
        </w:rPr>
        <w:t>根据《企业会计准则第</w:t>
      </w:r>
      <w:r>
        <w:rPr>
          <w:rFonts w:ascii="Times New Roman" w:hAnsi="Times New Roman" w:cs="Times New Roman" w:eastAsia="Times New Roman" w:hint="default"/>
          <w:spacing w:val="-1"/>
          <w:sz w:val="22"/>
          <w:szCs w:val="22"/>
        </w:rPr>
        <w:t>8</w:t>
      </w:r>
      <w:r>
        <w:rPr>
          <w:rFonts w:ascii="宋体" w:hAnsi="宋体" w:cs="宋体" w:eastAsia="宋体" w:hint="default"/>
          <w:spacing w:val="-1"/>
          <w:sz w:val="22"/>
          <w:szCs w:val="22"/>
        </w:rPr>
        <w:t>号</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资产减值》及相关规定，对商誉相关的资产组的可收回金额的估</w:t>
      </w:r>
    </w:p>
    <w:p>
      <w:pPr>
        <w:spacing w:line="259" w:lineRule="auto" w:before="7"/>
        <w:ind w:left="153" w:right="1308" w:firstLine="0"/>
        <w:jc w:val="both"/>
        <w:rPr>
          <w:rFonts w:ascii="宋体" w:hAnsi="宋体" w:cs="宋体" w:eastAsia="宋体" w:hint="default"/>
          <w:sz w:val="22"/>
          <w:szCs w:val="22"/>
        </w:rPr>
      </w:pPr>
      <w:r>
        <w:rPr>
          <w:rFonts w:ascii="宋体" w:hAnsi="宋体" w:cs="宋体" w:eastAsia="宋体" w:hint="default"/>
          <w:spacing w:val="-1"/>
          <w:sz w:val="22"/>
          <w:szCs w:val="22"/>
        </w:rPr>
        <w:t>计，按照公允价值减去处置费用后的净额与资产预计未来现金流量的现值两者之间较高者确定。本</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公司减值测试以预计未来现金流量的现值作为可收回金额。</w:t>
      </w: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63" w:footer="979" w:top="1060" w:bottom="1160" w:left="980" w:right="0"/>
        </w:sectPr>
      </w:pPr>
    </w:p>
    <w:p>
      <w:pPr>
        <w:spacing w:before="32"/>
        <w:ind w:left="815" w:right="-5" w:firstLine="0"/>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2</w:t>
      </w:r>
      <w:r>
        <w:rPr>
          <w:rFonts w:ascii="宋体" w:hAnsi="宋体" w:cs="宋体" w:eastAsia="宋体" w:hint="default"/>
          <w:spacing w:val="-1"/>
          <w:sz w:val="22"/>
          <w:szCs w:val="22"/>
        </w:rPr>
        <w:t>）减值测试过程及参数</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spacing w:before="0"/>
        <w:ind w:left="81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130" w:space="5130"/>
            <w:col w:w="2670"/>
          </w:cols>
        </w:sectPr>
      </w:pP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802"/>
        <w:gridCol w:w="778"/>
        <w:gridCol w:w="855"/>
        <w:gridCol w:w="1133"/>
        <w:gridCol w:w="1272"/>
        <w:gridCol w:w="710"/>
        <w:gridCol w:w="845"/>
        <w:gridCol w:w="706"/>
        <w:gridCol w:w="854"/>
        <w:gridCol w:w="677"/>
        <w:gridCol w:w="1085"/>
      </w:tblGrid>
      <w:tr>
        <w:trPr>
          <w:trHeight w:val="1339" w:hRule="exact"/>
        </w:trPr>
        <w:tc>
          <w:tcPr>
            <w:tcW w:w="80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16" w:right="123" w:hanging="92"/>
              <w:jc w:val="left"/>
              <w:rPr>
                <w:rFonts w:ascii="宋体" w:hAnsi="宋体" w:cs="宋体" w:eastAsia="宋体" w:hint="default"/>
                <w:sz w:val="18"/>
                <w:szCs w:val="18"/>
              </w:rPr>
            </w:pPr>
            <w:r>
              <w:rPr>
                <w:rFonts w:ascii="宋体" w:hAnsi="宋体" w:cs="宋体" w:eastAsia="宋体" w:hint="default"/>
                <w:sz w:val="18"/>
                <w:szCs w:val="18"/>
              </w:rPr>
              <w:t>资产组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778"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92" w:right="113" w:hanging="183"/>
              <w:jc w:val="left"/>
              <w:rPr>
                <w:rFonts w:ascii="宋体" w:hAnsi="宋体" w:cs="宋体" w:eastAsia="宋体" w:hint="default"/>
                <w:sz w:val="18"/>
                <w:szCs w:val="18"/>
              </w:rPr>
            </w:pPr>
            <w:r>
              <w:rPr>
                <w:rFonts w:ascii="宋体" w:hAnsi="宋体" w:cs="宋体" w:eastAsia="宋体" w:hint="default"/>
                <w:sz w:val="18"/>
                <w:szCs w:val="18"/>
              </w:rPr>
              <w:t>预测期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间</w:t>
            </w:r>
          </w:p>
        </w:tc>
        <w:tc>
          <w:tcPr>
            <w:tcW w:w="85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53"/>
              <w:ind w:left="153" w:right="147"/>
              <w:jc w:val="center"/>
              <w:rPr>
                <w:rFonts w:ascii="宋体" w:hAnsi="宋体" w:cs="宋体" w:eastAsia="宋体" w:hint="default"/>
                <w:sz w:val="18"/>
                <w:szCs w:val="18"/>
              </w:rPr>
            </w:pPr>
            <w:r>
              <w:rPr>
                <w:rFonts w:ascii="宋体" w:hAnsi="宋体" w:cs="宋体" w:eastAsia="宋体" w:hint="default"/>
                <w:spacing w:val="-2"/>
                <w:sz w:val="18"/>
                <w:szCs w:val="18"/>
              </w:rPr>
              <w:t>预测期</w:t>
            </w:r>
            <w:r>
              <w:rPr>
                <w:rFonts w:ascii="宋体" w:hAnsi="宋体" w:cs="宋体" w:eastAsia="宋体" w:hint="default"/>
                <w:w w:val="101"/>
                <w:sz w:val="18"/>
                <w:szCs w:val="18"/>
              </w:rPr>
              <w:t> </w:t>
            </w:r>
            <w:r>
              <w:rPr>
                <w:rFonts w:ascii="宋体" w:hAnsi="宋体" w:cs="宋体" w:eastAsia="宋体" w:hint="default"/>
                <w:spacing w:val="-2"/>
                <w:sz w:val="18"/>
                <w:szCs w:val="18"/>
              </w:rPr>
              <w:t>营业收</w:t>
            </w:r>
            <w:r>
              <w:rPr>
                <w:rFonts w:ascii="宋体" w:hAnsi="宋体" w:cs="宋体" w:eastAsia="宋体" w:hint="default"/>
                <w:w w:val="101"/>
                <w:sz w:val="18"/>
                <w:szCs w:val="18"/>
              </w:rPr>
              <w:t> </w:t>
            </w:r>
            <w:r>
              <w:rPr>
                <w:rFonts w:ascii="宋体" w:hAnsi="宋体" w:cs="宋体" w:eastAsia="宋体" w:hint="default"/>
                <w:spacing w:val="-2"/>
                <w:sz w:val="18"/>
                <w:szCs w:val="18"/>
              </w:rPr>
              <w:t>入增长</w:t>
            </w:r>
            <w:r>
              <w:rPr>
                <w:rFonts w:ascii="宋体" w:hAnsi="宋体" w:cs="宋体" w:eastAsia="宋体" w:hint="default"/>
                <w:w w:val="101"/>
                <w:sz w:val="18"/>
                <w:szCs w:val="18"/>
              </w:rPr>
              <w:t> </w:t>
            </w:r>
            <w:r>
              <w:rPr>
                <w:rFonts w:ascii="宋体" w:hAnsi="宋体" w:cs="宋体" w:eastAsia="宋体" w:hint="default"/>
                <w:sz w:val="18"/>
                <w:szCs w:val="18"/>
              </w:rPr>
              <w:t>率</w:t>
            </w:r>
          </w:p>
        </w:tc>
        <w:tc>
          <w:tcPr>
            <w:tcW w:w="113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470" w:right="108" w:hanging="360"/>
              <w:jc w:val="left"/>
              <w:rPr>
                <w:rFonts w:ascii="宋体" w:hAnsi="宋体" w:cs="宋体" w:eastAsia="宋体" w:hint="default"/>
                <w:sz w:val="18"/>
                <w:szCs w:val="18"/>
              </w:rPr>
            </w:pPr>
            <w:r>
              <w:rPr>
                <w:rFonts w:ascii="宋体" w:hAnsi="宋体" w:cs="宋体" w:eastAsia="宋体" w:hint="default"/>
                <w:spacing w:val="-2"/>
                <w:sz w:val="18"/>
                <w:szCs w:val="18"/>
              </w:rPr>
              <w:t>预测期利润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率</w:t>
            </w:r>
          </w:p>
        </w:tc>
        <w:tc>
          <w:tcPr>
            <w:tcW w:w="1272"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542" w:right="175" w:hanging="360"/>
              <w:jc w:val="left"/>
              <w:rPr>
                <w:rFonts w:ascii="宋体" w:hAnsi="宋体" w:cs="宋体" w:eastAsia="宋体" w:hint="default"/>
                <w:sz w:val="18"/>
                <w:szCs w:val="18"/>
              </w:rPr>
            </w:pPr>
            <w:r>
              <w:rPr>
                <w:rFonts w:ascii="宋体" w:hAnsi="宋体" w:cs="宋体" w:eastAsia="宋体" w:hint="default"/>
                <w:spacing w:val="-2"/>
                <w:sz w:val="18"/>
                <w:szCs w:val="18"/>
              </w:rPr>
              <w:t>预测期净利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润</w:t>
            </w:r>
          </w:p>
        </w:tc>
        <w:tc>
          <w:tcPr>
            <w:tcW w:w="71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72" w:right="161"/>
              <w:jc w:val="left"/>
              <w:rPr>
                <w:rFonts w:ascii="宋体" w:hAnsi="宋体" w:cs="宋体" w:eastAsia="宋体" w:hint="default"/>
                <w:sz w:val="18"/>
                <w:szCs w:val="18"/>
              </w:rPr>
            </w:pPr>
            <w:r>
              <w:rPr>
                <w:rFonts w:ascii="宋体" w:hAnsi="宋体" w:cs="宋体" w:eastAsia="宋体" w:hint="default"/>
                <w:sz w:val="18"/>
                <w:szCs w:val="18"/>
              </w:rPr>
              <w:t>稳定</w:t>
            </w:r>
            <w:r>
              <w:rPr>
                <w:rFonts w:ascii="宋体" w:hAnsi="宋体" w:cs="宋体" w:eastAsia="宋体" w:hint="default"/>
                <w:spacing w:val="-86"/>
                <w:sz w:val="18"/>
                <w:szCs w:val="18"/>
              </w:rPr>
              <w:t> </w:t>
            </w:r>
            <w:r>
              <w:rPr>
                <w:rFonts w:ascii="宋体" w:hAnsi="宋体" w:cs="宋体" w:eastAsia="宋体" w:hint="default"/>
                <w:sz w:val="18"/>
                <w:szCs w:val="18"/>
              </w:rPr>
              <w:t>期间</w:t>
            </w:r>
          </w:p>
        </w:tc>
        <w:tc>
          <w:tcPr>
            <w:tcW w:w="84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4" w:right="2" w:firstLine="43"/>
              <w:jc w:val="both"/>
              <w:rPr>
                <w:rFonts w:ascii="宋体" w:hAnsi="宋体" w:cs="宋体" w:eastAsia="宋体" w:hint="default"/>
                <w:sz w:val="18"/>
                <w:szCs w:val="18"/>
              </w:rPr>
            </w:pPr>
            <w:r>
              <w:rPr>
                <w:rFonts w:ascii="宋体" w:hAnsi="宋体" w:cs="宋体" w:eastAsia="宋体" w:hint="default"/>
                <w:sz w:val="18"/>
                <w:szCs w:val="18"/>
              </w:rPr>
              <w:t>稳定期营</w:t>
            </w:r>
            <w:r>
              <w:rPr>
                <w:rFonts w:ascii="宋体" w:hAnsi="宋体" w:cs="宋体" w:eastAsia="宋体" w:hint="default"/>
                <w:w w:val="101"/>
                <w:sz w:val="18"/>
                <w:szCs w:val="18"/>
              </w:rPr>
              <w:t> </w:t>
            </w:r>
            <w:r>
              <w:rPr>
                <w:rFonts w:ascii="宋体" w:hAnsi="宋体" w:cs="宋体" w:eastAsia="宋体" w:hint="default"/>
                <w:sz w:val="18"/>
                <w:szCs w:val="18"/>
              </w:rPr>
              <w:t>业收入增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长率（</w:t>
            </w:r>
            <w:r>
              <w:rPr>
                <w:rFonts w:ascii="宋体" w:hAnsi="宋体" w:cs="宋体" w:eastAsia="宋体" w:hint="default"/>
                <w:sz w:val="18"/>
                <w:szCs w:val="18"/>
              </w:rPr>
              <w:t>%</w:t>
            </w:r>
            <w:r>
              <w:rPr>
                <w:rFonts w:ascii="宋体" w:hAnsi="宋体" w:cs="宋体" w:eastAsia="宋体" w:hint="default"/>
                <w:sz w:val="18"/>
                <w:szCs w:val="18"/>
              </w:rPr>
              <w:t>）</w:t>
            </w:r>
          </w:p>
        </w:tc>
        <w:tc>
          <w:tcPr>
            <w:tcW w:w="70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68" w:right="161"/>
              <w:jc w:val="both"/>
              <w:rPr>
                <w:rFonts w:ascii="宋体" w:hAnsi="宋体" w:cs="宋体" w:eastAsia="宋体" w:hint="default"/>
                <w:sz w:val="18"/>
                <w:szCs w:val="18"/>
              </w:rPr>
            </w:pPr>
            <w:r>
              <w:rPr>
                <w:rFonts w:ascii="宋体" w:hAnsi="宋体" w:cs="宋体" w:eastAsia="宋体" w:hint="default"/>
                <w:sz w:val="18"/>
                <w:szCs w:val="18"/>
              </w:rPr>
              <w:t>稳定</w:t>
            </w:r>
            <w:r>
              <w:rPr>
                <w:rFonts w:ascii="宋体" w:hAnsi="宋体" w:cs="宋体" w:eastAsia="宋体" w:hint="default"/>
                <w:spacing w:val="-86"/>
                <w:sz w:val="18"/>
                <w:szCs w:val="18"/>
              </w:rPr>
              <w:t> </w:t>
            </w:r>
            <w:r>
              <w:rPr>
                <w:rFonts w:ascii="宋体" w:hAnsi="宋体" w:cs="宋体" w:eastAsia="宋体" w:hint="default"/>
                <w:sz w:val="18"/>
                <w:szCs w:val="18"/>
              </w:rPr>
              <w:t>期利</w:t>
            </w:r>
            <w:r>
              <w:rPr>
                <w:rFonts w:ascii="宋体" w:hAnsi="宋体" w:cs="宋体" w:eastAsia="宋体" w:hint="default"/>
                <w:spacing w:val="-86"/>
                <w:sz w:val="18"/>
                <w:szCs w:val="18"/>
              </w:rPr>
              <w:t> </w:t>
            </w:r>
            <w:r>
              <w:rPr>
                <w:rFonts w:ascii="宋体" w:hAnsi="宋体" w:cs="宋体" w:eastAsia="宋体" w:hint="default"/>
                <w:sz w:val="18"/>
                <w:szCs w:val="18"/>
              </w:rPr>
              <w:t>润率</w:t>
            </w:r>
          </w:p>
        </w:tc>
        <w:tc>
          <w:tcPr>
            <w:tcW w:w="85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53" w:right="146"/>
              <w:jc w:val="left"/>
              <w:rPr>
                <w:rFonts w:ascii="宋体" w:hAnsi="宋体" w:cs="宋体" w:eastAsia="宋体" w:hint="default"/>
                <w:sz w:val="18"/>
                <w:szCs w:val="18"/>
              </w:rPr>
            </w:pPr>
            <w:r>
              <w:rPr>
                <w:rFonts w:ascii="宋体" w:hAnsi="宋体" w:cs="宋体" w:eastAsia="宋体" w:hint="default"/>
                <w:sz w:val="18"/>
                <w:szCs w:val="18"/>
              </w:rPr>
              <w:t>稳定期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净利润</w:t>
            </w:r>
          </w:p>
        </w:tc>
        <w:tc>
          <w:tcPr>
            <w:tcW w:w="6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9" w:right="153" w:hanging="92"/>
              <w:jc w:val="left"/>
              <w:rPr>
                <w:rFonts w:ascii="宋体" w:hAnsi="宋体" w:cs="宋体" w:eastAsia="宋体" w:hint="default"/>
                <w:sz w:val="18"/>
                <w:szCs w:val="18"/>
              </w:rPr>
            </w:pPr>
            <w:r>
              <w:rPr>
                <w:rFonts w:ascii="宋体" w:hAnsi="宋体" w:cs="宋体" w:eastAsia="宋体" w:hint="default"/>
                <w:sz w:val="18"/>
                <w:szCs w:val="18"/>
              </w:rPr>
              <w:t>折现</w:t>
            </w:r>
            <w:r>
              <w:rPr>
                <w:rFonts w:ascii="宋体" w:hAnsi="宋体" w:cs="宋体" w:eastAsia="宋体" w:hint="default"/>
                <w:spacing w:val="-86"/>
                <w:sz w:val="18"/>
                <w:szCs w:val="18"/>
              </w:rPr>
              <w:t> </w:t>
            </w:r>
            <w:r>
              <w:rPr>
                <w:rFonts w:ascii="宋体" w:hAnsi="宋体" w:cs="宋体" w:eastAsia="宋体" w:hint="default"/>
                <w:sz w:val="18"/>
                <w:szCs w:val="18"/>
              </w:rPr>
              <w:t>率</w:t>
            </w:r>
          </w:p>
        </w:tc>
        <w:tc>
          <w:tcPr>
            <w:tcW w:w="1085"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72" w:right="176"/>
              <w:jc w:val="both"/>
              <w:rPr>
                <w:rFonts w:ascii="宋体" w:hAnsi="宋体" w:cs="宋体" w:eastAsia="宋体" w:hint="default"/>
                <w:sz w:val="18"/>
                <w:szCs w:val="18"/>
              </w:rPr>
            </w:pPr>
            <w:r>
              <w:rPr>
                <w:rFonts w:ascii="宋体" w:hAnsi="宋体" w:cs="宋体" w:eastAsia="宋体" w:hint="default"/>
                <w:sz w:val="18"/>
                <w:szCs w:val="18"/>
              </w:rPr>
              <w:t>预计未来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现金净流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量的现值</w:t>
            </w:r>
          </w:p>
        </w:tc>
      </w:tr>
      <w:tr>
        <w:trPr>
          <w:trHeight w:val="133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4" w:right="51"/>
              <w:jc w:val="both"/>
              <w:rPr>
                <w:rFonts w:ascii="宋体" w:hAnsi="宋体" w:cs="宋体" w:eastAsia="宋体" w:hint="default"/>
                <w:sz w:val="18"/>
                <w:szCs w:val="18"/>
              </w:rPr>
            </w:pPr>
            <w:r>
              <w:rPr>
                <w:rFonts w:ascii="宋体" w:hAnsi="宋体" w:cs="宋体" w:eastAsia="宋体" w:hint="default"/>
                <w:sz w:val="18"/>
                <w:szCs w:val="18"/>
              </w:rPr>
              <w:t>深圳市龙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控智能技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司资产组</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6.74%-11.91%</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7,648,813.37-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19,800,911.54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及以后</w:t>
            </w:r>
          </w:p>
        </w:tc>
        <w:tc>
          <w:tcPr>
            <w:tcW w:w="84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11.91%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19,800,9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11.54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12.06%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113,251,60</w:t>
            </w:r>
          </w:p>
          <w:p>
            <w:pPr>
              <w:pStyle w:val="TableParagraph"/>
              <w:spacing w:line="240" w:lineRule="auto" w:before="105"/>
              <w:ind w:left="652" w:right="0"/>
              <w:jc w:val="left"/>
              <w:rPr>
                <w:rFonts w:ascii="Times New Roman" w:hAnsi="Times New Roman" w:cs="Times New Roman" w:eastAsia="Times New Roman" w:hint="default"/>
                <w:sz w:val="18"/>
                <w:szCs w:val="18"/>
              </w:rPr>
            </w:pPr>
            <w:r>
              <w:rPr>
                <w:rFonts w:ascii="Times New Roman"/>
                <w:sz w:val="18"/>
              </w:rPr>
              <w:t>0.00</w:t>
            </w:r>
          </w:p>
        </w:tc>
      </w:tr>
      <w:tr>
        <w:trPr>
          <w:trHeight w:val="2276"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4" w:right="51"/>
              <w:jc w:val="both"/>
              <w:rPr>
                <w:rFonts w:ascii="宋体" w:hAnsi="宋体" w:cs="宋体" w:eastAsia="宋体" w:hint="default"/>
                <w:sz w:val="18"/>
                <w:szCs w:val="18"/>
              </w:rPr>
            </w:pPr>
            <w:r>
              <w:rPr>
                <w:rFonts w:ascii="宋体" w:hAnsi="宋体" w:cs="宋体" w:eastAsia="宋体" w:hint="default"/>
                <w:sz w:val="18"/>
                <w:szCs w:val="18"/>
              </w:rPr>
              <w:t>依米康合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并智能工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程公司所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形成的商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誉以及商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誉相关的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固定资产</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 w:right="0"/>
              <w:jc w:val="left"/>
              <w:rPr>
                <w:rFonts w:ascii="Times New Roman" w:hAnsi="Times New Roman" w:cs="Times New Roman" w:eastAsia="Times New Roman" w:hint="default"/>
                <w:sz w:val="18"/>
                <w:szCs w:val="18"/>
              </w:rPr>
            </w:pPr>
            <w:r>
              <w:rPr>
                <w:rFonts w:ascii="Times New Roman"/>
                <w:sz w:val="18"/>
              </w:rPr>
              <w:t>2%-74.72</w:t>
            </w:r>
          </w:p>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3.59%-3.92%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17,335,800.00</w:t>
            </w:r>
          </w:p>
          <w:p>
            <w:pPr>
              <w:pStyle w:val="TableParagraph"/>
              <w:spacing w:line="405" w:lineRule="auto" w:before="110"/>
              <w:ind w:left="100" w:right="118"/>
              <w:jc w:val="left"/>
              <w:rPr>
                <w:rFonts w:ascii="Times New Roman" w:hAnsi="Times New Roman" w:cs="Times New Roman" w:eastAsia="Times New Roman" w:hint="default"/>
                <w:sz w:val="18"/>
                <w:szCs w:val="18"/>
              </w:rPr>
            </w:pPr>
            <w:r>
              <w:rPr>
                <w:rFonts w:ascii="Times New Roman"/>
                <w:sz w:val="18"/>
              </w:rPr>
              <w:t>-</w:t>
            </w:r>
            <w:r>
              <w:rPr>
                <w:rFonts w:ascii="Times New Roman"/>
                <w:w w:val="101"/>
                <w:sz w:val="18"/>
              </w:rPr>
              <w:t> </w:t>
            </w:r>
            <w:r>
              <w:rPr>
                <w:rFonts w:ascii="Times New Roman"/>
                <w:spacing w:val="-1"/>
                <w:sz w:val="18"/>
              </w:rPr>
              <w:t>22,624,000.00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及以后</w:t>
            </w:r>
          </w:p>
        </w:tc>
        <w:tc>
          <w:tcPr>
            <w:tcW w:w="84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4" w:right="0"/>
              <w:jc w:val="left"/>
              <w:rPr>
                <w:rFonts w:ascii="Times New Roman" w:hAnsi="Times New Roman" w:cs="Times New Roman" w:eastAsia="Times New Roman" w:hint="default"/>
                <w:sz w:val="18"/>
                <w:szCs w:val="18"/>
              </w:rPr>
            </w:pPr>
            <w:r>
              <w:rPr>
                <w:rFonts w:ascii="Times New Roman"/>
                <w:sz w:val="18"/>
              </w:rPr>
              <w:t>3.59%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21,781,9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15.99%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92,700,000.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r>
      <w:tr>
        <w:trPr>
          <w:trHeight w:val="87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4"/>
              <w:ind w:left="14" w:right="51"/>
              <w:jc w:val="left"/>
              <w:rPr>
                <w:rFonts w:ascii="宋体" w:hAnsi="宋体" w:cs="宋体" w:eastAsia="宋体" w:hint="default"/>
                <w:sz w:val="18"/>
                <w:szCs w:val="18"/>
              </w:rPr>
            </w:pPr>
            <w:r>
              <w:rPr>
                <w:rFonts w:ascii="宋体" w:hAnsi="宋体" w:cs="宋体" w:eastAsia="宋体" w:hint="default"/>
                <w:sz w:val="18"/>
                <w:szCs w:val="18"/>
              </w:rPr>
              <w:t>华延芯光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公司拥有</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9" w:right="0"/>
              <w:jc w:val="left"/>
              <w:rPr>
                <w:rFonts w:ascii="宋体" w:hAnsi="宋体" w:cs="宋体" w:eastAsia="宋体" w:hint="default"/>
                <w:sz w:val="18"/>
                <w:szCs w:val="18"/>
              </w:rPr>
            </w:pPr>
            <w:r>
              <w:rPr>
                <w:rFonts w:ascii="宋体" w:hAnsi="宋体" w:cs="宋体" w:eastAsia="宋体" w:hint="default"/>
                <w:sz w:val="18"/>
                <w:szCs w:val="18"/>
              </w:rPr>
              <w:t>租金收入</w:t>
            </w:r>
          </w:p>
          <w:p>
            <w:pPr>
              <w:pStyle w:val="TableParagraph"/>
              <w:spacing w:line="240" w:lineRule="auto" w:before="118"/>
              <w:ind w:left="9" w:right="0"/>
              <w:jc w:val="left"/>
              <w:rPr>
                <w:rFonts w:ascii="Times New Roman" w:hAnsi="Times New Roman" w:cs="Times New Roman" w:eastAsia="Times New Roman" w:hint="default"/>
                <w:sz w:val="18"/>
                <w:szCs w:val="18"/>
              </w:rPr>
            </w:pPr>
            <w:r>
              <w:rPr>
                <w:rFonts w:ascii="Times New Roman"/>
                <w:sz w:val="18"/>
              </w:rPr>
              <w:t>0%-4.97%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2"/>
              <w:ind w:left="14" w:right="0"/>
              <w:jc w:val="left"/>
              <w:rPr>
                <w:rFonts w:ascii="宋体" w:hAnsi="宋体" w:cs="宋体" w:eastAsia="宋体" w:hint="default"/>
                <w:sz w:val="18"/>
                <w:szCs w:val="18"/>
              </w:rPr>
            </w:pPr>
            <w:r>
              <w:rPr>
                <w:rFonts w:ascii="宋体" w:hAnsi="宋体" w:cs="宋体" w:eastAsia="宋体" w:hint="default"/>
                <w:sz w:val="18"/>
                <w:szCs w:val="18"/>
              </w:rPr>
              <w:t>及以后</w:t>
            </w:r>
          </w:p>
        </w:tc>
        <w:tc>
          <w:tcPr>
            <w:tcW w:w="84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75" w:right="0"/>
              <w:jc w:val="center"/>
              <w:rPr>
                <w:rFonts w:ascii="Times New Roman" w:hAnsi="Times New Roman" w:cs="Times New Roman" w:eastAsia="Times New Roman" w:hint="default"/>
                <w:sz w:val="18"/>
                <w:szCs w:val="18"/>
              </w:rPr>
            </w:pPr>
            <w:r>
              <w:rPr>
                <w:rFonts w:ascii="Times New Roman"/>
                <w:sz w:val="18"/>
              </w:rPr>
              <w:t>6.53%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215,287,60</w:t>
            </w:r>
          </w:p>
          <w:p>
            <w:pPr>
              <w:pStyle w:val="TableParagraph"/>
              <w:spacing w:line="240" w:lineRule="auto" w:before="105"/>
              <w:ind w:left="652"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802"/>
        <w:gridCol w:w="778"/>
        <w:gridCol w:w="855"/>
        <w:gridCol w:w="1133"/>
        <w:gridCol w:w="1272"/>
        <w:gridCol w:w="710"/>
        <w:gridCol w:w="845"/>
        <w:gridCol w:w="706"/>
        <w:gridCol w:w="854"/>
        <w:gridCol w:w="677"/>
        <w:gridCol w:w="1085"/>
      </w:tblGrid>
      <w:tr>
        <w:trPr>
          <w:trHeight w:val="8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14" w:right="51"/>
              <w:jc w:val="left"/>
              <w:rPr>
                <w:rFonts w:ascii="宋体" w:hAnsi="宋体" w:cs="宋体" w:eastAsia="宋体" w:hint="default"/>
                <w:sz w:val="18"/>
                <w:szCs w:val="18"/>
              </w:rPr>
            </w:pPr>
            <w:r>
              <w:rPr>
                <w:rFonts w:ascii="宋体" w:hAnsi="宋体" w:cs="宋体" w:eastAsia="宋体" w:hint="default"/>
                <w:sz w:val="18"/>
                <w:szCs w:val="18"/>
              </w:rPr>
              <w:t>的投资性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房地产</w:t>
            </w:r>
          </w:p>
        </w:tc>
        <w:tc>
          <w:tcPr>
            <w:tcW w:w="778"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63" w:footer="979" w:top="1060" w:bottom="1160" w:left="980" w:right="0"/>
        </w:sectPr>
      </w:pPr>
    </w:p>
    <w:p>
      <w:pPr>
        <w:spacing w:before="32"/>
        <w:ind w:left="815" w:right="-5" w:firstLine="0"/>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3</w:t>
      </w:r>
      <w:r>
        <w:rPr>
          <w:rFonts w:ascii="宋体" w:hAnsi="宋体" w:cs="宋体" w:eastAsia="宋体" w:hint="default"/>
          <w:spacing w:val="-1"/>
          <w:sz w:val="22"/>
          <w:szCs w:val="22"/>
        </w:rPr>
        <w:t>）商誉减值损失的计算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spacing w:before="0"/>
        <w:ind w:left="81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130" w:space="5130"/>
            <w:col w:w="267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1344"/>
        <w:gridCol w:w="1460"/>
        <w:gridCol w:w="1311"/>
        <w:gridCol w:w="1844"/>
        <w:gridCol w:w="1200"/>
        <w:gridCol w:w="1263"/>
      </w:tblGrid>
      <w:tr>
        <w:trPr>
          <w:trHeight w:val="1028" w:hRule="exact"/>
        </w:trPr>
        <w:tc>
          <w:tcPr>
            <w:tcW w:w="127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87"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13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53"/>
              <w:ind w:left="124" w:right="123"/>
              <w:jc w:val="both"/>
              <w:rPr>
                <w:rFonts w:ascii="宋体" w:hAnsi="宋体" w:cs="宋体" w:eastAsia="宋体" w:hint="default"/>
                <w:sz w:val="18"/>
                <w:szCs w:val="18"/>
              </w:rPr>
            </w:pPr>
            <w:r>
              <w:rPr>
                <w:rFonts w:ascii="宋体" w:hAnsi="宋体" w:cs="宋体" w:eastAsia="宋体" w:hint="default"/>
                <w:spacing w:val="-2"/>
                <w:sz w:val="18"/>
                <w:szCs w:val="18"/>
              </w:rPr>
              <w:t>包含商誉的资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产组或资产组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组合账面价值</w:t>
            </w:r>
          </w:p>
        </w:tc>
        <w:tc>
          <w:tcPr>
            <w:tcW w:w="14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73" w:right="0"/>
              <w:jc w:val="left"/>
              <w:rPr>
                <w:rFonts w:ascii="宋体" w:hAnsi="宋体" w:cs="宋体" w:eastAsia="宋体" w:hint="default"/>
                <w:sz w:val="18"/>
                <w:szCs w:val="18"/>
              </w:rPr>
            </w:pPr>
            <w:r>
              <w:rPr>
                <w:rFonts w:ascii="宋体" w:hAnsi="宋体" w:cs="宋体" w:eastAsia="宋体" w:hint="default"/>
                <w:sz w:val="18"/>
                <w:szCs w:val="18"/>
              </w:rPr>
              <w:t>可收回金额</w:t>
            </w:r>
          </w:p>
        </w:tc>
        <w:tc>
          <w:tcPr>
            <w:tcW w:w="1311"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70" w:right="103" w:hanging="361"/>
              <w:jc w:val="left"/>
              <w:rPr>
                <w:rFonts w:ascii="宋体" w:hAnsi="宋体" w:cs="宋体" w:eastAsia="宋体" w:hint="default"/>
                <w:sz w:val="18"/>
                <w:szCs w:val="18"/>
              </w:rPr>
            </w:pPr>
            <w:r>
              <w:rPr>
                <w:rFonts w:ascii="宋体" w:hAnsi="宋体" w:cs="宋体" w:eastAsia="宋体" w:hint="default"/>
                <w:spacing w:val="-2"/>
                <w:sz w:val="18"/>
                <w:szCs w:val="18"/>
              </w:rPr>
              <w:t>整体商誉减值</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准备</w:t>
            </w:r>
          </w:p>
        </w:tc>
        <w:tc>
          <w:tcPr>
            <w:tcW w:w="1844"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374" w:right="104" w:hanging="269"/>
              <w:jc w:val="left"/>
              <w:rPr>
                <w:rFonts w:ascii="宋体" w:hAnsi="宋体" w:cs="宋体" w:eastAsia="宋体" w:hint="default"/>
                <w:sz w:val="18"/>
                <w:szCs w:val="18"/>
              </w:rPr>
            </w:pPr>
            <w:r>
              <w:rPr>
                <w:rFonts w:ascii="宋体" w:hAnsi="宋体" w:cs="宋体" w:eastAsia="宋体" w:hint="default"/>
                <w:spacing w:val="-3"/>
                <w:sz w:val="18"/>
                <w:szCs w:val="18"/>
              </w:rPr>
              <w:t>归属于母公司股东的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商誉减值准备</w:t>
            </w:r>
          </w:p>
        </w:tc>
        <w:tc>
          <w:tcPr>
            <w:tcW w:w="120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316" w:lineRule="auto" w:before="53"/>
              <w:ind w:left="144" w:right="142"/>
              <w:jc w:val="both"/>
              <w:rPr>
                <w:rFonts w:ascii="宋体" w:hAnsi="宋体" w:cs="宋体" w:eastAsia="宋体" w:hint="default"/>
                <w:sz w:val="18"/>
                <w:szCs w:val="18"/>
              </w:rPr>
            </w:pPr>
            <w:r>
              <w:rPr>
                <w:rFonts w:ascii="宋体" w:hAnsi="宋体" w:cs="宋体" w:eastAsia="宋体" w:hint="default"/>
                <w:spacing w:val="-2"/>
                <w:sz w:val="18"/>
                <w:szCs w:val="18"/>
              </w:rPr>
              <w:t>以前年度已</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计提的商誉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减值准备</w:t>
            </w:r>
          </w:p>
        </w:tc>
        <w:tc>
          <w:tcPr>
            <w:tcW w:w="1263"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63" w:right="176" w:hanging="92"/>
              <w:jc w:val="left"/>
              <w:rPr>
                <w:rFonts w:ascii="宋体" w:hAnsi="宋体" w:cs="宋体" w:eastAsia="宋体" w:hint="default"/>
                <w:sz w:val="18"/>
                <w:szCs w:val="18"/>
              </w:rPr>
            </w:pPr>
            <w:r>
              <w:rPr>
                <w:rFonts w:ascii="宋体" w:hAnsi="宋体" w:cs="宋体" w:eastAsia="宋体" w:hint="default"/>
                <w:spacing w:val="-2"/>
                <w:sz w:val="18"/>
                <w:szCs w:val="18"/>
              </w:rPr>
              <w:t>本年度商誉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减值损失</w:t>
            </w: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4" w:right="166"/>
              <w:jc w:val="both"/>
              <w:rPr>
                <w:rFonts w:ascii="宋体" w:hAnsi="宋体" w:cs="宋体" w:eastAsia="宋体" w:hint="default"/>
                <w:sz w:val="18"/>
                <w:szCs w:val="18"/>
              </w:rPr>
            </w:pPr>
            <w:r>
              <w:rPr>
                <w:rFonts w:ascii="宋体" w:hAnsi="宋体" w:cs="宋体" w:eastAsia="宋体" w:hint="default"/>
                <w:spacing w:val="-2"/>
                <w:sz w:val="18"/>
                <w:szCs w:val="18"/>
              </w:rPr>
              <w:t>深圳市龙控智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能技术有限公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司资产组</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116,888,978.43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113,251,600.00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16,260,783.80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91" w:right="0"/>
              <w:jc w:val="left"/>
              <w:rPr>
                <w:rFonts w:ascii="Times New Roman" w:hAnsi="Times New Roman" w:cs="Times New Roman" w:eastAsia="Times New Roman" w:hint="default"/>
                <w:sz w:val="18"/>
                <w:szCs w:val="18"/>
              </w:rPr>
            </w:pPr>
            <w:r>
              <w:rPr>
                <w:rFonts w:ascii="Times New Roman"/>
                <w:sz w:val="18"/>
              </w:rPr>
              <w:t>10,075,315.17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6,437,936.74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3,637,378.43</w:t>
            </w:r>
          </w:p>
        </w:tc>
      </w:tr>
    </w:tbl>
    <w:p>
      <w:pPr>
        <w:spacing w:line="240" w:lineRule="auto" w:before="13"/>
        <w:rPr>
          <w:rFonts w:ascii="宋体" w:hAnsi="宋体" w:cs="宋体" w:eastAsia="宋体" w:hint="default"/>
          <w:sz w:val="15"/>
          <w:szCs w:val="15"/>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商誉减值测试的影响</w:t>
      </w:r>
    </w:p>
    <w:p>
      <w:pPr>
        <w:spacing w:line="240" w:lineRule="auto" w:before="5"/>
        <w:rPr>
          <w:rFonts w:ascii="宋体" w:hAnsi="宋体" w:cs="宋体" w:eastAsia="宋体" w:hint="default"/>
          <w:sz w:val="21"/>
          <w:szCs w:val="21"/>
        </w:rPr>
      </w:pPr>
    </w:p>
    <w:p>
      <w:pPr>
        <w:spacing w:before="0"/>
        <w:ind w:left="815" w:right="0" w:firstLine="0"/>
        <w:jc w:val="left"/>
        <w:rPr>
          <w:rFonts w:ascii="宋体" w:hAnsi="宋体" w:cs="宋体" w:eastAsia="宋体" w:hint="default"/>
          <w:sz w:val="22"/>
          <w:szCs w:val="22"/>
        </w:rPr>
      </w:pPr>
      <w:r>
        <w:rPr>
          <w:rFonts w:ascii="宋体" w:hAnsi="宋体" w:cs="宋体" w:eastAsia="宋体" w:hint="default"/>
          <w:sz w:val="22"/>
          <w:szCs w:val="22"/>
        </w:rPr>
        <w:t>本年末商誉对应的被投资单位在收购日不存在对本年度的业绩承诺。</w:t>
      </w:r>
    </w:p>
    <w:p>
      <w:pPr>
        <w:spacing w:line="240" w:lineRule="auto" w:before="6"/>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9、长期待摊费用" w:id="327"/>
      <w:bookmarkEnd w:id="327"/>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购房款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415,837.11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15,993.72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399,843.39</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1,899,033.30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3,532,664.23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1,479,688.80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3,952,008.73</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2,314,870.41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3,532,664.23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1,495,682.52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4,351,852.12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0、递延所得税资产/递延所得税负债" w:id="328"/>
      <w:bookmarkEnd w:id="328"/>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未经抵销的递延所得税资产"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231,713,402.60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40,398,707.51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199,357,095.61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34,355,356.88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6,815,383.02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1,093,409.92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4,934,633.01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815,210.43</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4" w:right="72"/>
              <w:jc w:val="left"/>
              <w:rPr>
                <w:rFonts w:ascii="宋体" w:hAnsi="宋体" w:cs="宋体" w:eastAsia="宋体" w:hint="default"/>
                <w:sz w:val="18"/>
                <w:szCs w:val="18"/>
              </w:rPr>
            </w:pPr>
            <w:r>
              <w:rPr>
                <w:rFonts w:ascii="宋体" w:hAnsi="宋体" w:cs="宋体" w:eastAsia="宋体" w:hint="default"/>
                <w:spacing w:val="-2"/>
                <w:sz w:val="18"/>
                <w:szCs w:val="18"/>
              </w:rPr>
              <w:t>递延收益计提的递延所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得税资产</w:t>
            </w:r>
          </w:p>
        </w:tc>
        <w:tc>
          <w:tcPr>
            <w:tcW w:w="191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3,488,919.89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523,337.98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3,488,920.06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523,338.01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9" w:type="dxa"/>
            <w:tcBorders>
              <w:top w:val="single" w:sz="4" w:space="0" w:color="000000"/>
              <w:left w:val="single" w:sz="10" w:space="0" w:color="D9D9D9"/>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49,929.39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7,489.41</w:t>
            </w:r>
          </w:p>
        </w:tc>
      </w:tr>
      <w:tr>
        <w:trPr>
          <w:trHeight w:val="39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242,017,705.51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42,015,455.41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207,830,578.07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35,701,394.73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未经抵销的递延所得税负债" w:id="330"/>
      <w:bookmarkEnd w:id="3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207"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FFFFFF"/>
            </w:tcBorders>
            <w:shd w:val="clear" w:color="auto" w:fill="D2D2D2"/>
          </w:tcPr>
          <w:p>
            <w:pPr/>
          </w:p>
        </w:tc>
        <w:tc>
          <w:tcPr>
            <w:tcW w:w="3832" w:type="dxa"/>
            <w:gridSpan w:val="2"/>
            <w:vMerge/>
            <w:tcBorders>
              <w:left w:val="single" w:sz="4" w:space="0" w:color="FFFFFF"/>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FFFFFF"/>
            </w:tcBorders>
            <w:shd w:val="clear" w:color="auto" w:fill="D2D2D2"/>
          </w:tcPr>
          <w:p>
            <w:pPr/>
          </w:p>
        </w:tc>
        <w:tc>
          <w:tcPr>
            <w:tcW w:w="1916" w:type="dxa"/>
            <w:vMerge/>
            <w:tcBorders>
              <w:left w:val="single" w:sz="4" w:space="0" w:color="FFFFFF"/>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2"/>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111,660,753.76</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24,393,402.08</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118,518,560.08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25,674,544.96</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4" w:lineRule="auto" w:before="53"/>
              <w:ind w:left="24" w:right="72"/>
              <w:jc w:val="left"/>
              <w:rPr>
                <w:rFonts w:ascii="宋体" w:hAnsi="宋体" w:cs="宋体" w:eastAsia="宋体" w:hint="default"/>
                <w:sz w:val="18"/>
                <w:szCs w:val="18"/>
              </w:rPr>
            </w:pPr>
            <w:r>
              <w:rPr>
                <w:rFonts w:ascii="宋体" w:hAnsi="宋体" w:cs="宋体" w:eastAsia="宋体" w:hint="default"/>
                <w:spacing w:val="-2"/>
                <w:sz w:val="18"/>
                <w:szCs w:val="18"/>
              </w:rPr>
              <w:t>业绩承诺确认的递延所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得税负债</w:t>
            </w:r>
          </w:p>
        </w:tc>
        <w:tc>
          <w:tcPr>
            <w:tcW w:w="1919"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61,753,867.53</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9,263,080.13</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61,753,867.53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9,263,080.13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173,414,621.29</w:t>
            </w:r>
          </w:p>
        </w:tc>
        <w:tc>
          <w:tcPr>
            <w:tcW w:w="1911"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33,656,482.21</w:t>
            </w:r>
          </w:p>
        </w:tc>
        <w:tc>
          <w:tcPr>
            <w:tcW w:w="191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180,272,427.61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34,937,625.09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以抵销后净额列示的递延所得税资产或负债" w:id="331"/>
      <w:bookmarkEnd w:id="3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158"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13"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13"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94" w:hRule="exact"/>
        </w:trPr>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vMerge/>
            <w:tcBorders>
              <w:left w:val="single" w:sz="4" w:space="0" w:color="000000"/>
              <w:right w:val="single" w:sz="4" w:space="0" w:color="000000"/>
            </w:tcBorders>
            <w:shd w:val="clear" w:color="auto" w:fill="D2D2D2"/>
          </w:tcPr>
          <w:p>
            <w:pPr/>
          </w:p>
        </w:tc>
        <w:tc>
          <w:tcPr>
            <w:tcW w:w="1911"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58"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42,015,455.41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35,701,394.73</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33,656,482.21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34,937,625.09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未确认递延所得税资产明细" w:id="332"/>
      <w:bookmarkEnd w:id="3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43,002,833.12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17,810,348.61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43,002,833.12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17,810,348.61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5）未确认递延所得税资产的可抵扣亏损将于以下年度到期" w:id="333"/>
      <w:bookmarkEnd w:id="3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1、其他非流动资产" w:id="334"/>
      <w:bookmarkEnd w:id="334"/>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2、短期借款" w:id="335"/>
      <w:bookmarkEnd w:id="335"/>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短期借款分类" w:id="336"/>
      <w:bookmarkEnd w:id="3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041" w:right="0"/>
              <w:jc w:val="left"/>
              <w:rPr>
                <w:rFonts w:ascii="Times New Roman" w:hAnsi="Times New Roman" w:cs="Times New Roman" w:eastAsia="Times New Roman" w:hint="default"/>
                <w:sz w:val="18"/>
                <w:szCs w:val="18"/>
              </w:rPr>
            </w:pPr>
            <w:r>
              <w:rPr>
                <w:rFonts w:ascii="Times New Roman"/>
                <w:sz w:val="18"/>
              </w:rPr>
              <w:t>144,900,000.00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99,000,000.00</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979" w:header="863"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203,896,433.91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445,796,433.91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349,000,000.00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已逾期未偿还的短期借款情况" w:id="337"/>
      <w:bookmarkEnd w:id="3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本期末已逾期未偿还的短期借款总额为 </w:t>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32"/>
          <w:sz w:val="18"/>
          <w:szCs w:val="18"/>
        </w:rPr>
        <w:t> </w:t>
      </w:r>
      <w:r>
        <w:rPr>
          <w:rFonts w:ascii="宋体" w:hAnsi="宋体" w:cs="宋体" w:eastAsia="宋体" w:hint="default"/>
          <w:spacing w:val="-3"/>
          <w:sz w:val="18"/>
          <w:szCs w:val="18"/>
        </w:rPr>
        <w:t>元，其中重要的已逾期未偿还的短期借款情况如下：</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39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3、交易性金融负债" w:id="338"/>
      <w:bookmarkEnd w:id="338"/>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4、衍生金融负债" w:id="339"/>
      <w:bookmarkEnd w:id="339"/>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5、应付票据" w:id="340"/>
      <w:bookmarkEnd w:id="340"/>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5,423,623.20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64,237,782.81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113,913,515.08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64,237,782.81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119,337,138.28</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本期末已到期未支付的应付票据总额为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6、应付账款" w:id="341"/>
      <w:bookmarkEnd w:id="341"/>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付账款列示"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597,880,249.49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619,108,653.37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597,880,249.49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619,108,653.37</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账龄超过1年的重要应付账款"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17,897,853.00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根据项目收款情况付款</w:t>
            </w:r>
          </w:p>
        </w:tc>
      </w:tr>
    </w:tbl>
    <w:p>
      <w:pPr>
        <w:spacing w:after="0" w:line="240" w:lineRule="auto"/>
        <w:jc w:val="center"/>
        <w:rPr>
          <w:rFonts w:ascii="宋体" w:hAnsi="宋体" w:cs="宋体" w:eastAsia="宋体" w:hint="default"/>
          <w:sz w:val="18"/>
          <w:szCs w:val="18"/>
        </w:rPr>
        <w:sectPr>
          <w:footerReference w:type="default" r:id="rId24"/>
          <w:pgSz w:w="11910" w:h="16840"/>
          <w:pgMar w:footer="979" w:header="863" w:top="1060" w:bottom="1160" w:left="980" w:right="0"/>
          <w:pgNumType w:start="201"/>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11,525,962.37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4,451,417.52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4,130,037.05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3,775,045.37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3,205,905.22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3,299,957.27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供应商八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3,309,761.56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根据项目收款情况付款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51,595,939.36</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7、预收款项" w:id="344"/>
      <w:bookmarkEnd w:id="344"/>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1）预收款项列示" w:id="345"/>
      <w:bookmarkEnd w:id="3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202,114,111.72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179,244,033.11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3"/>
                <w:sz w:val="18"/>
              </w:rPr>
              <w:t>202,114,111.72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179,244,033.11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账龄超过1年的重要预收款项" w:id="346"/>
      <w:bookmarkEnd w:id="3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11,822,753.28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pacing w:val="-3"/>
                <w:sz w:val="18"/>
                <w:szCs w:val="18"/>
              </w:rPr>
              <w:t>项目未竣工验收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9,679,077.93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项目未竣工验收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5,627,289.01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项目未竣工验收</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项目未竣工验收</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2,978,962.35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pacing w:val="-3"/>
                <w:sz w:val="18"/>
                <w:szCs w:val="18"/>
              </w:rPr>
              <w:t>项目未竣工验收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36,308,082.57</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3）期末建造合同形成的已结算未完工项目情况" w:id="347"/>
      <w:bookmarkEnd w:id="3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8、合同负债" w:id="348"/>
      <w:bookmarkEnd w:id="348"/>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、合同负债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9、应付职工薪酬" w:id="349"/>
      <w:bookmarkEnd w:id="349"/>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付职工薪酬列示" w:id="350"/>
      <w:bookmarkEnd w:id="3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11,824,471.62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146,539,451.35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143,688,061.68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14,675,861.29</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221,142.30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10,026,385.73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10,006,235.54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241,292.49</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83,608.21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83,608.21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12,045,613.92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156,649,445.29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153,777,905.43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14,917,153.78</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短期薪酬列示" w:id="351"/>
      <w:bookmarkEnd w:id="3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0"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8,638,139.90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129,735,813.99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127,377,550.80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10,996,403.09</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12,268.90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3,598,721.81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3,610,990.71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167,717.07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5,191,875.87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5,222,075.51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137,517.43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84,456.18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4,589,669.94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4,565,037.47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109,088.65</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5,161.43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206,154.29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193,494.41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17,821.31</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78,099.46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396,051.64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463,543.63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10,607.47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73,565.74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4,315,253.72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4,212,474.49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176,344.97</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2,932,780.01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3,697,785.96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3,264,970.17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3,365,595.80</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11,824,471.62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146,539,451.35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143,688,061.68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14,675,861.29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设定提存计划列示" w:id="352"/>
      <w:bookmarkEnd w:id="3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212,226.28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9,676,544.88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9,654,939.93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233,831.23</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8,916.02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349,840.85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351,295.61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7,461.26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221,142.30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10,026,385.73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10,006,235.54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241,292.49</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0、应交税费" w:id="353"/>
      <w:bookmarkEnd w:id="353"/>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10,519,916.66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13,234,401.50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5,154,365.21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5,844,414.05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80,195.48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207,501.53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795,851.81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805,671.62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970,016.68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971,494.17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54,303.00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72,404.00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407,643.25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404,843.16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249,417.39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267,198.88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应交印花税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50,269.57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51,694.40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38,320.44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59,102.36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18,320,299.49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21,918,725.67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1、其他应付款" w:id="354"/>
      <w:bookmarkEnd w:id="354"/>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1,517,060.14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77,074,338.75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163,620,850.15</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77,074,338.75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165,137,910.29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应付利息" w:id="355"/>
      <w:bookmarkEnd w:id="3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应付股利" w:id="356"/>
      <w:bookmarkEnd w:id="3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1,517,060.14</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1,517,060.14</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其他说明，包括重要的超过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年未支付的应付股利，应披露未支付原因：</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3）其他应付款" w:id="357"/>
      <w:bookmarkEnd w:id="35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按款项性质列示其他应付款" w:id="358"/>
      <w:bookmarkEnd w:id="35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9,043,985.36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15,456,291.37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56,187,915.93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74,577,316.85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7,699,425.52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51,288,303.48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685,072.58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2,642,127.55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11,157,364.88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11,957,385.38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77,074,338.75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163,620,850.15</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账龄超过1年的重要其他应付款" w:id="359"/>
      <w:bookmarkEnd w:id="35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2、持有待售负债" w:id="360"/>
      <w:bookmarkEnd w:id="360"/>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、持有待售负债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3、一年内到期的非流动负债" w:id="361"/>
      <w:bookmarkEnd w:id="361"/>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52,550,000.00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一年内到期的长期应付款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52,743,507.68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33,575,046.76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105,293,507.68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87,575,046.76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4、其他流动负债" w:id="362"/>
      <w:bookmarkEnd w:id="362"/>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3"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963"/>
            <w:col w:w="2008"/>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2,319,863.13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62,879,814.76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95,630,918.48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62,879,814.76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97,950,781.61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45、长期借款" w:id="363"/>
      <w:bookmarkEnd w:id="363"/>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长期借款分类"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67,450,000.00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67,450,000.00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74,000,000.00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6、应付债券" w:id="365"/>
      <w:bookmarkEnd w:id="365"/>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付债券" w:id="366"/>
      <w:bookmarkEnd w:id="3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应付债券的增减变动（不包括划分为金融负债的优先股、永续债等其他金融工具）" w:id="367"/>
      <w:bookmarkEnd w:id="3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可转换公司债券的转股条件、转股时间说明" w:id="368"/>
      <w:bookmarkEnd w:id="3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划分为金融负债的其他金融工具说明"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7、租赁负债" w:id="370"/>
      <w:bookmarkEnd w:id="370"/>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8、长期应付款" w:id="371"/>
      <w:bookmarkEnd w:id="371"/>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124,765,890.49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177,401,140.25</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124,765,890.49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177,401,140.25</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按款项性质列示长期应付款" w:id="372"/>
      <w:bookmarkEnd w:id="3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41" w:right="0"/>
              <w:jc w:val="left"/>
              <w:rPr>
                <w:rFonts w:ascii="Times New Roman" w:hAnsi="Times New Roman" w:cs="Times New Roman" w:eastAsia="Times New Roman" w:hint="default"/>
                <w:sz w:val="18"/>
                <w:szCs w:val="18"/>
              </w:rPr>
            </w:pPr>
            <w:r>
              <w:rPr>
                <w:rFonts w:ascii="Times New Roman"/>
                <w:sz w:val="18"/>
              </w:rPr>
              <w:t>124,765,890.49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177,401,140.25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2）专项应付款" w:id="373"/>
      <w:bookmarkEnd w:id="3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9、长期应付职工薪酬" w:id="374"/>
      <w:bookmarkEnd w:id="374"/>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长期应付职工薪酬表" w:id="375"/>
      <w:bookmarkEnd w:id="3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设定受益计划变动情况" w:id="376"/>
      <w:bookmarkEnd w:id="3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0、预计负债" w:id="377"/>
      <w:bookmarkEnd w:id="377"/>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1、递延收益" w:id="378"/>
      <w:bookmarkEnd w:id="378"/>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11"/>
        <w:gridCol w:w="1595"/>
        <w:gridCol w:w="1594"/>
        <w:gridCol w:w="1594"/>
        <w:gridCol w:w="1594"/>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25"/>
              <w:jc w:val="right"/>
              <w:rPr>
                <w:rFonts w:ascii="宋体" w:hAnsi="宋体" w:cs="宋体" w:eastAsia="宋体" w:hint="default"/>
                <w:sz w:val="18"/>
                <w:szCs w:val="18"/>
              </w:rPr>
            </w:pPr>
            <w:r>
              <w:rPr>
                <w:rFonts w:ascii="宋体" w:hAnsi="宋体" w:cs="宋体" w:eastAsia="宋体" w:hint="default"/>
                <w:spacing w:val="-2"/>
                <w:sz w:val="18"/>
                <w:szCs w:val="18"/>
              </w:rPr>
              <w:t>形成原因</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8,638,920.06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18,488,919.89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73"/>
              <w:jc w:val="right"/>
              <w:rPr>
                <w:rFonts w:ascii="宋体" w:hAnsi="宋体" w:cs="宋体" w:eastAsia="宋体" w:hint="default"/>
                <w:sz w:val="18"/>
                <w:szCs w:val="18"/>
              </w:rPr>
            </w:pPr>
            <w:r>
              <w:rPr>
                <w:rFonts w:ascii="宋体" w:hAnsi="宋体" w:cs="宋体" w:eastAsia="宋体" w:hint="default"/>
                <w:spacing w:val="-2"/>
                <w:sz w:val="18"/>
                <w:szCs w:val="18"/>
              </w:rPr>
              <w:t>收到政府补助</w:t>
            </w: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8,638,920.06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150,000.17</w:t>
            </w:r>
          </w:p>
        </w:tc>
        <w:tc>
          <w:tcPr>
            <w:tcW w:w="159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11"/>
              <w:jc w:val="right"/>
              <w:rPr>
                <w:rFonts w:ascii="Times New Roman" w:hAnsi="Times New Roman" w:cs="Times New Roman" w:eastAsia="Times New Roman" w:hint="default"/>
                <w:sz w:val="18"/>
                <w:szCs w:val="18"/>
              </w:rPr>
            </w:pPr>
            <w:r>
              <w:rPr>
                <w:rFonts w:ascii="Times New Roman"/>
                <w:spacing w:val="-1"/>
                <w:sz w:val="18"/>
              </w:rPr>
              <w:t>18,488,919.89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7"/>
        <w:gridCol w:w="1138"/>
        <w:gridCol w:w="989"/>
        <w:gridCol w:w="854"/>
        <w:gridCol w:w="1133"/>
        <w:gridCol w:w="850"/>
        <w:gridCol w:w="994"/>
        <w:gridCol w:w="1133"/>
        <w:gridCol w:w="1066"/>
      </w:tblGrid>
      <w:tr>
        <w:trPr>
          <w:trHeight w:val="1028"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4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20" w:right="32"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62" w:right="55"/>
              <w:jc w:val="both"/>
              <w:rPr>
                <w:rFonts w:ascii="宋体" w:hAnsi="宋体" w:cs="宋体" w:eastAsia="宋体" w:hint="default"/>
                <w:sz w:val="18"/>
                <w:szCs w:val="18"/>
              </w:rPr>
            </w:pPr>
            <w:r>
              <w:rPr>
                <w:rFonts w:ascii="宋体" w:hAnsi="宋体" w:cs="宋体" w:eastAsia="宋体" w:hint="default"/>
                <w:sz w:val="18"/>
                <w:szCs w:val="18"/>
              </w:rPr>
              <w:t>本期计入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营业外收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5" w:right="103"/>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7" w:right="55"/>
              <w:jc w:val="center"/>
              <w:rPr>
                <w:rFonts w:ascii="宋体" w:hAnsi="宋体" w:cs="宋体" w:eastAsia="宋体" w:hint="default"/>
                <w:sz w:val="18"/>
                <w:szCs w:val="18"/>
              </w:rPr>
            </w:pPr>
            <w:r>
              <w:rPr>
                <w:rFonts w:ascii="宋体" w:hAnsi="宋体" w:cs="宋体" w:eastAsia="宋体" w:hint="default"/>
                <w:spacing w:val="-2"/>
                <w:sz w:val="18"/>
                <w:szCs w:val="18"/>
              </w:rPr>
              <w:t>本期冲减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成本费用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节能型精密机房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空调生产研发技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术改造项目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242,253.40</w:t>
            </w: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63,196.73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-63,196.56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242,253.23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新建生产线政府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补助</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2,226,666.58</w:t>
            </w: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80,000.04</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2,226,666.58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智能绿色冷源集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成解决方案政府</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补助</w:t>
            </w: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8,333.29</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-8,333.29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精密机房空调绿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色设计平台建设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项目政府补助</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1,020,000.08</w:t>
            </w: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1,359,999.96</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-1,359,999.9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1,020,000.08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微模块数据中心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工程设计服务示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范项目</w:t>
            </w: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18"/>
              <w:jc w:val="both"/>
              <w:rPr>
                <w:rFonts w:ascii="宋体" w:hAnsi="宋体" w:cs="宋体" w:eastAsia="宋体" w:hint="default"/>
                <w:sz w:val="18"/>
                <w:szCs w:val="18"/>
              </w:rPr>
            </w:pPr>
            <w:r>
              <w:rPr>
                <w:rFonts w:ascii="宋体" w:hAnsi="宋体" w:cs="宋体" w:eastAsia="宋体" w:hint="default"/>
                <w:spacing w:val="-3"/>
                <w:sz w:val="18"/>
                <w:szCs w:val="18"/>
              </w:rPr>
              <w:t>智能列间多联式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列间节能机组的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多联分流控制技</w:t>
            </w: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2"/>
              <w:jc w:val="right"/>
              <w:rPr>
                <w:rFonts w:ascii="Times New Roman" w:hAnsi="Times New Roman" w:cs="Times New Roman" w:eastAsia="Times New Roman" w:hint="default"/>
                <w:sz w:val="18"/>
                <w:szCs w:val="18"/>
              </w:rPr>
            </w:pPr>
            <w:r>
              <w:rPr>
                <w:rFonts w:ascii="Times New Roman"/>
                <w:spacing w:val="-1"/>
                <w:sz w:val="18"/>
              </w:rPr>
              <w:t>233,333.28</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pacing w:val="-1"/>
                <w:sz w:val="18"/>
              </w:rPr>
              <w:t>-233,333.28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17"/>
        <w:gridCol w:w="1138"/>
        <w:gridCol w:w="989"/>
        <w:gridCol w:w="854"/>
        <w:gridCol w:w="1133"/>
        <w:gridCol w:w="850"/>
        <w:gridCol w:w="994"/>
        <w:gridCol w:w="1133"/>
        <w:gridCol w:w="1066"/>
      </w:tblGrid>
      <w:tr>
        <w:trPr>
          <w:trHeight w:val="360"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术的开发项目</w:t>
            </w: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新型高集成芯片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喷雾冷却系统研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w:t>
            </w: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75,000.00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-75,000.00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城镇污水垃圾处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理设施及污水管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网工程项目</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15,000,000.00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基于神经网络的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数据中心能效分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析平台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w:t>
            </w:r>
          </w:p>
        </w:tc>
        <w:tc>
          <w:tcPr>
            <w:tcW w:w="989"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0"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8,638,920.06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00</w:t>
            </w:r>
          </w:p>
        </w:tc>
        <w:tc>
          <w:tcPr>
            <w:tcW w:w="85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2,469,863.30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-2,319,863.1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18,488,919.89</w:t>
            </w: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2、其他非流动负债" w:id="379"/>
      <w:bookmarkEnd w:id="379"/>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3、股本" w:id="380"/>
      <w:bookmarkEnd w:id="380"/>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445,987,594.00</w:t>
            </w:r>
          </w:p>
        </w:tc>
        <w:tc>
          <w:tcPr>
            <w:tcW w:w="1189"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18"/>
                <w:szCs w:val="18"/>
              </w:rPr>
            </w:pPr>
            <w:r>
              <w:rPr>
                <w:rFonts w:ascii="Times New Roman"/>
                <w:sz w:val="18"/>
              </w:rPr>
              <w:t>-8,517,400.00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18"/>
                <w:szCs w:val="18"/>
              </w:rPr>
            </w:pPr>
            <w:r>
              <w:rPr>
                <w:rFonts w:ascii="Times New Roman"/>
                <w:spacing w:val="-1"/>
                <w:sz w:val="18"/>
              </w:rPr>
              <w:t>-8,517,400.00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437,470,194.00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4、其他权益工具" w:id="381"/>
      <w:bookmarkEnd w:id="381"/>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期末发行在外的优先股、永续债等其他金融工具基本情况"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期末发行在外的优先股、永续债等金融工具变动情况表" w:id="383"/>
      <w:bookmarkEnd w:id="3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5、资本公积" w:id="384"/>
      <w:bookmarkEnd w:id="384"/>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94,571,434.89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46,522,429.96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48,049,004.93</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17,128,456.68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5,328,753.89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5,880,271.68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16,576,938.89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111,699,891.57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5,328,753.89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52,402,701.64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64,625,943.82</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4" w:lineRule="auto" w:before="159"/>
        <w:ind w:left="153" w:right="1108" w:firstLine="441"/>
        <w:jc w:val="both"/>
        <w:rPr>
          <w:rFonts w:ascii="宋体" w:hAnsi="宋体" w:cs="宋体" w:eastAsia="宋体" w:hint="default"/>
          <w:sz w:val="22"/>
          <w:szCs w:val="22"/>
        </w:rPr>
      </w:pPr>
      <w:r>
        <w:rPr>
          <w:rFonts w:ascii="宋体" w:hAnsi="宋体" w:cs="宋体" w:eastAsia="宋体" w:hint="default"/>
          <w:spacing w:val="-3"/>
          <w:sz w:val="22"/>
          <w:szCs w:val="22"/>
        </w:rPr>
        <w:t>注</w:t>
      </w:r>
      <w:r>
        <w:rPr>
          <w:rFonts w:ascii="Times New Roman" w:hAnsi="Times New Roman" w:cs="Times New Roman" w:eastAsia="Times New Roman" w:hint="default"/>
          <w:spacing w:val="-3"/>
          <w:sz w:val="22"/>
          <w:szCs w:val="22"/>
        </w:rPr>
        <w:t>1</w:t>
      </w:r>
      <w:r>
        <w:rPr>
          <w:rFonts w:ascii="宋体" w:hAnsi="宋体" w:cs="宋体" w:eastAsia="宋体" w:hint="default"/>
          <w:spacing w:val="-3"/>
          <w:sz w:val="22"/>
          <w:szCs w:val="22"/>
        </w:rPr>
        <w:t>：本年股本溢价减少</w:t>
      </w:r>
      <w:r>
        <w:rPr>
          <w:rFonts w:ascii="Times New Roman" w:hAnsi="Times New Roman" w:cs="Times New Roman" w:eastAsia="Times New Roman" w:hint="default"/>
          <w:spacing w:val="-3"/>
          <w:sz w:val="22"/>
          <w:szCs w:val="22"/>
        </w:rPr>
        <w:t>46,522,429.96</w:t>
      </w:r>
      <w:r>
        <w:rPr>
          <w:rFonts w:ascii="宋体" w:hAnsi="宋体" w:cs="宋体" w:eastAsia="宋体" w:hint="default"/>
          <w:spacing w:val="-3"/>
          <w:sz w:val="22"/>
          <w:szCs w:val="22"/>
        </w:rPr>
        <w:t>元，主要系：①本年本公司对因陈灵巧、童燕等</w:t>
      </w:r>
      <w:r>
        <w:rPr>
          <w:rFonts w:ascii="Times New Roman" w:hAnsi="Times New Roman" w:cs="Times New Roman" w:eastAsia="Times New Roman" w:hint="default"/>
          <w:spacing w:val="-3"/>
          <w:sz w:val="22"/>
          <w:szCs w:val="22"/>
        </w:rPr>
        <w:t>10</w:t>
      </w:r>
      <w:r>
        <w:rPr>
          <w:rFonts w:ascii="宋体" w:hAnsi="宋体" w:cs="宋体" w:eastAsia="宋体" w:hint="default"/>
          <w:spacing w:val="-3"/>
          <w:sz w:val="22"/>
          <w:szCs w:val="22"/>
        </w:rPr>
        <w:t>名激励对</w:t>
      </w:r>
      <w:r>
        <w:rPr>
          <w:rFonts w:ascii="宋体" w:hAnsi="宋体" w:cs="宋体" w:eastAsia="宋体" w:hint="default"/>
          <w:w w:val="100"/>
          <w:sz w:val="22"/>
          <w:szCs w:val="22"/>
        </w:rPr>
        <w:t> </w:t>
      </w:r>
      <w:r>
        <w:rPr>
          <w:rFonts w:ascii="宋体" w:hAnsi="宋体" w:cs="宋体" w:eastAsia="宋体" w:hint="default"/>
          <w:sz w:val="22"/>
          <w:szCs w:val="22"/>
        </w:rPr>
        <w:t>象离职而不再具备激励资格，其所持有的尚未解除限售的限制性股票共计</w:t>
      </w:r>
      <w:r>
        <w:rPr>
          <w:rFonts w:ascii="Times New Roman" w:hAnsi="Times New Roman" w:cs="Times New Roman" w:eastAsia="Times New Roman" w:hint="default"/>
          <w:sz w:val="22"/>
          <w:szCs w:val="22"/>
        </w:rPr>
        <w:t>32.9</w:t>
      </w:r>
      <w:r>
        <w:rPr>
          <w:rFonts w:ascii="宋体" w:hAnsi="宋体" w:cs="宋体" w:eastAsia="宋体" w:hint="default"/>
          <w:sz w:val="22"/>
          <w:szCs w:val="22"/>
        </w:rPr>
        <w:t>万股予以回购注销；对</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pacing w:val="-3"/>
          <w:w w:val="100"/>
          <w:sz w:val="22"/>
          <w:szCs w:val="22"/>
        </w:rPr>
        <w:t>因公司层面业绩不达标所涉首次授予第二个解除限售期</w:t>
      </w:r>
      <w:r>
        <w:rPr>
          <w:rFonts w:ascii="Times New Roman" w:hAnsi="Times New Roman" w:cs="Times New Roman" w:eastAsia="Times New Roman" w:hint="default"/>
          <w:spacing w:val="-3"/>
          <w:w w:val="100"/>
          <w:sz w:val="22"/>
          <w:szCs w:val="22"/>
        </w:rPr>
        <w:t>120</w:t>
      </w:r>
      <w:r>
        <w:rPr>
          <w:rFonts w:ascii="宋体" w:hAnsi="宋体" w:cs="宋体" w:eastAsia="宋体" w:hint="default"/>
          <w:spacing w:val="-3"/>
          <w:w w:val="100"/>
          <w:sz w:val="22"/>
          <w:szCs w:val="22"/>
        </w:rPr>
        <w:t>名激励对象所持</w:t>
      </w:r>
      <w:r>
        <w:rPr>
          <w:rFonts w:ascii="Times New Roman" w:hAnsi="Times New Roman" w:cs="Times New Roman" w:eastAsia="Times New Roman" w:hint="default"/>
          <w:spacing w:val="-3"/>
          <w:w w:val="100"/>
          <w:sz w:val="22"/>
          <w:szCs w:val="22"/>
        </w:rPr>
        <w:t>300.36</w:t>
      </w:r>
      <w:r>
        <w:rPr>
          <w:rFonts w:ascii="宋体" w:hAnsi="宋体" w:cs="宋体" w:eastAsia="宋体" w:hint="default"/>
          <w:spacing w:val="-3"/>
          <w:w w:val="100"/>
          <w:sz w:val="22"/>
          <w:szCs w:val="22"/>
        </w:rPr>
        <w:t>万股限制性股票、预</w:t>
      </w:r>
      <w:r>
        <w:rPr>
          <w:rFonts w:ascii="宋体" w:hAnsi="宋体" w:cs="宋体" w:eastAsia="宋体" w:hint="default"/>
          <w:spacing w:val="-95"/>
          <w:w w:val="100"/>
          <w:sz w:val="22"/>
          <w:szCs w:val="22"/>
        </w:rPr>
        <w:t> </w:t>
      </w:r>
      <w:r>
        <w:rPr>
          <w:rFonts w:ascii="宋体" w:hAnsi="宋体" w:cs="宋体" w:eastAsia="宋体" w:hint="default"/>
          <w:spacing w:val="-95"/>
          <w:w w:val="100"/>
          <w:sz w:val="22"/>
          <w:szCs w:val="22"/>
        </w:rPr>
      </w:r>
      <w:r>
        <w:rPr>
          <w:rFonts w:ascii="宋体" w:hAnsi="宋体" w:cs="宋体" w:eastAsia="宋体" w:hint="default"/>
          <w:sz w:val="22"/>
          <w:szCs w:val="22"/>
        </w:rPr>
        <w:t>留授予第一个解除限售期</w:t>
      </w:r>
      <w:r>
        <w:rPr>
          <w:rFonts w:ascii="Times New Roman" w:hAnsi="Times New Roman" w:cs="Times New Roman" w:eastAsia="Times New Roman" w:hint="default"/>
          <w:sz w:val="22"/>
          <w:szCs w:val="22"/>
        </w:rPr>
        <w:t>23</w:t>
      </w:r>
      <w:r>
        <w:rPr>
          <w:rFonts w:ascii="宋体" w:hAnsi="宋体" w:cs="宋体" w:eastAsia="宋体" w:hint="default"/>
          <w:sz w:val="22"/>
          <w:szCs w:val="22"/>
        </w:rPr>
        <w:t>名激励对象所持</w:t>
      </w:r>
      <w:r>
        <w:rPr>
          <w:rFonts w:ascii="Times New Roman" w:hAnsi="Times New Roman" w:cs="Times New Roman" w:eastAsia="Times New Roman" w:hint="default"/>
          <w:sz w:val="22"/>
          <w:szCs w:val="22"/>
        </w:rPr>
        <w:t>59</w:t>
      </w:r>
      <w:r>
        <w:rPr>
          <w:rFonts w:ascii="宋体" w:hAnsi="宋体" w:cs="宋体" w:eastAsia="宋体" w:hint="default"/>
          <w:sz w:val="22"/>
          <w:szCs w:val="22"/>
        </w:rPr>
        <w:t>万股限制性股票，共计</w:t>
      </w:r>
      <w:r>
        <w:rPr>
          <w:rFonts w:ascii="Times New Roman" w:hAnsi="Times New Roman" w:cs="Times New Roman" w:eastAsia="Times New Roman" w:hint="default"/>
          <w:sz w:val="22"/>
          <w:szCs w:val="22"/>
        </w:rPr>
        <w:t>359.36</w:t>
      </w:r>
      <w:r>
        <w:rPr>
          <w:rFonts w:ascii="宋体" w:hAnsi="宋体" w:cs="宋体" w:eastAsia="宋体" w:hint="default"/>
          <w:sz w:val="22"/>
          <w:szCs w:val="22"/>
        </w:rPr>
        <w:t>万股限制性股票予以回购</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z w:val="22"/>
          <w:szCs w:val="22"/>
        </w:rPr>
        <w:t>注销；对终止实施公司</w:t>
      </w:r>
      <w:r>
        <w:rPr>
          <w:rFonts w:ascii="Times New Roman" w:hAnsi="Times New Roman" w:cs="Times New Roman" w:eastAsia="Times New Roman" w:hint="default"/>
          <w:sz w:val="22"/>
          <w:szCs w:val="22"/>
        </w:rPr>
        <w:t>2017</w:t>
      </w:r>
      <w:r>
        <w:rPr>
          <w:rFonts w:ascii="宋体" w:hAnsi="宋体" w:cs="宋体" w:eastAsia="宋体" w:hint="default"/>
          <w:sz w:val="22"/>
          <w:szCs w:val="22"/>
        </w:rPr>
        <w:t>年限制性股票激励计划剩余涉及</w:t>
      </w:r>
      <w:r>
        <w:rPr>
          <w:rFonts w:ascii="Times New Roman" w:hAnsi="Times New Roman" w:cs="Times New Roman" w:eastAsia="Times New Roman" w:hint="default"/>
          <w:sz w:val="22"/>
          <w:szCs w:val="22"/>
        </w:rPr>
        <w:t>131</w:t>
      </w:r>
      <w:r>
        <w:rPr>
          <w:rFonts w:ascii="宋体" w:hAnsi="宋体" w:cs="宋体" w:eastAsia="宋体" w:hint="default"/>
          <w:sz w:val="22"/>
          <w:szCs w:val="22"/>
        </w:rPr>
        <w:t>名激励对象已授予但尚未解除限售的</w:t>
      </w:r>
      <w:r>
        <w:rPr>
          <w:rFonts w:ascii="宋体" w:hAnsi="宋体" w:cs="宋体" w:eastAsia="宋体" w:hint="default"/>
          <w:spacing w:val="-54"/>
          <w:sz w:val="22"/>
          <w:szCs w:val="22"/>
        </w:rPr>
        <w:t> </w:t>
      </w:r>
      <w:r>
        <w:rPr>
          <w:rFonts w:ascii="宋体" w:hAnsi="宋体" w:cs="宋体" w:eastAsia="宋体" w:hint="default"/>
          <w:spacing w:val="-54"/>
          <w:sz w:val="22"/>
          <w:szCs w:val="22"/>
        </w:rPr>
      </w:r>
      <w:r>
        <w:rPr>
          <w:rFonts w:ascii="宋体" w:hAnsi="宋体" w:cs="宋体" w:eastAsia="宋体" w:hint="default"/>
          <w:spacing w:val="14"/>
          <w:sz w:val="22"/>
          <w:szCs w:val="22"/>
        </w:rPr>
        <w:t>全部限制性股票共计</w:t>
      </w:r>
      <w:r>
        <w:rPr>
          <w:rFonts w:ascii="Times New Roman" w:hAnsi="Times New Roman" w:cs="Times New Roman" w:eastAsia="Times New Roman" w:hint="default"/>
          <w:spacing w:val="14"/>
          <w:sz w:val="22"/>
          <w:szCs w:val="22"/>
        </w:rPr>
        <w:t>459.48</w:t>
      </w:r>
      <w:r>
        <w:rPr>
          <w:rFonts w:ascii="宋体" w:hAnsi="宋体" w:cs="宋体" w:eastAsia="宋体" w:hint="default"/>
          <w:spacing w:val="14"/>
          <w:sz w:val="22"/>
          <w:szCs w:val="22"/>
        </w:rPr>
        <w:t>万股予以回购注销，以上共计回购注销</w:t>
      </w:r>
      <w:r>
        <w:rPr>
          <w:rFonts w:ascii="宋体" w:hAnsi="宋体" w:cs="宋体" w:eastAsia="宋体" w:hint="default"/>
          <w:spacing w:val="-58"/>
          <w:sz w:val="22"/>
          <w:szCs w:val="22"/>
        </w:rPr>
        <w:t> </w:t>
      </w:r>
      <w:r>
        <w:rPr>
          <w:rFonts w:ascii="Times New Roman" w:hAnsi="Times New Roman" w:cs="Times New Roman" w:eastAsia="Times New Roman" w:hint="default"/>
          <w:sz w:val="22"/>
          <w:szCs w:val="22"/>
        </w:rPr>
        <w:t>851.74</w:t>
      </w:r>
      <w:r>
        <w:rPr>
          <w:rFonts w:ascii="Times New Roman" w:hAnsi="Times New Roman" w:cs="Times New Roman" w:eastAsia="Times New Roman" w:hint="default"/>
          <w:spacing w:val="-3"/>
          <w:sz w:val="22"/>
          <w:szCs w:val="22"/>
        </w:rPr>
        <w:t> </w:t>
      </w:r>
      <w:r>
        <w:rPr>
          <w:rFonts w:ascii="宋体" w:hAnsi="宋体" w:cs="宋体" w:eastAsia="宋体" w:hint="default"/>
          <w:spacing w:val="18"/>
          <w:sz w:val="22"/>
          <w:szCs w:val="22"/>
        </w:rPr>
        <w:t>万股，冲减资本公积</w:t>
      </w:r>
      <w:r>
        <w:rPr>
          <w:rFonts w:ascii="宋体" w:hAnsi="宋体" w:cs="宋体" w:eastAsia="宋体" w:hint="default"/>
          <w:spacing w:val="-83"/>
          <w:sz w:val="22"/>
          <w:szCs w:val="22"/>
        </w:rPr>
        <w:t> </w:t>
      </w:r>
      <w:r>
        <w:rPr>
          <w:rFonts w:ascii="Times New Roman" w:hAnsi="Times New Roman" w:cs="Times New Roman" w:eastAsia="Times New Roman" w:hint="default"/>
          <w:spacing w:val="-2"/>
          <w:sz w:val="22"/>
          <w:szCs w:val="22"/>
        </w:rPr>
        <w:t>43,538,056.00</w:t>
      </w:r>
      <w:r>
        <w:rPr>
          <w:rFonts w:ascii="宋体" w:hAnsi="宋体" w:cs="宋体" w:eastAsia="宋体" w:hint="default"/>
          <w:spacing w:val="-2"/>
          <w:sz w:val="22"/>
          <w:szCs w:val="22"/>
        </w:rPr>
        <w:t>元；②本年本公司因收购子公司深圳龙控少数股权一揽子交易减少资本公积</w:t>
      </w:r>
      <w:r>
        <w:rPr>
          <w:rFonts w:ascii="Times New Roman" w:hAnsi="Times New Roman" w:cs="Times New Roman" w:eastAsia="Times New Roman" w:hint="default"/>
          <w:spacing w:val="-2"/>
          <w:sz w:val="22"/>
          <w:szCs w:val="22"/>
        </w:rPr>
        <w:t>2,984,373.96</w:t>
      </w:r>
      <w:r>
        <w:rPr>
          <w:rFonts w:ascii="Times New Roman" w:hAnsi="Times New Roman" w:cs="Times New Roman" w:eastAsia="Times New Roman" w:hint="default"/>
          <w:spacing w:val="23"/>
          <w:sz w:val="22"/>
          <w:szCs w:val="22"/>
        </w:rPr>
        <w:t> </w:t>
      </w:r>
      <w:r>
        <w:rPr>
          <w:rFonts w:ascii="Times New Roman" w:hAnsi="Times New Roman" w:cs="Times New Roman" w:eastAsia="Times New Roman" w:hint="default"/>
          <w:spacing w:val="23"/>
          <w:sz w:val="22"/>
          <w:szCs w:val="22"/>
        </w:rPr>
      </w:r>
      <w:r>
        <w:rPr>
          <w:rFonts w:ascii="宋体" w:hAnsi="宋体" w:cs="宋体" w:eastAsia="宋体" w:hint="default"/>
          <w:sz w:val="22"/>
          <w:szCs w:val="22"/>
        </w:rPr>
        <w:t>元。</w:t>
      </w:r>
    </w:p>
    <w:p>
      <w:pPr>
        <w:spacing w:line="240" w:lineRule="auto" w:before="11"/>
        <w:rPr>
          <w:rFonts w:ascii="宋体" w:hAnsi="宋体" w:cs="宋体" w:eastAsia="宋体" w:hint="default"/>
          <w:sz w:val="19"/>
          <w:szCs w:val="19"/>
        </w:rPr>
      </w:pPr>
    </w:p>
    <w:p>
      <w:pPr>
        <w:spacing w:line="244" w:lineRule="auto" w:before="0"/>
        <w:ind w:left="153" w:right="1123" w:firstLine="441"/>
        <w:jc w:val="both"/>
        <w:rPr>
          <w:rFonts w:ascii="宋体" w:hAnsi="宋体" w:cs="宋体" w:eastAsia="宋体" w:hint="default"/>
          <w:sz w:val="22"/>
          <w:szCs w:val="22"/>
        </w:rPr>
      </w:pPr>
      <w:r>
        <w:rPr>
          <w:rFonts w:ascii="宋体" w:hAnsi="宋体" w:cs="宋体" w:eastAsia="宋体" w:hint="default"/>
          <w:spacing w:val="-1"/>
          <w:sz w:val="22"/>
          <w:szCs w:val="22"/>
        </w:rPr>
        <w:t>注</w:t>
      </w:r>
      <w:r>
        <w:rPr>
          <w:rFonts w:ascii="Times New Roman" w:hAnsi="Times New Roman" w:cs="Times New Roman" w:eastAsia="Times New Roman" w:hint="default"/>
          <w:spacing w:val="-1"/>
          <w:sz w:val="22"/>
          <w:szCs w:val="22"/>
        </w:rPr>
        <w:t>2</w:t>
      </w:r>
      <w:r>
        <w:rPr>
          <w:rFonts w:ascii="宋体" w:hAnsi="宋体" w:cs="宋体" w:eastAsia="宋体" w:hint="default"/>
          <w:spacing w:val="-1"/>
          <w:sz w:val="22"/>
          <w:szCs w:val="22"/>
        </w:rPr>
        <w:t>：本年其他资本公积增加</w:t>
      </w:r>
      <w:r>
        <w:rPr>
          <w:rFonts w:ascii="Times New Roman" w:hAnsi="Times New Roman" w:cs="Times New Roman" w:eastAsia="Times New Roman" w:hint="default"/>
          <w:spacing w:val="-1"/>
          <w:sz w:val="22"/>
          <w:szCs w:val="22"/>
        </w:rPr>
        <w:t>5,328,753.89</w:t>
      </w:r>
      <w:r>
        <w:rPr>
          <w:rFonts w:ascii="宋体" w:hAnsi="宋体" w:cs="宋体" w:eastAsia="宋体" w:hint="default"/>
          <w:spacing w:val="-1"/>
          <w:sz w:val="22"/>
          <w:szCs w:val="22"/>
        </w:rPr>
        <w:t>元，系本公司终止实施</w:t>
      </w:r>
      <w:r>
        <w:rPr>
          <w:rFonts w:ascii="Times New Roman" w:hAnsi="Times New Roman" w:cs="Times New Roman" w:eastAsia="Times New Roman" w:hint="default"/>
          <w:spacing w:val="-1"/>
          <w:sz w:val="22"/>
          <w:szCs w:val="22"/>
        </w:rPr>
        <w:t>2017</w:t>
      </w:r>
      <w:r>
        <w:rPr>
          <w:rFonts w:ascii="宋体" w:hAnsi="宋体" w:cs="宋体" w:eastAsia="宋体" w:hint="default"/>
          <w:spacing w:val="-1"/>
          <w:sz w:val="22"/>
          <w:szCs w:val="22"/>
        </w:rPr>
        <w:t>年限制性股票激励计划，摊</w:t>
      </w:r>
      <w:r>
        <w:rPr>
          <w:rFonts w:ascii="宋体" w:hAnsi="宋体" w:cs="宋体" w:eastAsia="宋体" w:hint="default"/>
          <w:w w:val="100"/>
          <w:sz w:val="22"/>
          <w:szCs w:val="22"/>
        </w:rPr>
        <w:t> </w:t>
      </w:r>
      <w:r>
        <w:rPr>
          <w:rFonts w:ascii="宋体" w:hAnsi="宋体" w:cs="宋体" w:eastAsia="宋体" w:hint="default"/>
          <w:sz w:val="22"/>
          <w:szCs w:val="22"/>
        </w:rPr>
        <w:t>销股份支付费用</w:t>
      </w:r>
      <w:r>
        <w:rPr>
          <w:rFonts w:ascii="Times New Roman" w:hAnsi="Times New Roman" w:cs="Times New Roman" w:eastAsia="Times New Roman" w:hint="default"/>
          <w:sz w:val="22"/>
          <w:szCs w:val="22"/>
        </w:rPr>
        <w:t>5,328,753.89</w:t>
      </w:r>
      <w:r>
        <w:rPr>
          <w:rFonts w:ascii="宋体" w:hAnsi="宋体" w:cs="宋体" w:eastAsia="宋体" w:hint="default"/>
          <w:sz w:val="22"/>
          <w:szCs w:val="22"/>
        </w:rPr>
        <w:t>元所致。</w:t>
      </w:r>
    </w:p>
    <w:p>
      <w:pPr>
        <w:spacing w:line="240" w:lineRule="auto" w:before="7"/>
        <w:rPr>
          <w:rFonts w:ascii="宋体" w:hAnsi="宋体" w:cs="宋体" w:eastAsia="宋体" w:hint="default"/>
          <w:sz w:val="18"/>
          <w:szCs w:val="18"/>
        </w:rPr>
      </w:pPr>
    </w:p>
    <w:p>
      <w:pPr>
        <w:spacing w:line="247" w:lineRule="auto" w:before="0"/>
        <w:ind w:left="153" w:right="1124" w:firstLine="441"/>
        <w:jc w:val="both"/>
        <w:rPr>
          <w:rFonts w:ascii="宋体" w:hAnsi="宋体" w:cs="宋体" w:eastAsia="宋体" w:hint="default"/>
          <w:sz w:val="22"/>
          <w:szCs w:val="22"/>
        </w:rPr>
      </w:pPr>
      <w:r>
        <w:rPr>
          <w:rFonts w:ascii="宋体" w:hAnsi="宋体" w:cs="宋体" w:eastAsia="宋体" w:hint="default"/>
          <w:spacing w:val="-1"/>
          <w:sz w:val="22"/>
          <w:szCs w:val="22"/>
        </w:rPr>
        <w:t>注</w:t>
      </w:r>
      <w:r>
        <w:rPr>
          <w:rFonts w:ascii="Times New Roman" w:hAnsi="Times New Roman" w:cs="Times New Roman" w:eastAsia="Times New Roman" w:hint="default"/>
          <w:spacing w:val="-1"/>
          <w:sz w:val="22"/>
          <w:szCs w:val="22"/>
        </w:rPr>
        <w:t>3</w:t>
      </w:r>
      <w:r>
        <w:rPr>
          <w:rFonts w:ascii="宋体" w:hAnsi="宋体" w:cs="宋体" w:eastAsia="宋体" w:hint="default"/>
          <w:spacing w:val="-1"/>
          <w:sz w:val="22"/>
          <w:szCs w:val="22"/>
        </w:rPr>
        <w:t>：本年其他资本公积减少</w:t>
      </w:r>
      <w:r>
        <w:rPr>
          <w:rFonts w:ascii="Times New Roman" w:hAnsi="Times New Roman" w:cs="Times New Roman" w:eastAsia="Times New Roman" w:hint="default"/>
          <w:spacing w:val="-1"/>
          <w:sz w:val="22"/>
          <w:szCs w:val="22"/>
        </w:rPr>
        <w:t>5,880,271.68</w:t>
      </w:r>
      <w:r>
        <w:rPr>
          <w:rFonts w:ascii="宋体" w:hAnsi="宋体" w:cs="宋体" w:eastAsia="宋体" w:hint="default"/>
          <w:spacing w:val="-1"/>
          <w:sz w:val="22"/>
          <w:szCs w:val="22"/>
        </w:rPr>
        <w:t>元，系本年转让上海虹港数据信息有限公司股权冲减以</w:t>
      </w:r>
      <w:r>
        <w:rPr>
          <w:rFonts w:ascii="宋体" w:hAnsi="宋体" w:cs="宋体" w:eastAsia="宋体" w:hint="default"/>
          <w:w w:val="100"/>
          <w:sz w:val="22"/>
          <w:szCs w:val="22"/>
        </w:rPr>
        <w:t> </w:t>
      </w:r>
      <w:r>
        <w:rPr>
          <w:rFonts w:ascii="宋体" w:hAnsi="宋体" w:cs="宋体" w:eastAsia="宋体" w:hint="default"/>
          <w:sz w:val="22"/>
          <w:szCs w:val="22"/>
        </w:rPr>
        <w:t>前年度享有的被投资单位净资产变动确认的其他权益变动所致。</w:t>
      </w:r>
    </w:p>
    <w:p>
      <w:pPr>
        <w:spacing w:line="240" w:lineRule="auto" w:before="13"/>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56、库存股" w:id="385"/>
      <w:bookmarkEnd w:id="385"/>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限制性股票回购股份</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52,055,456.00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52,055,456.00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52,055,456.00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52,055,456.00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7、其他综合收益" w:id="386"/>
      <w:bookmarkEnd w:id="386"/>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8、专项储备" w:id="387"/>
      <w:bookmarkEnd w:id="387"/>
      <w:r>
        <w:rPr/>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3,576,174.63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366,486.91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3,942,661.54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3,576,174.63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366,486.91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3,942,661.54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其他说明，包括本期增减变动情况、变动原因说明：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9、盈余公积" w:id="388"/>
      <w:bookmarkEnd w:id="388"/>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24,363,534.41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1,032,921.60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25,396,456.01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24,363,534.41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1,032,921.60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25,396,456.01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盈余公积说明，包括本期增减变动情况、变动原因说明：</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60、未分配利润" w:id="389"/>
      <w:bookmarkEnd w:id="389"/>
      <w:r>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257,534,402.60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233,710,754.52</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调整期初未分配利润合计数（调增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，调减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-22,848.92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257,511,553.68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233,710,754.52</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3,278,236.16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38,278,594.81</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1,032,921.60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3,302,039.87</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6,316,281.33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11,152,906.86</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253,440,586.91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257,534,402.60</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调整期初未分配利润明细：</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、由于《企业会计准则》及其相关新规定进行追溯调整，影响期初未分配利润 </w:t>
      </w:r>
      <w:r>
        <w:rPr>
          <w:rFonts w:ascii="Times New Roman" w:hAnsi="Times New Roman" w:cs="Times New Roman" w:eastAsia="Times New Roman" w:hint="default"/>
          <w:sz w:val="18"/>
          <w:szCs w:val="18"/>
        </w:rPr>
        <w:t>0.00 </w:t>
      </w:r>
      <w:r>
        <w:rPr>
          <w:rFonts w:ascii="Times New Roman" w:hAnsi="Times New Roman" w:cs="Times New Roman" w:eastAsia="Times New Roman" w:hint="default"/>
          <w:spacing w:val="23"/>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、由于会计政策变更，影响期初未分配利润</w:t>
      </w:r>
      <w:r>
        <w:rPr>
          <w:rFonts w:ascii="Times New Roman" w:hAnsi="Times New Roman" w:cs="Times New Roman" w:eastAsia="Times New Roman" w:hint="default"/>
          <w:spacing w:val="-2"/>
          <w:sz w:val="18"/>
          <w:szCs w:val="18"/>
        </w:rPr>
        <w:t>-22,848.92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before="10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、由于重大会计差错更正，影响期初未分配利润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、由于同一控制导致的合并范围变更，影响期初未分配利润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w:t>
      </w:r>
    </w:p>
    <w:p>
      <w:pPr>
        <w:spacing w:before="10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61、营业收入和营业成本" w:id="390"/>
      <w:bookmarkEnd w:id="390"/>
      <w:r>
        <w:rPr/>
      </w: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9"/>
        <w:gridCol w:w="1911"/>
        <w:gridCol w:w="1916"/>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1,171,655,955.49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882,129,909.96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1,366,735,647.17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1,023,095,147.66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7,698,944.77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2,622,489.14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4,442,255.63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699,278.39</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1,179,354,900.26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884,752,399.10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1,371,177,902.80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1,023,794,426.05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8" w:lineRule="auto" w:before="115"/>
        <w:ind w:left="153" w:right="953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r>
        <w:rPr>
          <w:rFonts w:ascii="宋体" w:hAnsi="宋体" w:cs="宋体" w:eastAsia="宋体" w:hint="default"/>
          <w:w w:val="101"/>
          <w:sz w:val="18"/>
          <w:szCs w:val="18"/>
        </w:rPr>
        <w:t> </w:t>
      </w:r>
      <w:r>
        <w:rPr>
          <w:rFonts w:ascii="宋体" w:hAnsi="宋体" w:cs="宋体" w:eastAsia="宋体" w:hint="default"/>
          <w:sz w:val="18"/>
          <w:szCs w:val="18"/>
        </w:rPr>
        <w:t>其他说明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不适用</w:t>
      </w:r>
    </w:p>
    <w:p>
      <w:pPr>
        <w:spacing w:line="240" w:lineRule="auto" w:before="11"/>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62、税金及附加" w:id="391"/>
      <w:bookmarkEnd w:id="391"/>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1,773,753.19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1,679,937.95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810,195.28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791,460.69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3,822,182.94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3,604,945.18</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1,346,096.48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1,164,824.19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889,527.49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425,170.45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556,920.82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533,372.02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318,689.81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639,156.55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9,517,366.01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8,838,867.03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3、销售费用" w:id="392"/>
      <w:bookmarkEnd w:id="392"/>
      <w:r>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43,272,964.19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38,000,815.92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6,886,737.41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7,680,713.65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10,756,265.09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10,951,428.19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修理维护费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4,402,264.72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4,766,360.64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7,344,653.04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8,144,158.01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房租和水电</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4,849,902.65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3,434,275.90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1,402,808.11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1,804,086.65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6,225,483.39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5,709,750.60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221,770.81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350,270.40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1,073,382.69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794,767.00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188,025.81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217,613.94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2,138,707.08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1,046,767.81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4,770,736.20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7,138,650.80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93,533,701.19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90,039,659.51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4、管理费用" w:id="393"/>
      <w:bookmarkEnd w:id="393"/>
      <w:r>
        <w:rPr/>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38,909,914.14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36,837,691.95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5,582,444.48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5,223,906.55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5,162,280.54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6,357,552.05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4,264,502.79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3,573,542.16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3,743,952.38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4,382,141.47</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2,675,251.61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3,857,892.92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7,231,943.77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6,033,510.48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房屋水电费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3,160,975.59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2,540,139.73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5,606,608.45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2,862,451.38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5,417,573.03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5,660,746.04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81,755,446.78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77,329,574.73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5、研发费用" w:id="394"/>
      <w:bookmarkEnd w:id="394"/>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39,906,752.65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37,869,628.93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第三方服务费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4,926,116.81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10,445,439.43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8,614,057.85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9,731,365.48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2,289,058.52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3,640,965.21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1,794,609.10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2,301,121.84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房租和水电费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1,695,002.20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1,565,823.87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515,136.59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1,140,446.50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设计费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1,594,339.29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1,022,830.08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323,360.26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836,419.40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420,462.88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586,327.23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委外研发费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323,976.09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313,102.84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1,152,825.74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2,574,384.05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63,555,697.98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72,027,854.86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6、财务费用" w:id="395"/>
      <w:bookmarkEnd w:id="395"/>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50,584,720.85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37,922,309.81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6,114,995.91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9,150,432.18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加：贴现息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1,885,785.61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4,060,514.02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3,851,737.36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1,976,991.58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50,207,247.91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34,809,383.23</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6"/>
        <w:rPr>
          <w:rFonts w:ascii="宋体" w:hAnsi="宋体" w:cs="宋体" w:eastAsia="宋体" w:hint="default"/>
          <w:sz w:val="26"/>
          <w:szCs w:val="26"/>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7、其他收益" w:id="396"/>
      <w:bookmarkEnd w:id="396"/>
      <w:r>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成都高新技术产业开发区经济运行与安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全生产监管局补助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7,366,000.00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增值税即征即退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3,710,869.45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3,180,820.82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精密机房空调绿色设计平台建设项目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1,359,999.96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1,019,999.96</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成都高新区经济运行与安全生产监管局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企业大集团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年补助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2,730,000.00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军民融合产业专项补贴</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1,022,300.00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4,767,890.05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5,697,505.51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17,204,759.46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13,650,626.29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68、投资收益" w:id="397"/>
      <w:bookmarkEnd w:id="397"/>
      <w:r>
        <w:rPr/>
      </w: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8"/>
        <w:gridCol w:w="3200"/>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20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-668,040.18</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21,079,512.60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20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4,309,469.11</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9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1,224,465.29</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21,079,512.60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4,865,894.22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9、净敞口套期收益" w:id="398"/>
      <w:bookmarkEnd w:id="398"/>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、净敞口套期收益</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70、公允价值变动收益" w:id="399"/>
      <w:bookmarkEnd w:id="399"/>
      <w:r>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5" w:right="0"/>
              <w:jc w:val="left"/>
              <w:rPr>
                <w:rFonts w:ascii="宋体" w:hAnsi="宋体" w:cs="宋体" w:eastAsia="宋体" w:hint="default"/>
                <w:sz w:val="18"/>
                <w:szCs w:val="18"/>
              </w:rPr>
            </w:pPr>
            <w:r>
              <w:rPr>
                <w:rFonts w:ascii="宋体" w:hAnsi="宋体" w:cs="宋体" w:eastAsia="宋体" w:hint="default"/>
                <w:spacing w:val="-3"/>
                <w:sz w:val="18"/>
                <w:szCs w:val="18"/>
              </w:rPr>
              <w:t>产生公允价值变动收益的来源</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-21,398.31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-21,398.31</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71、信用减值损失" w:id="400"/>
      <w:bookmarkEnd w:id="400"/>
      <w:r>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-5,080,845.51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-66,803.20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-23,571,058.26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长期应收款坏账损失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-7,362.96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-28,726,069.93</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2、资产减值损失" w:id="401"/>
      <w:bookmarkEnd w:id="401"/>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3"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2"/>
          <w:sz w:val="18"/>
          <w:szCs w:val="18"/>
        </w:rPr>
        <w:t>是否已执行新收入准则</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9" w:space="6963"/>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-38,590,578.19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-10,617,851.58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-3,637,378.43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-6,437,936.74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-14,255,230.01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-45,028,514.93</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3、资产处置收益" w:id="402"/>
      <w:bookmarkEnd w:id="402"/>
      <w:r>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92,007.71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-112,304.44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固定资产处置收益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92,007.71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-112,304.44</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74、营业外收入" w:id="403"/>
      <w:bookmarkEnd w:id="403"/>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9"/>
        <w:gridCol w:w="2396"/>
        <w:gridCol w:w="2391"/>
        <w:gridCol w:w="2391"/>
      </w:tblGrid>
      <w:tr>
        <w:trPr>
          <w:trHeight w:val="163"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89" w:hRule="exact"/>
        </w:trPr>
        <w:tc>
          <w:tcPr>
            <w:tcW w:w="23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6,640,534.51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6,640,534.51</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636,524.70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75,031.60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636,524.70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7,277,059.21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75,031.60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7,277,059.21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spacing w:line="357" w:lineRule="auto" w:before="46"/>
        <w:ind w:left="153" w:right="7859"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其他说明：</w:t>
      </w:r>
    </w:p>
    <w:p>
      <w:pPr>
        <w:spacing w:line="240" w:lineRule="auto" w:before="0"/>
        <w:rPr>
          <w:rFonts w:ascii="宋体" w:hAnsi="宋体" w:cs="宋体" w:eastAsia="宋体" w:hint="default"/>
          <w:sz w:val="15"/>
          <w:szCs w:val="15"/>
        </w:rPr>
      </w:pPr>
    </w:p>
    <w:p>
      <w:pPr>
        <w:spacing w:line="256"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注：本期债务重组利得主要为本公司之子公司深圳龙控与广州市南部陆路口岸项目及物流业务项</w:t>
      </w:r>
      <w:r>
        <w:rPr>
          <w:rFonts w:ascii="宋体" w:hAnsi="宋体" w:cs="宋体" w:eastAsia="宋体" w:hint="default"/>
          <w:w w:val="100"/>
          <w:sz w:val="22"/>
          <w:szCs w:val="22"/>
        </w:rPr>
        <w:t> </w:t>
      </w:r>
      <w:r>
        <w:rPr>
          <w:rFonts w:ascii="宋体" w:hAnsi="宋体" w:cs="宋体" w:eastAsia="宋体" w:hint="default"/>
          <w:sz w:val="22"/>
          <w:szCs w:val="22"/>
        </w:rPr>
        <w:t>目部分供应商达成和解，免除债务</w:t>
      </w:r>
      <w:r>
        <w:rPr>
          <w:rFonts w:ascii="Times New Roman" w:hAnsi="Times New Roman" w:cs="Times New Roman" w:eastAsia="Times New Roman" w:hint="default"/>
          <w:sz w:val="22"/>
          <w:szCs w:val="22"/>
        </w:rPr>
        <w:t>5,851,901.71</w:t>
      </w:r>
      <w:r>
        <w:rPr>
          <w:rFonts w:ascii="宋体" w:hAnsi="宋体" w:cs="宋体" w:eastAsia="宋体" w:hint="default"/>
          <w:sz w:val="22"/>
          <w:szCs w:val="22"/>
        </w:rPr>
        <w:t>元。</w:t>
      </w:r>
    </w:p>
    <w:p>
      <w:pPr>
        <w:spacing w:line="240" w:lineRule="auto" w:before="12"/>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75、营业外支出" w:id="404"/>
      <w:bookmarkEnd w:id="404"/>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3"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89"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786,000.00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786,000.00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2,018,801.00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2,018,801.00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412,283.11</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412,283.11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134,721.46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134,721.46</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200,456.45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179,393.86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200,456.45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3,552,262.02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205,393.86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3,552,262.02</w:t>
            </w:r>
          </w:p>
        </w:tc>
      </w:tr>
    </w:tbl>
    <w:p>
      <w:pPr>
        <w:spacing w:before="54"/>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6、所得税费用" w:id="405"/>
      <w:bookmarkEnd w:id="405"/>
      <w:r>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所得税费用表" w:id="406"/>
      <w:bookmarkEnd w:id="4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6,529,001.44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8,841,354.44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-8,644,533.27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-8,526,577.48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-2,115,531.83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314,776.96</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会计利润与所得税费用调整过程" w:id="407"/>
      <w:bookmarkEnd w:id="4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399"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-4,868,580.00</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-2,115,531.83</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7、其他综合收益" w:id="408"/>
      <w:bookmarkEnd w:id="408"/>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78、现金流量表项目" w:id="409"/>
      <w:bookmarkEnd w:id="409"/>
      <w:r>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收到的其他与经营活动有关的现金" w:id="410"/>
      <w:bookmarkEnd w:id="4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5,215,240.12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4,458,695.76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21,424,026.71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18,624,459.80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5,977,837.56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2,545,624.58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受限制货币资金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4,880,675.80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841,297.96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9,061,022.68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2,508,310.00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535,973.01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4,411,913.83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38,875,051.16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41,610,026.65</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收到的其他与经营活动有关的现金说明：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支付的其他与经营活动有关的现金" w:id="411"/>
      <w:bookmarkEnd w:id="4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运输维护费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7,093,746.08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7,680,713.65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16,280,403.05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20,949,945.45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6,412,306.01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11,670,492.10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10,440,367.53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12,588,378.16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房租及物业费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9,705,880.44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7,540,239.50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16,758,208.65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13,307,890.81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受限制货币资金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9,342,828.39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其他销售费用、管理费用及研发费用等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35,271,344.89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43,594,696.68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101,962,256.65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126,675,184.74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支付的其他与经营活动有关的现金说明：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收到的其他与投资活动有关的现金" w:id="412"/>
      <w:bookmarkEnd w:id="4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支付的其他与投资活动有关的现金" w:id="413"/>
      <w:bookmarkEnd w:id="4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处置北京资采所减少的现金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1,123,843.46</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1,123,843.46</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支付的其他与投资活动有关的现金说明：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收到的其他与筹资活动有关的现金" w:id="414"/>
      <w:bookmarkEnd w:id="4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22,090,083.12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票据融资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往来拆借款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19,707,476.73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45,180,439.20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收到四川天府金融租赁公司、北京市文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化科技公司等的借款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213,450,000.00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76,797,559.85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258,630,439.20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收到的其他与筹资活动有关的现金说明：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6）支付的其他与筹资活动有关的现金" w:id="415"/>
      <w:bookmarkEnd w:id="4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偿还股东借款支付的现金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38,096,877.65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161,903,122.35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限制性股票回购支付的现金及手续费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53,250,377.47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9,074,201.82</w:t>
            </w:r>
          </w:p>
        </w:tc>
      </w:tr>
      <w:tr>
        <w:trPr>
          <w:trHeight w:val="71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89"/>
              <w:jc w:val="left"/>
              <w:rPr>
                <w:rFonts w:ascii="宋体" w:hAnsi="宋体" w:cs="宋体" w:eastAsia="宋体" w:hint="default"/>
                <w:sz w:val="18"/>
                <w:szCs w:val="18"/>
              </w:rPr>
            </w:pPr>
            <w:r>
              <w:rPr>
                <w:rFonts w:ascii="宋体" w:hAnsi="宋体" w:cs="宋体" w:eastAsia="宋体" w:hint="default"/>
                <w:spacing w:val="-3"/>
                <w:sz w:val="18"/>
                <w:szCs w:val="18"/>
              </w:rPr>
              <w:t>偿还四川天府金融租赁公司、北京市文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化科技有限公司等的本金和利息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51,011,465.44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8,792,844.99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票据保证金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12,143,427.00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收购深圳龙控少数股权支付的现金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员工持股计划款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7,084,292.76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151,358,720.56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198,997,888.92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支付的其他与筹资活动有关的现金说明：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79、现金流量表补充资料" w:id="416"/>
      <w:bookmarkEnd w:id="416"/>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现金流量表补充资料" w:id="417"/>
      <w:bookmarkEnd w:id="4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-2,753,048.17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37,268,699.31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42,981,299.94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45,028,514.93</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r>
        <w:rPr/>
        <w:pict>
          <v:group style="position:absolute;margin-left:223.300003pt;margin-top:366.695984pt;width:151.25pt;height:20.7pt;mso-position-horizontal-relative:page;mso-position-vertical-relative:page;z-index:-1180264" coordorigin="4466,7334" coordsize="3025,414">
            <v:group style="position:absolute;left:4478;top:7346;width:2;height:390" coordorigin="4478,7346" coordsize="2,390">
              <v:shape style="position:absolute;left:4478;top:7346;width:2;height:390" coordorigin="4478,7346" coordsize="0,390" path="m4478,7346l4478,7735e" filled="false" stroked="true" strokeweight="1.2pt" strokecolor="#ffffff">
                <v:path arrowok="t"/>
              </v:shape>
            </v:group>
            <v:group style="position:absolute;left:4490;top:7346;width:3001;height:390" coordorigin="4490,7346" coordsize="3001,390">
              <v:shape style="position:absolute;left:4490;top:7346;width:3001;height:390" coordorigin="4490,7346" coordsize="3001,390" path="m4490,7735l7491,7735,7491,7346,4490,7346,4490,7735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6"/>
        <w:gridCol w:w="1010"/>
        <w:gridCol w:w="2058"/>
        <w:gridCol w:w="3183"/>
      </w:tblGrid>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92" w:right="0"/>
              <w:jc w:val="left"/>
              <w:rPr>
                <w:rFonts w:ascii="Times New Roman" w:hAnsi="Times New Roman" w:cs="Times New Roman" w:eastAsia="Times New Roman" w:hint="default"/>
                <w:sz w:val="18"/>
                <w:szCs w:val="18"/>
              </w:rPr>
            </w:pPr>
            <w:r>
              <w:rPr>
                <w:rFonts w:ascii="Times New Roman"/>
                <w:sz w:val="18"/>
              </w:rPr>
              <w:t>23,621,531.35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24,431,781.51</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5,352,541.40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6,380,283.10</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1,495,682.52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793,272.37</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-92,007.71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112,304.44</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412,283.11</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公允价值变动损失（收益以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21,398.31</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992" w:right="0"/>
              <w:jc w:val="left"/>
              <w:rPr>
                <w:rFonts w:ascii="Times New Roman" w:hAnsi="Times New Roman" w:cs="Times New Roman" w:eastAsia="Times New Roman" w:hint="default"/>
                <w:sz w:val="18"/>
                <w:szCs w:val="18"/>
              </w:rPr>
            </w:pPr>
            <w:r>
              <w:rPr>
                <w:rFonts w:ascii="Times New Roman"/>
                <w:sz w:val="18"/>
              </w:rPr>
              <w:t>54,432,580.45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37,922,309.81</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34" w:right="0"/>
              <w:jc w:val="left"/>
              <w:rPr>
                <w:rFonts w:ascii="Times New Roman" w:hAnsi="Times New Roman" w:cs="Times New Roman" w:eastAsia="Times New Roman" w:hint="default"/>
                <w:sz w:val="18"/>
                <w:szCs w:val="18"/>
              </w:rPr>
            </w:pPr>
            <w:r>
              <w:rPr>
                <w:rFonts w:ascii="Times New Roman"/>
                <w:sz w:val="18"/>
              </w:rPr>
              <w:t>-21,079,512.60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-4,865,894.22</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25" w:right="0"/>
              <w:jc w:val="left"/>
              <w:rPr>
                <w:rFonts w:ascii="Times New Roman" w:hAnsi="Times New Roman" w:cs="Times New Roman" w:eastAsia="Times New Roman" w:hint="default"/>
                <w:sz w:val="18"/>
                <w:szCs w:val="18"/>
              </w:rPr>
            </w:pPr>
            <w:r>
              <w:rPr>
                <w:rFonts w:ascii="Times New Roman"/>
                <w:sz w:val="18"/>
              </w:rPr>
              <w:t>-6,314,060.68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-7,265,002.34</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25" w:right="0"/>
              <w:jc w:val="left"/>
              <w:rPr>
                <w:rFonts w:ascii="Times New Roman" w:hAnsi="Times New Roman" w:cs="Times New Roman" w:eastAsia="Times New Roman" w:hint="default"/>
                <w:sz w:val="18"/>
                <w:szCs w:val="18"/>
              </w:rPr>
            </w:pPr>
            <w:r>
              <w:rPr>
                <w:rFonts w:ascii="Times New Roman"/>
                <w:sz w:val="18"/>
              </w:rPr>
              <w:t>-1,281,142.88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-2,584,514.97</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10"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9"/>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5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1"/>
              <w:ind w:left="934" w:right="0"/>
              <w:jc w:val="left"/>
              <w:rPr>
                <w:rFonts w:ascii="Times New Roman" w:hAnsi="Times New Roman" w:cs="Times New Roman" w:eastAsia="Times New Roman" w:hint="default"/>
                <w:sz w:val="18"/>
                <w:szCs w:val="18"/>
              </w:rPr>
            </w:pPr>
            <w:r>
              <w:rPr>
                <w:rFonts w:ascii="Times New Roman"/>
                <w:sz w:val="18"/>
              </w:rPr>
              <w:t>-69,464,422.24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-121,333,050.84</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0" w:right="0"/>
              <w:jc w:val="left"/>
              <w:rPr>
                <w:rFonts w:ascii="Times New Roman" w:hAnsi="Times New Roman" w:cs="Times New Roman" w:eastAsia="Times New Roman" w:hint="default"/>
                <w:sz w:val="18"/>
                <w:szCs w:val="18"/>
              </w:rPr>
            </w:pPr>
            <w:r>
              <w:rPr>
                <w:rFonts w:ascii="Times New Roman"/>
                <w:sz w:val="18"/>
              </w:rPr>
              <w:t>117,463,363.45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-195,554,003.16</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43" w:right="0"/>
              <w:jc w:val="left"/>
              <w:rPr>
                <w:rFonts w:ascii="Times New Roman" w:hAnsi="Times New Roman" w:cs="Times New Roman" w:eastAsia="Times New Roman" w:hint="default"/>
                <w:sz w:val="18"/>
                <w:szCs w:val="18"/>
              </w:rPr>
            </w:pPr>
            <w:r>
              <w:rPr>
                <w:rFonts w:ascii="Times New Roman"/>
                <w:sz w:val="18"/>
              </w:rPr>
              <w:t>-125,347,968.06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213,138,368.77</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15,247,162.71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-9,342,828.39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992" w:right="0"/>
              <w:jc w:val="left"/>
              <w:rPr>
                <w:rFonts w:ascii="Times New Roman" w:hAnsi="Times New Roman" w:cs="Times New Roman" w:eastAsia="Times New Roman" w:hint="default"/>
                <w:sz w:val="18"/>
                <w:szCs w:val="18"/>
              </w:rPr>
            </w:pPr>
            <w:r>
              <w:rPr>
                <w:rFonts w:ascii="Times New Roman"/>
                <w:sz w:val="18"/>
              </w:rPr>
              <w:t>34,695,680.90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24,130,240.32</w:t>
            </w:r>
          </w:p>
        </w:tc>
      </w:tr>
      <w:tr>
        <w:trPr>
          <w:trHeight w:val="163"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3306" w:type="dxa"/>
            <w:vMerge/>
            <w:tcBorders>
              <w:left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3"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126,549,396.23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240,053,101.24</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905" w:right="0"/>
              <w:jc w:val="left"/>
              <w:rPr>
                <w:rFonts w:ascii="Times New Roman" w:hAnsi="Times New Roman" w:cs="Times New Roman" w:eastAsia="Times New Roman" w:hint="default"/>
                <w:sz w:val="18"/>
                <w:szCs w:val="18"/>
              </w:rPr>
            </w:pPr>
            <w:r>
              <w:rPr>
                <w:rFonts w:ascii="Times New Roman"/>
                <w:sz w:val="18"/>
              </w:rPr>
              <w:t>240,053,101.24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205,480,237.52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853" w:right="0"/>
              <w:jc w:val="left"/>
              <w:rPr>
                <w:rFonts w:ascii="Times New Roman" w:hAnsi="Times New Roman" w:cs="Times New Roman" w:eastAsia="Times New Roman" w:hint="default"/>
                <w:sz w:val="18"/>
                <w:szCs w:val="18"/>
              </w:rPr>
            </w:pPr>
            <w:r>
              <w:rPr>
                <w:rFonts w:ascii="Times New Roman"/>
                <w:sz w:val="18"/>
              </w:rPr>
              <w:t>-113,503,705.01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34,572,863.72</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本期支付的取得子公司的现金净额" w:id="418"/>
      <w:bookmarkEnd w:id="4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本期收到的处置子公司的现金净额" w:id="419"/>
      <w:bookmarkEnd w:id="4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现金和现金等价物的构成" w:id="420"/>
      <w:bookmarkEnd w:id="4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18"/>
        <w:gridCol w:w="3068"/>
        <w:gridCol w:w="3183"/>
      </w:tblGrid>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126,549,396.23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240,053,101.24</w:t>
            </w:r>
          </w:p>
        </w:tc>
      </w:tr>
      <w:tr>
        <w:trPr>
          <w:trHeight w:val="398"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636,414.27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208,647.61</w:t>
            </w:r>
          </w:p>
        </w:tc>
      </w:tr>
      <w:tr>
        <w:trPr>
          <w:trHeight w:val="404"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125,910,561.11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239,844,453.63</w:t>
            </w: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2,420.85</w:t>
            </w: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126,549,396.23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240,053,101.24</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line="547" w:lineRule="auto" w:before="0"/>
        <w:ind w:left="153" w:right="5044" w:firstLine="0"/>
        <w:jc w:val="left"/>
        <w:rPr>
          <w:rFonts w:ascii="宋体" w:hAnsi="宋体" w:cs="宋体" w:eastAsia="宋体" w:hint="default"/>
          <w:sz w:val="21"/>
          <w:szCs w:val="21"/>
        </w:rPr>
      </w:pPr>
      <w:bookmarkStart w:name="80、所有者权益变动表项目注释" w:id="421"/>
      <w:bookmarkEnd w:id="421"/>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spacing w:val="-100"/>
          <w:sz w:val="21"/>
          <w:szCs w:val="21"/>
        </w:rPr>
        <w:t> </w:t>
      </w:r>
      <w:r>
        <w:rPr>
          <w:rFonts w:ascii="宋体" w:hAnsi="宋体" w:cs="宋体" w:eastAsia="宋体" w:hint="default"/>
          <w:spacing w:val="-3"/>
          <w:sz w:val="18"/>
          <w:szCs w:val="18"/>
        </w:rPr>
        <w:t>说明对上年期末余额进行调整的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项目名称及调整金额等事项：</w:t>
      </w:r>
      <w:r>
        <w:rPr>
          <w:rFonts w:ascii="宋体" w:hAnsi="宋体" w:cs="宋体" w:eastAsia="宋体" w:hint="default"/>
          <w:spacing w:val="-1"/>
          <w:sz w:val="18"/>
          <w:szCs w:val="18"/>
        </w:rPr>
        <w:t> </w:t>
      </w:r>
      <w:r>
        <w:rPr>
          <w:rFonts w:ascii="宋体" w:hAnsi="宋体" w:cs="宋体" w:eastAsia="宋体" w:hint="default"/>
          <w:spacing w:val="-1"/>
          <w:sz w:val="18"/>
          <w:szCs w:val="18"/>
        </w:rPr>
      </w:r>
      <w:bookmarkStart w:name="81、所有权或使用权受到限制的资产" w:id="422"/>
      <w:bookmarkEnd w:id="422"/>
      <w:r>
        <w:rPr>
          <w:rFonts w:ascii="宋体" w:hAnsi="宋体" w:cs="宋体" w:eastAsia="宋体" w:hint="default"/>
          <w:spacing w:val="-1"/>
          <w:sz w:val="18"/>
          <w:szCs w:val="18"/>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7"/>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18"/>
        <w:gridCol w:w="3068"/>
        <w:gridCol w:w="3183"/>
      </w:tblGrid>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58" w:hRule="exact"/>
        </w:trPr>
        <w:tc>
          <w:tcPr>
            <w:tcW w:w="331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8" w:type="dxa"/>
            <w:vMerge w:val="restart"/>
            <w:tcBorders>
              <w:top w:val="single" w:sz="4" w:space="0" w:color="000000"/>
              <w:left w:val="single" w:sz="8"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2" w:right="0"/>
              <w:jc w:val="left"/>
              <w:rPr>
                <w:rFonts w:ascii="Times New Roman" w:hAnsi="Times New Roman" w:cs="Times New Roman" w:eastAsia="Times New Roman" w:hint="default"/>
                <w:sz w:val="18"/>
                <w:szCs w:val="18"/>
              </w:rPr>
            </w:pPr>
            <w:r>
              <w:rPr>
                <w:rFonts w:ascii="Times New Roman"/>
                <w:sz w:val="18"/>
              </w:rPr>
              <w:t>80,280,613.02</w:t>
            </w:r>
          </w:p>
        </w:tc>
        <w:tc>
          <w:tcPr>
            <w:tcW w:w="3183" w:type="dxa"/>
            <w:vMerge w:val="restart"/>
            <w:tcBorders>
              <w:top w:val="single" w:sz="4" w:space="0" w:color="000000"/>
              <w:left w:val="single" w:sz="4" w:space="0" w:color="000000"/>
              <w:right w:val="single" w:sz="4" w:space="0" w:color="000000"/>
            </w:tcBorders>
          </w:tcPr>
          <w:p>
            <w:pPr>
              <w:pStyle w:val="TableParagraph"/>
              <w:spacing w:line="316" w:lineRule="auto" w:before="53"/>
              <w:ind w:left="23" w:right="84"/>
              <w:jc w:val="left"/>
              <w:rPr>
                <w:rFonts w:ascii="宋体" w:hAnsi="宋体" w:cs="宋体" w:eastAsia="宋体" w:hint="default"/>
                <w:sz w:val="18"/>
                <w:szCs w:val="18"/>
              </w:rPr>
            </w:pPr>
            <w:r>
              <w:rPr>
                <w:rFonts w:ascii="宋体" w:hAnsi="宋体" w:cs="宋体" w:eastAsia="宋体" w:hint="default"/>
                <w:spacing w:val="-3"/>
                <w:sz w:val="18"/>
                <w:szCs w:val="18"/>
              </w:rPr>
              <w:t>票据保证金、保函保证金、冻结的银行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存款等</w:t>
            </w:r>
          </w:p>
        </w:tc>
      </w:tr>
      <w:tr>
        <w:trPr>
          <w:trHeight w:val="394" w:hRule="exact"/>
        </w:trPr>
        <w:tc>
          <w:tcPr>
            <w:tcW w:w="33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vMerge/>
            <w:tcBorders>
              <w:left w:val="single" w:sz="8" w:space="0" w:color="D2D2D2"/>
              <w:right w:val="single" w:sz="4" w:space="0" w:color="000000"/>
            </w:tcBorders>
          </w:tcPr>
          <w:p>
            <w:pPr/>
          </w:p>
        </w:tc>
        <w:tc>
          <w:tcPr>
            <w:tcW w:w="3183" w:type="dxa"/>
            <w:vMerge/>
            <w:tcBorders>
              <w:left w:val="single" w:sz="4" w:space="0" w:color="000000"/>
              <w:right w:val="single" w:sz="4" w:space="0" w:color="000000"/>
            </w:tcBorders>
          </w:tcPr>
          <w:p>
            <w:pPr/>
          </w:p>
        </w:tc>
      </w:tr>
      <w:tr>
        <w:trPr>
          <w:trHeight w:val="163" w:hRule="exact"/>
        </w:trPr>
        <w:tc>
          <w:tcPr>
            <w:tcW w:w="331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68" w:type="dxa"/>
            <w:vMerge/>
            <w:tcBorders>
              <w:left w:val="single" w:sz="8" w:space="0" w:color="D2D2D2"/>
              <w:bottom w:val="single" w:sz="4" w:space="0" w:color="000000"/>
              <w:right w:val="single" w:sz="4" w:space="0" w:color="000000"/>
            </w:tcBorders>
          </w:tcPr>
          <w:p>
            <w:pPr/>
          </w:p>
        </w:tc>
        <w:tc>
          <w:tcPr>
            <w:tcW w:w="3183" w:type="dxa"/>
            <w:vMerge/>
            <w:tcBorders>
              <w:left w:val="single" w:sz="4" w:space="0" w:color="000000"/>
              <w:bottom w:val="single" w:sz="4" w:space="0" w:color="000000"/>
              <w:right w:val="single" w:sz="4" w:space="0" w:color="000000"/>
            </w:tcBorders>
          </w:tcPr>
          <w:p>
            <w:pPr/>
          </w:p>
        </w:tc>
      </w:tr>
      <w:tr>
        <w:trPr>
          <w:trHeight w:val="399"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100,614,268.37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23,091,496.87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68" w:type="dxa"/>
            <w:tcBorders>
              <w:top w:val="single" w:sz="4" w:space="0" w:color="000000"/>
              <w:left w:val="single" w:sz="8"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115,166,980.20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8" w:type="dxa"/>
            <w:tcBorders>
              <w:top w:val="single" w:sz="4" w:space="0" w:color="000000"/>
              <w:left w:val="single" w:sz="8"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102,555,414.07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99" w:hRule="exact"/>
        </w:trPr>
        <w:tc>
          <w:tcPr>
            <w:tcW w:w="33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068" w:type="dxa"/>
            <w:tcBorders>
              <w:top w:val="single" w:sz="4" w:space="0" w:color="000000"/>
              <w:left w:val="single" w:sz="8" w:space="0" w:color="D9D9D9"/>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银行承兑汇票质押</w:t>
            </w:r>
          </w:p>
        </w:tc>
      </w:tr>
      <w:tr>
        <w:trPr>
          <w:trHeight w:val="403" w:hRule="exact"/>
        </w:trPr>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422,708,772.53</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82、外币货币性项目" w:id="423"/>
      <w:bookmarkEnd w:id="423"/>
      <w:r>
        <w:rPr/>
      </w:r>
      <w:r>
        <w:rPr>
          <w:rFonts w:ascii="Times New Roman" w:hAnsi="Times New Roman" w:cs="Times New Roman" w:eastAsia="Times New Roman" w:hint="default"/>
          <w:b/>
          <w:bCs/>
          <w:sz w:val="21"/>
          <w:szCs w:val="21"/>
        </w:rPr>
        <w:t>82</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外币货币性项目" w:id="424"/>
      <w:bookmarkEnd w:id="4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153" w:right="0" w:firstLine="0"/>
        <w:jc w:val="left"/>
        <w:rPr>
          <w:rFonts w:ascii="宋体" w:hAnsi="宋体" w:cs="宋体" w:eastAsia="宋体" w:hint="default"/>
          <w:sz w:val="21"/>
          <w:szCs w:val="21"/>
        </w:rPr>
      </w:pPr>
      <w:bookmarkStart w:name="（2）境外经营实体说明，包括对于重要的境外经营实体，应披露其境外主要经营地、记账" w:id="425"/>
      <w:bookmarkEnd w:id="4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66"/>
          <w:sz w:val="21"/>
          <w:szCs w:val="21"/>
        </w:rPr>
        <w:t> </w:t>
      </w:r>
      <w:r>
        <w:rPr>
          <w:rFonts w:ascii="宋体" w:hAnsi="宋体" w:cs="宋体" w:eastAsia="宋体" w:hint="default"/>
          <w:b/>
          <w:bCs/>
          <w:spacing w:val="-66"/>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2"/>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83、套期" w:id="426"/>
      <w:bookmarkEnd w:id="426"/>
      <w:r>
        <w:rPr/>
      </w:r>
      <w:r>
        <w:rPr>
          <w:rFonts w:ascii="Times New Roman" w:hAnsi="Times New Roman" w:cs="Times New Roman" w:eastAsia="Times New Roman" w:hint="default"/>
          <w:b/>
          <w:bCs/>
          <w:sz w:val="21"/>
          <w:szCs w:val="21"/>
        </w:rPr>
        <w:t>83</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4、政府补助" w:id="427"/>
      <w:bookmarkEnd w:id="427"/>
      <w:r>
        <w:rPr/>
      </w:r>
      <w:r>
        <w:rPr>
          <w:rFonts w:ascii="Times New Roman" w:hAnsi="Times New Roman" w:cs="Times New Roman" w:eastAsia="Times New Roman" w:hint="default"/>
          <w:b/>
          <w:bCs/>
          <w:sz w:val="21"/>
          <w:szCs w:val="21"/>
        </w:rPr>
        <w:t>84</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政府补助基本情况" w:id="428"/>
      <w:bookmarkEnd w:id="4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5"/>
        <w:gridCol w:w="2233"/>
        <w:gridCol w:w="2391"/>
        <w:gridCol w:w="2391"/>
      </w:tblGrid>
      <w:tr>
        <w:trPr>
          <w:trHeight w:val="40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711"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6"/>
              <w:jc w:val="left"/>
              <w:rPr>
                <w:rFonts w:ascii="宋体" w:hAnsi="宋体" w:cs="宋体" w:eastAsia="宋体" w:hint="default"/>
                <w:sz w:val="18"/>
                <w:szCs w:val="18"/>
              </w:rPr>
            </w:pPr>
            <w:r>
              <w:rPr>
                <w:rFonts w:ascii="宋体" w:hAnsi="宋体" w:cs="宋体" w:eastAsia="宋体" w:hint="default"/>
                <w:spacing w:val="-3"/>
                <w:sz w:val="18"/>
                <w:szCs w:val="18"/>
              </w:rPr>
              <w:t>城镇污水垃圾处理设施及污水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管网工程项目</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76"/>
              <w:jc w:val="left"/>
              <w:rPr>
                <w:rFonts w:ascii="宋体" w:hAnsi="宋体" w:cs="宋体" w:eastAsia="宋体" w:hint="default"/>
                <w:sz w:val="18"/>
                <w:szCs w:val="18"/>
              </w:rPr>
            </w:pPr>
            <w:r>
              <w:rPr>
                <w:rFonts w:ascii="宋体" w:hAnsi="宋体" w:cs="宋体" w:eastAsia="宋体" w:hint="default"/>
                <w:spacing w:val="-3"/>
                <w:sz w:val="18"/>
                <w:szCs w:val="18"/>
              </w:rPr>
              <w:t>成都高新技术产业开发区经济</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运行与安全生产监管局补助</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7,366,000.00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7,366,000.00</w:t>
            </w: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增值税即征即退</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3,710,869.45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3,710,869.45</w:t>
            </w: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3,658,026.71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3,658,026.71</w:t>
            </w:r>
          </w:p>
        </w:tc>
      </w:tr>
      <w:tr>
        <w:trPr>
          <w:trHeight w:val="711"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6"/>
              <w:jc w:val="left"/>
              <w:rPr>
                <w:rFonts w:ascii="宋体" w:hAnsi="宋体" w:cs="宋体" w:eastAsia="宋体" w:hint="default"/>
                <w:sz w:val="18"/>
                <w:szCs w:val="18"/>
              </w:rPr>
            </w:pPr>
            <w:r>
              <w:rPr>
                <w:rFonts w:ascii="宋体" w:hAnsi="宋体" w:cs="宋体" w:eastAsia="宋体" w:hint="default"/>
                <w:spacing w:val="-3"/>
                <w:sz w:val="18"/>
                <w:szCs w:val="18"/>
              </w:rPr>
              <w:t>成都高新技术产业开发区财政</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金融局贷款利息补贴</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25,134,896.16</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15,134,896.16</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政府补助退回情况" w:id="429"/>
      <w:bookmarkEnd w:id="4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line="487" w:lineRule="auto" w:before="0"/>
        <w:ind w:left="153" w:right="8326" w:firstLine="0"/>
        <w:jc w:val="left"/>
        <w:rPr>
          <w:rFonts w:ascii="宋体" w:hAnsi="宋体" w:cs="宋体" w:eastAsia="宋体" w:hint="default"/>
          <w:sz w:val="21"/>
          <w:szCs w:val="21"/>
        </w:rPr>
      </w:pPr>
      <w:bookmarkStart w:name="85、其他" w:id="430"/>
      <w:bookmarkEnd w:id="430"/>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八、合并范围的变更" w:id="431"/>
      <w:bookmarkEnd w:id="431"/>
      <w:r>
        <w:rPr>
          <w:rFonts w:ascii="宋体" w:hAnsi="宋体" w:cs="宋体" w:eastAsia="宋体" w:hint="default"/>
          <w:b/>
          <w:bCs/>
          <w:spacing w:val="-104"/>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32"/>
      <w:bookmarkEnd w:id="43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before="79"/>
        <w:ind w:left="153" w:right="0" w:firstLine="0"/>
        <w:jc w:val="left"/>
        <w:rPr>
          <w:rFonts w:ascii="宋体" w:hAnsi="宋体" w:cs="宋体" w:eastAsia="宋体" w:hint="default"/>
          <w:sz w:val="21"/>
          <w:szCs w:val="21"/>
        </w:rPr>
      </w:pPr>
      <w:bookmarkStart w:name="（1）本期发生的非同一控制下企业合并" w:id="433"/>
      <w:bookmarkEnd w:id="4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合并成本及商誉" w:id="434"/>
      <w:bookmarkEnd w:id="4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被购买方于购买日可辨认资产、负债" w:id="435"/>
      <w:bookmarkEnd w:id="4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购买日之前持有的股权按照公允价值重新计量产生的利得或损失" w:id="436"/>
      <w:bookmarkEnd w:id="4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是否存在通过多次交易分步实现企业合并且在报告期内取得控制权的交易</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5）购买日或合并当期期末无法合理确定合并对价或被购买方可辨认资产、负债公允价值" w:id="437"/>
      <w:bookmarkEnd w:id="4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其他说明" w:id="438"/>
      <w:bookmarkEnd w:id="4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同一控制下企业合并" w:id="439"/>
      <w:bookmarkEnd w:id="43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本期发生的同一控制下企业合并" w:id="440"/>
      <w:bookmarkEnd w:id="4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合并成本" w:id="441"/>
      <w:bookmarkEnd w:id="4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合并日被合并方资产、负债的账面价值" w:id="442"/>
      <w:bookmarkEnd w:id="4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反向购买" w:id="443"/>
      <w:bookmarkEnd w:id="44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处置子公司" w:id="444"/>
      <w:bookmarkEnd w:id="44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63" w:footer="979" w:top="1060" w:bottom="1160" w:left="980" w:right="0"/>
        </w:sect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是否存在单次处置对子公司投资即丧失控制权的情形</w:t>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7" w:space="4625"/>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35"/>
        <w:gridCol w:w="734"/>
        <w:gridCol w:w="740"/>
        <w:gridCol w:w="735"/>
        <w:gridCol w:w="734"/>
        <w:gridCol w:w="740"/>
        <w:gridCol w:w="734"/>
        <w:gridCol w:w="735"/>
        <w:gridCol w:w="739"/>
      </w:tblGrid>
      <w:tr>
        <w:trPr>
          <w:trHeight w:val="3837"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4"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4" w:lineRule="auto"/>
              <w:ind w:left="96"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置价款</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4" w:lineRule="auto"/>
              <w:ind w:left="95" w:right="84"/>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4" w:lineRule="auto"/>
              <w:ind w:left="91" w:right="89"/>
              <w:jc w:val="left"/>
              <w:rPr>
                <w:rFonts w:ascii="宋体" w:hAnsi="宋体" w:cs="宋体" w:eastAsia="宋体" w:hint="default"/>
                <w:sz w:val="18"/>
                <w:szCs w:val="18"/>
              </w:rPr>
            </w:pPr>
            <w:r>
              <w:rPr>
                <w:rFonts w:ascii="宋体" w:hAnsi="宋体" w:cs="宋体" w:eastAsia="宋体" w:hint="default"/>
                <w:sz w:val="18"/>
                <w:szCs w:val="18"/>
              </w:rPr>
              <w:t>股权处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置方式</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点的确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定依据</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91" w:right="94"/>
              <w:jc w:val="center"/>
              <w:rPr>
                <w:rFonts w:ascii="宋体" w:hAnsi="宋体" w:cs="宋体" w:eastAsia="宋体" w:hint="default"/>
                <w:sz w:val="18"/>
                <w:szCs w:val="18"/>
              </w:rPr>
            </w:pPr>
            <w:r>
              <w:rPr>
                <w:rFonts w:ascii="宋体" w:hAnsi="宋体" w:cs="宋体" w:eastAsia="宋体" w:hint="default"/>
                <w:spacing w:val="-2"/>
                <w:sz w:val="18"/>
                <w:szCs w:val="18"/>
              </w:rPr>
              <w:t>处置价</w:t>
            </w:r>
            <w:r>
              <w:rPr>
                <w:rFonts w:ascii="宋体" w:hAnsi="宋体" w:cs="宋体" w:eastAsia="宋体" w:hint="default"/>
                <w:w w:val="101"/>
                <w:sz w:val="18"/>
                <w:szCs w:val="18"/>
              </w:rPr>
              <w:t> </w:t>
            </w:r>
            <w:r>
              <w:rPr>
                <w:rFonts w:ascii="宋体" w:hAnsi="宋体" w:cs="宋体" w:eastAsia="宋体" w:hint="default"/>
                <w:spacing w:val="-2"/>
                <w:sz w:val="18"/>
                <w:szCs w:val="18"/>
              </w:rPr>
              <w:t>款与处</w:t>
            </w:r>
            <w:r>
              <w:rPr>
                <w:rFonts w:ascii="宋体" w:hAnsi="宋体" w:cs="宋体" w:eastAsia="宋体" w:hint="default"/>
                <w:w w:val="101"/>
                <w:sz w:val="18"/>
                <w:szCs w:val="18"/>
              </w:rPr>
              <w:t> </w:t>
            </w:r>
            <w:r>
              <w:rPr>
                <w:rFonts w:ascii="宋体" w:hAnsi="宋体" w:cs="宋体" w:eastAsia="宋体" w:hint="default"/>
                <w:spacing w:val="-2"/>
                <w:sz w:val="18"/>
                <w:szCs w:val="18"/>
              </w:rPr>
              <w:t>置投资</w:t>
            </w:r>
            <w:r>
              <w:rPr>
                <w:rFonts w:ascii="宋体" w:hAnsi="宋体" w:cs="宋体" w:eastAsia="宋体" w:hint="default"/>
                <w:w w:val="101"/>
                <w:sz w:val="18"/>
                <w:szCs w:val="18"/>
              </w:rPr>
              <w:t> </w:t>
            </w:r>
            <w:r>
              <w:rPr>
                <w:rFonts w:ascii="宋体" w:hAnsi="宋体" w:cs="宋体" w:eastAsia="宋体" w:hint="default"/>
                <w:spacing w:val="-2"/>
                <w:sz w:val="18"/>
                <w:szCs w:val="18"/>
              </w:rPr>
              <w:t>对应的</w:t>
            </w:r>
            <w:r>
              <w:rPr>
                <w:rFonts w:ascii="宋体" w:hAnsi="宋体" w:cs="宋体" w:eastAsia="宋体" w:hint="default"/>
                <w:w w:val="101"/>
                <w:sz w:val="18"/>
                <w:szCs w:val="18"/>
              </w:rPr>
              <w:t> </w:t>
            </w:r>
            <w:r>
              <w:rPr>
                <w:rFonts w:ascii="宋体" w:hAnsi="宋体" w:cs="宋体" w:eastAsia="宋体" w:hint="default"/>
                <w:spacing w:val="-2"/>
                <w:sz w:val="18"/>
                <w:szCs w:val="18"/>
              </w:rPr>
              <w:t>合并财</w:t>
            </w:r>
            <w:r>
              <w:rPr>
                <w:rFonts w:ascii="宋体" w:hAnsi="宋体" w:cs="宋体" w:eastAsia="宋体" w:hint="default"/>
                <w:w w:val="101"/>
                <w:sz w:val="18"/>
                <w:szCs w:val="18"/>
              </w:rPr>
              <w:t> </w:t>
            </w:r>
            <w:r>
              <w:rPr>
                <w:rFonts w:ascii="宋体" w:hAnsi="宋体" w:cs="宋体" w:eastAsia="宋体" w:hint="default"/>
                <w:spacing w:val="-2"/>
                <w:sz w:val="18"/>
                <w:szCs w:val="18"/>
              </w:rPr>
              <w:t>务报表</w:t>
            </w:r>
            <w:r>
              <w:rPr>
                <w:rFonts w:ascii="宋体" w:hAnsi="宋体" w:cs="宋体" w:eastAsia="宋体" w:hint="default"/>
                <w:w w:val="101"/>
                <w:sz w:val="18"/>
                <w:szCs w:val="18"/>
              </w:rPr>
              <w:t> </w:t>
            </w:r>
            <w:r>
              <w:rPr>
                <w:rFonts w:ascii="宋体" w:hAnsi="宋体" w:cs="宋体" w:eastAsia="宋体" w:hint="default"/>
                <w:spacing w:val="-2"/>
                <w:sz w:val="18"/>
                <w:szCs w:val="18"/>
              </w:rPr>
              <w:t>层面享</w:t>
            </w:r>
            <w:r>
              <w:rPr>
                <w:rFonts w:ascii="宋体" w:hAnsi="宋体" w:cs="宋体" w:eastAsia="宋体" w:hint="default"/>
                <w:w w:val="101"/>
                <w:sz w:val="18"/>
                <w:szCs w:val="18"/>
              </w:rPr>
              <w:t> </w:t>
            </w:r>
            <w:r>
              <w:rPr>
                <w:rFonts w:ascii="宋体" w:hAnsi="宋体" w:cs="宋体" w:eastAsia="宋体" w:hint="default"/>
                <w:spacing w:val="-2"/>
                <w:sz w:val="18"/>
                <w:szCs w:val="18"/>
              </w:rPr>
              <w:t>有该子</w:t>
            </w:r>
            <w:r>
              <w:rPr>
                <w:rFonts w:ascii="宋体" w:hAnsi="宋体" w:cs="宋体" w:eastAsia="宋体" w:hint="default"/>
                <w:w w:val="101"/>
                <w:sz w:val="18"/>
                <w:szCs w:val="18"/>
              </w:rPr>
              <w:t> </w:t>
            </w:r>
            <w:r>
              <w:rPr>
                <w:rFonts w:ascii="宋体" w:hAnsi="宋体" w:cs="宋体" w:eastAsia="宋体" w:hint="default"/>
                <w:spacing w:val="-2"/>
                <w:sz w:val="18"/>
                <w:szCs w:val="18"/>
              </w:rPr>
              <w:t>公司净</w:t>
            </w:r>
            <w:r>
              <w:rPr>
                <w:rFonts w:ascii="宋体" w:hAnsi="宋体" w:cs="宋体" w:eastAsia="宋体" w:hint="default"/>
                <w:w w:val="101"/>
                <w:sz w:val="18"/>
                <w:szCs w:val="18"/>
              </w:rPr>
              <w:t> </w:t>
            </w:r>
            <w:r>
              <w:rPr>
                <w:rFonts w:ascii="宋体" w:hAnsi="宋体" w:cs="宋体" w:eastAsia="宋体" w:hint="default"/>
                <w:spacing w:val="-2"/>
                <w:sz w:val="18"/>
                <w:szCs w:val="18"/>
              </w:rPr>
              <w:t>资产份</w:t>
            </w:r>
            <w:r>
              <w:rPr>
                <w:rFonts w:ascii="宋体" w:hAnsi="宋体" w:cs="宋体" w:eastAsia="宋体" w:hint="default"/>
                <w:w w:val="101"/>
                <w:sz w:val="18"/>
                <w:szCs w:val="18"/>
              </w:rPr>
              <w:t> </w:t>
            </w:r>
            <w:r>
              <w:rPr>
                <w:rFonts w:ascii="宋体" w:hAnsi="宋体" w:cs="宋体" w:eastAsia="宋体" w:hint="default"/>
                <w:spacing w:val="-2"/>
                <w:sz w:val="18"/>
                <w:szCs w:val="18"/>
              </w:rPr>
              <w:t>额的差</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91" w:right="89"/>
              <w:jc w:val="both"/>
              <w:rPr>
                <w:rFonts w:ascii="宋体" w:hAnsi="宋体" w:cs="宋体" w:eastAsia="宋体" w:hint="default"/>
                <w:sz w:val="18"/>
                <w:szCs w:val="18"/>
              </w:rPr>
            </w:pPr>
            <w:r>
              <w:rPr>
                <w:rFonts w:ascii="宋体" w:hAnsi="宋体" w:cs="宋体" w:eastAsia="宋体" w:hint="default"/>
                <w:sz w:val="18"/>
                <w:szCs w:val="18"/>
              </w:rPr>
              <w:t>丧失控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制权之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日剩余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股权的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股权的</w:t>
            </w:r>
            <w:r>
              <w:rPr>
                <w:rFonts w:ascii="宋体" w:hAnsi="宋体" w:cs="宋体" w:eastAsia="宋体" w:hint="default"/>
                <w:w w:val="101"/>
                <w:sz w:val="18"/>
                <w:szCs w:val="18"/>
              </w:rPr>
              <w:t> </w:t>
            </w:r>
            <w:r>
              <w:rPr>
                <w:rFonts w:ascii="宋体" w:hAnsi="宋体" w:cs="宋体" w:eastAsia="宋体" w:hint="default"/>
                <w:spacing w:val="-2"/>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5" w:right="89"/>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股权的</w:t>
            </w:r>
            <w:r>
              <w:rPr>
                <w:rFonts w:ascii="宋体" w:hAnsi="宋体" w:cs="宋体" w:eastAsia="宋体" w:hint="default"/>
                <w:w w:val="101"/>
                <w:sz w:val="18"/>
                <w:szCs w:val="18"/>
              </w:rPr>
              <w:t> </w:t>
            </w:r>
            <w:r>
              <w:rPr>
                <w:rFonts w:ascii="宋体" w:hAnsi="宋体" w:cs="宋体" w:eastAsia="宋体" w:hint="default"/>
                <w:spacing w:val="-2"/>
                <w:sz w:val="18"/>
                <w:szCs w:val="18"/>
              </w:rPr>
              <w:t>公允价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按照公</w:t>
            </w:r>
            <w:r>
              <w:rPr>
                <w:rFonts w:ascii="宋体" w:hAnsi="宋体" w:cs="宋体" w:eastAsia="宋体" w:hint="default"/>
                <w:w w:val="101"/>
                <w:sz w:val="18"/>
                <w:szCs w:val="18"/>
              </w:rPr>
              <w:t> </w:t>
            </w:r>
            <w:r>
              <w:rPr>
                <w:rFonts w:ascii="宋体" w:hAnsi="宋体" w:cs="宋体" w:eastAsia="宋体" w:hint="default"/>
                <w:spacing w:val="-2"/>
                <w:sz w:val="18"/>
                <w:szCs w:val="18"/>
              </w:rPr>
              <w:t>允价值</w:t>
            </w:r>
            <w:r>
              <w:rPr>
                <w:rFonts w:ascii="宋体" w:hAnsi="宋体" w:cs="宋体" w:eastAsia="宋体" w:hint="default"/>
                <w:w w:val="101"/>
                <w:sz w:val="18"/>
                <w:szCs w:val="18"/>
              </w:rPr>
              <w:t> </w:t>
            </w:r>
            <w:r>
              <w:rPr>
                <w:rFonts w:ascii="宋体" w:hAnsi="宋体" w:cs="宋体" w:eastAsia="宋体" w:hint="default"/>
                <w:spacing w:val="-2"/>
                <w:sz w:val="18"/>
                <w:szCs w:val="18"/>
              </w:rPr>
              <w:t>重新计</w:t>
            </w:r>
            <w:r>
              <w:rPr>
                <w:rFonts w:ascii="宋体" w:hAnsi="宋体" w:cs="宋体" w:eastAsia="宋体" w:hint="default"/>
                <w:w w:val="101"/>
                <w:sz w:val="18"/>
                <w:szCs w:val="18"/>
              </w:rPr>
              <w:t> </w:t>
            </w:r>
            <w:r>
              <w:rPr>
                <w:rFonts w:ascii="宋体" w:hAnsi="宋体" w:cs="宋体" w:eastAsia="宋体" w:hint="default"/>
                <w:spacing w:val="-2"/>
                <w:sz w:val="18"/>
                <w:szCs w:val="18"/>
              </w:rPr>
              <w:t>量剩余</w:t>
            </w:r>
            <w:r>
              <w:rPr>
                <w:rFonts w:ascii="宋体" w:hAnsi="宋体" w:cs="宋体" w:eastAsia="宋体" w:hint="default"/>
                <w:w w:val="101"/>
                <w:sz w:val="18"/>
                <w:szCs w:val="18"/>
              </w:rPr>
              <w:t> </w:t>
            </w:r>
            <w:r>
              <w:rPr>
                <w:rFonts w:ascii="宋体" w:hAnsi="宋体" w:cs="宋体" w:eastAsia="宋体" w:hint="default"/>
                <w:spacing w:val="-2"/>
                <w:sz w:val="18"/>
                <w:szCs w:val="18"/>
              </w:rPr>
              <w:t>股权产</w:t>
            </w:r>
            <w:r>
              <w:rPr>
                <w:rFonts w:ascii="宋体" w:hAnsi="宋体" w:cs="宋体" w:eastAsia="宋体" w:hint="default"/>
                <w:w w:val="101"/>
                <w:sz w:val="18"/>
                <w:szCs w:val="18"/>
              </w:rPr>
              <w:t> </w:t>
            </w:r>
            <w:r>
              <w:rPr>
                <w:rFonts w:ascii="宋体" w:hAnsi="宋体" w:cs="宋体" w:eastAsia="宋体" w:hint="default"/>
                <w:spacing w:val="-2"/>
                <w:sz w:val="18"/>
                <w:szCs w:val="18"/>
              </w:rPr>
              <w:t>生的利</w:t>
            </w:r>
            <w:r>
              <w:rPr>
                <w:rFonts w:ascii="宋体" w:hAnsi="宋体" w:cs="宋体" w:eastAsia="宋体" w:hint="default"/>
                <w:w w:val="101"/>
                <w:sz w:val="18"/>
                <w:szCs w:val="18"/>
              </w:rPr>
              <w:t> </w:t>
            </w:r>
            <w:r>
              <w:rPr>
                <w:rFonts w:ascii="宋体" w:hAnsi="宋体" w:cs="宋体" w:eastAsia="宋体" w:hint="default"/>
                <w:spacing w:val="-2"/>
                <w:sz w:val="18"/>
                <w:szCs w:val="18"/>
              </w:rPr>
              <w:t>得或损</w:t>
            </w:r>
            <w:r>
              <w:rPr>
                <w:rFonts w:ascii="宋体" w:hAnsi="宋体" w:cs="宋体" w:eastAsia="宋体" w:hint="default"/>
                <w:w w:val="101"/>
                <w:sz w:val="18"/>
                <w:szCs w:val="18"/>
              </w:rPr>
              <w:t> </w:t>
            </w:r>
            <w:r>
              <w:rPr>
                <w:rFonts w:ascii="宋体" w:hAnsi="宋体" w:cs="宋体" w:eastAsia="宋体" w:hint="default"/>
                <w:sz w:val="18"/>
                <w:szCs w:val="18"/>
              </w:rPr>
              <w:t>失</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95" w:right="84"/>
              <w:jc w:val="center"/>
              <w:rPr>
                <w:rFonts w:ascii="宋体" w:hAnsi="宋体" w:cs="宋体" w:eastAsia="宋体" w:hint="default"/>
                <w:sz w:val="18"/>
                <w:szCs w:val="18"/>
              </w:rPr>
            </w:pPr>
            <w:r>
              <w:rPr>
                <w:rFonts w:ascii="宋体" w:hAnsi="宋体" w:cs="宋体" w:eastAsia="宋体" w:hint="default"/>
                <w:spacing w:val="-2"/>
                <w:sz w:val="18"/>
                <w:szCs w:val="18"/>
              </w:rPr>
              <w:t>丧失控</w:t>
            </w:r>
            <w:r>
              <w:rPr>
                <w:rFonts w:ascii="宋体" w:hAnsi="宋体" w:cs="宋体" w:eastAsia="宋体" w:hint="default"/>
                <w:w w:val="101"/>
                <w:sz w:val="18"/>
                <w:szCs w:val="18"/>
              </w:rPr>
              <w:t> </w:t>
            </w:r>
            <w:r>
              <w:rPr>
                <w:rFonts w:ascii="宋体" w:hAnsi="宋体" w:cs="宋体" w:eastAsia="宋体" w:hint="default"/>
                <w:spacing w:val="-2"/>
                <w:sz w:val="18"/>
                <w:szCs w:val="18"/>
              </w:rPr>
              <w:t>制权之</w:t>
            </w:r>
            <w:r>
              <w:rPr>
                <w:rFonts w:ascii="宋体" w:hAnsi="宋体" w:cs="宋体" w:eastAsia="宋体" w:hint="default"/>
                <w:w w:val="101"/>
                <w:sz w:val="18"/>
                <w:szCs w:val="18"/>
              </w:rPr>
              <w:t> </w:t>
            </w:r>
            <w:r>
              <w:rPr>
                <w:rFonts w:ascii="宋体" w:hAnsi="宋体" w:cs="宋体" w:eastAsia="宋体" w:hint="default"/>
                <w:spacing w:val="-2"/>
                <w:sz w:val="18"/>
                <w:szCs w:val="18"/>
              </w:rPr>
              <w:t>日剩余</w:t>
            </w:r>
            <w:r>
              <w:rPr>
                <w:rFonts w:ascii="宋体" w:hAnsi="宋体" w:cs="宋体" w:eastAsia="宋体" w:hint="default"/>
                <w:w w:val="101"/>
                <w:sz w:val="18"/>
                <w:szCs w:val="18"/>
              </w:rPr>
              <w:t> </w:t>
            </w:r>
            <w:r>
              <w:rPr>
                <w:rFonts w:ascii="宋体" w:hAnsi="宋体" w:cs="宋体" w:eastAsia="宋体" w:hint="default"/>
                <w:spacing w:val="-2"/>
                <w:sz w:val="18"/>
                <w:szCs w:val="18"/>
              </w:rPr>
              <w:t>股权公</w:t>
            </w:r>
            <w:r>
              <w:rPr>
                <w:rFonts w:ascii="宋体" w:hAnsi="宋体" w:cs="宋体" w:eastAsia="宋体" w:hint="default"/>
                <w:w w:val="101"/>
                <w:sz w:val="18"/>
                <w:szCs w:val="18"/>
              </w:rPr>
              <w:t> </w:t>
            </w:r>
            <w:r>
              <w:rPr>
                <w:rFonts w:ascii="宋体" w:hAnsi="宋体" w:cs="宋体" w:eastAsia="宋体" w:hint="default"/>
                <w:spacing w:val="-2"/>
                <w:sz w:val="18"/>
                <w:szCs w:val="18"/>
              </w:rPr>
              <w:t>允价值</w:t>
            </w:r>
            <w:r>
              <w:rPr>
                <w:rFonts w:ascii="宋体" w:hAnsi="宋体" w:cs="宋体" w:eastAsia="宋体" w:hint="default"/>
                <w:w w:val="101"/>
                <w:sz w:val="18"/>
                <w:szCs w:val="18"/>
              </w:rPr>
              <w:t> </w:t>
            </w:r>
            <w:r>
              <w:rPr>
                <w:rFonts w:ascii="宋体" w:hAnsi="宋体" w:cs="宋体" w:eastAsia="宋体" w:hint="default"/>
                <w:spacing w:val="-2"/>
                <w:sz w:val="18"/>
                <w:szCs w:val="18"/>
              </w:rPr>
              <w:t>的确定</w:t>
            </w:r>
            <w:r>
              <w:rPr>
                <w:rFonts w:ascii="宋体" w:hAnsi="宋体" w:cs="宋体" w:eastAsia="宋体" w:hint="default"/>
                <w:w w:val="101"/>
                <w:sz w:val="18"/>
                <w:szCs w:val="18"/>
              </w:rPr>
              <w:t> </w:t>
            </w:r>
            <w:r>
              <w:rPr>
                <w:rFonts w:ascii="宋体" w:hAnsi="宋体" w:cs="宋体" w:eastAsia="宋体" w:hint="default"/>
                <w:spacing w:val="-2"/>
                <w:sz w:val="18"/>
                <w:szCs w:val="18"/>
              </w:rPr>
              <w:t>方法及</w:t>
            </w:r>
            <w:r>
              <w:rPr>
                <w:rFonts w:ascii="宋体" w:hAnsi="宋体" w:cs="宋体" w:eastAsia="宋体" w:hint="default"/>
                <w:w w:val="101"/>
                <w:sz w:val="18"/>
                <w:szCs w:val="18"/>
              </w:rPr>
              <w:t> </w:t>
            </w:r>
            <w:r>
              <w:rPr>
                <w:rFonts w:ascii="宋体" w:hAnsi="宋体" w:cs="宋体" w:eastAsia="宋体" w:hint="default"/>
                <w:spacing w:val="-2"/>
                <w:sz w:val="18"/>
                <w:szCs w:val="18"/>
              </w:rPr>
              <w:t>主要假</w:t>
            </w:r>
            <w:r>
              <w:rPr>
                <w:rFonts w:ascii="宋体" w:hAnsi="宋体" w:cs="宋体" w:eastAsia="宋体" w:hint="default"/>
                <w:w w:val="101"/>
                <w:sz w:val="18"/>
                <w:szCs w:val="18"/>
              </w:rPr>
              <w:t> </w:t>
            </w:r>
            <w:r>
              <w:rPr>
                <w:rFonts w:ascii="宋体" w:hAnsi="宋体" w:cs="宋体" w:eastAsia="宋体" w:hint="default"/>
                <w:sz w:val="18"/>
                <w:szCs w:val="18"/>
              </w:rPr>
              <w:t>设</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95" w:right="89"/>
              <w:jc w:val="both"/>
              <w:rPr>
                <w:rFonts w:ascii="宋体" w:hAnsi="宋体" w:cs="宋体" w:eastAsia="宋体" w:hint="default"/>
                <w:sz w:val="18"/>
                <w:szCs w:val="18"/>
              </w:rPr>
            </w:pPr>
            <w:r>
              <w:rPr>
                <w:rFonts w:ascii="宋体" w:hAnsi="宋体" w:cs="宋体" w:eastAsia="宋体" w:hint="default"/>
                <w:sz w:val="18"/>
                <w:szCs w:val="18"/>
              </w:rPr>
              <w:t>与原子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权投资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相关的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转入投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资损益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p>
        </w:tc>
      </w:tr>
      <w:tr>
        <w:trPr>
          <w:trHeight w:val="133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玉溪湖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管环境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90.00%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56"/>
              <w:jc w:val="left"/>
              <w:rPr>
                <w:rFonts w:ascii="宋体" w:hAnsi="宋体" w:cs="宋体" w:eastAsia="宋体" w:hint="default"/>
                <w:sz w:val="18"/>
                <w:szCs w:val="18"/>
              </w:rPr>
            </w:pPr>
            <w:r>
              <w:rPr>
                <w:rFonts w:ascii="宋体" w:hAnsi="宋体" w:cs="宋体" w:eastAsia="宋体" w:hint="default"/>
                <w:sz w:val="18"/>
                <w:szCs w:val="18"/>
              </w:rPr>
              <w:t>清算注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销</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3" w:right="156"/>
              <w:jc w:val="left"/>
              <w:rPr>
                <w:rFonts w:ascii="宋体" w:hAnsi="宋体" w:cs="宋体" w:eastAsia="宋体" w:hint="default"/>
                <w:sz w:val="18"/>
                <w:szCs w:val="18"/>
              </w:rPr>
            </w:pPr>
            <w:r>
              <w:rPr>
                <w:rFonts w:ascii="宋体" w:hAnsi="宋体" w:cs="宋体" w:eastAsia="宋体" w:hint="default"/>
                <w:sz w:val="18"/>
                <w:szCs w:val="18"/>
              </w:rPr>
              <w:t>完成清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算注销</w:t>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4"/>
        <w:ind w:left="153" w:right="5044"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宋体" w:hAnsi="宋体" w:cs="宋体" w:eastAsia="宋体" w:hint="default"/>
          <w:w w:val="101"/>
          <w:sz w:val="18"/>
          <w:szCs w:val="18"/>
        </w:rPr>
        <w:t> </w:t>
      </w:r>
      <w:r>
        <w:rPr>
          <w:rFonts w:ascii="宋体" w:hAnsi="宋体" w:cs="宋体" w:eastAsia="宋体" w:hint="default"/>
          <w:spacing w:val="-3"/>
          <w:sz w:val="18"/>
          <w:szCs w:val="18"/>
        </w:rPr>
        <w:t>是否存在通过多次交易分步处置对子公司投资且在本期丧失控制权的情形</w:t>
      </w:r>
    </w:p>
    <w:p>
      <w:pPr>
        <w:spacing w:before="31"/>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5、其他原因的合并范围变动" w:id="445"/>
      <w:bookmarkEnd w:id="44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4" w:lineRule="auto" w:before="0"/>
        <w:ind w:left="153" w:right="8100" w:firstLine="0"/>
        <w:jc w:val="left"/>
        <w:rPr>
          <w:rFonts w:ascii="宋体" w:hAnsi="宋体" w:cs="宋体" w:eastAsia="宋体" w:hint="default"/>
          <w:sz w:val="21"/>
          <w:szCs w:val="21"/>
        </w:rPr>
      </w:pPr>
      <w:bookmarkStart w:name="6、其他" w:id="446"/>
      <w:bookmarkEnd w:id="44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47"/>
      <w:bookmarkEnd w:id="447"/>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48"/>
      <w:bookmarkEnd w:id="44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6"/>
        <w:ind w:left="153" w:right="0" w:firstLine="0"/>
        <w:jc w:val="left"/>
        <w:rPr>
          <w:rFonts w:ascii="宋体" w:hAnsi="宋体" w:cs="宋体" w:eastAsia="宋体" w:hint="default"/>
          <w:sz w:val="21"/>
          <w:szCs w:val="21"/>
        </w:rPr>
      </w:pPr>
      <w:bookmarkStart w:name="（1）企业集团的构成" w:id="449"/>
      <w:bookmarkEnd w:id="4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993"/>
        <w:gridCol w:w="1133"/>
        <w:gridCol w:w="97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8"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993"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工程安装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沈阳桑瑞思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沈阳市沈河区</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工程安装</w:t>
            </w:r>
          </w:p>
        </w:tc>
        <w:tc>
          <w:tcPr>
            <w:tcW w:w="1133"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依米康软件</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2"/>
              <w:jc w:val="left"/>
              <w:rPr>
                <w:rFonts w:ascii="宋体" w:hAnsi="宋体" w:cs="宋体" w:eastAsia="宋体" w:hint="default"/>
                <w:sz w:val="18"/>
                <w:szCs w:val="18"/>
              </w:rPr>
            </w:pPr>
            <w:r>
              <w:rPr>
                <w:rFonts w:ascii="宋体" w:hAnsi="宋体" w:cs="宋体" w:eastAsia="宋体" w:hint="default"/>
                <w:spacing w:val="-2"/>
                <w:sz w:val="18"/>
                <w:szCs w:val="18"/>
              </w:rPr>
              <w:t>计算机软件开发与系统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集成</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深圳市福田区</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计算机集成系统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40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四川龙控</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计算机集成系统</w:t>
            </w:r>
          </w:p>
        </w:tc>
        <w:tc>
          <w:tcPr>
            <w:tcW w:w="1133"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依米康智能</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工程设计与施工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环保设备销售及安装</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53.84%</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杭州亿金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环保设备销售及安装</w:t>
            </w:r>
          </w:p>
        </w:tc>
        <w:tc>
          <w:tcPr>
            <w:tcW w:w="1133"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亿金物资贸易</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江阴市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材料设备销售</w:t>
            </w:r>
          </w:p>
        </w:tc>
        <w:tc>
          <w:tcPr>
            <w:tcW w:w="1133"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腾龙资产</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华延芯光</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133"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依米康冷元</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节能科技、软件开发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51.00%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临沧亿金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临沧市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临沧市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生活垃圾资源化处理</w:t>
            </w:r>
          </w:p>
        </w:tc>
        <w:tc>
          <w:tcPr>
            <w:tcW w:w="1133"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辽宁亿金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铁岭市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铁岭市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生物质发电</w:t>
            </w:r>
          </w:p>
        </w:tc>
        <w:tc>
          <w:tcPr>
            <w:tcW w:w="1133"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平昌依米康</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巴中市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巴中市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医院项目投资与管理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90.25%</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依米康智云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依米康信息服务</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信息技术咨询服务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依米康企业管理</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曲水智控中心</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拉萨市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拉萨市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99.90%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9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曲水智成中心</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拉萨市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拉萨市</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99.90%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360"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在子公司的持股比例不同于表决权比例的说明：</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持有半数或以下表决权但仍控制被投资单位、以及持有半数以上表决权但不控制被投资单位的依据：</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pacing w:val="-3"/>
          <w:sz w:val="18"/>
          <w:szCs w:val="18"/>
        </w:rPr>
        <w:t>对于纳入合并范围的重要的结构化主体，控制的依据：</w:t>
      </w:r>
    </w:p>
    <w:p>
      <w:pPr>
        <w:spacing w:line="357" w:lineRule="auto" w:before="29"/>
        <w:ind w:left="153" w:right="7162" w:firstLine="0"/>
        <w:jc w:val="left"/>
        <w:rPr>
          <w:rFonts w:ascii="宋体" w:hAnsi="宋体" w:cs="宋体" w:eastAsia="宋体" w:hint="default"/>
          <w:sz w:val="18"/>
          <w:szCs w:val="18"/>
        </w:rPr>
      </w:pPr>
      <w:r>
        <w:rPr>
          <w:rFonts w:ascii="宋体" w:hAnsi="宋体" w:cs="宋体" w:eastAsia="宋体" w:hint="default"/>
          <w:spacing w:val="-3"/>
          <w:sz w:val="18"/>
          <w:szCs w:val="18"/>
        </w:rPr>
        <w:t>确定公司是代理人还是委托人的依据：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其他说明：</w:t>
      </w:r>
    </w:p>
    <w:p>
      <w:pPr>
        <w:spacing w:after="0" w:line="357"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2）重要的非全资子公司" w:id="450"/>
      <w:bookmarkEnd w:id="4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8"/>
              <w:ind w:left="773" w:right="46" w:hanging="721"/>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8"/>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3" w:right="0"/>
              <w:jc w:val="left"/>
              <w:rPr>
                <w:rFonts w:ascii="Times New Roman" w:hAnsi="Times New Roman" w:cs="Times New Roman" w:eastAsia="Times New Roman" w:hint="default"/>
                <w:sz w:val="18"/>
                <w:szCs w:val="18"/>
              </w:rPr>
            </w:pPr>
            <w:r>
              <w:rPr>
                <w:rFonts w:ascii="Times New Roman"/>
                <w:sz w:val="18"/>
              </w:rPr>
              <w:t>-728,321.89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181,559,551.12</w:t>
            </w:r>
          </w:p>
        </w:tc>
      </w:tr>
    </w:tbl>
    <w:p>
      <w:pPr>
        <w:spacing w:line="362" w:lineRule="auto" w:before="53"/>
        <w:ind w:left="153" w:right="6287" w:firstLine="0"/>
        <w:jc w:val="left"/>
        <w:rPr>
          <w:rFonts w:ascii="宋体" w:hAnsi="宋体" w:cs="宋体" w:eastAsia="宋体" w:hint="default"/>
          <w:sz w:val="18"/>
          <w:szCs w:val="18"/>
        </w:rPr>
      </w:pPr>
      <w:r>
        <w:rPr>
          <w:rFonts w:ascii="宋体" w:hAnsi="宋体" w:cs="宋体" w:eastAsia="宋体" w:hint="default"/>
          <w:spacing w:val="-3"/>
          <w:sz w:val="18"/>
          <w:szCs w:val="18"/>
        </w:rPr>
        <w:t>子公司少数股东的持股比例不同于表决权比例的说明：</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其他说明：</w:t>
      </w:r>
    </w:p>
    <w:p>
      <w:pPr>
        <w:spacing w:line="240" w:lineRule="auto" w:before="4"/>
        <w:rPr>
          <w:rFonts w:ascii="宋体" w:hAnsi="宋体" w:cs="宋体" w:eastAsia="宋体" w:hint="default"/>
          <w:sz w:val="19"/>
          <w:szCs w:val="19"/>
        </w:rPr>
      </w:pPr>
    </w:p>
    <w:p>
      <w:pPr>
        <w:spacing w:before="0"/>
        <w:ind w:left="153" w:right="0" w:firstLine="0"/>
        <w:jc w:val="left"/>
        <w:rPr>
          <w:rFonts w:ascii="宋体" w:hAnsi="宋体" w:cs="宋体" w:eastAsia="宋体" w:hint="default"/>
          <w:sz w:val="21"/>
          <w:szCs w:val="21"/>
        </w:rPr>
      </w:pPr>
      <w:bookmarkStart w:name="（3）重要非全资子公司的主要财务信息" w:id="451"/>
      <w:bookmarkEnd w:id="4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4"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z w:val="18"/>
                <w:szCs w:val="18"/>
              </w:rPr>
              <w:t>江苏亿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582,517,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339.48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241,994,</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178.93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4" w:right="0"/>
              <w:jc w:val="center"/>
              <w:rPr>
                <w:rFonts w:ascii="Times New Roman" w:hAnsi="Times New Roman" w:cs="Times New Roman" w:eastAsia="Times New Roman" w:hint="default"/>
                <w:sz w:val="18"/>
                <w:szCs w:val="18"/>
              </w:rPr>
            </w:pPr>
            <w:r>
              <w:rPr>
                <w:rFonts w:ascii="Times New Roman"/>
                <w:sz w:val="18"/>
              </w:rPr>
              <w:t>824,511,</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518.41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435,951,</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580.07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15,718,0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451,669,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641.47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583,122,</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800.11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center"/>
              <w:rPr>
                <w:rFonts w:ascii="Times New Roman" w:hAnsi="Times New Roman" w:cs="Times New Roman" w:eastAsia="Times New Roman" w:hint="default"/>
                <w:sz w:val="18"/>
                <w:szCs w:val="18"/>
              </w:rPr>
            </w:pPr>
            <w:r>
              <w:rPr>
                <w:rFonts w:ascii="Times New Roman"/>
                <w:sz w:val="18"/>
              </w:rPr>
              <w:t>210,269,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667.66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9" w:right="0"/>
              <w:jc w:val="center"/>
              <w:rPr>
                <w:rFonts w:ascii="Times New Roman" w:hAnsi="Times New Roman" w:cs="Times New Roman" w:eastAsia="Times New Roman" w:hint="default"/>
                <w:sz w:val="18"/>
                <w:szCs w:val="18"/>
              </w:rPr>
            </w:pPr>
            <w:r>
              <w:rPr>
                <w:rFonts w:ascii="Times New Roman"/>
                <w:sz w:val="18"/>
              </w:rPr>
              <w:t>793,392,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467.77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390,509,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561.69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32,263,4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19.28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422,772,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980.97</w:t>
            </w:r>
          </w:p>
        </w:tc>
      </w:tr>
    </w:tbl>
    <w:p>
      <w:pPr>
        <w:spacing w:before="54"/>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240,536,529.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1,855,903.23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1,855,903.23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-13,860,793.3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273,603,783.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1,688,528.40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1,688,528.40</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9,614,206.91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4）使用企业集团资产和清偿企业集团债务的重大限制" w:id="452"/>
      <w:bookmarkEnd w:id="4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向纳入合并财务报表范围的结构化主体提供的财务支持或其他支持" w:id="453"/>
      <w:bookmarkEnd w:id="4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在子公司的所有者权益份额发生变化且仍控制子公司的交易" w:id="454"/>
      <w:bookmarkEnd w:id="45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在子公司所有者权益份额发生变化的情况说明" w:id="455"/>
      <w:bookmarkEnd w:id="4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2" w:lineRule="auto" w:before="0"/>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9</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6</w:t>
      </w:r>
      <w:r>
        <w:rPr>
          <w:rFonts w:ascii="宋体" w:hAnsi="宋体" w:cs="宋体" w:eastAsia="宋体" w:hint="default"/>
          <w:spacing w:val="-2"/>
          <w:sz w:val="22"/>
          <w:szCs w:val="22"/>
        </w:rPr>
        <w:t>日，公司召开第四届董事会第九次会议审议通过了《关于收购深圳市龙控智能技术有</w:t>
      </w:r>
      <w:r>
        <w:rPr>
          <w:rFonts w:ascii="宋体" w:hAnsi="宋体" w:cs="宋体" w:eastAsia="宋体" w:hint="default"/>
          <w:w w:val="100"/>
          <w:sz w:val="22"/>
          <w:szCs w:val="22"/>
        </w:rPr>
        <w:t> </w:t>
      </w:r>
      <w:r>
        <w:rPr>
          <w:rFonts w:ascii="宋体" w:hAnsi="宋体" w:cs="宋体" w:eastAsia="宋体" w:hint="default"/>
          <w:spacing w:val="-3"/>
          <w:sz w:val="22"/>
          <w:szCs w:val="22"/>
        </w:rPr>
        <w:t>限公司剩余股权并出让标的公司部分资产的议案》，同意公司使用自有资金</w:t>
      </w:r>
      <w:r>
        <w:rPr>
          <w:rFonts w:ascii="Times New Roman" w:hAnsi="Times New Roman" w:cs="Times New Roman" w:eastAsia="Times New Roman" w:hint="default"/>
          <w:spacing w:val="-3"/>
          <w:sz w:val="22"/>
          <w:szCs w:val="22"/>
        </w:rPr>
        <w:t>2,200</w:t>
      </w:r>
      <w:r>
        <w:rPr>
          <w:rFonts w:ascii="宋体" w:hAnsi="宋体" w:cs="宋体" w:eastAsia="宋体" w:hint="default"/>
          <w:spacing w:val="-3"/>
          <w:sz w:val="22"/>
          <w:szCs w:val="22"/>
        </w:rPr>
        <w:t>万元人民币收购王楚</w:t>
      </w:r>
      <w:r>
        <w:rPr>
          <w:rFonts w:ascii="宋体" w:hAnsi="宋体" w:cs="宋体" w:eastAsia="宋体" w:hint="default"/>
          <w:spacing w:val="-60"/>
          <w:sz w:val="22"/>
          <w:szCs w:val="22"/>
        </w:rPr>
        <w:t> </w:t>
      </w:r>
      <w:r>
        <w:rPr>
          <w:rFonts w:ascii="宋体" w:hAnsi="宋体" w:cs="宋体" w:eastAsia="宋体" w:hint="default"/>
          <w:spacing w:val="-60"/>
          <w:sz w:val="22"/>
          <w:szCs w:val="22"/>
        </w:rPr>
      </w:r>
      <w:r>
        <w:rPr>
          <w:rFonts w:ascii="宋体" w:hAnsi="宋体" w:cs="宋体" w:eastAsia="宋体" w:hint="default"/>
          <w:sz w:val="22"/>
          <w:szCs w:val="22"/>
        </w:rPr>
        <w:t>龙先生所持有的深圳市龙控智能技术有限公司</w:t>
      </w:r>
      <w:r>
        <w:rPr>
          <w:rFonts w:ascii="Times New Roman" w:hAnsi="Times New Roman" w:cs="Times New Roman" w:eastAsia="Times New Roman" w:hint="default"/>
          <w:sz w:val="22"/>
          <w:szCs w:val="22"/>
        </w:rPr>
        <w:t>49%</w:t>
      </w:r>
      <w:r>
        <w:rPr>
          <w:rFonts w:ascii="宋体" w:hAnsi="宋体" w:cs="宋体" w:eastAsia="宋体" w:hint="default"/>
          <w:sz w:val="22"/>
          <w:szCs w:val="22"/>
        </w:rPr>
        <w:t>股权（对应出资额</w:t>
      </w:r>
      <w:r>
        <w:rPr>
          <w:rFonts w:ascii="Times New Roman" w:hAnsi="Times New Roman" w:cs="Times New Roman" w:eastAsia="Times New Roman" w:hint="default"/>
          <w:sz w:val="22"/>
          <w:szCs w:val="22"/>
        </w:rPr>
        <w:t>490</w:t>
      </w:r>
      <w:r>
        <w:rPr>
          <w:rFonts w:ascii="宋体" w:hAnsi="宋体" w:cs="宋体" w:eastAsia="宋体" w:hint="default"/>
          <w:sz w:val="22"/>
          <w:szCs w:val="22"/>
        </w:rPr>
        <w:t>万元）；同时考虑到深圳龙</w:t>
      </w:r>
      <w:r>
        <w:rPr>
          <w:rFonts w:ascii="宋体" w:hAnsi="宋体" w:cs="宋体" w:eastAsia="宋体" w:hint="default"/>
          <w:spacing w:val="-11"/>
          <w:sz w:val="22"/>
          <w:szCs w:val="22"/>
        </w:rPr>
        <w:t> </w:t>
      </w:r>
      <w:r>
        <w:rPr>
          <w:rFonts w:ascii="宋体" w:hAnsi="宋体" w:cs="宋体" w:eastAsia="宋体" w:hint="default"/>
          <w:spacing w:val="-11"/>
          <w:sz w:val="22"/>
          <w:szCs w:val="22"/>
        </w:rPr>
      </w:r>
      <w:r>
        <w:rPr>
          <w:rFonts w:ascii="宋体" w:hAnsi="宋体" w:cs="宋体" w:eastAsia="宋体" w:hint="default"/>
          <w:spacing w:val="-2"/>
          <w:sz w:val="22"/>
          <w:szCs w:val="22"/>
        </w:rPr>
        <w:t>控原经营团队在经营过程中，尚有部分应收款项未收回、部分存货未能销售，且原经营团队收回该款</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项、处置该部分存货更有优势，由王楚龙先生购买深圳龙控的应收账款等资产。本次交易实施后，公</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司直接持有深圳龙控</w:t>
      </w:r>
      <w:r>
        <w:rPr>
          <w:rFonts w:ascii="Times New Roman" w:hAnsi="Times New Roman" w:cs="Times New Roman" w:eastAsia="Times New Roman" w:hint="default"/>
          <w:sz w:val="22"/>
          <w:szCs w:val="22"/>
        </w:rPr>
        <w:t>100%</w:t>
      </w:r>
      <w:r>
        <w:rPr>
          <w:rFonts w:ascii="宋体" w:hAnsi="宋体" w:cs="宋体" w:eastAsia="宋体" w:hint="default"/>
          <w:sz w:val="22"/>
          <w:szCs w:val="22"/>
        </w:rPr>
        <w:t>的股权，深圳龙控成为公司的全资子公司。</w:t>
      </w:r>
    </w:p>
    <w:p>
      <w:pPr>
        <w:spacing w:after="0" w:line="252" w:lineRule="auto"/>
        <w:jc w:val="both"/>
        <w:rPr>
          <w:rFonts w:ascii="宋体" w:hAnsi="宋体" w:cs="宋体" w:eastAsia="宋体" w:hint="default"/>
          <w:sz w:val="22"/>
          <w:szCs w:val="22"/>
        </w:rPr>
        <w:sectPr>
          <w:pgSz w:w="11910" w:h="16840"/>
          <w:pgMar w:header="863"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交易对于少数股东权益及归属于母公司所有者权益的影响" w:id="456"/>
      <w:bookmarkEnd w:id="4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购买成本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处置对价</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购买成本</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处置对价合计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减：按取得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处置的股权比例计算的子公司净资产份额</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14,489,299.28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其中：调整资本公积</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7,510,700.72</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3、在合营安排或联营企业中的权益" w:id="457"/>
      <w:bookmarkEnd w:id="45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重要的合营企业或联营企业" w:id="458"/>
      <w:bookmarkEnd w:id="4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重要合营企业的主要财务信息" w:id="459"/>
      <w:bookmarkEnd w:id="4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重要联营企业的主要财务信息" w:id="460"/>
      <w:bookmarkEnd w:id="4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不重要的合营企业和联营企业的汇总财务信息" w:id="461"/>
      <w:bookmarkEnd w:id="4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合营企业或联营企业向本公司转移资金的能力存在重大限制的说明" w:id="462"/>
      <w:bookmarkEnd w:id="4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合营企业或联营企业发生的超额亏损" w:id="463"/>
      <w:bookmarkEnd w:id="4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7）与合营企业投资相关的未确认承诺" w:id="464"/>
      <w:bookmarkEnd w:id="4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与合营企业或联营企业投资相关的或有负债" w:id="465"/>
      <w:bookmarkEnd w:id="4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重要的共同经营" w:id="466"/>
      <w:bookmarkEnd w:id="46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在未纳入合并财务报表范围的结构化主体中的权益" w:id="467"/>
      <w:bookmarkEnd w:id="46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Heading2"/>
        <w:spacing w:line="475" w:lineRule="auto"/>
        <w:ind w:right="7859"/>
        <w:jc w:val="left"/>
        <w:rPr>
          <w:b w:val="0"/>
          <w:bCs w:val="0"/>
        </w:rPr>
      </w:pPr>
      <w:bookmarkStart w:name="6、其他" w:id="468"/>
      <w:bookmarkEnd w:id="468"/>
      <w:r>
        <w:rPr>
          <w:b w:val="0"/>
          <w:bCs w:val="0"/>
        </w:rPr>
      </w:r>
      <w:r>
        <w:rPr>
          <w:rFonts w:ascii="Times New Roman" w:hAnsi="Times New Roman" w:cs="Times New Roman" w:eastAsia="Times New Roman" w:hint="default"/>
          <w:sz w:val="21"/>
          <w:szCs w:val="21"/>
        </w:rPr>
        <w:t>6</w:t>
      </w:r>
      <w:r>
        <w:rPr>
          <w:sz w:val="21"/>
          <w:szCs w:val="21"/>
        </w:rPr>
        <w:t>、其他</w:t>
      </w:r>
      <w:r>
        <w:rPr>
          <w:w w:val="100"/>
          <w:sz w:val="21"/>
          <w:szCs w:val="21"/>
        </w:rPr>
        <w:t> </w:t>
      </w:r>
      <w:bookmarkStart w:name="十、与金融工具相关的风险" w:id="469"/>
      <w:bookmarkEnd w:id="469"/>
      <w:r>
        <w:rPr>
          <w:w w:val="100"/>
          <w:sz w:val="21"/>
          <w:szCs w:val="21"/>
        </w:rPr>
      </w:r>
      <w:r>
        <w:rPr/>
        <w:t>十、与金融工具相关的风险</w:t>
      </w:r>
      <w:r>
        <w:rPr>
          <w:w w:val="99"/>
        </w:rPr>
        <w:t> </w:t>
      </w:r>
      <w:bookmarkStart w:name="十一、公允价值的披露" w:id="470"/>
      <w:bookmarkEnd w:id="470"/>
      <w:r>
        <w:rPr/>
        <w:t>十</w:t>
      </w:r>
      <w:r>
        <w:rPr/>
        <w:t>一、公允价值的披露</w:t>
      </w:r>
      <w:r>
        <w:rPr>
          <w:b w:val="0"/>
          <w:bCs w:val="0"/>
        </w:rPr>
      </w:r>
    </w:p>
    <w:p>
      <w:pPr>
        <w:spacing w:before="90"/>
        <w:ind w:left="153" w:right="0" w:firstLine="0"/>
        <w:jc w:val="left"/>
        <w:rPr>
          <w:rFonts w:ascii="宋体" w:hAnsi="宋体" w:cs="宋体" w:eastAsia="宋体" w:hint="default"/>
          <w:sz w:val="21"/>
          <w:szCs w:val="21"/>
        </w:rPr>
      </w:pPr>
      <w:bookmarkStart w:name="1、以公允价值计量的资产和负债的期末公允价值" w:id="471"/>
      <w:bookmarkEnd w:id="47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247"/>
        <w:gridCol w:w="1995"/>
        <w:gridCol w:w="1983"/>
        <w:gridCol w:w="1988"/>
        <w:gridCol w:w="1349"/>
      </w:tblGrid>
      <w:tr>
        <w:trPr>
          <w:trHeight w:val="206" w:hRule="exact"/>
        </w:trPr>
        <w:tc>
          <w:tcPr>
            <w:tcW w:w="22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15"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92" w:hRule="exact"/>
        </w:trPr>
        <w:tc>
          <w:tcPr>
            <w:tcW w:w="22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315"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47" w:type="dxa"/>
            <w:vMerge/>
            <w:tcBorders>
              <w:left w:val="single" w:sz="4" w:space="0" w:color="000000"/>
              <w:bottom w:val="nil" w:sz="6" w:space="0" w:color="auto"/>
              <w:right w:val="single" w:sz="4" w:space="0" w:color="000000"/>
            </w:tcBorders>
            <w:shd w:val="clear" w:color="auto" w:fill="D2D2D2"/>
          </w:tcPr>
          <w:p>
            <w:pPr/>
          </w:p>
        </w:tc>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8"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86"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86"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4" w:hRule="exact"/>
        </w:trPr>
        <w:tc>
          <w:tcPr>
            <w:tcW w:w="22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95" w:type="dxa"/>
            <w:vMerge/>
            <w:tcBorders>
              <w:left w:val="single" w:sz="4" w:space="0" w:color="000000"/>
              <w:bottom w:val="single" w:sz="4" w:space="0" w:color="000000"/>
              <w:right w:val="single" w:sz="4" w:space="0" w:color="000000"/>
            </w:tcBorders>
            <w:shd w:val="clear" w:color="auto" w:fill="D2D2D2"/>
          </w:tcPr>
          <w:p>
            <w:pPr/>
          </w:p>
        </w:tc>
        <w:tc>
          <w:tcPr>
            <w:tcW w:w="1983" w:type="dxa"/>
            <w:vMerge/>
            <w:tcBorders>
              <w:left w:val="single" w:sz="4" w:space="0" w:color="000000"/>
              <w:bottom w:val="single" w:sz="4" w:space="0" w:color="000000"/>
              <w:right w:val="single" w:sz="4" w:space="0" w:color="000000"/>
            </w:tcBorders>
            <w:shd w:val="clear" w:color="auto" w:fill="D2D2D2"/>
          </w:tcPr>
          <w:p>
            <w:pPr/>
          </w:p>
        </w:tc>
        <w:tc>
          <w:tcPr>
            <w:tcW w:w="1988"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一、持续的公允价值计量</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938"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left="927"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715"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以公允价值计量且其变动</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计入当期损益的金融资产</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439,854.15</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439,854.15</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439,854.15</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439,854.15</w:t>
            </w:r>
          </w:p>
        </w:tc>
      </w:tr>
      <w:tr>
        <w:trPr>
          <w:trHeight w:val="102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5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指定以公允价值计量且其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变动计入当期损益的金融资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产</w:t>
            </w:r>
          </w:p>
        </w:tc>
        <w:tc>
          <w:tcPr>
            <w:tcW w:w="1995" w:type="dxa"/>
            <w:tcBorders>
              <w:top w:val="single" w:sz="4" w:space="0" w:color="000000"/>
              <w:left w:val="single" w:sz="13" w:space="0" w:color="D2D2D2"/>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7" w:right="0"/>
              <w:jc w:val="left"/>
              <w:rPr>
                <w:rFonts w:ascii="Times New Roman" w:hAnsi="Times New Roman" w:cs="Times New Roman" w:eastAsia="Times New Roman" w:hint="default"/>
                <w:sz w:val="18"/>
                <w:szCs w:val="18"/>
              </w:rPr>
            </w:pPr>
            <w:r>
              <w:rPr>
                <w:rFonts w:ascii="Times New Roman"/>
                <w:sz w:val="18"/>
              </w:rPr>
              <w:t>46,278,973.00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46,278,973.00</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995" w:type="dxa"/>
            <w:tcBorders>
              <w:top w:val="single" w:sz="4" w:space="0" w:color="000000"/>
              <w:left w:val="single" w:sz="13" w:space="0" w:color="D2D2D2"/>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7" w:right="0"/>
              <w:jc w:val="left"/>
              <w:rPr>
                <w:rFonts w:ascii="Times New Roman" w:hAnsi="Times New Roman" w:cs="Times New Roman" w:eastAsia="Times New Roman" w:hint="default"/>
                <w:sz w:val="18"/>
                <w:szCs w:val="18"/>
              </w:rPr>
            </w:pPr>
            <w:r>
              <w:rPr>
                <w:rFonts w:ascii="Times New Roman"/>
                <w:sz w:val="18"/>
              </w:rPr>
              <w:t>46,278,973.00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46,278,973.00</w:t>
            </w:r>
          </w:p>
        </w:tc>
      </w:tr>
      <w:tr>
        <w:trPr>
          <w:trHeight w:val="716"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持续以公允价值计量的资产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总额</w:t>
            </w:r>
          </w:p>
        </w:tc>
        <w:tc>
          <w:tcPr>
            <w:tcW w:w="19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439,854.15</w:t>
            </w:r>
          </w:p>
        </w:tc>
        <w:tc>
          <w:tcPr>
            <w:tcW w:w="1983"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17" w:right="0"/>
              <w:jc w:val="left"/>
              <w:rPr>
                <w:rFonts w:ascii="Times New Roman" w:hAnsi="Times New Roman" w:cs="Times New Roman" w:eastAsia="Times New Roman" w:hint="default"/>
                <w:sz w:val="18"/>
                <w:szCs w:val="18"/>
              </w:rPr>
            </w:pPr>
            <w:r>
              <w:rPr>
                <w:rFonts w:ascii="Times New Roman"/>
                <w:sz w:val="18"/>
              </w:rPr>
              <w:t>46,278,973.00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46,718,827.15</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二、非持续的公允价值计量</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38"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927"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持续和非持续第一层次公允价值计量项目市价的确定依据" w:id="472"/>
      <w:bookmarkEnd w:id="4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本公司以活跃市场报价作为第一层次金融资产的公允价值。</w:t>
      </w:r>
    </w:p>
    <w:p>
      <w:pPr>
        <w:spacing w:line="240" w:lineRule="auto" w:before="7"/>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持续和非持续第二层次公允价值计量项目，采用的估值技术和重要参数的定性及定量信" w:id="473"/>
      <w:bookmarkEnd w:id="47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持续和非持续第三层次公允价值计量项目，采用的估值技术和重要参数的定性及定量信" w:id="474"/>
      <w:bookmarkEnd w:id="47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9" w:lineRule="auto" w:before="0"/>
        <w:ind w:left="153" w:right="0" w:firstLine="441"/>
        <w:jc w:val="left"/>
        <w:rPr>
          <w:rFonts w:ascii="宋体" w:hAnsi="宋体" w:cs="宋体" w:eastAsia="宋体" w:hint="default"/>
          <w:sz w:val="22"/>
          <w:szCs w:val="22"/>
        </w:rPr>
      </w:pPr>
      <w:r>
        <w:rPr>
          <w:rFonts w:ascii="宋体" w:hAnsi="宋体" w:cs="宋体" w:eastAsia="宋体" w:hint="default"/>
          <w:spacing w:val="2"/>
          <w:sz w:val="22"/>
          <w:szCs w:val="22"/>
        </w:rPr>
        <w:t>列入第三层次的金融资产主要是本公司对重庆云晟数据科技有限公司及上海国富光启云计算科</w:t>
      </w:r>
      <w:r>
        <w:rPr>
          <w:rFonts w:ascii="宋体" w:hAnsi="宋体" w:cs="宋体" w:eastAsia="宋体" w:hint="default"/>
          <w:w w:val="100"/>
          <w:sz w:val="22"/>
          <w:szCs w:val="22"/>
        </w:rPr>
        <w:t> </w:t>
      </w:r>
      <w:r>
        <w:rPr>
          <w:rFonts w:ascii="宋体" w:hAnsi="宋体" w:cs="宋体" w:eastAsia="宋体" w:hint="default"/>
          <w:sz w:val="22"/>
          <w:szCs w:val="22"/>
        </w:rPr>
        <w:t>技股份有限公司的股权投资，本公司以预计可收回金额作为第三层次金融资产的公允价值计价方法。</w:t>
      </w:r>
    </w:p>
    <w:p>
      <w:pPr>
        <w:spacing w:line="240" w:lineRule="auto" w:before="2"/>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5、持续的第三层次公允价值计量项目，期初与期末账面价值间的调节信息及不可观察参数" w:id="475"/>
      <w:bookmarkEnd w:id="47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持续的公允价值计量项目，本期内发生各层级之间转换的，转换的原因及确定转换时点" w:id="476"/>
      <w:bookmarkEnd w:id="47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7、本期内发生的估值技术变更及变更原因" w:id="477"/>
      <w:bookmarkEnd w:id="47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不以公允价值计量的金融资产和金融负债的公允价值情况" w:id="478"/>
      <w:bookmarkEnd w:id="47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4" w:lineRule="auto" w:before="0"/>
        <w:ind w:left="153" w:right="8100" w:firstLine="0"/>
        <w:jc w:val="left"/>
        <w:rPr>
          <w:rFonts w:ascii="宋体" w:hAnsi="宋体" w:cs="宋体" w:eastAsia="宋体" w:hint="default"/>
          <w:sz w:val="21"/>
          <w:szCs w:val="21"/>
        </w:rPr>
      </w:pPr>
      <w:bookmarkStart w:name="9、其他" w:id="479"/>
      <w:bookmarkEnd w:id="479"/>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80"/>
      <w:bookmarkEnd w:id="480"/>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81"/>
      <w:bookmarkEnd w:id="48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0"/>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1" w:right="65" w:hanging="360"/>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45" w:right="65" w:hanging="274"/>
              <w:jc w:val="left"/>
              <w:rPr>
                <w:rFonts w:ascii="宋体" w:hAnsi="宋体" w:cs="宋体" w:eastAsia="宋体" w:hint="default"/>
                <w:sz w:val="18"/>
                <w:szCs w:val="18"/>
              </w:rPr>
            </w:pPr>
            <w:r>
              <w:rPr>
                <w:rFonts w:ascii="宋体" w:hAnsi="宋体" w:cs="宋体" w:eastAsia="宋体" w:hint="default"/>
                <w:spacing w:val="-2"/>
                <w:sz w:val="18"/>
                <w:szCs w:val="18"/>
              </w:rPr>
              <w:t>母公司对本企业的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表决权比例</w:t>
            </w:r>
          </w:p>
        </w:tc>
      </w:tr>
    </w:tbl>
    <w:p>
      <w:pPr>
        <w:spacing w:after="0" w:line="316" w:lineRule="auto"/>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3"/>
              <w:jc w:val="left"/>
              <w:rPr>
                <w:rFonts w:ascii="宋体" w:hAnsi="宋体" w:cs="宋体" w:eastAsia="宋体" w:hint="default"/>
                <w:sz w:val="18"/>
                <w:szCs w:val="18"/>
              </w:rPr>
            </w:pPr>
            <w:r>
              <w:rPr>
                <w:rFonts w:ascii="宋体" w:hAnsi="宋体" w:cs="宋体" w:eastAsia="宋体" w:hint="default"/>
                <w:spacing w:val="-2"/>
                <w:sz w:val="18"/>
                <w:szCs w:val="18"/>
              </w:rPr>
              <w:t>依米康科技集团股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成都市高新区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其他专业设备制造</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441" w:right="0"/>
              <w:jc w:val="left"/>
              <w:rPr>
                <w:rFonts w:ascii="Times New Roman" w:hAnsi="Times New Roman" w:cs="Times New Roman" w:eastAsia="Times New Roman" w:hint="default"/>
                <w:sz w:val="18"/>
                <w:szCs w:val="18"/>
              </w:rPr>
            </w:pPr>
            <w:r>
              <w:rPr>
                <w:rFonts w:ascii="Times New Roman"/>
                <w:sz w:val="18"/>
              </w:rPr>
              <w:t>437,470,194.00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917" w:right="0"/>
              <w:jc w:val="lef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921" w:right="0"/>
              <w:jc w:val="left"/>
              <w:rPr>
                <w:rFonts w:ascii="Times New Roman" w:hAnsi="Times New Roman" w:cs="Times New Roman" w:eastAsia="Times New Roman" w:hint="default"/>
                <w:sz w:val="18"/>
                <w:szCs w:val="18"/>
              </w:rPr>
            </w:pPr>
            <w:r>
              <w:rPr>
                <w:rFonts w:ascii="Times New Roman"/>
                <w:sz w:val="18"/>
              </w:rPr>
              <w:t>100.00%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本企业的母公司情况的说明</w:t>
      </w:r>
    </w:p>
    <w:p>
      <w:pPr>
        <w:spacing w:line="240" w:lineRule="auto" w:before="5"/>
        <w:rPr>
          <w:rFonts w:ascii="宋体" w:hAnsi="宋体" w:cs="宋体" w:eastAsia="宋体" w:hint="default"/>
          <w:sz w:val="21"/>
          <w:szCs w:val="21"/>
        </w:rPr>
      </w:pPr>
    </w:p>
    <w:p>
      <w:pPr>
        <w:spacing w:line="244" w:lineRule="auto" w:before="0"/>
        <w:ind w:left="153" w:right="1131" w:firstLine="441"/>
        <w:jc w:val="left"/>
        <w:rPr>
          <w:rFonts w:ascii="宋体" w:hAnsi="宋体" w:cs="宋体" w:eastAsia="宋体" w:hint="default"/>
          <w:sz w:val="22"/>
          <w:szCs w:val="22"/>
        </w:rPr>
      </w:pPr>
      <w:r>
        <w:rPr>
          <w:rFonts w:ascii="宋体" w:hAnsi="宋体" w:cs="宋体" w:eastAsia="宋体" w:hint="default"/>
          <w:spacing w:val="-3"/>
          <w:sz w:val="22"/>
          <w:szCs w:val="22"/>
        </w:rPr>
        <w:t>本公司股东孙屹峥、张菀系夫妻关系，合计持有本公司总股本的</w:t>
      </w:r>
      <w:r>
        <w:rPr>
          <w:rFonts w:ascii="Times New Roman" w:hAnsi="Times New Roman" w:cs="Times New Roman" w:eastAsia="Times New Roman" w:hint="default"/>
          <w:spacing w:val="-3"/>
          <w:sz w:val="22"/>
          <w:szCs w:val="22"/>
        </w:rPr>
        <w:t>35.18%</w:t>
      </w:r>
      <w:r>
        <w:rPr>
          <w:rFonts w:ascii="宋体" w:hAnsi="宋体" w:cs="宋体" w:eastAsia="宋体" w:hint="default"/>
          <w:spacing w:val="-3"/>
          <w:sz w:val="22"/>
          <w:szCs w:val="22"/>
        </w:rPr>
        <w:t>股份，为本公司的实际控</w:t>
      </w:r>
      <w:r>
        <w:rPr>
          <w:rFonts w:ascii="宋体" w:hAnsi="宋体" w:cs="宋体" w:eastAsia="宋体" w:hint="default"/>
          <w:w w:val="100"/>
          <w:sz w:val="22"/>
          <w:szCs w:val="22"/>
        </w:rPr>
        <w:t> </w:t>
      </w:r>
      <w:r>
        <w:rPr>
          <w:rFonts w:ascii="宋体" w:hAnsi="宋体" w:cs="宋体" w:eastAsia="宋体" w:hint="default"/>
          <w:sz w:val="22"/>
          <w:szCs w:val="22"/>
        </w:rPr>
        <w:t>制人。</w:t>
      </w:r>
    </w:p>
    <w:p>
      <w:pPr>
        <w:spacing w:line="240" w:lineRule="auto" w:before="11"/>
        <w:rPr>
          <w:rFonts w:ascii="宋体" w:hAnsi="宋体" w:cs="宋体" w:eastAsia="宋体" w:hint="default"/>
          <w:sz w:val="19"/>
          <w:szCs w:val="19"/>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本企业最终控制方是孙屹峥、张菀夫妻。</w:t>
      </w:r>
    </w:p>
    <w:p>
      <w:pPr>
        <w:spacing w:before="99"/>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9"/>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本企业的子公司情况" w:id="482"/>
      <w:bookmarkEnd w:id="48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本企业子公司的情况详见附注九</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r>
        <w:rPr>
          <w:rFonts w:ascii="Times New Roman" w:hAnsi="Times New Roman" w:cs="Times New Roman" w:eastAsia="Times New Roman" w:hint="default"/>
          <w:sz w:val="22"/>
          <w:szCs w:val="22"/>
        </w:rPr>
        <w:t>1</w:t>
      </w:r>
      <w:r>
        <w:rPr>
          <w:rFonts w:ascii="宋体" w:hAnsi="宋体" w:cs="宋体" w:eastAsia="宋体" w:hint="default"/>
          <w:sz w:val="22"/>
          <w:szCs w:val="22"/>
        </w:rPr>
        <w:t>）。</w:t>
      </w:r>
    </w:p>
    <w:p>
      <w:pPr>
        <w:spacing w:line="240" w:lineRule="auto" w:before="3"/>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bookmarkStart w:name="3、本企业合营和联营企业情况" w:id="483"/>
      <w:bookmarkEnd w:id="48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其他关联方情况" w:id="484"/>
      <w:bookmarkEnd w:id="48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四川辰兴建设有限公司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与实际控制人关系密切的家庭成员控制的企业</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8"/>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5、关联交易情况" w:id="485"/>
      <w:bookmarkEnd w:id="48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购销商品、提供和接受劳务的关联交易" w:id="486"/>
      <w:bookmarkEnd w:id="4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24" w:right="60"/>
              <w:jc w:val="left"/>
              <w:rPr>
                <w:rFonts w:ascii="宋体" w:hAnsi="宋体" w:cs="宋体" w:eastAsia="宋体" w:hint="default"/>
                <w:sz w:val="18"/>
                <w:szCs w:val="18"/>
              </w:rPr>
            </w:pPr>
            <w:r>
              <w:rPr>
                <w:rFonts w:ascii="宋体" w:hAnsi="宋体" w:cs="宋体" w:eastAsia="宋体" w:hint="default"/>
                <w:spacing w:val="-2"/>
                <w:sz w:val="18"/>
                <w:szCs w:val="18"/>
              </w:rPr>
              <w:t>四川辰兴建设有限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接收劳务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2,500,000.00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关联受托管理/承包及委托管理/出包情况" w:id="487"/>
      <w:bookmarkEnd w:id="48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关联租赁情况" w:id="488"/>
      <w:bookmarkEnd w:id="4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关联担保情况" w:id="489"/>
      <w:bookmarkEnd w:id="4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7"/>
        <w:gridCol w:w="1705"/>
        <w:gridCol w:w="1911"/>
        <w:gridCol w:w="1916"/>
        <w:gridCol w:w="1916"/>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96"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8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33" w:right="0"/>
              <w:jc w:val="left"/>
              <w:rPr>
                <w:rFonts w:ascii="Times New Roman" w:hAnsi="Times New Roman" w:cs="Times New Roman" w:eastAsia="Times New Roman" w:hint="default"/>
                <w:sz w:val="18"/>
                <w:szCs w:val="18"/>
              </w:rPr>
            </w:pPr>
            <w:r>
              <w:rPr>
                <w:rFonts w:ascii="Times New Roman"/>
                <w:sz w:val="18"/>
              </w:rPr>
              <w:t>26,000,000.00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27"/>
        <w:gridCol w:w="1705"/>
        <w:gridCol w:w="1911"/>
        <w:gridCol w:w="1916"/>
        <w:gridCol w:w="1916"/>
      </w:tblGrid>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上海虹港</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上海虹港</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2,900,000.00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3,307,123.89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华延芯光</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3"/>
                <w:sz w:val="18"/>
              </w:rPr>
              <w:t>151,111,111.12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依米康智能</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2,525,900.00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1,460,830.00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平昌依米康</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71,000,000.00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863"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27"/>
        <w:gridCol w:w="1705"/>
        <w:gridCol w:w="1911"/>
        <w:gridCol w:w="1916"/>
        <w:gridCol w:w="1916"/>
      </w:tblGrid>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依米康龙控软件</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依米康智能</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8,396,433.91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本公司作为被担保方</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7"/>
        <w:gridCol w:w="1705"/>
        <w:gridCol w:w="1911"/>
        <w:gridCol w:w="1916"/>
        <w:gridCol w:w="1916"/>
      </w:tblGrid>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江苏亿金、华延芯光</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江苏亿金、孙屹峥、张菀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10"/>
                <w:w w:val="101"/>
                <w:sz w:val="18"/>
                <w:szCs w:val="18"/>
              </w:rPr>
              <w:t>成都高投融资担保公司、桑</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瑞思公司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909,932.77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8,658,000.00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6,599,801.89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0"/>
                <w:sz w:val="18"/>
                <w:szCs w:val="18"/>
              </w:rPr>
              <w:t>桑瑞思、依米康智能、孙屹</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桑瑞思、依米康智能</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3,891,156.85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2,837,986.04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49,900,000.00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孙屹峥、张菀</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5）关联方资金拆借" w:id="490"/>
      <w:bookmarkEnd w:id="4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1416"/>
        <w:gridCol w:w="1988"/>
        <w:gridCol w:w="1844"/>
        <w:gridCol w:w="3049"/>
      </w:tblGrid>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6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98"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0" w:right="0"/>
              <w:jc w:val="left"/>
              <w:rPr>
                <w:rFonts w:ascii="Times New Roman" w:hAnsi="Times New Roman" w:cs="Times New Roman" w:eastAsia="Times New Roman" w:hint="default"/>
                <w:sz w:val="18"/>
                <w:szCs w:val="18"/>
              </w:rPr>
            </w:pPr>
            <w:r>
              <w:rPr>
                <w:rFonts w:ascii="Times New Roman"/>
                <w:sz w:val="18"/>
              </w:rPr>
              <w:t>38,096,877.65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日，已全部归还</w:t>
            </w: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6）关联方资产转让、债务重组情况" w:id="491"/>
      <w:bookmarkEnd w:id="4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7）关键管理人员报酬" w:id="492"/>
      <w:bookmarkEnd w:id="49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32"/>
        <w:gridCol w:w="3116"/>
        <w:gridCol w:w="2627"/>
      </w:tblGrid>
      <w:tr>
        <w:trPr>
          <w:trHeight w:val="398" w:hRule="exact"/>
        </w:trPr>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5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董事、监事、高级管理人员及其他核心人员人数</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12.00</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17.00</w:t>
            </w:r>
          </w:p>
        </w:tc>
      </w:tr>
      <w:tr>
        <w:trPr>
          <w:trHeight w:val="403"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11.00</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16.00</w:t>
            </w:r>
          </w:p>
        </w:tc>
      </w:tr>
      <w:tr>
        <w:trPr>
          <w:trHeight w:val="403" w:hRule="exact"/>
        </w:trPr>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报酬总额（元）</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2,762,100.00</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3,310,113.20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8）其他关联交易" w:id="493"/>
      <w:bookmarkEnd w:id="4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关联方应收应付款项" w:id="494"/>
      <w:bookmarkEnd w:id="49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项目" w:id="495"/>
      <w:bookmarkEnd w:id="4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应付项目" w:id="496"/>
      <w:bookmarkEnd w:id="4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张菀</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25" w:right="0"/>
              <w:jc w:val="left"/>
              <w:rPr>
                <w:rFonts w:ascii="Times New Roman" w:hAnsi="Times New Roman" w:cs="Times New Roman" w:eastAsia="Times New Roman" w:hint="default"/>
                <w:sz w:val="18"/>
                <w:szCs w:val="18"/>
              </w:rPr>
            </w:pPr>
            <w:r>
              <w:rPr>
                <w:rFonts w:ascii="Times New Roman"/>
                <w:sz w:val="18"/>
              </w:rPr>
              <w:t>38,096,877.65</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7、关联方承诺" w:id="497"/>
      <w:bookmarkEnd w:id="49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line="487" w:lineRule="auto" w:before="0"/>
        <w:ind w:left="153" w:right="8748" w:firstLine="0"/>
        <w:jc w:val="left"/>
        <w:rPr>
          <w:rFonts w:ascii="宋体" w:hAnsi="宋体" w:cs="宋体" w:eastAsia="宋体" w:hint="default"/>
          <w:sz w:val="21"/>
          <w:szCs w:val="21"/>
        </w:rPr>
      </w:pPr>
      <w:bookmarkStart w:name="8、其他" w:id="498"/>
      <w:bookmarkEnd w:id="49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99"/>
      <w:bookmarkEnd w:id="499"/>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500"/>
      <w:bookmarkEnd w:id="50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15"/>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1"/>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8,517,400.00</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4"/>
        <w:rPr>
          <w:rFonts w:ascii="宋体" w:hAnsi="宋体" w:cs="宋体" w:eastAsia="宋体" w:hint="default"/>
          <w:sz w:val="26"/>
          <w:szCs w:val="26"/>
        </w:rPr>
      </w:pPr>
    </w:p>
    <w:p>
      <w:pPr>
        <w:spacing w:before="0"/>
        <w:ind w:left="153" w:right="0" w:firstLine="0"/>
        <w:jc w:val="left"/>
        <w:rPr>
          <w:rFonts w:ascii="宋体" w:hAnsi="宋体" w:cs="宋体" w:eastAsia="宋体" w:hint="default"/>
          <w:sz w:val="21"/>
          <w:szCs w:val="21"/>
        </w:rPr>
      </w:pPr>
      <w:bookmarkStart w:name="2、以权益结算的股份支付情况" w:id="501"/>
      <w:bookmarkEnd w:id="50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71"/>
        <w:gridCol w:w="5599"/>
      </w:tblGrid>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B-S</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模型</w:t>
            </w:r>
          </w:p>
        </w:tc>
      </w:tr>
      <w:tr>
        <w:trPr>
          <w:trHeight w:val="710"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4"/>
                <w:sz w:val="18"/>
                <w:szCs w:val="18"/>
              </w:rPr>
              <w:t> </w:t>
            </w:r>
            <w:r>
              <w:rPr>
                <w:rFonts w:ascii="宋体" w:hAnsi="宋体" w:cs="宋体" w:eastAsia="宋体" w:hint="default"/>
                <w:spacing w:val="-5"/>
                <w:sz w:val="18"/>
                <w:szCs w:val="18"/>
              </w:rPr>
              <w:t>年第四次临时股东大会决议通过的《</w:t>
            </w:r>
            <w:r>
              <w:rPr>
                <w:rFonts w:ascii="Times New Roman" w:hAnsi="Times New Roman" w:cs="Times New Roman" w:eastAsia="Times New Roman" w:hint="default"/>
                <w:spacing w:val="-5"/>
                <w:sz w:val="18"/>
                <w:szCs w:val="18"/>
              </w:rPr>
              <w:t>&lt;</w:t>
            </w:r>
            <w:r>
              <w:rPr>
                <w:rFonts w:ascii="宋体" w:hAnsi="宋体" w:cs="宋体" w:eastAsia="宋体" w:hint="default"/>
                <w:spacing w:val="-5"/>
                <w:sz w:val="18"/>
                <w:szCs w:val="18"/>
              </w:rPr>
              <w:t>四川依米康环境科技股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份有限公司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年限制性股票激励计划（草案）</w:t>
            </w:r>
            <w:r>
              <w:rPr>
                <w:rFonts w:ascii="Times New Roman" w:hAnsi="Times New Roman" w:cs="Times New Roman" w:eastAsia="Times New Roman" w:hint="default"/>
                <w:spacing w:val="-3"/>
                <w:sz w:val="18"/>
                <w:szCs w:val="18"/>
              </w:rPr>
              <w:t>&gt;</w:t>
            </w:r>
            <w:r>
              <w:rPr>
                <w:rFonts w:ascii="宋体" w:hAnsi="宋体" w:cs="宋体" w:eastAsia="宋体" w:hint="default"/>
                <w:spacing w:val="-3"/>
                <w:sz w:val="18"/>
                <w:szCs w:val="18"/>
              </w:rPr>
              <w:t>及其摘要》</w:t>
            </w:r>
          </w:p>
        </w:tc>
      </w:tr>
      <w:tr>
        <w:trPr>
          <w:trHeight w:val="40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16,576,938.89</w:t>
            </w:r>
          </w:p>
        </w:tc>
      </w:tr>
      <w:tr>
        <w:trPr>
          <w:trHeight w:val="40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5,328,753.89</w:t>
            </w:r>
          </w:p>
        </w:tc>
      </w:tr>
    </w:tbl>
    <w:p>
      <w:pPr>
        <w:spacing w:line="357" w:lineRule="auto" w:before="53"/>
        <w:ind w:left="153" w:right="10031" w:firstLine="0"/>
        <w:jc w:val="left"/>
        <w:rPr>
          <w:rFonts w:ascii="宋体" w:hAnsi="宋体" w:cs="宋体" w:eastAsia="宋体" w:hint="default"/>
          <w:sz w:val="18"/>
          <w:szCs w:val="18"/>
        </w:rPr>
      </w:pPr>
      <w:r>
        <w:rPr>
          <w:rFonts w:ascii="宋体" w:hAnsi="宋体" w:cs="宋体" w:eastAsia="宋体" w:hint="default"/>
          <w:sz w:val="18"/>
          <w:szCs w:val="18"/>
        </w:rPr>
        <w:t>其他说明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无</w:t>
      </w:r>
    </w:p>
    <w:p>
      <w:pPr>
        <w:spacing w:line="240" w:lineRule="auto" w:before="3"/>
        <w:rPr>
          <w:rFonts w:ascii="宋体" w:hAnsi="宋体" w:cs="宋体" w:eastAsia="宋体" w:hint="default"/>
          <w:sz w:val="20"/>
          <w:szCs w:val="20"/>
        </w:rPr>
      </w:pPr>
    </w:p>
    <w:p>
      <w:pPr>
        <w:spacing w:before="0"/>
        <w:ind w:left="153" w:right="0" w:firstLine="0"/>
        <w:jc w:val="left"/>
        <w:rPr>
          <w:rFonts w:ascii="宋体" w:hAnsi="宋体" w:cs="宋体" w:eastAsia="宋体" w:hint="default"/>
          <w:sz w:val="21"/>
          <w:szCs w:val="21"/>
        </w:rPr>
      </w:pPr>
      <w:bookmarkStart w:name="3、以现金结算的股份支付情况" w:id="502"/>
      <w:bookmarkEnd w:id="50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4、股份支付的修改、终止情况" w:id="503"/>
      <w:bookmarkEnd w:id="50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3" w:right="8341" w:firstLine="0"/>
        <w:jc w:val="left"/>
        <w:rPr>
          <w:rFonts w:ascii="宋体" w:hAnsi="宋体" w:cs="宋体" w:eastAsia="宋体" w:hint="default"/>
          <w:sz w:val="21"/>
          <w:szCs w:val="21"/>
        </w:rPr>
      </w:pPr>
      <w:bookmarkStart w:name="5、其他" w:id="504"/>
      <w:bookmarkEnd w:id="50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05"/>
      <w:bookmarkEnd w:id="505"/>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6"/>
      <w:bookmarkEnd w:id="5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10"/>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资产负债表日存在的重要承诺</w:t>
      </w:r>
    </w:p>
    <w:p>
      <w:pPr>
        <w:spacing w:line="240" w:lineRule="auto" w:before="9"/>
        <w:rPr>
          <w:rFonts w:ascii="宋体" w:hAnsi="宋体" w:cs="宋体" w:eastAsia="宋体" w:hint="default"/>
          <w:sz w:val="21"/>
          <w:szCs w:val="21"/>
        </w:rPr>
      </w:pPr>
    </w:p>
    <w:p>
      <w:pPr>
        <w:spacing w:before="0"/>
        <w:ind w:left="652" w:right="0" w:firstLine="0"/>
        <w:jc w:val="left"/>
        <w:rPr>
          <w:rFonts w:ascii="宋体" w:hAnsi="宋体" w:cs="宋体" w:eastAsia="宋体" w:hint="default"/>
          <w:sz w:val="22"/>
          <w:szCs w:val="22"/>
        </w:rPr>
      </w:pPr>
      <w:r>
        <w:rPr>
          <w:rFonts w:ascii="宋体" w:hAnsi="宋体" w:cs="宋体" w:eastAsia="宋体" w:hint="default"/>
          <w:sz w:val="22"/>
          <w:szCs w:val="22"/>
        </w:rPr>
        <w:t>截至</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日，本集团不存在需要披露的重要承诺事项。</w:t>
      </w:r>
    </w:p>
    <w:p>
      <w:pPr>
        <w:spacing w:line="240" w:lineRule="auto" w:before="11"/>
        <w:rPr>
          <w:rFonts w:ascii="宋体" w:hAnsi="宋体" w:cs="宋体" w:eastAsia="宋体" w:hint="default"/>
          <w:sz w:val="23"/>
          <w:szCs w:val="23"/>
        </w:rPr>
      </w:pPr>
    </w:p>
    <w:p>
      <w:pPr>
        <w:spacing w:before="0"/>
        <w:ind w:left="153" w:right="0" w:firstLine="0"/>
        <w:jc w:val="left"/>
        <w:rPr>
          <w:rFonts w:ascii="宋体" w:hAnsi="宋体" w:cs="宋体" w:eastAsia="宋体" w:hint="default"/>
          <w:sz w:val="21"/>
          <w:szCs w:val="21"/>
        </w:rPr>
      </w:pPr>
      <w:bookmarkStart w:name="2、或有事项" w:id="507"/>
      <w:bookmarkEnd w:id="50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资产负债表日存在的重要或有事项" w:id="508"/>
      <w:bookmarkEnd w:id="5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spacing w:line="247" w:lineRule="auto" w:before="0"/>
        <w:ind w:left="153" w:right="1125" w:firstLine="441"/>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本公司全资子公司桑瑞思与上海斐讯数据通信技术有限公司建设工程施工合同纠纷一案，涉案</w:t>
      </w:r>
      <w:r>
        <w:rPr>
          <w:rFonts w:ascii="宋体" w:hAnsi="宋体" w:cs="宋体" w:eastAsia="宋体" w:hint="default"/>
          <w:w w:val="100"/>
          <w:sz w:val="22"/>
          <w:szCs w:val="22"/>
        </w:rPr>
        <w:t> </w:t>
      </w:r>
      <w:r>
        <w:rPr>
          <w:rFonts w:ascii="宋体" w:hAnsi="宋体" w:cs="宋体" w:eastAsia="宋体" w:hint="default"/>
          <w:spacing w:val="-2"/>
          <w:sz w:val="22"/>
          <w:szCs w:val="22"/>
        </w:rPr>
        <w:t>金额</w:t>
      </w:r>
      <w:r>
        <w:rPr>
          <w:rFonts w:ascii="Times New Roman" w:hAnsi="Times New Roman" w:cs="Times New Roman" w:eastAsia="Times New Roman" w:hint="default"/>
          <w:spacing w:val="-2"/>
          <w:sz w:val="22"/>
          <w:szCs w:val="22"/>
        </w:rPr>
        <w:t>1,595.22</w:t>
      </w:r>
      <w:r>
        <w:rPr>
          <w:rFonts w:ascii="宋体" w:hAnsi="宋体" w:cs="宋体" w:eastAsia="宋体" w:hint="default"/>
          <w:spacing w:val="-2"/>
          <w:sz w:val="22"/>
          <w:szCs w:val="22"/>
        </w:rPr>
        <w:t>万元。上海市松江区人民法院已于</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2</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日受理，</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3</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15</w:t>
      </w:r>
      <w:r>
        <w:rPr>
          <w:rFonts w:ascii="宋体" w:hAnsi="宋体" w:cs="宋体" w:eastAsia="宋体" w:hint="default"/>
          <w:spacing w:val="-2"/>
          <w:sz w:val="22"/>
          <w:szCs w:val="22"/>
        </w:rPr>
        <w:t>日开庭审理，</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宋体" w:hAnsi="宋体" w:cs="宋体" w:eastAsia="宋体" w:hint="default"/>
          <w:spacing w:val="-39"/>
          <w:sz w:val="22"/>
          <w:szCs w:val="22"/>
        </w:rPr>
        <w:t> </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23</w:t>
      </w:r>
      <w:r>
        <w:rPr>
          <w:rFonts w:ascii="宋体" w:hAnsi="宋体" w:cs="宋体" w:eastAsia="宋体" w:hint="default"/>
          <w:sz w:val="22"/>
          <w:szCs w:val="22"/>
        </w:rPr>
        <w:t>日二次开庭，</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9</w:t>
      </w:r>
      <w:r>
        <w:rPr>
          <w:rFonts w:ascii="宋体" w:hAnsi="宋体" w:cs="宋体" w:eastAsia="宋体" w:hint="default"/>
          <w:sz w:val="22"/>
          <w:szCs w:val="22"/>
        </w:rPr>
        <w:t>月</w:t>
      </w:r>
      <w:r>
        <w:rPr>
          <w:rFonts w:ascii="Times New Roman" w:hAnsi="Times New Roman" w:cs="Times New Roman" w:eastAsia="Times New Roman" w:hint="default"/>
          <w:sz w:val="22"/>
          <w:szCs w:val="22"/>
        </w:rPr>
        <w:t>19</w:t>
      </w:r>
      <w:r>
        <w:rPr>
          <w:rFonts w:ascii="宋体" w:hAnsi="宋体" w:cs="宋体" w:eastAsia="宋体" w:hint="default"/>
          <w:sz w:val="22"/>
          <w:szCs w:val="22"/>
        </w:rPr>
        <w:t>日法院进行了询问。桑瑞思于</w:t>
      </w:r>
      <w:r>
        <w:rPr>
          <w:rFonts w:ascii="Times New Roman" w:hAnsi="Times New Roman" w:cs="Times New Roman" w:eastAsia="Times New Roman" w:hint="default"/>
          <w:sz w:val="22"/>
          <w:szCs w:val="22"/>
        </w:rPr>
        <w:t>2020</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月撤诉后重新起诉（增加诉请</w:t>
      </w:r>
      <w:r>
        <w:rPr>
          <w:rFonts w:ascii="宋体" w:hAnsi="宋体" w:cs="宋体" w:eastAsia="宋体" w:hint="default"/>
          <w:spacing w:val="-51"/>
          <w:sz w:val="22"/>
          <w:szCs w:val="22"/>
        </w:rPr>
        <w:t> </w:t>
      </w:r>
      <w:r>
        <w:rPr>
          <w:rFonts w:ascii="宋体" w:hAnsi="宋体" w:cs="宋体" w:eastAsia="宋体" w:hint="default"/>
          <w:spacing w:val="-51"/>
          <w:sz w:val="22"/>
          <w:szCs w:val="22"/>
        </w:rPr>
      </w:r>
      <w:r>
        <w:rPr>
          <w:rFonts w:ascii="宋体" w:hAnsi="宋体" w:cs="宋体" w:eastAsia="宋体" w:hint="default"/>
          <w:sz w:val="22"/>
          <w:szCs w:val="22"/>
        </w:rPr>
        <w:t>为解除施工合同），松江区法院已经重新立案，案号：（</w:t>
      </w:r>
      <w:r>
        <w:rPr>
          <w:rFonts w:ascii="Times New Roman" w:hAnsi="Times New Roman" w:cs="Times New Roman" w:eastAsia="Times New Roman" w:hint="default"/>
          <w:sz w:val="22"/>
          <w:szCs w:val="22"/>
        </w:rPr>
        <w:t>2020</w:t>
      </w:r>
      <w:r>
        <w:rPr>
          <w:rFonts w:ascii="宋体" w:hAnsi="宋体" w:cs="宋体" w:eastAsia="宋体" w:hint="default"/>
          <w:sz w:val="22"/>
          <w:szCs w:val="22"/>
        </w:rPr>
        <w:t>）沪</w:t>
      </w:r>
      <w:r>
        <w:rPr>
          <w:rFonts w:ascii="Times New Roman" w:hAnsi="Times New Roman" w:cs="Times New Roman" w:eastAsia="Times New Roman" w:hint="default"/>
          <w:sz w:val="22"/>
          <w:szCs w:val="22"/>
        </w:rPr>
        <w:t>0117</w:t>
      </w:r>
      <w:r>
        <w:rPr>
          <w:rFonts w:ascii="宋体" w:hAnsi="宋体" w:cs="宋体" w:eastAsia="宋体" w:hint="default"/>
          <w:sz w:val="22"/>
          <w:szCs w:val="22"/>
        </w:rPr>
        <w:t>民初</w:t>
      </w:r>
      <w:r>
        <w:rPr>
          <w:rFonts w:ascii="Times New Roman" w:hAnsi="Times New Roman" w:cs="Times New Roman" w:eastAsia="Times New Roman" w:hint="default"/>
          <w:sz w:val="22"/>
          <w:szCs w:val="22"/>
        </w:rPr>
        <w:t>1663</w:t>
      </w:r>
      <w:r>
        <w:rPr>
          <w:rFonts w:ascii="宋体" w:hAnsi="宋体" w:cs="宋体" w:eastAsia="宋体" w:hint="default"/>
          <w:sz w:val="22"/>
          <w:szCs w:val="22"/>
        </w:rPr>
        <w:t>号。</w:t>
      </w:r>
    </w:p>
    <w:p>
      <w:pPr>
        <w:spacing w:line="244" w:lineRule="auto" w:before="120"/>
        <w:ind w:left="153" w:right="1125" w:firstLine="441"/>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2.</w:t>
      </w:r>
      <w:r>
        <w:rPr>
          <w:rFonts w:ascii="宋体" w:hAnsi="宋体" w:cs="宋体" w:eastAsia="宋体" w:hint="default"/>
          <w:spacing w:val="-1"/>
          <w:sz w:val="22"/>
          <w:szCs w:val="22"/>
        </w:rPr>
        <w:t>本公司全资子公司依米康智能与上海斐讯数据通信技术有限公司建设工程施工合同纠纷一案，</w:t>
      </w:r>
      <w:r>
        <w:rPr>
          <w:rFonts w:ascii="宋体" w:hAnsi="宋体" w:cs="宋体" w:eastAsia="宋体" w:hint="default"/>
          <w:w w:val="100"/>
          <w:sz w:val="22"/>
          <w:szCs w:val="22"/>
        </w:rPr>
        <w:t> </w:t>
      </w:r>
      <w:r>
        <w:rPr>
          <w:rFonts w:ascii="宋体" w:hAnsi="宋体" w:cs="宋体" w:eastAsia="宋体" w:hint="default"/>
          <w:sz w:val="22"/>
          <w:szCs w:val="22"/>
        </w:rPr>
        <w:t>涉案金额</w:t>
      </w:r>
      <w:r>
        <w:rPr>
          <w:rFonts w:ascii="宋体" w:hAnsi="宋体" w:cs="宋体" w:eastAsia="宋体" w:hint="default"/>
          <w:spacing w:val="-45"/>
          <w:sz w:val="22"/>
          <w:szCs w:val="22"/>
        </w:rPr>
        <w:t> </w:t>
      </w:r>
      <w:r>
        <w:rPr>
          <w:rFonts w:ascii="Times New Roman" w:hAnsi="Times New Roman" w:cs="Times New Roman" w:eastAsia="Times New Roman" w:hint="default"/>
          <w:sz w:val="22"/>
          <w:szCs w:val="22"/>
        </w:rPr>
        <w:t>2,825.34</w:t>
      </w:r>
      <w:r>
        <w:rPr>
          <w:rFonts w:ascii="宋体" w:hAnsi="宋体" w:cs="宋体" w:eastAsia="宋体" w:hint="default"/>
          <w:sz w:val="22"/>
          <w:szCs w:val="22"/>
        </w:rPr>
        <w:t>万元，上海市松江区人民法院已于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2</w:t>
      </w:r>
      <w:r>
        <w:rPr>
          <w:rFonts w:ascii="宋体" w:hAnsi="宋体" w:cs="宋体" w:eastAsia="宋体" w:hint="default"/>
          <w:sz w:val="22"/>
          <w:szCs w:val="22"/>
        </w:rPr>
        <w:t>月</w:t>
      </w:r>
      <w:r>
        <w:rPr>
          <w:rFonts w:ascii="Times New Roman" w:hAnsi="Times New Roman" w:cs="Times New Roman" w:eastAsia="Times New Roman" w:hint="default"/>
          <w:sz w:val="22"/>
          <w:szCs w:val="22"/>
        </w:rPr>
        <w:t>1</w:t>
      </w:r>
      <w:r>
        <w:rPr>
          <w:rFonts w:ascii="宋体" w:hAnsi="宋体" w:cs="宋体" w:eastAsia="宋体" w:hint="default"/>
          <w:sz w:val="22"/>
          <w:szCs w:val="22"/>
        </w:rPr>
        <w:t>日受理，</w:t>
      </w:r>
      <w:r>
        <w:rPr>
          <w:rFonts w:ascii="Times New Roman" w:hAnsi="Times New Roman" w:cs="Times New Roman" w:eastAsia="Times New Roman" w:hint="default"/>
          <w:sz w:val="22"/>
          <w:szCs w:val="22"/>
        </w:rPr>
        <w:t>3</w:t>
      </w:r>
      <w:r>
        <w:rPr>
          <w:rFonts w:ascii="宋体" w:hAnsi="宋体" w:cs="宋体" w:eastAsia="宋体" w:hint="default"/>
          <w:sz w:val="22"/>
          <w:szCs w:val="22"/>
        </w:rPr>
        <w:t>月</w:t>
      </w:r>
      <w:r>
        <w:rPr>
          <w:rFonts w:ascii="Times New Roman" w:hAnsi="Times New Roman" w:cs="Times New Roman" w:eastAsia="Times New Roman" w:hint="default"/>
          <w:sz w:val="22"/>
          <w:szCs w:val="22"/>
        </w:rPr>
        <w:t>15</w:t>
      </w:r>
      <w:r>
        <w:rPr>
          <w:rFonts w:ascii="宋体" w:hAnsi="宋体" w:cs="宋体" w:eastAsia="宋体" w:hint="default"/>
          <w:sz w:val="22"/>
          <w:szCs w:val="22"/>
        </w:rPr>
        <w:t>日开庭审理，</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23</w:t>
      </w:r>
      <w:r>
        <w:rPr>
          <w:rFonts w:ascii="宋体" w:hAnsi="宋体" w:cs="宋体" w:eastAsia="宋体" w:hint="default"/>
          <w:sz w:val="22"/>
          <w:szCs w:val="22"/>
        </w:rPr>
        <w:t>日</w:t>
      </w:r>
    </w:p>
    <w:p>
      <w:pPr>
        <w:spacing w:after="0" w:line="244" w:lineRule="auto"/>
        <w:jc w:val="both"/>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before="32"/>
        <w:ind w:left="153" w:right="0" w:firstLine="0"/>
        <w:jc w:val="both"/>
        <w:rPr>
          <w:rFonts w:ascii="宋体" w:hAnsi="宋体" w:cs="宋体" w:eastAsia="宋体" w:hint="default"/>
          <w:sz w:val="22"/>
          <w:szCs w:val="22"/>
        </w:rPr>
      </w:pPr>
      <w:r>
        <w:rPr>
          <w:rFonts w:ascii="宋体" w:hAnsi="宋体" w:cs="宋体" w:eastAsia="宋体" w:hint="default"/>
          <w:sz w:val="22"/>
          <w:szCs w:val="22"/>
        </w:rPr>
        <w:t>二次开庭，尚需第三次开庭，复庭日期尚未确定，目前尚在进行造价鉴定。</w:t>
      </w:r>
    </w:p>
    <w:p>
      <w:pPr>
        <w:spacing w:line="247" w:lineRule="auto" w:before="144"/>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3.</w:t>
      </w:r>
      <w:r>
        <w:rPr>
          <w:rFonts w:ascii="宋体" w:hAnsi="宋体" w:cs="宋体" w:eastAsia="宋体" w:hint="default"/>
          <w:spacing w:val="-1"/>
          <w:sz w:val="22"/>
          <w:szCs w:val="22"/>
        </w:rPr>
        <w:t>本公司之子公司桑瑞思公司与天津市宁河区卫生健康委员会建筑工程施工合同纠纷一案，天津</w:t>
      </w:r>
      <w:r>
        <w:rPr>
          <w:rFonts w:ascii="宋体" w:hAnsi="宋体" w:cs="宋体" w:eastAsia="宋体" w:hint="default"/>
          <w:w w:val="100"/>
          <w:sz w:val="22"/>
          <w:szCs w:val="22"/>
        </w:rPr>
        <w:t> </w:t>
      </w:r>
      <w:r>
        <w:rPr>
          <w:rFonts w:ascii="宋体" w:hAnsi="宋体" w:cs="宋体" w:eastAsia="宋体" w:hint="default"/>
          <w:spacing w:val="-1"/>
          <w:sz w:val="22"/>
          <w:szCs w:val="22"/>
        </w:rPr>
        <w:t>市宁河区人民法院已于</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9</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3</w:t>
      </w:r>
      <w:r>
        <w:rPr>
          <w:rFonts w:ascii="宋体" w:hAnsi="宋体" w:cs="宋体" w:eastAsia="宋体" w:hint="default"/>
          <w:spacing w:val="-1"/>
          <w:sz w:val="22"/>
          <w:szCs w:val="22"/>
        </w:rPr>
        <w:t>日受理，涉案金额</w:t>
      </w:r>
      <w:r>
        <w:rPr>
          <w:rFonts w:ascii="Times New Roman" w:hAnsi="Times New Roman" w:cs="Times New Roman" w:eastAsia="Times New Roman" w:hint="default"/>
          <w:spacing w:val="-1"/>
          <w:sz w:val="22"/>
          <w:szCs w:val="22"/>
        </w:rPr>
        <w:t>271.47</w:t>
      </w:r>
      <w:r>
        <w:rPr>
          <w:rFonts w:ascii="宋体" w:hAnsi="宋体" w:cs="宋体" w:eastAsia="宋体" w:hint="default"/>
          <w:spacing w:val="-1"/>
          <w:sz w:val="22"/>
          <w:szCs w:val="22"/>
        </w:rPr>
        <w:t>万元，于</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10</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16</w:t>
      </w:r>
      <w:r>
        <w:rPr>
          <w:rFonts w:ascii="宋体" w:hAnsi="宋体" w:cs="宋体" w:eastAsia="宋体" w:hint="default"/>
          <w:spacing w:val="-1"/>
          <w:sz w:val="22"/>
          <w:szCs w:val="22"/>
        </w:rPr>
        <w:t>日开庭，等待第二</w:t>
      </w:r>
      <w:r>
        <w:rPr>
          <w:rFonts w:ascii="宋体" w:hAnsi="宋体" w:cs="宋体" w:eastAsia="宋体" w:hint="default"/>
          <w:spacing w:val="-40"/>
          <w:sz w:val="22"/>
          <w:szCs w:val="22"/>
        </w:rPr>
        <w:t> </w:t>
      </w:r>
      <w:r>
        <w:rPr>
          <w:rFonts w:ascii="宋体" w:hAnsi="宋体" w:cs="宋体" w:eastAsia="宋体" w:hint="default"/>
          <w:spacing w:val="-40"/>
          <w:sz w:val="22"/>
          <w:szCs w:val="22"/>
        </w:rPr>
      </w:r>
      <w:r>
        <w:rPr>
          <w:rFonts w:ascii="宋体" w:hAnsi="宋体" w:cs="宋体" w:eastAsia="宋体" w:hint="default"/>
          <w:sz w:val="22"/>
          <w:szCs w:val="22"/>
        </w:rPr>
        <w:t>次开庭。</w:t>
      </w:r>
    </w:p>
    <w:p>
      <w:pPr>
        <w:spacing w:before="137"/>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本公司之子公司桑瑞思与北京斐瑞康通信技术有限公司建设工程施工合同纠纷一案，涉案金额</w:t>
      </w:r>
    </w:p>
    <w:p>
      <w:pPr>
        <w:spacing w:line="244" w:lineRule="auto" w:before="7"/>
        <w:ind w:left="153" w:right="1123" w:firstLine="0"/>
        <w:jc w:val="both"/>
        <w:rPr>
          <w:rFonts w:ascii="宋体" w:hAnsi="宋体" w:cs="宋体" w:eastAsia="宋体" w:hint="default"/>
          <w:sz w:val="22"/>
          <w:szCs w:val="22"/>
        </w:rPr>
      </w:pPr>
      <w:r>
        <w:rPr>
          <w:rFonts w:ascii="Times New Roman" w:hAnsi="Times New Roman" w:cs="Times New Roman" w:eastAsia="Times New Roman" w:hint="default"/>
          <w:spacing w:val="-3"/>
          <w:sz w:val="22"/>
          <w:szCs w:val="22"/>
        </w:rPr>
        <w:t>453.09</w:t>
      </w:r>
      <w:r>
        <w:rPr>
          <w:rFonts w:ascii="宋体" w:hAnsi="宋体" w:cs="宋体" w:eastAsia="宋体" w:hint="default"/>
          <w:spacing w:val="-3"/>
          <w:sz w:val="22"/>
          <w:szCs w:val="22"/>
        </w:rPr>
        <w:t>万元，北京市顺义区人民法院于</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6</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20</w:t>
      </w:r>
      <w:r>
        <w:rPr>
          <w:rFonts w:ascii="宋体" w:hAnsi="宋体" w:cs="宋体" w:eastAsia="宋体" w:hint="default"/>
          <w:spacing w:val="-3"/>
          <w:sz w:val="22"/>
          <w:szCs w:val="22"/>
        </w:rPr>
        <w:t>日作出一审判决，判决桑瑞思胜诉，判决北京斐瑞</w:t>
      </w:r>
      <w:r>
        <w:rPr>
          <w:rFonts w:ascii="宋体" w:hAnsi="宋体" w:cs="宋体" w:eastAsia="宋体" w:hint="default"/>
          <w:spacing w:val="-51"/>
          <w:sz w:val="22"/>
          <w:szCs w:val="22"/>
        </w:rPr>
        <w:t> </w:t>
      </w:r>
      <w:r>
        <w:rPr>
          <w:rFonts w:ascii="宋体" w:hAnsi="宋体" w:cs="宋体" w:eastAsia="宋体" w:hint="default"/>
          <w:spacing w:val="-51"/>
          <w:sz w:val="22"/>
          <w:szCs w:val="22"/>
        </w:rPr>
      </w:r>
      <w:r>
        <w:rPr>
          <w:rFonts w:ascii="宋体" w:hAnsi="宋体" w:cs="宋体" w:eastAsia="宋体" w:hint="default"/>
          <w:spacing w:val="-3"/>
          <w:sz w:val="22"/>
          <w:szCs w:val="22"/>
        </w:rPr>
        <w:t>康通信技术有限公司支付桑瑞思工程款</w:t>
      </w:r>
      <w:r>
        <w:rPr>
          <w:rFonts w:ascii="Times New Roman" w:hAnsi="Times New Roman" w:cs="Times New Roman" w:eastAsia="Times New Roman" w:hint="default"/>
          <w:spacing w:val="-3"/>
          <w:sz w:val="22"/>
          <w:szCs w:val="22"/>
        </w:rPr>
        <w:t>253.59</w:t>
      </w:r>
      <w:r>
        <w:rPr>
          <w:rFonts w:ascii="宋体" w:hAnsi="宋体" w:cs="宋体" w:eastAsia="宋体" w:hint="default"/>
          <w:spacing w:val="-3"/>
          <w:sz w:val="22"/>
          <w:szCs w:val="22"/>
        </w:rPr>
        <w:t>万元及利息。桑瑞思于</w:t>
      </w:r>
      <w:r>
        <w:rPr>
          <w:rFonts w:ascii="Times New Roman" w:hAnsi="Times New Roman" w:cs="Times New Roman" w:eastAsia="Times New Roman" w:hint="default"/>
          <w:spacing w:val="-3"/>
          <w:sz w:val="22"/>
          <w:szCs w:val="22"/>
        </w:rPr>
        <w:t>8</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19</w:t>
      </w:r>
      <w:r>
        <w:rPr>
          <w:rFonts w:ascii="宋体" w:hAnsi="宋体" w:cs="宋体" w:eastAsia="宋体" w:hint="default"/>
          <w:spacing w:val="-3"/>
          <w:sz w:val="22"/>
          <w:szCs w:val="22"/>
        </w:rPr>
        <w:t>日向法院申请强制执行，目</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pacing w:val="2"/>
          <w:sz w:val="22"/>
          <w:szCs w:val="22"/>
        </w:rPr>
        <w:t>前通过强制执行轮候查封了北京斐瑞康通信技术有限公司名下位于北京市顺义区竺园路</w:t>
      </w:r>
      <w:r>
        <w:rPr>
          <w:rFonts w:ascii="Times New Roman" w:hAnsi="Times New Roman" w:cs="Times New Roman" w:eastAsia="Times New Roman" w:hint="default"/>
          <w:spacing w:val="2"/>
          <w:sz w:val="22"/>
          <w:szCs w:val="22"/>
        </w:rPr>
        <w:t>6</w:t>
      </w:r>
      <w:r>
        <w:rPr>
          <w:rFonts w:ascii="宋体" w:hAnsi="宋体" w:cs="宋体" w:eastAsia="宋体" w:hint="default"/>
          <w:spacing w:val="2"/>
          <w:sz w:val="22"/>
          <w:szCs w:val="22"/>
        </w:rPr>
        <w:t>号</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幢</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至</w:t>
      </w:r>
      <w:r>
        <w:rPr>
          <w:rFonts w:ascii="Times New Roman" w:hAnsi="Times New Roman" w:cs="Times New Roman" w:eastAsia="Times New Roman" w:hint="default"/>
          <w:spacing w:val="2"/>
          <w:sz w:val="22"/>
          <w:szCs w:val="22"/>
        </w:rPr>
        <w:t>4</w:t>
      </w:r>
      <w:r>
        <w:rPr>
          <w:rFonts w:ascii="Times New Roman" w:hAnsi="Times New Roman" w:cs="Times New Roman" w:eastAsia="Times New Roman" w:hint="default"/>
          <w:spacing w:val="16"/>
          <w:sz w:val="22"/>
          <w:szCs w:val="22"/>
        </w:rPr>
        <w:t> </w:t>
      </w:r>
      <w:r>
        <w:rPr>
          <w:rFonts w:ascii="宋体" w:hAnsi="宋体" w:cs="宋体" w:eastAsia="宋体" w:hint="default"/>
          <w:spacing w:val="-2"/>
          <w:sz w:val="22"/>
          <w:szCs w:val="22"/>
        </w:rPr>
        <w:t>层、</w:t>
      </w:r>
      <w:r>
        <w:rPr>
          <w:rFonts w:ascii="Times New Roman" w:hAnsi="Times New Roman" w:cs="Times New Roman" w:eastAsia="Times New Roman" w:hint="default"/>
          <w:spacing w:val="-2"/>
          <w:sz w:val="22"/>
          <w:szCs w:val="22"/>
        </w:rPr>
        <w:t>2</w:t>
      </w:r>
      <w:r>
        <w:rPr>
          <w:rFonts w:ascii="宋体" w:hAnsi="宋体" w:cs="宋体" w:eastAsia="宋体" w:hint="default"/>
          <w:spacing w:val="-2"/>
          <w:sz w:val="22"/>
          <w:szCs w:val="22"/>
        </w:rPr>
        <w:t>幢</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至</w:t>
      </w:r>
      <w:r>
        <w:rPr>
          <w:rFonts w:ascii="Times New Roman" w:hAnsi="Times New Roman" w:cs="Times New Roman" w:eastAsia="Times New Roman" w:hint="default"/>
          <w:spacing w:val="-2"/>
          <w:sz w:val="22"/>
          <w:szCs w:val="22"/>
        </w:rPr>
        <w:t>4</w:t>
      </w:r>
      <w:r>
        <w:rPr>
          <w:rFonts w:ascii="宋体" w:hAnsi="宋体" w:cs="宋体" w:eastAsia="宋体" w:hint="default"/>
          <w:spacing w:val="-2"/>
          <w:sz w:val="22"/>
          <w:szCs w:val="22"/>
        </w:rPr>
        <w:t>层、</w:t>
      </w:r>
      <w:r>
        <w:rPr>
          <w:rFonts w:ascii="Times New Roman" w:hAnsi="Times New Roman" w:cs="Times New Roman" w:eastAsia="Times New Roman" w:hint="default"/>
          <w:spacing w:val="-2"/>
          <w:sz w:val="22"/>
          <w:szCs w:val="22"/>
        </w:rPr>
        <w:t>3</w:t>
      </w:r>
      <w:r>
        <w:rPr>
          <w:rFonts w:ascii="宋体" w:hAnsi="宋体" w:cs="宋体" w:eastAsia="宋体" w:hint="default"/>
          <w:spacing w:val="-2"/>
          <w:sz w:val="22"/>
          <w:szCs w:val="22"/>
        </w:rPr>
        <w:t>幢</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至</w:t>
      </w:r>
      <w:r>
        <w:rPr>
          <w:rFonts w:ascii="Times New Roman" w:hAnsi="Times New Roman" w:cs="Times New Roman" w:eastAsia="Times New Roman" w:hint="default"/>
          <w:spacing w:val="-2"/>
          <w:sz w:val="22"/>
          <w:szCs w:val="22"/>
        </w:rPr>
        <w:t>4</w:t>
      </w:r>
      <w:r>
        <w:rPr>
          <w:rFonts w:ascii="宋体" w:hAnsi="宋体" w:cs="宋体" w:eastAsia="宋体" w:hint="default"/>
          <w:spacing w:val="-2"/>
          <w:sz w:val="22"/>
          <w:szCs w:val="22"/>
        </w:rPr>
        <w:t>层的房屋。因房屋先涉及其他民事案件，本案进行了轮候查封。终结本次执</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行，等待处置分配。</w:t>
      </w:r>
    </w:p>
    <w:p>
      <w:pPr>
        <w:spacing w:line="252" w:lineRule="auto" w:before="139"/>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5.</w:t>
      </w:r>
      <w:r>
        <w:rPr>
          <w:rFonts w:ascii="宋体" w:hAnsi="宋体" w:cs="宋体" w:eastAsia="宋体" w:hint="default"/>
          <w:spacing w:val="-1"/>
          <w:sz w:val="22"/>
          <w:szCs w:val="22"/>
        </w:rPr>
        <w:t>本公司之子公司桑瑞思与中国第四冶金建设有限责任公司、四川省妇幼保健院、郫县嘉恒建材</w:t>
      </w:r>
      <w:r>
        <w:rPr>
          <w:rFonts w:ascii="宋体" w:hAnsi="宋体" w:cs="宋体" w:eastAsia="宋体" w:hint="default"/>
          <w:w w:val="100"/>
          <w:sz w:val="22"/>
          <w:szCs w:val="22"/>
        </w:rPr>
        <w:t> </w:t>
      </w:r>
      <w:r>
        <w:rPr>
          <w:rFonts w:ascii="宋体" w:hAnsi="宋体" w:cs="宋体" w:eastAsia="宋体" w:hint="default"/>
          <w:spacing w:val="-3"/>
          <w:sz w:val="22"/>
          <w:szCs w:val="22"/>
        </w:rPr>
        <w:t>经营部、陈涛建筑工程施工合同纠纷及案外人执行异议一案，涉案金额</w:t>
      </w:r>
      <w:r>
        <w:rPr>
          <w:rFonts w:ascii="Times New Roman" w:hAnsi="Times New Roman" w:cs="Times New Roman" w:eastAsia="Times New Roman" w:hint="default"/>
          <w:spacing w:val="-3"/>
          <w:sz w:val="22"/>
          <w:szCs w:val="22"/>
        </w:rPr>
        <w:t>191.24</w:t>
      </w:r>
      <w:r>
        <w:rPr>
          <w:rFonts w:ascii="宋体" w:hAnsi="宋体" w:cs="宋体" w:eastAsia="宋体" w:hint="default"/>
          <w:spacing w:val="-3"/>
          <w:sz w:val="22"/>
          <w:szCs w:val="22"/>
        </w:rPr>
        <w:t>万元。</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8</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10</w:t>
      </w:r>
      <w:r>
        <w:rPr>
          <w:rFonts w:ascii="宋体" w:hAnsi="宋体" w:cs="宋体" w:eastAsia="宋体" w:hint="default"/>
          <w:spacing w:val="-3"/>
          <w:sz w:val="22"/>
          <w:szCs w:val="22"/>
        </w:rPr>
        <w:t>日成</w:t>
      </w:r>
      <w:r>
        <w:rPr>
          <w:rFonts w:ascii="宋体" w:hAnsi="宋体" w:cs="宋体" w:eastAsia="宋体" w:hint="default"/>
          <w:spacing w:val="-55"/>
          <w:sz w:val="22"/>
          <w:szCs w:val="22"/>
        </w:rPr>
        <w:t> </w:t>
      </w:r>
      <w:r>
        <w:rPr>
          <w:rFonts w:ascii="宋体" w:hAnsi="宋体" w:cs="宋体" w:eastAsia="宋体" w:hint="default"/>
          <w:spacing w:val="-2"/>
          <w:sz w:val="22"/>
          <w:szCs w:val="22"/>
        </w:rPr>
        <w:t>都市武侯区人民法院作出的一审判决，判决桑瑞思胜诉，判决中国第四冶金建设有限责任公司支付桑</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3"/>
          <w:sz w:val="22"/>
          <w:szCs w:val="22"/>
        </w:rPr>
        <w:t>瑞思工程款</w:t>
      </w:r>
      <w:r>
        <w:rPr>
          <w:rFonts w:ascii="Times New Roman" w:hAnsi="Times New Roman" w:cs="Times New Roman" w:eastAsia="Times New Roman" w:hint="default"/>
          <w:spacing w:val="-3"/>
          <w:sz w:val="22"/>
          <w:szCs w:val="22"/>
        </w:rPr>
        <w:t>191.24</w:t>
      </w:r>
      <w:r>
        <w:rPr>
          <w:rFonts w:ascii="宋体" w:hAnsi="宋体" w:cs="宋体" w:eastAsia="宋体" w:hint="default"/>
          <w:spacing w:val="-3"/>
          <w:sz w:val="22"/>
          <w:szCs w:val="22"/>
        </w:rPr>
        <w:t>万元，四川省妇幼保健院承担付款义务。</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11</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5</w:t>
      </w:r>
      <w:r>
        <w:rPr>
          <w:rFonts w:ascii="宋体" w:hAnsi="宋体" w:cs="宋体" w:eastAsia="宋体" w:hint="default"/>
          <w:spacing w:val="-3"/>
          <w:sz w:val="22"/>
          <w:szCs w:val="22"/>
        </w:rPr>
        <w:t>日武侯区人民法院受理了桑瑞</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2"/>
          <w:sz w:val="22"/>
          <w:szCs w:val="22"/>
        </w:rPr>
        <w:t>思强制执行申请，执行过程中因被告中国第四冶金建设有限责任公司存在其他诉讼纠纷，成都市金牛</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pacing w:val="-2"/>
          <w:sz w:val="22"/>
          <w:szCs w:val="22"/>
        </w:rPr>
        <w:t>区法院将应支付桑瑞思的工程款进行了扣划，桑瑞思认为该工程款应当属于桑瑞思所有，因此起诉郫</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pacing w:val="-2"/>
          <w:sz w:val="22"/>
          <w:szCs w:val="22"/>
        </w:rPr>
        <w:t>县嘉恒建材经营部、陈涛要求排除执行，</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12</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30</w:t>
      </w:r>
      <w:r>
        <w:rPr>
          <w:rFonts w:ascii="宋体" w:hAnsi="宋体" w:cs="宋体" w:eastAsia="宋体" w:hint="default"/>
          <w:spacing w:val="-2"/>
          <w:sz w:val="22"/>
          <w:szCs w:val="22"/>
        </w:rPr>
        <w:t>日金牛区法院一审开庭，</w:t>
      </w:r>
      <w:r>
        <w:rPr>
          <w:rFonts w:ascii="Times New Roman" w:hAnsi="Times New Roman" w:cs="Times New Roman" w:eastAsia="Times New Roman" w:hint="default"/>
          <w:spacing w:val="-2"/>
          <w:sz w:val="22"/>
          <w:szCs w:val="22"/>
        </w:rPr>
        <w:t>2020</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7</w:t>
      </w:r>
      <w:r>
        <w:rPr>
          <w:rFonts w:ascii="宋体" w:hAnsi="宋体" w:cs="宋体" w:eastAsia="宋体" w:hint="default"/>
          <w:spacing w:val="-2"/>
          <w:sz w:val="22"/>
          <w:szCs w:val="22"/>
        </w:rPr>
        <w:t>日判决驳</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2"/>
          <w:sz w:val="22"/>
          <w:szCs w:val="22"/>
        </w:rPr>
        <w:t>回桑瑞思请求，桑瑞思已上诉至成都市中级人民法院，并于</w:t>
      </w:r>
      <w:r>
        <w:rPr>
          <w:rFonts w:ascii="Times New Roman" w:hAnsi="Times New Roman" w:cs="Times New Roman" w:eastAsia="Times New Roman" w:hint="default"/>
          <w:spacing w:val="-2"/>
          <w:sz w:val="22"/>
          <w:szCs w:val="22"/>
        </w:rPr>
        <w:t>2020</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2</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14</w:t>
      </w:r>
      <w:r>
        <w:rPr>
          <w:rFonts w:ascii="宋体" w:hAnsi="宋体" w:cs="宋体" w:eastAsia="宋体" w:hint="default"/>
          <w:spacing w:val="-2"/>
          <w:sz w:val="22"/>
          <w:szCs w:val="22"/>
        </w:rPr>
        <w:t>日缴纳了上诉费，等待</w:t>
      </w:r>
      <w:r>
        <w:rPr>
          <w:rFonts w:ascii="Times New Roman" w:hAnsi="Times New Roman" w:cs="Times New Roman" w:eastAsia="Times New Roman" w:hint="default"/>
          <w:spacing w:val="-2"/>
          <w:sz w:val="22"/>
          <w:szCs w:val="22"/>
        </w:rPr>
        <w:t>4</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28</w:t>
      </w:r>
      <w:r>
        <w:rPr>
          <w:rFonts w:ascii="Times New Roman" w:hAnsi="Times New Roman" w:cs="Times New Roman" w:eastAsia="Times New Roman" w:hint="default"/>
          <w:sz w:val="22"/>
          <w:szCs w:val="22"/>
        </w:rPr>
        <w:t> </w:t>
      </w:r>
      <w:r>
        <w:rPr>
          <w:rFonts w:ascii="宋体" w:hAnsi="宋体" w:cs="宋体" w:eastAsia="宋体" w:hint="default"/>
          <w:sz w:val="22"/>
          <w:szCs w:val="22"/>
        </w:rPr>
        <w:t>日二审开庭。</w:t>
      </w:r>
    </w:p>
    <w:p>
      <w:pPr>
        <w:spacing w:line="244" w:lineRule="auto" w:before="133"/>
        <w:ind w:left="153" w:right="1125" w:firstLine="441"/>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6.</w:t>
      </w:r>
      <w:r>
        <w:rPr>
          <w:rFonts w:ascii="宋体" w:hAnsi="宋体" w:cs="宋体" w:eastAsia="宋体" w:hint="default"/>
          <w:spacing w:val="-1"/>
          <w:sz w:val="22"/>
          <w:szCs w:val="22"/>
        </w:rPr>
        <w:t>本公司之子公司桑瑞思与唐山助成投资有限公司（以下简称唐山助成）建筑工程施工合同纠纷</w:t>
      </w:r>
      <w:r>
        <w:rPr>
          <w:rFonts w:ascii="宋体" w:hAnsi="宋体" w:cs="宋体" w:eastAsia="宋体" w:hint="default"/>
          <w:w w:val="100"/>
          <w:sz w:val="22"/>
          <w:szCs w:val="22"/>
        </w:rPr>
        <w:t> </w:t>
      </w:r>
      <w:r>
        <w:rPr>
          <w:rFonts w:ascii="宋体" w:hAnsi="宋体" w:cs="宋体" w:eastAsia="宋体" w:hint="default"/>
          <w:sz w:val="22"/>
          <w:szCs w:val="22"/>
        </w:rPr>
        <w:t>一案，涉案金额</w:t>
      </w:r>
      <w:r>
        <w:rPr>
          <w:rFonts w:ascii="Times New Roman" w:hAnsi="Times New Roman" w:cs="Times New Roman" w:eastAsia="Times New Roman" w:hint="default"/>
          <w:sz w:val="22"/>
          <w:szCs w:val="22"/>
        </w:rPr>
        <w:t>621.77</w:t>
      </w:r>
      <w:r>
        <w:rPr>
          <w:rFonts w:ascii="宋体" w:hAnsi="宋体" w:cs="宋体" w:eastAsia="宋体" w:hint="default"/>
          <w:sz w:val="22"/>
          <w:szCs w:val="22"/>
        </w:rPr>
        <w:t>万元，</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w:t>
      </w:r>
      <w:r>
        <w:rPr>
          <w:rFonts w:ascii="Times New Roman" w:hAnsi="Times New Roman" w:cs="Times New Roman" w:eastAsia="Times New Roman" w:hint="default"/>
          <w:sz w:val="22"/>
          <w:szCs w:val="22"/>
        </w:rPr>
        <w:t>3</w:t>
      </w:r>
      <w:r>
        <w:rPr>
          <w:rFonts w:ascii="宋体" w:hAnsi="宋体" w:cs="宋体" w:eastAsia="宋体" w:hint="default"/>
          <w:sz w:val="22"/>
          <w:szCs w:val="22"/>
        </w:rPr>
        <w:t>日双方达成和解，唐山助成分期支付桑瑞思工程款</w:t>
      </w:r>
      <w:r>
        <w:rPr>
          <w:rFonts w:ascii="Times New Roman" w:hAnsi="Times New Roman" w:cs="Times New Roman" w:eastAsia="Times New Roman" w:hint="default"/>
          <w:sz w:val="22"/>
          <w:szCs w:val="22"/>
        </w:rPr>
        <w:t>618.13</w:t>
      </w:r>
      <w:r>
        <w:rPr>
          <w:rFonts w:ascii="宋体" w:hAnsi="宋体" w:cs="宋体" w:eastAsia="宋体" w:hint="default"/>
          <w:sz w:val="22"/>
          <w:szCs w:val="22"/>
        </w:rPr>
        <w:t>万</w:t>
      </w:r>
      <w:r>
        <w:rPr>
          <w:rFonts w:ascii="宋体" w:hAnsi="宋体" w:cs="宋体" w:eastAsia="宋体" w:hint="default"/>
          <w:spacing w:val="-49"/>
          <w:sz w:val="22"/>
          <w:szCs w:val="22"/>
        </w:rPr>
        <w:t> </w:t>
      </w:r>
      <w:r>
        <w:rPr>
          <w:rFonts w:ascii="宋体" w:hAnsi="宋体" w:cs="宋体" w:eastAsia="宋体" w:hint="default"/>
          <w:spacing w:val="-2"/>
          <w:sz w:val="22"/>
          <w:szCs w:val="22"/>
        </w:rPr>
        <w:t>元。桑瑞思于</w:t>
      </w:r>
      <w:r>
        <w:rPr>
          <w:rFonts w:ascii="Times New Roman" w:hAnsi="Times New Roman" w:cs="Times New Roman" w:eastAsia="Times New Roman" w:hint="default"/>
          <w:spacing w:val="-2"/>
          <w:sz w:val="22"/>
          <w:szCs w:val="22"/>
        </w:rPr>
        <w:t>9</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12</w:t>
      </w:r>
      <w:r>
        <w:rPr>
          <w:rFonts w:ascii="宋体" w:hAnsi="宋体" w:cs="宋体" w:eastAsia="宋体" w:hint="default"/>
          <w:spacing w:val="-2"/>
          <w:sz w:val="22"/>
          <w:szCs w:val="22"/>
        </w:rPr>
        <w:t>日收到第一笔付款</w:t>
      </w:r>
      <w:r>
        <w:rPr>
          <w:rFonts w:ascii="Times New Roman" w:hAnsi="Times New Roman" w:cs="Times New Roman" w:eastAsia="Times New Roman" w:hint="default"/>
          <w:spacing w:val="-2"/>
          <w:sz w:val="22"/>
          <w:szCs w:val="22"/>
        </w:rPr>
        <w:t>280</w:t>
      </w:r>
      <w:r>
        <w:rPr>
          <w:rFonts w:ascii="宋体" w:hAnsi="宋体" w:cs="宋体" w:eastAsia="宋体" w:hint="default"/>
          <w:spacing w:val="-2"/>
          <w:sz w:val="22"/>
          <w:szCs w:val="22"/>
        </w:rPr>
        <w:t>万元，于</w:t>
      </w:r>
      <w:r>
        <w:rPr>
          <w:rFonts w:ascii="Times New Roman" w:hAnsi="Times New Roman" w:cs="Times New Roman" w:eastAsia="Times New Roman" w:hint="default"/>
          <w:spacing w:val="-2"/>
          <w:sz w:val="22"/>
          <w:szCs w:val="22"/>
        </w:rPr>
        <w:t>2020</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17</w:t>
      </w:r>
      <w:r>
        <w:rPr>
          <w:rFonts w:ascii="宋体" w:hAnsi="宋体" w:cs="宋体" w:eastAsia="宋体" w:hint="default"/>
          <w:spacing w:val="-2"/>
          <w:sz w:val="22"/>
          <w:szCs w:val="22"/>
        </w:rPr>
        <w:t>日收到第二笔付款</w:t>
      </w:r>
      <w:r>
        <w:rPr>
          <w:rFonts w:ascii="Times New Roman" w:hAnsi="Times New Roman" w:cs="Times New Roman" w:eastAsia="Times New Roman" w:hint="default"/>
          <w:spacing w:val="-2"/>
          <w:sz w:val="22"/>
          <w:szCs w:val="22"/>
        </w:rPr>
        <w:t>200</w:t>
      </w:r>
      <w:r>
        <w:rPr>
          <w:rFonts w:ascii="宋体" w:hAnsi="宋体" w:cs="宋体" w:eastAsia="宋体" w:hint="default"/>
          <w:spacing w:val="-2"/>
          <w:sz w:val="22"/>
          <w:szCs w:val="22"/>
        </w:rPr>
        <w:t>万元，剩余款项</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z w:val="22"/>
          <w:szCs w:val="22"/>
        </w:rPr>
        <w:t>暂未收到。</w:t>
      </w:r>
    </w:p>
    <w:p>
      <w:pPr>
        <w:spacing w:line="244" w:lineRule="auto" w:before="140"/>
        <w:ind w:left="153" w:right="0" w:firstLine="441"/>
        <w:jc w:val="left"/>
        <w:rPr>
          <w:rFonts w:ascii="宋体" w:hAnsi="宋体" w:cs="宋体" w:eastAsia="宋体" w:hint="default"/>
          <w:sz w:val="22"/>
          <w:szCs w:val="22"/>
        </w:rPr>
      </w:pPr>
      <w:r>
        <w:rPr>
          <w:rFonts w:ascii="Times New Roman" w:hAnsi="Times New Roman" w:cs="Times New Roman" w:eastAsia="Times New Roman" w:hint="default"/>
          <w:sz w:val="22"/>
          <w:szCs w:val="22"/>
        </w:rPr>
        <w:t>7.</w:t>
      </w:r>
      <w:r>
        <w:rPr>
          <w:rFonts w:ascii="Times New Roman" w:hAnsi="Times New Roman" w:cs="Times New Roman" w:eastAsia="Times New Roman" w:hint="default"/>
          <w:spacing w:val="1"/>
          <w:sz w:val="22"/>
          <w:szCs w:val="22"/>
        </w:rPr>
        <w:t> </w:t>
      </w:r>
      <w:r>
        <w:rPr>
          <w:rFonts w:ascii="宋体" w:hAnsi="宋体" w:cs="宋体" w:eastAsia="宋体" w:hint="default"/>
          <w:spacing w:val="-3"/>
          <w:sz w:val="22"/>
          <w:szCs w:val="22"/>
        </w:rPr>
        <w:t>本公司之子公司桑瑞思公司与中建七局第四建筑有限公司成都分公司施工合同纠纷一案，中建</w:t>
      </w:r>
      <w:r>
        <w:rPr>
          <w:rFonts w:ascii="宋体" w:hAnsi="宋体" w:cs="宋体" w:eastAsia="宋体" w:hint="default"/>
          <w:w w:val="100"/>
          <w:sz w:val="22"/>
          <w:szCs w:val="22"/>
        </w:rPr>
        <w:t> </w:t>
      </w:r>
      <w:r>
        <w:rPr>
          <w:rFonts w:ascii="宋体" w:hAnsi="宋体" w:cs="宋体" w:eastAsia="宋体" w:hint="default"/>
          <w:spacing w:val="-1"/>
          <w:sz w:val="22"/>
          <w:szCs w:val="22"/>
        </w:rPr>
        <w:t>七局第四建筑有限公司成都分公司于</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23</w:t>
      </w:r>
      <w:r>
        <w:rPr>
          <w:rFonts w:ascii="宋体" w:hAnsi="宋体" w:cs="宋体" w:eastAsia="宋体" w:hint="default"/>
          <w:spacing w:val="-1"/>
          <w:sz w:val="22"/>
          <w:szCs w:val="22"/>
        </w:rPr>
        <w:t>日提出仲裁申请，申请本公司支付款项</w:t>
      </w:r>
      <w:r>
        <w:rPr>
          <w:rFonts w:ascii="Times New Roman" w:hAnsi="Times New Roman" w:cs="Times New Roman" w:eastAsia="Times New Roman" w:hint="default"/>
          <w:spacing w:val="-1"/>
          <w:sz w:val="22"/>
          <w:szCs w:val="22"/>
        </w:rPr>
        <w:t>287.87</w:t>
      </w:r>
      <w:r>
        <w:rPr>
          <w:rFonts w:ascii="宋体" w:hAnsi="宋体" w:cs="宋体" w:eastAsia="宋体" w:hint="default"/>
          <w:spacing w:val="-1"/>
          <w:sz w:val="22"/>
          <w:szCs w:val="22"/>
        </w:rPr>
        <w:t>万元。</w:t>
      </w:r>
      <w:r>
        <w:rPr>
          <w:rFonts w:ascii="宋体" w:hAnsi="宋体" w:cs="宋体" w:eastAsia="宋体" w:hint="default"/>
          <w:spacing w:val="-40"/>
          <w:sz w:val="22"/>
          <w:szCs w:val="22"/>
        </w:rPr>
        <w:t> </w:t>
      </w:r>
      <w:r>
        <w:rPr>
          <w:rFonts w:ascii="宋体" w:hAnsi="宋体" w:cs="宋体" w:eastAsia="宋体" w:hint="default"/>
          <w:spacing w:val="-5"/>
          <w:w w:val="100"/>
          <w:sz w:val="22"/>
          <w:szCs w:val="22"/>
        </w:rPr>
        <w:t>桑瑞思公司提出反仲裁申请要求支付工程结算款</w:t>
      </w:r>
      <w:r>
        <w:rPr>
          <w:rFonts w:ascii="Times New Roman" w:hAnsi="Times New Roman" w:cs="Times New Roman" w:eastAsia="Times New Roman" w:hint="default"/>
          <w:spacing w:val="-5"/>
          <w:w w:val="100"/>
          <w:sz w:val="22"/>
          <w:szCs w:val="22"/>
        </w:rPr>
        <w:t>293.84</w:t>
      </w:r>
      <w:r>
        <w:rPr>
          <w:rFonts w:ascii="宋体" w:hAnsi="宋体" w:cs="宋体" w:eastAsia="宋体" w:hint="default"/>
          <w:spacing w:val="-5"/>
          <w:w w:val="100"/>
          <w:sz w:val="22"/>
          <w:szCs w:val="22"/>
        </w:rPr>
        <w:t>万元。</w:t>
      </w:r>
      <w:r>
        <w:rPr>
          <w:rFonts w:ascii="Times New Roman" w:hAnsi="Times New Roman" w:cs="Times New Roman" w:eastAsia="Times New Roman" w:hint="default"/>
          <w:spacing w:val="-5"/>
          <w:w w:val="100"/>
          <w:sz w:val="22"/>
          <w:szCs w:val="22"/>
        </w:rPr>
        <w:t>2020</w:t>
      </w:r>
      <w:r>
        <w:rPr>
          <w:rFonts w:ascii="宋体" w:hAnsi="宋体" w:cs="宋体" w:eastAsia="宋体" w:hint="default"/>
          <w:spacing w:val="-5"/>
          <w:w w:val="100"/>
          <w:sz w:val="22"/>
          <w:szCs w:val="22"/>
        </w:rPr>
        <w:t>年</w:t>
      </w:r>
      <w:r>
        <w:rPr>
          <w:rFonts w:ascii="Times New Roman" w:hAnsi="Times New Roman" w:cs="Times New Roman" w:eastAsia="Times New Roman" w:hint="default"/>
          <w:spacing w:val="-5"/>
          <w:w w:val="100"/>
          <w:sz w:val="22"/>
          <w:szCs w:val="22"/>
        </w:rPr>
        <w:t>3</w:t>
      </w:r>
      <w:r>
        <w:rPr>
          <w:rFonts w:ascii="宋体" w:hAnsi="宋体" w:cs="宋体" w:eastAsia="宋体" w:hint="default"/>
          <w:spacing w:val="-5"/>
          <w:w w:val="100"/>
          <w:sz w:val="22"/>
          <w:szCs w:val="22"/>
        </w:rPr>
        <w:t>月</w:t>
      </w:r>
      <w:r>
        <w:rPr>
          <w:rFonts w:ascii="Times New Roman" w:hAnsi="Times New Roman" w:cs="Times New Roman" w:eastAsia="Times New Roman" w:hint="default"/>
          <w:spacing w:val="-5"/>
          <w:w w:val="100"/>
          <w:sz w:val="22"/>
          <w:szCs w:val="22"/>
        </w:rPr>
        <w:t>26</w:t>
      </w:r>
      <w:r>
        <w:rPr>
          <w:rFonts w:ascii="宋体" w:hAnsi="宋体" w:cs="宋体" w:eastAsia="宋体" w:hint="default"/>
          <w:spacing w:val="-5"/>
          <w:w w:val="100"/>
          <w:sz w:val="22"/>
          <w:szCs w:val="22"/>
        </w:rPr>
        <w:t>日，双方均已撤回仲裁申请。</w:t>
      </w:r>
      <w:r>
        <w:rPr>
          <w:rFonts w:ascii="宋体" w:hAnsi="宋体" w:cs="宋体" w:eastAsia="宋体" w:hint="default"/>
          <w:spacing w:val="-94"/>
          <w:w w:val="100"/>
          <w:sz w:val="22"/>
          <w:szCs w:val="22"/>
        </w:rPr>
        <w:t> </w:t>
      </w:r>
      <w:r>
        <w:rPr>
          <w:rFonts w:ascii="宋体" w:hAnsi="宋体" w:cs="宋体" w:eastAsia="宋体" w:hint="default"/>
          <w:spacing w:val="-94"/>
          <w:w w:val="100"/>
          <w:sz w:val="22"/>
          <w:szCs w:val="22"/>
        </w:rPr>
      </w:r>
      <w:r>
        <w:rPr>
          <w:rFonts w:ascii="宋体" w:hAnsi="宋体" w:cs="宋体" w:eastAsia="宋体" w:hint="default"/>
          <w:sz w:val="22"/>
          <w:szCs w:val="22"/>
        </w:rPr>
        <w:t>桑瑞思公司因该案件被冻结银行存款</w:t>
      </w:r>
      <w:r>
        <w:rPr>
          <w:rFonts w:ascii="Times New Roman" w:hAnsi="Times New Roman" w:cs="Times New Roman" w:eastAsia="Times New Roman" w:hint="default"/>
          <w:sz w:val="22"/>
          <w:szCs w:val="22"/>
        </w:rPr>
        <w:t>105.72</w:t>
      </w:r>
      <w:r>
        <w:rPr>
          <w:rFonts w:ascii="宋体" w:hAnsi="宋体" w:cs="宋体" w:eastAsia="宋体" w:hint="default"/>
          <w:sz w:val="22"/>
          <w:szCs w:val="22"/>
        </w:rPr>
        <w:t>万元，冻结资金于</w:t>
      </w:r>
      <w:r>
        <w:rPr>
          <w:rFonts w:ascii="Times New Roman" w:hAnsi="Times New Roman" w:cs="Times New Roman" w:eastAsia="Times New Roman" w:hint="default"/>
          <w:sz w:val="22"/>
          <w:szCs w:val="22"/>
        </w:rPr>
        <w:t>2020</w:t>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w:t>
      </w:r>
      <w:r>
        <w:rPr>
          <w:rFonts w:ascii="Times New Roman" w:hAnsi="Times New Roman" w:cs="Times New Roman" w:eastAsia="Times New Roman" w:hint="default"/>
          <w:sz w:val="22"/>
          <w:szCs w:val="22"/>
        </w:rPr>
        <w:t>13</w:t>
      </w:r>
      <w:r>
        <w:rPr>
          <w:rFonts w:ascii="宋体" w:hAnsi="宋体" w:cs="宋体" w:eastAsia="宋体" w:hint="default"/>
          <w:sz w:val="22"/>
          <w:szCs w:val="22"/>
        </w:rPr>
        <w:t>日解冻。</w:t>
      </w:r>
    </w:p>
    <w:p>
      <w:pPr>
        <w:spacing w:line="247" w:lineRule="auto" w:before="122"/>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8.</w:t>
      </w:r>
      <w:r>
        <w:rPr>
          <w:rFonts w:ascii="宋体" w:hAnsi="宋体" w:cs="宋体" w:eastAsia="宋体" w:hint="default"/>
          <w:spacing w:val="-1"/>
          <w:sz w:val="22"/>
          <w:szCs w:val="22"/>
        </w:rPr>
        <w:t>本公司之子公司依米康智能与徐州嘉安健康产业有限公司、江苏北松健康产业有限公司建筑工</w:t>
      </w:r>
      <w:r>
        <w:rPr>
          <w:rFonts w:ascii="宋体" w:hAnsi="宋体" w:cs="宋体" w:eastAsia="宋体" w:hint="default"/>
          <w:w w:val="100"/>
          <w:sz w:val="22"/>
          <w:szCs w:val="22"/>
        </w:rPr>
        <w:t> </w:t>
      </w:r>
      <w:r>
        <w:rPr>
          <w:rFonts w:ascii="宋体" w:hAnsi="宋体" w:cs="宋体" w:eastAsia="宋体" w:hint="default"/>
          <w:spacing w:val="-1"/>
          <w:sz w:val="22"/>
          <w:szCs w:val="22"/>
        </w:rPr>
        <w:t>程施工合同纠纷一案，涉案金额</w:t>
      </w:r>
      <w:r>
        <w:rPr>
          <w:rFonts w:ascii="Times New Roman" w:hAnsi="Times New Roman" w:cs="Times New Roman" w:eastAsia="Times New Roman" w:hint="default"/>
          <w:spacing w:val="-1"/>
          <w:sz w:val="22"/>
          <w:szCs w:val="22"/>
        </w:rPr>
        <w:t>555.72</w:t>
      </w:r>
      <w:r>
        <w:rPr>
          <w:rFonts w:ascii="宋体" w:hAnsi="宋体" w:cs="宋体" w:eastAsia="宋体" w:hint="default"/>
          <w:spacing w:val="-1"/>
          <w:sz w:val="22"/>
          <w:szCs w:val="22"/>
        </w:rPr>
        <w:t>万元，江苏省徐州新沂市人民法院于</w:t>
      </w:r>
      <w:r>
        <w:rPr>
          <w:rFonts w:ascii="Times New Roman" w:hAnsi="Times New Roman" w:cs="Times New Roman" w:eastAsia="Times New Roman" w:hint="default"/>
          <w:spacing w:val="-1"/>
          <w:sz w:val="22"/>
          <w:szCs w:val="22"/>
        </w:rPr>
        <w:t>2020</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6</w:t>
      </w:r>
      <w:r>
        <w:rPr>
          <w:rFonts w:ascii="宋体" w:hAnsi="宋体" w:cs="宋体" w:eastAsia="宋体" w:hint="default"/>
          <w:spacing w:val="-1"/>
          <w:sz w:val="22"/>
          <w:szCs w:val="22"/>
        </w:rPr>
        <w:t>日对依米康智</w:t>
      </w:r>
      <w:r>
        <w:rPr>
          <w:rFonts w:ascii="宋体" w:hAnsi="宋体" w:cs="宋体" w:eastAsia="宋体" w:hint="default"/>
          <w:spacing w:val="-42"/>
          <w:sz w:val="22"/>
          <w:szCs w:val="22"/>
        </w:rPr>
        <w:t> </w:t>
      </w:r>
      <w:r>
        <w:rPr>
          <w:rFonts w:ascii="宋体" w:hAnsi="宋体" w:cs="宋体" w:eastAsia="宋体" w:hint="default"/>
          <w:sz w:val="22"/>
          <w:szCs w:val="22"/>
        </w:rPr>
        <w:t>能财产保全申请作出裁定，对方名下一块宗地被查封，宗地号：</w:t>
      </w:r>
      <w:r>
        <w:rPr>
          <w:rFonts w:ascii="Times New Roman" w:hAnsi="Times New Roman" w:cs="Times New Roman" w:eastAsia="Times New Roman" w:hint="default"/>
          <w:sz w:val="22"/>
          <w:szCs w:val="22"/>
        </w:rPr>
        <w:t>2017-23</w:t>
      </w:r>
      <w:r>
        <w:rPr>
          <w:rFonts w:ascii="宋体" w:hAnsi="宋体" w:cs="宋体" w:eastAsia="宋体" w:hint="default"/>
          <w:sz w:val="22"/>
          <w:szCs w:val="22"/>
        </w:rPr>
        <w:t>号。一审开庭尚未通知。</w:t>
      </w:r>
    </w:p>
    <w:p>
      <w:pPr>
        <w:spacing w:line="244" w:lineRule="auto" w:before="120"/>
        <w:ind w:left="153" w:right="1123" w:firstLine="441"/>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9.</w:t>
      </w:r>
      <w:r>
        <w:rPr>
          <w:rFonts w:ascii="宋体" w:hAnsi="宋体" w:cs="宋体" w:eastAsia="宋体" w:hint="default"/>
          <w:spacing w:val="-1"/>
          <w:sz w:val="22"/>
          <w:szCs w:val="22"/>
        </w:rPr>
        <w:t>本公司之子公司依米康智能与吉林海王健康生物科技有限公司（以下简称吉林海王）施工合同</w:t>
      </w:r>
      <w:r>
        <w:rPr>
          <w:rFonts w:ascii="宋体" w:hAnsi="宋体" w:cs="宋体" w:eastAsia="宋体" w:hint="default"/>
          <w:w w:val="100"/>
          <w:sz w:val="22"/>
          <w:szCs w:val="22"/>
        </w:rPr>
        <w:t> </w:t>
      </w:r>
      <w:r>
        <w:rPr>
          <w:rFonts w:ascii="宋体" w:hAnsi="宋体" w:cs="宋体" w:eastAsia="宋体" w:hint="default"/>
          <w:spacing w:val="-1"/>
          <w:sz w:val="22"/>
          <w:szCs w:val="22"/>
        </w:rPr>
        <w:t>纠纷一案，涉案金额为</w:t>
      </w:r>
      <w:r>
        <w:rPr>
          <w:rFonts w:ascii="Times New Roman" w:hAnsi="Times New Roman" w:cs="Times New Roman" w:eastAsia="Times New Roman" w:hint="default"/>
          <w:spacing w:val="-1"/>
          <w:sz w:val="22"/>
          <w:szCs w:val="22"/>
        </w:rPr>
        <w:t>404.78</w:t>
      </w:r>
      <w:r>
        <w:rPr>
          <w:rFonts w:ascii="宋体" w:hAnsi="宋体" w:cs="宋体" w:eastAsia="宋体" w:hint="default"/>
          <w:spacing w:val="-1"/>
          <w:sz w:val="22"/>
          <w:szCs w:val="22"/>
        </w:rPr>
        <w:t>万元。</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23</w:t>
      </w:r>
      <w:r>
        <w:rPr>
          <w:rFonts w:ascii="宋体" w:hAnsi="宋体" w:cs="宋体" w:eastAsia="宋体" w:hint="default"/>
          <w:spacing w:val="-1"/>
          <w:sz w:val="22"/>
          <w:szCs w:val="22"/>
        </w:rPr>
        <w:t>日，吉林省永吉县人民法院作出一审判决，判决吉</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pacing w:val="-8"/>
          <w:sz w:val="22"/>
          <w:szCs w:val="22"/>
        </w:rPr>
        <w:t>林海王支付工程款保修金</w:t>
      </w:r>
      <w:r>
        <w:rPr>
          <w:rFonts w:ascii="Times New Roman" w:hAnsi="Times New Roman" w:cs="Times New Roman" w:eastAsia="Times New Roman" w:hint="default"/>
          <w:spacing w:val="-8"/>
          <w:sz w:val="22"/>
          <w:szCs w:val="22"/>
        </w:rPr>
        <w:t>97.74</w:t>
      </w:r>
      <w:r>
        <w:rPr>
          <w:rFonts w:ascii="宋体" w:hAnsi="宋体" w:cs="宋体" w:eastAsia="宋体" w:hint="default"/>
          <w:spacing w:val="-8"/>
          <w:sz w:val="22"/>
          <w:szCs w:val="22"/>
        </w:rPr>
        <w:t>万元，依米康智能需要先提交钥匙、密码、检测报告。依米康智能于</w:t>
      </w:r>
      <w:r>
        <w:rPr>
          <w:rFonts w:ascii="Times New Roman" w:hAnsi="Times New Roman" w:cs="Times New Roman" w:eastAsia="Times New Roman" w:hint="default"/>
          <w:spacing w:val="-8"/>
          <w:sz w:val="22"/>
          <w:szCs w:val="22"/>
        </w:rPr>
        <w:t>2020</w:t>
      </w:r>
      <w:r>
        <w:rPr>
          <w:rFonts w:ascii="Times New Roman" w:hAnsi="Times New Roman" w:cs="Times New Roman" w:eastAsia="Times New Roman" w:hint="default"/>
          <w:spacing w:val="27"/>
          <w:sz w:val="22"/>
          <w:szCs w:val="22"/>
        </w:rPr>
        <w:t> </w:t>
      </w:r>
      <w:r>
        <w:rPr>
          <w:rFonts w:ascii="Times New Roman" w:hAnsi="Times New Roman" w:cs="Times New Roman" w:eastAsia="Times New Roman" w:hint="default"/>
          <w:spacing w:val="27"/>
          <w:sz w:val="22"/>
          <w:szCs w:val="22"/>
        </w:rPr>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15</w:t>
      </w:r>
      <w:r>
        <w:rPr>
          <w:rFonts w:ascii="宋体" w:hAnsi="宋体" w:cs="宋体" w:eastAsia="宋体" w:hint="default"/>
          <w:sz w:val="22"/>
          <w:szCs w:val="22"/>
        </w:rPr>
        <w:t>日提起上诉，请求二审法院改判支持依米康智能诉请，驳回吉林海王反诉诉请，等待二审开</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z w:val="22"/>
          <w:szCs w:val="22"/>
        </w:rPr>
        <w:t>庭。</w:t>
      </w:r>
    </w:p>
    <w:p>
      <w:pPr>
        <w:spacing w:line="247" w:lineRule="auto" w:before="139"/>
        <w:ind w:left="153" w:right="0" w:firstLine="441"/>
        <w:jc w:val="left"/>
        <w:rPr>
          <w:rFonts w:ascii="宋体" w:hAnsi="宋体" w:cs="宋体" w:eastAsia="宋体" w:hint="default"/>
          <w:sz w:val="22"/>
          <w:szCs w:val="22"/>
        </w:rPr>
      </w:pPr>
      <w:r>
        <w:rPr>
          <w:rFonts w:ascii="Times New Roman" w:hAnsi="Times New Roman" w:cs="Times New Roman" w:eastAsia="Times New Roman" w:hint="default"/>
          <w:spacing w:val="-3"/>
          <w:sz w:val="22"/>
          <w:szCs w:val="22"/>
        </w:rPr>
        <w:t>10.</w:t>
      </w:r>
      <w:r>
        <w:rPr>
          <w:rFonts w:ascii="宋体" w:hAnsi="宋体" w:cs="宋体" w:eastAsia="宋体" w:hint="default"/>
          <w:spacing w:val="-3"/>
          <w:sz w:val="22"/>
          <w:szCs w:val="22"/>
        </w:rPr>
        <w:t>本公司之子公司依米康智能与南宁海王健康生物科技有限公司（以下简称南宁海王）与工程完</w:t>
      </w:r>
      <w:r>
        <w:rPr>
          <w:rFonts w:ascii="宋体" w:hAnsi="宋体" w:cs="宋体" w:eastAsia="宋体" w:hint="default"/>
          <w:w w:val="100"/>
          <w:sz w:val="22"/>
          <w:szCs w:val="22"/>
        </w:rPr>
        <w:t> </w:t>
      </w:r>
      <w:r>
        <w:rPr>
          <w:rFonts w:ascii="宋体" w:hAnsi="宋体" w:cs="宋体" w:eastAsia="宋体" w:hint="default"/>
          <w:sz w:val="22"/>
          <w:szCs w:val="22"/>
        </w:rPr>
        <w:t>工结算有关的建筑工程施工合同纠纷一案，涉案金额</w:t>
      </w:r>
      <w:r>
        <w:rPr>
          <w:rFonts w:ascii="Times New Roman" w:hAnsi="Times New Roman" w:cs="Times New Roman" w:eastAsia="Times New Roman" w:hint="default"/>
          <w:sz w:val="22"/>
          <w:szCs w:val="22"/>
        </w:rPr>
        <w:t>280.45</w:t>
      </w:r>
      <w:r>
        <w:rPr>
          <w:rFonts w:ascii="宋体" w:hAnsi="宋体" w:cs="宋体" w:eastAsia="宋体" w:hint="default"/>
          <w:sz w:val="22"/>
          <w:szCs w:val="22"/>
        </w:rPr>
        <w:t>万元，南宁市江南区人民法院于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Times New Roman" w:hAnsi="Times New Roman" w:cs="Times New Roman" w:eastAsia="Times New Roman" w:hint="default"/>
          <w:spacing w:val="-36"/>
          <w:sz w:val="22"/>
          <w:szCs w:val="22"/>
        </w:rPr>
        <w:t> </w:t>
      </w:r>
      <w:r>
        <w:rPr>
          <w:rFonts w:ascii="宋体" w:hAnsi="宋体" w:cs="宋体" w:eastAsia="宋体" w:hint="default"/>
          <w:sz w:val="22"/>
          <w:szCs w:val="22"/>
        </w:rPr>
        <w:t>月</w:t>
      </w:r>
      <w:r>
        <w:rPr>
          <w:rFonts w:ascii="Times New Roman" w:hAnsi="Times New Roman" w:cs="Times New Roman" w:eastAsia="Times New Roman" w:hint="default"/>
          <w:sz w:val="22"/>
          <w:szCs w:val="22"/>
        </w:rPr>
        <w:t>20</w:t>
      </w:r>
      <w:r>
        <w:rPr>
          <w:rFonts w:ascii="宋体" w:hAnsi="宋体" w:cs="宋体" w:eastAsia="宋体" w:hint="default"/>
          <w:sz w:val="22"/>
          <w:szCs w:val="22"/>
        </w:rPr>
        <w:t>日作出一审判决，判决依米康智能胜诉，南宁海王应支付工程款</w:t>
      </w:r>
      <w:r>
        <w:rPr>
          <w:rFonts w:ascii="Times New Roman" w:hAnsi="Times New Roman" w:cs="Times New Roman" w:eastAsia="Times New Roman" w:hint="default"/>
          <w:sz w:val="22"/>
          <w:szCs w:val="22"/>
        </w:rPr>
        <w:t>165.03</w:t>
      </w:r>
      <w:r>
        <w:rPr>
          <w:rFonts w:ascii="宋体" w:hAnsi="宋体" w:cs="宋体" w:eastAsia="宋体" w:hint="default"/>
          <w:sz w:val="22"/>
          <w:szCs w:val="22"/>
        </w:rPr>
        <w:t>万元及违约金</w:t>
      </w:r>
      <w:r>
        <w:rPr>
          <w:rFonts w:ascii="Times New Roman" w:hAnsi="Times New Roman" w:cs="Times New Roman" w:eastAsia="Times New Roman" w:hint="default"/>
          <w:sz w:val="22"/>
          <w:szCs w:val="22"/>
        </w:rPr>
        <w:t>75.43</w:t>
      </w:r>
      <w:r>
        <w:rPr>
          <w:rFonts w:ascii="宋体" w:hAnsi="宋体" w:cs="宋体" w:eastAsia="宋体" w:hint="default"/>
          <w:sz w:val="22"/>
          <w:szCs w:val="22"/>
        </w:rPr>
        <w:t>万元。</w:t>
      </w:r>
      <w:r>
        <w:rPr>
          <w:rFonts w:ascii="宋体" w:hAnsi="宋体" w:cs="宋体" w:eastAsia="宋体" w:hint="default"/>
          <w:spacing w:val="-49"/>
          <w:sz w:val="22"/>
          <w:szCs w:val="22"/>
        </w:rPr>
        <w:t> </w:t>
      </w:r>
      <w:r>
        <w:rPr>
          <w:rFonts w:ascii="宋体" w:hAnsi="宋体" w:cs="宋体" w:eastAsia="宋体" w:hint="default"/>
          <w:sz w:val="22"/>
          <w:szCs w:val="22"/>
        </w:rPr>
        <w:t>南宁海王</w:t>
      </w:r>
      <w:r>
        <w:rPr>
          <w:rFonts w:ascii="Times New Roman" w:hAnsi="Times New Roman" w:cs="Times New Roman" w:eastAsia="Times New Roman" w:hint="default"/>
          <w:sz w:val="22"/>
          <w:szCs w:val="22"/>
        </w:rPr>
        <w:t>2020</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15</w:t>
      </w:r>
      <w:r>
        <w:rPr>
          <w:rFonts w:ascii="宋体" w:hAnsi="宋体" w:cs="宋体" w:eastAsia="宋体" w:hint="default"/>
          <w:sz w:val="22"/>
          <w:szCs w:val="22"/>
        </w:rPr>
        <w:t>日提起上诉，等待二审开庭。</w:t>
      </w:r>
    </w:p>
    <w:p>
      <w:pPr>
        <w:spacing w:line="244" w:lineRule="auto" w:before="120"/>
        <w:ind w:left="153" w:right="0" w:firstLine="441"/>
        <w:jc w:val="left"/>
        <w:rPr>
          <w:rFonts w:ascii="宋体" w:hAnsi="宋体" w:cs="宋体" w:eastAsia="宋体" w:hint="default"/>
          <w:sz w:val="22"/>
          <w:szCs w:val="22"/>
        </w:rPr>
      </w:pPr>
      <w:r>
        <w:rPr>
          <w:rFonts w:ascii="Times New Roman" w:hAnsi="Times New Roman" w:cs="Times New Roman" w:eastAsia="Times New Roman" w:hint="default"/>
          <w:spacing w:val="-6"/>
          <w:w w:val="100"/>
          <w:sz w:val="22"/>
          <w:szCs w:val="22"/>
        </w:rPr>
        <w:t>11.</w:t>
      </w:r>
      <w:r>
        <w:rPr>
          <w:rFonts w:ascii="宋体" w:hAnsi="宋体" w:cs="宋体" w:eastAsia="宋体" w:hint="default"/>
          <w:spacing w:val="-6"/>
          <w:w w:val="100"/>
          <w:sz w:val="22"/>
          <w:szCs w:val="22"/>
        </w:rPr>
        <w:t>本公司之子公司依米康智能与北京德生尚誉健康科技产业集团有限公司（以下简称北京德生）、</w:t>
      </w:r>
      <w:r>
        <w:rPr>
          <w:rFonts w:ascii="宋体" w:hAnsi="宋体" w:cs="宋体" w:eastAsia="宋体" w:hint="default"/>
          <w:w w:val="100"/>
          <w:sz w:val="22"/>
          <w:szCs w:val="22"/>
        </w:rPr>
        <w:t> </w:t>
      </w:r>
      <w:r>
        <w:rPr>
          <w:rFonts w:ascii="宋体" w:hAnsi="宋体" w:cs="宋体" w:eastAsia="宋体" w:hint="default"/>
          <w:sz w:val="22"/>
          <w:szCs w:val="22"/>
        </w:rPr>
        <w:t>淄博德生医院管理有限公司（以下简称淄博德生）关于投标保证金逾期未退还有关的建设工程合同纠</w:t>
      </w:r>
    </w:p>
    <w:p>
      <w:pPr>
        <w:spacing w:after="0" w:line="244" w:lineRule="auto"/>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47" w:lineRule="auto" w:before="32"/>
        <w:ind w:left="153" w:right="1122" w:firstLine="0"/>
        <w:jc w:val="both"/>
        <w:rPr>
          <w:rFonts w:ascii="宋体" w:hAnsi="宋体" w:cs="宋体" w:eastAsia="宋体" w:hint="default"/>
          <w:sz w:val="22"/>
          <w:szCs w:val="22"/>
        </w:rPr>
      </w:pPr>
      <w:r>
        <w:rPr>
          <w:rFonts w:ascii="宋体" w:hAnsi="宋体" w:cs="宋体" w:eastAsia="宋体" w:hint="default"/>
          <w:spacing w:val="-3"/>
          <w:sz w:val="22"/>
          <w:szCs w:val="22"/>
        </w:rPr>
        <w:t>纷一案，涉案金额</w:t>
      </w:r>
      <w:r>
        <w:rPr>
          <w:rFonts w:ascii="Times New Roman" w:hAnsi="Times New Roman" w:cs="Times New Roman" w:eastAsia="Times New Roman" w:hint="default"/>
          <w:spacing w:val="-3"/>
          <w:sz w:val="22"/>
          <w:szCs w:val="22"/>
        </w:rPr>
        <w:t>430.08</w:t>
      </w:r>
      <w:r>
        <w:rPr>
          <w:rFonts w:ascii="宋体" w:hAnsi="宋体" w:cs="宋体" w:eastAsia="宋体" w:hint="default"/>
          <w:spacing w:val="-3"/>
          <w:sz w:val="22"/>
          <w:szCs w:val="22"/>
        </w:rPr>
        <w:t>万元。淄博市周村区人民法院于</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4</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16</w:t>
      </w:r>
      <w:r>
        <w:rPr>
          <w:rFonts w:ascii="宋体" w:hAnsi="宋体" w:cs="宋体" w:eastAsia="宋体" w:hint="default"/>
          <w:spacing w:val="-3"/>
          <w:sz w:val="22"/>
          <w:szCs w:val="22"/>
        </w:rPr>
        <w:t>日作出一审判决，判决依米康智</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pacing w:val="-1"/>
          <w:sz w:val="22"/>
          <w:szCs w:val="22"/>
        </w:rPr>
        <w:t>能胜诉，判决北京德生退还保证金</w:t>
      </w:r>
      <w:r>
        <w:rPr>
          <w:rFonts w:ascii="Times New Roman" w:hAnsi="Times New Roman" w:cs="Times New Roman" w:eastAsia="Times New Roman" w:hint="default"/>
          <w:spacing w:val="-1"/>
          <w:sz w:val="22"/>
          <w:szCs w:val="22"/>
        </w:rPr>
        <w:t>100</w:t>
      </w:r>
      <w:r>
        <w:rPr>
          <w:rFonts w:ascii="宋体" w:hAnsi="宋体" w:cs="宋体" w:eastAsia="宋体" w:hint="default"/>
          <w:spacing w:val="-1"/>
          <w:sz w:val="22"/>
          <w:szCs w:val="22"/>
        </w:rPr>
        <w:t>万元，淄博德生支付设计费</w:t>
      </w:r>
      <w:r>
        <w:rPr>
          <w:rFonts w:ascii="Times New Roman" w:hAnsi="Times New Roman" w:cs="Times New Roman" w:eastAsia="Times New Roman" w:hint="default"/>
          <w:spacing w:val="-1"/>
          <w:sz w:val="22"/>
          <w:szCs w:val="22"/>
        </w:rPr>
        <w:t>152.4</w:t>
      </w:r>
      <w:r>
        <w:rPr>
          <w:rFonts w:ascii="宋体" w:hAnsi="宋体" w:cs="宋体" w:eastAsia="宋体" w:hint="default"/>
          <w:spacing w:val="-1"/>
          <w:sz w:val="22"/>
          <w:szCs w:val="22"/>
        </w:rPr>
        <w:t>万元。</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9</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4</w:t>
      </w:r>
      <w:r>
        <w:rPr>
          <w:rFonts w:ascii="宋体" w:hAnsi="宋体" w:cs="宋体" w:eastAsia="宋体" w:hint="default"/>
          <w:spacing w:val="-1"/>
          <w:sz w:val="22"/>
          <w:szCs w:val="22"/>
        </w:rPr>
        <w:t>日依米康智</w:t>
      </w:r>
      <w:r>
        <w:rPr>
          <w:rFonts w:ascii="宋体" w:hAnsi="宋体" w:cs="宋体" w:eastAsia="宋体" w:hint="default"/>
          <w:spacing w:val="-42"/>
          <w:sz w:val="22"/>
          <w:szCs w:val="22"/>
        </w:rPr>
        <w:t> </w:t>
      </w:r>
      <w:r>
        <w:rPr>
          <w:rFonts w:ascii="宋体" w:hAnsi="宋体" w:cs="宋体" w:eastAsia="宋体" w:hint="default"/>
          <w:spacing w:val="-2"/>
          <w:sz w:val="22"/>
          <w:szCs w:val="22"/>
        </w:rPr>
        <w:t>能向法院申请强制执行，因被执行人名下无可执行的财产，</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12</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18</w:t>
      </w:r>
      <w:r>
        <w:rPr>
          <w:rFonts w:ascii="宋体" w:hAnsi="宋体" w:cs="宋体" w:eastAsia="宋体" w:hint="default"/>
          <w:spacing w:val="-2"/>
          <w:sz w:val="22"/>
          <w:szCs w:val="22"/>
        </w:rPr>
        <w:t>日终止本次执行，正在向法</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院申请追加其他股东为被执行人。</w:t>
      </w:r>
    </w:p>
    <w:p>
      <w:pPr>
        <w:spacing w:line="244" w:lineRule="auto" w:before="137"/>
        <w:ind w:left="153" w:right="0" w:firstLine="441"/>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本公司之子公司依米康智能与郑州市景安网络科技股份有限公司建筑工程施工合同纠纷一案，</w:t>
      </w:r>
      <w:r>
        <w:rPr>
          <w:rFonts w:ascii="宋体" w:hAnsi="宋体" w:cs="宋体" w:eastAsia="宋体" w:hint="default"/>
          <w:w w:val="100"/>
          <w:sz w:val="22"/>
          <w:szCs w:val="22"/>
        </w:rPr>
        <w:t> </w:t>
      </w:r>
      <w:r>
        <w:rPr>
          <w:rFonts w:ascii="宋体" w:hAnsi="宋体" w:cs="宋体" w:eastAsia="宋体" w:hint="default"/>
          <w:spacing w:val="-3"/>
          <w:sz w:val="22"/>
          <w:szCs w:val="22"/>
        </w:rPr>
        <w:t>涉案金额</w:t>
      </w:r>
      <w:r>
        <w:rPr>
          <w:rFonts w:ascii="Times New Roman" w:hAnsi="Times New Roman" w:cs="Times New Roman" w:eastAsia="Times New Roman" w:hint="default"/>
          <w:spacing w:val="-3"/>
          <w:sz w:val="22"/>
          <w:szCs w:val="22"/>
        </w:rPr>
        <w:t>348.05</w:t>
      </w:r>
      <w:r>
        <w:rPr>
          <w:rFonts w:ascii="宋体" w:hAnsi="宋体" w:cs="宋体" w:eastAsia="宋体" w:hint="default"/>
          <w:spacing w:val="-3"/>
          <w:sz w:val="22"/>
          <w:szCs w:val="22"/>
        </w:rPr>
        <w:t>万元，长沙市岳麓区人民法院于</w:t>
      </w:r>
      <w:r>
        <w:rPr>
          <w:rFonts w:ascii="Times New Roman" w:hAnsi="Times New Roman" w:cs="Times New Roman" w:eastAsia="Times New Roman" w:hint="default"/>
          <w:spacing w:val="-3"/>
          <w:sz w:val="22"/>
          <w:szCs w:val="22"/>
        </w:rPr>
        <w:t>2020</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1</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3</w:t>
      </w:r>
      <w:r>
        <w:rPr>
          <w:rFonts w:ascii="宋体" w:hAnsi="宋体" w:cs="宋体" w:eastAsia="宋体" w:hint="default"/>
          <w:spacing w:val="-3"/>
          <w:sz w:val="22"/>
          <w:szCs w:val="22"/>
        </w:rPr>
        <w:t>日受理，于</w:t>
      </w:r>
      <w:r>
        <w:rPr>
          <w:rFonts w:ascii="Times New Roman" w:hAnsi="Times New Roman" w:cs="Times New Roman" w:eastAsia="Times New Roman" w:hint="default"/>
          <w:spacing w:val="-3"/>
          <w:sz w:val="22"/>
          <w:szCs w:val="22"/>
        </w:rPr>
        <w:t>1</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14</w:t>
      </w:r>
      <w:r>
        <w:rPr>
          <w:rFonts w:ascii="宋体" w:hAnsi="宋体" w:cs="宋体" w:eastAsia="宋体" w:hint="default"/>
          <w:spacing w:val="-3"/>
          <w:sz w:val="22"/>
          <w:szCs w:val="22"/>
        </w:rPr>
        <w:t>日对依米康智能财产保全</w:t>
      </w:r>
      <w:r>
        <w:rPr>
          <w:rFonts w:ascii="宋体" w:hAnsi="宋体" w:cs="宋体" w:eastAsia="宋体" w:hint="default"/>
          <w:spacing w:val="-48"/>
          <w:sz w:val="22"/>
          <w:szCs w:val="22"/>
        </w:rPr>
        <w:t> </w:t>
      </w:r>
      <w:r>
        <w:rPr>
          <w:rFonts w:ascii="宋体" w:hAnsi="宋体" w:cs="宋体" w:eastAsia="宋体" w:hint="default"/>
          <w:spacing w:val="-48"/>
          <w:sz w:val="22"/>
          <w:szCs w:val="22"/>
        </w:rPr>
      </w:r>
      <w:r>
        <w:rPr>
          <w:rFonts w:ascii="宋体" w:hAnsi="宋体" w:cs="宋体" w:eastAsia="宋体" w:hint="default"/>
          <w:sz w:val="22"/>
          <w:szCs w:val="22"/>
        </w:rPr>
        <w:t>申请作出裁定，对方名下房产：（</w:t>
      </w:r>
      <w:r>
        <w:rPr>
          <w:rFonts w:ascii="Times New Roman" w:hAnsi="Times New Roman" w:cs="Times New Roman" w:eastAsia="Times New Roman" w:hint="default"/>
          <w:sz w:val="22"/>
          <w:szCs w:val="22"/>
        </w:rPr>
        <w:t>2018</w:t>
      </w:r>
      <w:r>
        <w:rPr>
          <w:rFonts w:ascii="宋体" w:hAnsi="宋体" w:cs="宋体" w:eastAsia="宋体" w:hint="default"/>
          <w:sz w:val="22"/>
          <w:szCs w:val="22"/>
        </w:rPr>
        <w:t>）郑州市不动产权第</w:t>
      </w:r>
      <w:r>
        <w:rPr>
          <w:rFonts w:ascii="Times New Roman" w:hAnsi="Times New Roman" w:cs="Times New Roman" w:eastAsia="Times New Roman" w:hint="default"/>
          <w:sz w:val="22"/>
          <w:szCs w:val="22"/>
        </w:rPr>
        <w:t>0322313</w:t>
      </w:r>
      <w:r>
        <w:rPr>
          <w:rFonts w:ascii="宋体" w:hAnsi="宋体" w:cs="宋体" w:eastAsia="宋体" w:hint="default"/>
          <w:sz w:val="22"/>
          <w:szCs w:val="22"/>
        </w:rPr>
        <w:t>号被查封，冻结银行存款</w:t>
      </w:r>
      <w:r>
        <w:rPr>
          <w:rFonts w:ascii="Times New Roman" w:hAnsi="Times New Roman" w:cs="Times New Roman" w:eastAsia="Times New Roman" w:hint="default"/>
          <w:sz w:val="22"/>
          <w:szCs w:val="22"/>
        </w:rPr>
        <w:t>4,980.18</w:t>
      </w:r>
      <w:r>
        <w:rPr>
          <w:rFonts w:ascii="Times New Roman" w:hAnsi="Times New Roman" w:cs="Times New Roman" w:eastAsia="Times New Roman" w:hint="default"/>
          <w:w w:val="100"/>
          <w:sz w:val="22"/>
          <w:szCs w:val="22"/>
        </w:rPr>
        <w:t> </w:t>
      </w:r>
      <w:r>
        <w:rPr>
          <w:rFonts w:ascii="宋体" w:hAnsi="宋体" w:cs="宋体" w:eastAsia="宋体" w:hint="default"/>
          <w:sz w:val="22"/>
          <w:szCs w:val="22"/>
        </w:rPr>
        <w:t>元。一审开庭尚未通知。</w:t>
      </w:r>
    </w:p>
    <w:p>
      <w:pPr>
        <w:spacing w:before="14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13.</w:t>
      </w:r>
      <w:r>
        <w:rPr>
          <w:rFonts w:ascii="宋体" w:hAnsi="宋体" w:cs="宋体" w:eastAsia="宋体" w:hint="default"/>
          <w:sz w:val="22"/>
          <w:szCs w:val="22"/>
        </w:rPr>
        <w:t>本公司之控股子公司江苏亿金与杭州双良中荷环保有限公司买卖合同纠纷一案，涉案金额为</w:t>
      </w:r>
    </w:p>
    <w:p>
      <w:pPr>
        <w:spacing w:before="7"/>
        <w:ind w:left="153"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353.60</w:t>
      </w:r>
      <w:r>
        <w:rPr>
          <w:rFonts w:ascii="宋体" w:hAnsi="宋体" w:cs="宋体" w:eastAsia="宋体" w:hint="default"/>
          <w:sz w:val="22"/>
          <w:szCs w:val="22"/>
        </w:rPr>
        <w:t>万元，江苏亿金向杭州市拱墅区人民法院提起诉讼，法院于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20</w:t>
      </w:r>
      <w:r>
        <w:rPr>
          <w:rFonts w:ascii="宋体" w:hAnsi="宋体" w:cs="宋体" w:eastAsia="宋体" w:hint="default"/>
          <w:sz w:val="22"/>
          <w:szCs w:val="22"/>
        </w:rPr>
        <w:t>日受理，于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7</w:t>
      </w:r>
      <w:r>
        <w:rPr>
          <w:rFonts w:ascii="宋体" w:hAnsi="宋体" w:cs="宋体" w:eastAsia="宋体" w:hint="default"/>
          <w:sz w:val="22"/>
          <w:szCs w:val="22"/>
        </w:rPr>
        <w:t>月</w:t>
      </w:r>
    </w:p>
    <w:p>
      <w:pPr>
        <w:spacing w:before="7"/>
        <w:ind w:left="153" w:right="0" w:firstLine="0"/>
        <w:jc w:val="both"/>
        <w:rPr>
          <w:rFonts w:ascii="宋体" w:hAnsi="宋体" w:cs="宋体" w:eastAsia="宋体" w:hint="default"/>
          <w:sz w:val="22"/>
          <w:szCs w:val="22"/>
        </w:rPr>
      </w:pPr>
      <w:r>
        <w:rPr>
          <w:rFonts w:ascii="Times New Roman" w:hAnsi="Times New Roman" w:cs="Times New Roman" w:eastAsia="Times New Roman" w:hint="default"/>
          <w:sz w:val="22"/>
          <w:szCs w:val="22"/>
        </w:rPr>
        <w:t>23</w:t>
      </w:r>
      <w:r>
        <w:rPr>
          <w:rFonts w:ascii="宋体" w:hAnsi="宋体" w:cs="宋体" w:eastAsia="宋体" w:hint="default"/>
          <w:sz w:val="22"/>
          <w:szCs w:val="22"/>
        </w:rPr>
        <w:t>日进行第一次开庭审理，等待判决。</w:t>
      </w:r>
    </w:p>
    <w:p>
      <w:pPr>
        <w:spacing w:line="247" w:lineRule="auto" w:before="127"/>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2"/>
          <w:sz w:val="22"/>
          <w:szCs w:val="22"/>
        </w:rPr>
        <w:t>14.</w:t>
      </w:r>
      <w:r>
        <w:rPr>
          <w:rFonts w:ascii="宋体" w:hAnsi="宋体" w:cs="宋体" w:eastAsia="宋体" w:hint="default"/>
          <w:spacing w:val="-2"/>
          <w:sz w:val="22"/>
          <w:szCs w:val="22"/>
        </w:rPr>
        <w:t>本公司之控股子公司江苏亿金与福建三宝钢铁有限公司买卖合同纠纷一案，涉案金额</w:t>
      </w:r>
      <w:r>
        <w:rPr>
          <w:rFonts w:ascii="Times New Roman" w:hAnsi="Times New Roman" w:cs="Times New Roman" w:eastAsia="Times New Roman" w:hint="default"/>
          <w:spacing w:val="-2"/>
          <w:sz w:val="22"/>
          <w:szCs w:val="22"/>
        </w:rPr>
        <w:t>574.92</w:t>
      </w:r>
      <w:r>
        <w:rPr>
          <w:rFonts w:ascii="宋体" w:hAnsi="宋体" w:cs="宋体" w:eastAsia="宋体" w:hint="default"/>
          <w:spacing w:val="-2"/>
          <w:sz w:val="22"/>
          <w:szCs w:val="22"/>
        </w:rPr>
        <w:t>万</w:t>
      </w:r>
      <w:r>
        <w:rPr>
          <w:rFonts w:ascii="宋体" w:hAnsi="宋体" w:cs="宋体" w:eastAsia="宋体" w:hint="default"/>
          <w:w w:val="100"/>
          <w:sz w:val="22"/>
          <w:szCs w:val="22"/>
        </w:rPr>
        <w:t> </w:t>
      </w:r>
      <w:r>
        <w:rPr>
          <w:rFonts w:ascii="宋体" w:hAnsi="宋体" w:cs="宋体" w:eastAsia="宋体" w:hint="default"/>
          <w:sz w:val="22"/>
          <w:szCs w:val="22"/>
        </w:rPr>
        <w:t>元，漳州市芗城区人民法院于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30</w:t>
      </w:r>
      <w:r>
        <w:rPr>
          <w:rFonts w:ascii="宋体" w:hAnsi="宋体" w:cs="宋体" w:eastAsia="宋体" w:hint="default"/>
          <w:sz w:val="22"/>
          <w:szCs w:val="22"/>
        </w:rPr>
        <w:t>日受理，目前进行第一次开庭，第二次开庭完毕，等待判</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决。</w:t>
      </w:r>
    </w:p>
    <w:p>
      <w:pPr>
        <w:spacing w:line="244" w:lineRule="auto" w:before="137"/>
        <w:ind w:left="153" w:right="1127" w:firstLine="441"/>
        <w:jc w:val="both"/>
        <w:rPr>
          <w:rFonts w:ascii="宋体" w:hAnsi="宋体" w:cs="宋体" w:eastAsia="宋体" w:hint="default"/>
          <w:sz w:val="22"/>
          <w:szCs w:val="22"/>
        </w:rPr>
      </w:pPr>
      <w:r>
        <w:rPr>
          <w:rFonts w:ascii="Times New Roman" w:hAnsi="Times New Roman" w:cs="Times New Roman" w:eastAsia="Times New Roman" w:hint="default"/>
          <w:sz w:val="22"/>
          <w:szCs w:val="22"/>
        </w:rPr>
        <w:t>15.</w:t>
      </w:r>
      <w:r>
        <w:rPr>
          <w:rFonts w:ascii="宋体" w:hAnsi="宋体" w:cs="宋体" w:eastAsia="宋体" w:hint="default"/>
          <w:sz w:val="22"/>
          <w:szCs w:val="22"/>
        </w:rPr>
        <w:t>本公司之子公司依米康智能与上海盟程建筑工程有限公司建筑工程施工合同纠纷一案上海市</w:t>
      </w:r>
      <w:r>
        <w:rPr>
          <w:rFonts w:ascii="宋体" w:hAnsi="宋体" w:cs="宋体" w:eastAsia="宋体" w:hint="default"/>
          <w:w w:val="100"/>
          <w:sz w:val="22"/>
          <w:szCs w:val="22"/>
        </w:rPr>
        <w:t> </w:t>
      </w:r>
      <w:r>
        <w:rPr>
          <w:rFonts w:ascii="宋体" w:hAnsi="宋体" w:cs="宋体" w:eastAsia="宋体" w:hint="default"/>
          <w:spacing w:val="-3"/>
          <w:sz w:val="22"/>
          <w:szCs w:val="22"/>
        </w:rPr>
        <w:t>松江区人民法院已于</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1</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8</w:t>
      </w:r>
      <w:r>
        <w:rPr>
          <w:rFonts w:ascii="宋体" w:hAnsi="宋体" w:cs="宋体" w:eastAsia="宋体" w:hint="default"/>
          <w:spacing w:val="-3"/>
          <w:sz w:val="22"/>
          <w:szCs w:val="22"/>
        </w:rPr>
        <w:t>日受理，涉案金额</w:t>
      </w:r>
      <w:r>
        <w:rPr>
          <w:rFonts w:ascii="Times New Roman" w:hAnsi="Times New Roman" w:cs="Times New Roman" w:eastAsia="Times New Roman" w:hint="default"/>
          <w:spacing w:val="-3"/>
          <w:sz w:val="22"/>
          <w:szCs w:val="22"/>
        </w:rPr>
        <w:t>237.73</w:t>
      </w:r>
      <w:r>
        <w:rPr>
          <w:rFonts w:ascii="宋体" w:hAnsi="宋体" w:cs="宋体" w:eastAsia="宋体" w:hint="default"/>
          <w:spacing w:val="-3"/>
          <w:sz w:val="22"/>
          <w:szCs w:val="22"/>
        </w:rPr>
        <w:t>万元，于</w:t>
      </w:r>
      <w:r>
        <w:rPr>
          <w:rFonts w:ascii="Times New Roman" w:hAnsi="Times New Roman" w:cs="Times New Roman" w:eastAsia="Times New Roman" w:hint="default"/>
          <w:spacing w:val="-3"/>
          <w:sz w:val="22"/>
          <w:szCs w:val="22"/>
        </w:rPr>
        <w:t>2019</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2</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14</w:t>
      </w:r>
      <w:r>
        <w:rPr>
          <w:rFonts w:ascii="宋体" w:hAnsi="宋体" w:cs="宋体" w:eastAsia="宋体" w:hint="default"/>
          <w:spacing w:val="-3"/>
          <w:sz w:val="22"/>
          <w:szCs w:val="22"/>
        </w:rPr>
        <w:t>日开庭审理，造价鉴定</w:t>
      </w:r>
      <w:r>
        <w:rPr>
          <w:rFonts w:ascii="宋体" w:hAnsi="宋体" w:cs="宋体" w:eastAsia="宋体" w:hint="default"/>
          <w:spacing w:val="-47"/>
          <w:sz w:val="22"/>
          <w:szCs w:val="22"/>
        </w:rPr>
        <w:t> </w:t>
      </w:r>
      <w:r>
        <w:rPr>
          <w:rFonts w:ascii="宋体" w:hAnsi="宋体" w:cs="宋体" w:eastAsia="宋体" w:hint="default"/>
          <w:spacing w:val="-47"/>
          <w:sz w:val="22"/>
          <w:szCs w:val="22"/>
        </w:rPr>
      </w:r>
      <w:r>
        <w:rPr>
          <w:rFonts w:ascii="宋体" w:hAnsi="宋体" w:cs="宋体" w:eastAsia="宋体" w:hint="default"/>
          <w:sz w:val="22"/>
          <w:szCs w:val="22"/>
        </w:rPr>
        <w:t>终稿于</w:t>
      </w:r>
      <w:r>
        <w:rPr>
          <w:rFonts w:ascii="Times New Roman" w:hAnsi="Times New Roman" w:cs="Times New Roman" w:eastAsia="Times New Roman" w:hint="default"/>
          <w:sz w:val="22"/>
          <w:szCs w:val="22"/>
        </w:rPr>
        <w:t>2020</w:t>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w:t>
      </w:r>
      <w:r>
        <w:rPr>
          <w:rFonts w:ascii="Times New Roman" w:hAnsi="Times New Roman" w:cs="Times New Roman" w:eastAsia="Times New Roman" w:hint="default"/>
          <w:sz w:val="22"/>
          <w:szCs w:val="22"/>
        </w:rPr>
        <w:t>13</w:t>
      </w:r>
      <w:r>
        <w:rPr>
          <w:rFonts w:ascii="宋体" w:hAnsi="宋体" w:cs="宋体" w:eastAsia="宋体" w:hint="default"/>
          <w:sz w:val="22"/>
          <w:szCs w:val="22"/>
        </w:rPr>
        <w:t>日做出，将于</w:t>
      </w:r>
      <w:r>
        <w:rPr>
          <w:rFonts w:ascii="Times New Roman" w:hAnsi="Times New Roman" w:cs="Times New Roman" w:eastAsia="Times New Roman" w:hint="default"/>
          <w:sz w:val="22"/>
          <w:szCs w:val="22"/>
        </w:rPr>
        <w:t>5</w:t>
      </w:r>
      <w:r>
        <w:rPr>
          <w:rFonts w:ascii="宋体" w:hAnsi="宋体" w:cs="宋体" w:eastAsia="宋体" w:hint="default"/>
          <w:sz w:val="22"/>
          <w:szCs w:val="22"/>
        </w:rPr>
        <w:t>月</w:t>
      </w:r>
      <w:r>
        <w:rPr>
          <w:rFonts w:ascii="Times New Roman" w:hAnsi="Times New Roman" w:cs="Times New Roman" w:eastAsia="Times New Roman" w:hint="default"/>
          <w:sz w:val="22"/>
          <w:szCs w:val="22"/>
        </w:rPr>
        <w:t>8</w:t>
      </w:r>
      <w:r>
        <w:rPr>
          <w:rFonts w:ascii="宋体" w:hAnsi="宋体" w:cs="宋体" w:eastAsia="宋体" w:hint="default"/>
          <w:sz w:val="22"/>
          <w:szCs w:val="22"/>
        </w:rPr>
        <w:t>日对鉴定结论进行开庭质证。</w:t>
      </w:r>
    </w:p>
    <w:p>
      <w:pPr>
        <w:spacing w:line="244" w:lineRule="auto" w:before="123"/>
        <w:ind w:left="153" w:right="0" w:firstLine="441"/>
        <w:jc w:val="left"/>
        <w:rPr>
          <w:rFonts w:ascii="宋体" w:hAnsi="宋体" w:cs="宋体" w:eastAsia="宋体" w:hint="default"/>
          <w:sz w:val="22"/>
          <w:szCs w:val="22"/>
        </w:rPr>
      </w:pPr>
      <w:r>
        <w:rPr>
          <w:rFonts w:ascii="Times New Roman" w:hAnsi="Times New Roman" w:cs="Times New Roman" w:eastAsia="Times New Roman" w:hint="default"/>
          <w:spacing w:val="-3"/>
          <w:w w:val="100"/>
          <w:sz w:val="22"/>
          <w:szCs w:val="22"/>
        </w:rPr>
        <w:t>16.</w:t>
      </w:r>
      <w:r>
        <w:rPr>
          <w:rFonts w:ascii="宋体" w:hAnsi="宋体" w:cs="宋体" w:eastAsia="宋体" w:hint="default"/>
          <w:spacing w:val="-3"/>
          <w:w w:val="100"/>
          <w:sz w:val="22"/>
          <w:szCs w:val="22"/>
        </w:rPr>
        <w:t>本公司之子公司依米康智能与常州华一防静电活动地板有限公司买卖合同纠纷一案，涉案金额</w:t>
      </w:r>
      <w:r>
        <w:rPr>
          <w:rFonts w:ascii="宋体" w:hAnsi="宋体" w:cs="宋体" w:eastAsia="宋体" w:hint="default"/>
          <w:w w:val="100"/>
          <w:sz w:val="22"/>
          <w:szCs w:val="22"/>
        </w:rPr>
        <w:t> </w:t>
      </w:r>
      <w:r>
        <w:rPr>
          <w:rFonts w:ascii="宋体" w:hAnsi="宋体" w:cs="宋体" w:eastAsia="宋体" w:hint="default"/>
          <w:sz w:val="22"/>
          <w:szCs w:val="22"/>
        </w:rPr>
        <w:t>为</w:t>
      </w:r>
      <w:r>
        <w:rPr>
          <w:rFonts w:ascii="Times New Roman" w:hAnsi="Times New Roman" w:cs="Times New Roman" w:eastAsia="Times New Roman" w:hint="default"/>
          <w:sz w:val="22"/>
          <w:szCs w:val="22"/>
        </w:rPr>
        <w:t>273.92</w:t>
      </w:r>
      <w:r>
        <w:rPr>
          <w:rFonts w:ascii="宋体" w:hAnsi="宋体" w:cs="宋体" w:eastAsia="宋体" w:hint="default"/>
          <w:sz w:val="22"/>
          <w:szCs w:val="22"/>
        </w:rPr>
        <w:t>万元。</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16</w:t>
      </w:r>
      <w:r>
        <w:rPr>
          <w:rFonts w:ascii="宋体" w:hAnsi="宋体" w:cs="宋体" w:eastAsia="宋体" w:hint="default"/>
          <w:sz w:val="22"/>
          <w:szCs w:val="22"/>
        </w:rPr>
        <w:t>日，上海市松江区人民法院作出一审判决，判决本公司支付常州华一防</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spacing w:val="-2"/>
          <w:sz w:val="22"/>
          <w:szCs w:val="22"/>
        </w:rPr>
        <w:t>静电活动地板有限公司货款</w:t>
      </w:r>
      <w:r>
        <w:rPr>
          <w:rFonts w:ascii="Times New Roman" w:hAnsi="Times New Roman" w:cs="Times New Roman" w:eastAsia="Times New Roman" w:hint="default"/>
          <w:spacing w:val="-2"/>
          <w:sz w:val="22"/>
          <w:szCs w:val="22"/>
        </w:rPr>
        <w:t>259.29</w:t>
      </w:r>
      <w:r>
        <w:rPr>
          <w:rFonts w:ascii="宋体" w:hAnsi="宋体" w:cs="宋体" w:eastAsia="宋体" w:hint="default"/>
          <w:spacing w:val="-2"/>
          <w:sz w:val="22"/>
          <w:szCs w:val="22"/>
        </w:rPr>
        <w:t>万元及违约金总额不超过</w:t>
      </w:r>
      <w:r>
        <w:rPr>
          <w:rFonts w:ascii="Times New Roman" w:hAnsi="Times New Roman" w:cs="Times New Roman" w:eastAsia="Times New Roman" w:hint="default"/>
          <w:spacing w:val="-2"/>
          <w:sz w:val="22"/>
          <w:szCs w:val="22"/>
        </w:rPr>
        <w:t>17.33</w:t>
      </w:r>
      <w:r>
        <w:rPr>
          <w:rFonts w:ascii="宋体" w:hAnsi="宋体" w:cs="宋体" w:eastAsia="宋体" w:hint="default"/>
          <w:spacing w:val="-2"/>
          <w:sz w:val="22"/>
          <w:szCs w:val="22"/>
        </w:rPr>
        <w:t>万元。目前依米康智能提起二审上诉，</w:t>
      </w:r>
      <w:r>
        <w:rPr>
          <w:rFonts w:ascii="宋体" w:hAnsi="宋体" w:cs="宋体" w:eastAsia="宋体" w:hint="default"/>
          <w:spacing w:val="-52"/>
          <w:sz w:val="22"/>
          <w:szCs w:val="22"/>
        </w:rPr>
        <w:t> </w:t>
      </w:r>
      <w:r>
        <w:rPr>
          <w:rFonts w:ascii="宋体" w:hAnsi="宋体" w:cs="宋体" w:eastAsia="宋体" w:hint="default"/>
          <w:spacing w:val="-52"/>
          <w:sz w:val="22"/>
          <w:szCs w:val="22"/>
        </w:rPr>
      </w:r>
      <w:r>
        <w:rPr>
          <w:rFonts w:ascii="宋体" w:hAnsi="宋体" w:cs="宋体" w:eastAsia="宋体" w:hint="default"/>
          <w:sz w:val="22"/>
          <w:szCs w:val="22"/>
        </w:rPr>
        <w:t>正在等待二审开庭。依米康智能因该案被冻结银行存款</w:t>
      </w:r>
      <w:r>
        <w:rPr>
          <w:rFonts w:ascii="Times New Roman" w:hAnsi="Times New Roman" w:cs="Times New Roman" w:eastAsia="Times New Roman" w:hint="default"/>
          <w:sz w:val="22"/>
          <w:szCs w:val="22"/>
        </w:rPr>
        <w:t>280</w:t>
      </w:r>
      <w:r>
        <w:rPr>
          <w:rFonts w:ascii="宋体" w:hAnsi="宋体" w:cs="宋体" w:eastAsia="宋体" w:hint="default"/>
          <w:sz w:val="22"/>
          <w:szCs w:val="22"/>
        </w:rPr>
        <w:t>万元。</w:t>
      </w:r>
    </w:p>
    <w:p>
      <w:pPr>
        <w:spacing w:before="122"/>
        <w:ind w:left="594" w:right="0" w:firstLine="0"/>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17.</w:t>
      </w:r>
      <w:r>
        <w:rPr>
          <w:rFonts w:ascii="宋体" w:hAnsi="宋体" w:cs="宋体" w:eastAsia="宋体" w:hint="default"/>
          <w:spacing w:val="5"/>
          <w:sz w:val="22"/>
          <w:szCs w:val="22"/>
        </w:rPr>
        <w:t>本公司之子公司依米康智能与广州力辉恒宇展览有限公司买卖合同纠纷一案，涉案金额为</w:t>
      </w:r>
    </w:p>
    <w:p>
      <w:pPr>
        <w:spacing w:line="249" w:lineRule="auto" w:before="8"/>
        <w:ind w:left="153" w:right="1123" w:firstLine="0"/>
        <w:jc w:val="both"/>
        <w:rPr>
          <w:rFonts w:ascii="宋体" w:hAnsi="宋体" w:cs="宋体" w:eastAsia="宋体" w:hint="default"/>
          <w:sz w:val="22"/>
          <w:szCs w:val="22"/>
        </w:rPr>
      </w:pPr>
      <w:r>
        <w:rPr>
          <w:rFonts w:ascii="Times New Roman" w:hAnsi="Times New Roman" w:cs="Times New Roman" w:eastAsia="Times New Roman" w:hint="default"/>
          <w:spacing w:val="-2"/>
          <w:sz w:val="22"/>
          <w:szCs w:val="22"/>
        </w:rPr>
        <w:t>221.42</w:t>
      </w:r>
      <w:r>
        <w:rPr>
          <w:rFonts w:ascii="宋体" w:hAnsi="宋体" w:cs="宋体" w:eastAsia="宋体" w:hint="default"/>
          <w:spacing w:val="-2"/>
          <w:sz w:val="22"/>
          <w:szCs w:val="22"/>
        </w:rPr>
        <w:t>万元。</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11</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1</w:t>
      </w:r>
      <w:r>
        <w:rPr>
          <w:rFonts w:ascii="宋体" w:hAnsi="宋体" w:cs="宋体" w:eastAsia="宋体" w:hint="default"/>
          <w:spacing w:val="-2"/>
          <w:sz w:val="22"/>
          <w:szCs w:val="22"/>
        </w:rPr>
        <w:t>日，昆明市呈贡区人民法院作出一审判决（（</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云</w:t>
      </w:r>
      <w:r>
        <w:rPr>
          <w:rFonts w:ascii="Times New Roman" w:hAnsi="Times New Roman" w:cs="Times New Roman" w:eastAsia="Times New Roman" w:hint="default"/>
          <w:spacing w:val="-2"/>
          <w:sz w:val="22"/>
          <w:szCs w:val="22"/>
        </w:rPr>
        <w:t>0114</w:t>
      </w:r>
      <w:r>
        <w:rPr>
          <w:rFonts w:ascii="宋体" w:hAnsi="宋体" w:cs="宋体" w:eastAsia="宋体" w:hint="default"/>
          <w:spacing w:val="-2"/>
          <w:sz w:val="22"/>
          <w:szCs w:val="22"/>
        </w:rPr>
        <w:t>民初</w:t>
      </w:r>
      <w:r>
        <w:rPr>
          <w:rFonts w:ascii="Times New Roman" w:hAnsi="Times New Roman" w:cs="Times New Roman" w:eastAsia="Times New Roman" w:hint="default"/>
          <w:spacing w:val="-2"/>
          <w:sz w:val="22"/>
          <w:szCs w:val="22"/>
        </w:rPr>
        <w:t>100</w:t>
      </w:r>
      <w:r>
        <w:rPr>
          <w:rFonts w:ascii="宋体" w:hAnsi="宋体" w:cs="宋体" w:eastAsia="宋体" w:hint="default"/>
          <w:spacing w:val="-2"/>
          <w:sz w:val="22"/>
          <w:szCs w:val="22"/>
        </w:rPr>
        <w:t>号），判</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pacing w:val="-1"/>
          <w:sz w:val="22"/>
          <w:szCs w:val="22"/>
        </w:rPr>
        <w:t>决依米康智能胜诉，按照合同约定公司支付进度款</w:t>
      </w:r>
      <w:r>
        <w:rPr>
          <w:rFonts w:ascii="Times New Roman" w:hAnsi="Times New Roman" w:cs="Times New Roman" w:eastAsia="Times New Roman" w:hint="default"/>
          <w:spacing w:val="-1"/>
          <w:sz w:val="22"/>
          <w:szCs w:val="22"/>
        </w:rPr>
        <w:t>7.89</w:t>
      </w:r>
      <w:r>
        <w:rPr>
          <w:rFonts w:ascii="宋体" w:hAnsi="宋体" w:cs="宋体" w:eastAsia="宋体" w:hint="default"/>
          <w:spacing w:val="-1"/>
          <w:sz w:val="22"/>
          <w:szCs w:val="22"/>
        </w:rPr>
        <w:t>万元及利息，驳回力辉其他诉求，广州力辉恒</w:t>
      </w:r>
      <w:r>
        <w:rPr>
          <w:rFonts w:ascii="宋体" w:hAnsi="宋体" w:cs="宋体" w:eastAsia="宋体" w:hint="default"/>
          <w:spacing w:val="-46"/>
          <w:sz w:val="22"/>
          <w:szCs w:val="22"/>
        </w:rPr>
        <w:t> </w:t>
      </w:r>
      <w:r>
        <w:rPr>
          <w:rFonts w:ascii="宋体" w:hAnsi="宋体" w:cs="宋体" w:eastAsia="宋体" w:hint="default"/>
          <w:spacing w:val="-46"/>
          <w:sz w:val="22"/>
          <w:szCs w:val="22"/>
        </w:rPr>
      </w:r>
      <w:r>
        <w:rPr>
          <w:rFonts w:ascii="宋体" w:hAnsi="宋体" w:cs="宋体" w:eastAsia="宋体" w:hint="default"/>
          <w:spacing w:val="2"/>
          <w:sz w:val="22"/>
          <w:szCs w:val="22"/>
        </w:rPr>
        <w:t>宇展览有限公司不服，已经提起上诉，目前正在等待二审开庭。依米康智能因该案被冻结银行存款</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Times New Roman" w:hAnsi="Times New Roman" w:cs="Times New Roman" w:eastAsia="Times New Roman" w:hint="default"/>
          <w:sz w:val="22"/>
          <w:szCs w:val="22"/>
        </w:rPr>
        <w:t>221.42</w:t>
      </w:r>
      <w:r>
        <w:rPr>
          <w:rFonts w:ascii="宋体" w:hAnsi="宋体" w:cs="宋体" w:eastAsia="宋体" w:hint="default"/>
          <w:sz w:val="22"/>
          <w:szCs w:val="22"/>
        </w:rPr>
        <w:t>万元。</w:t>
      </w:r>
    </w:p>
    <w:p>
      <w:pPr>
        <w:spacing w:line="247" w:lineRule="auto" w:before="117"/>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3"/>
          <w:w w:val="100"/>
          <w:sz w:val="22"/>
          <w:szCs w:val="22"/>
        </w:rPr>
        <w:t>18.</w:t>
      </w:r>
      <w:r>
        <w:rPr>
          <w:rFonts w:ascii="宋体" w:hAnsi="宋体" w:cs="宋体" w:eastAsia="宋体" w:hint="default"/>
          <w:spacing w:val="-3"/>
          <w:w w:val="100"/>
          <w:sz w:val="22"/>
          <w:szCs w:val="22"/>
        </w:rPr>
        <w:t>本公司之子公司依米康智能与苏州裕弘源电气设备工程有限公司买卖合同纠纷一案，涉案金额</w:t>
      </w:r>
      <w:r>
        <w:rPr>
          <w:rFonts w:ascii="宋体" w:hAnsi="宋体" w:cs="宋体" w:eastAsia="宋体" w:hint="default"/>
          <w:w w:val="100"/>
          <w:sz w:val="22"/>
          <w:szCs w:val="22"/>
        </w:rPr>
        <w:t> </w:t>
      </w:r>
      <w:r>
        <w:rPr>
          <w:rFonts w:ascii="宋体" w:hAnsi="宋体" w:cs="宋体" w:eastAsia="宋体" w:hint="default"/>
          <w:spacing w:val="-1"/>
          <w:sz w:val="22"/>
          <w:szCs w:val="22"/>
        </w:rPr>
        <w:t>为</w:t>
      </w:r>
      <w:r>
        <w:rPr>
          <w:rFonts w:ascii="Times New Roman" w:hAnsi="Times New Roman" w:cs="Times New Roman" w:eastAsia="Times New Roman" w:hint="default"/>
          <w:spacing w:val="-1"/>
          <w:sz w:val="22"/>
          <w:szCs w:val="22"/>
        </w:rPr>
        <w:t>332.64</w:t>
      </w:r>
      <w:r>
        <w:rPr>
          <w:rFonts w:ascii="宋体" w:hAnsi="宋体" w:cs="宋体" w:eastAsia="宋体" w:hint="default"/>
          <w:spacing w:val="-1"/>
          <w:sz w:val="22"/>
          <w:szCs w:val="22"/>
        </w:rPr>
        <w:t>万元。西安市雁塔区人民法院于</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09</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24</w:t>
      </w:r>
      <w:r>
        <w:rPr>
          <w:rFonts w:ascii="宋体" w:hAnsi="宋体" w:cs="宋体" w:eastAsia="宋体" w:hint="default"/>
          <w:spacing w:val="-1"/>
          <w:sz w:val="22"/>
          <w:szCs w:val="22"/>
        </w:rPr>
        <w:t>日一审开庭，</w:t>
      </w:r>
      <w:r>
        <w:rPr>
          <w:rFonts w:ascii="Times New Roman" w:hAnsi="Times New Roman" w:cs="Times New Roman" w:eastAsia="Times New Roman" w:hint="default"/>
          <w:spacing w:val="-1"/>
          <w:sz w:val="22"/>
          <w:szCs w:val="22"/>
        </w:rPr>
        <w:t>11</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11</w:t>
      </w:r>
      <w:r>
        <w:rPr>
          <w:rFonts w:ascii="宋体" w:hAnsi="宋体" w:cs="宋体" w:eastAsia="宋体" w:hint="default"/>
          <w:spacing w:val="-1"/>
          <w:sz w:val="22"/>
          <w:szCs w:val="22"/>
        </w:rPr>
        <w:t>日二次开庭，已完成司法</w:t>
      </w:r>
      <w:r>
        <w:rPr>
          <w:rFonts w:ascii="宋体" w:hAnsi="宋体" w:cs="宋体" w:eastAsia="宋体" w:hint="default"/>
          <w:spacing w:val="-40"/>
          <w:sz w:val="22"/>
          <w:szCs w:val="22"/>
        </w:rPr>
        <w:t> </w:t>
      </w:r>
      <w:r>
        <w:rPr>
          <w:rFonts w:ascii="宋体" w:hAnsi="宋体" w:cs="宋体" w:eastAsia="宋体" w:hint="default"/>
          <w:spacing w:val="-40"/>
          <w:sz w:val="22"/>
          <w:szCs w:val="22"/>
        </w:rPr>
      </w:r>
      <w:r>
        <w:rPr>
          <w:rFonts w:ascii="宋体" w:hAnsi="宋体" w:cs="宋体" w:eastAsia="宋体" w:hint="default"/>
          <w:sz w:val="22"/>
          <w:szCs w:val="22"/>
        </w:rPr>
        <w:t>鉴定，等待等待开庭或判决。</w:t>
      </w:r>
    </w:p>
    <w:p>
      <w:pPr>
        <w:spacing w:before="137"/>
        <w:ind w:left="594" w:right="0" w:firstLine="0"/>
        <w:jc w:val="left"/>
        <w:rPr>
          <w:rFonts w:ascii="宋体" w:hAnsi="宋体" w:cs="宋体" w:eastAsia="宋体" w:hint="default"/>
          <w:sz w:val="22"/>
          <w:szCs w:val="22"/>
        </w:rPr>
      </w:pPr>
      <w:r>
        <w:rPr>
          <w:rFonts w:ascii="Times New Roman" w:hAnsi="Times New Roman" w:cs="Times New Roman" w:eastAsia="Times New Roman" w:hint="default"/>
          <w:spacing w:val="5"/>
          <w:sz w:val="22"/>
          <w:szCs w:val="22"/>
        </w:rPr>
        <w:t>19.</w:t>
      </w:r>
      <w:r>
        <w:rPr>
          <w:rFonts w:ascii="宋体" w:hAnsi="宋体" w:cs="宋体" w:eastAsia="宋体" w:hint="default"/>
          <w:spacing w:val="5"/>
          <w:sz w:val="22"/>
          <w:szCs w:val="22"/>
        </w:rPr>
        <w:t>本公司之子公司依米康智能与苏州拜尔德机电工程有限公司买卖合同纠纷一案，涉案金额</w:t>
      </w:r>
    </w:p>
    <w:p>
      <w:pPr>
        <w:spacing w:line="244" w:lineRule="auto" w:before="7"/>
        <w:ind w:left="153" w:right="0" w:firstLine="0"/>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245.74</w:t>
      </w:r>
      <w:r>
        <w:rPr>
          <w:rFonts w:ascii="宋体" w:hAnsi="宋体" w:cs="宋体" w:eastAsia="宋体" w:hint="default"/>
          <w:spacing w:val="-1"/>
          <w:sz w:val="22"/>
          <w:szCs w:val="22"/>
        </w:rPr>
        <w:t>万元。西安市雁塔区人民法院于</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11</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8</w:t>
      </w:r>
      <w:r>
        <w:rPr>
          <w:rFonts w:ascii="宋体" w:hAnsi="宋体" w:cs="宋体" w:eastAsia="宋体" w:hint="default"/>
          <w:spacing w:val="-1"/>
          <w:sz w:val="22"/>
          <w:szCs w:val="22"/>
        </w:rPr>
        <w:t>日受理，于</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11</w:t>
      </w:r>
      <w:r>
        <w:rPr>
          <w:rFonts w:ascii="宋体" w:hAnsi="宋体" w:cs="宋体" w:eastAsia="宋体" w:hint="default"/>
          <w:spacing w:val="-1"/>
          <w:sz w:val="22"/>
          <w:szCs w:val="22"/>
        </w:rPr>
        <w:t>日开庭，因管辖权异议上诉中，</w:t>
      </w:r>
      <w:r>
        <w:rPr>
          <w:rFonts w:ascii="宋体" w:hAnsi="宋体" w:cs="宋体" w:eastAsia="宋体" w:hint="default"/>
          <w:spacing w:val="-38"/>
          <w:sz w:val="22"/>
          <w:szCs w:val="22"/>
        </w:rPr>
        <w:t> </w:t>
      </w:r>
      <w:r>
        <w:rPr>
          <w:rFonts w:ascii="宋体" w:hAnsi="宋体" w:cs="宋体" w:eastAsia="宋体" w:hint="default"/>
          <w:spacing w:val="-38"/>
          <w:sz w:val="22"/>
          <w:szCs w:val="22"/>
        </w:rPr>
      </w:r>
      <w:r>
        <w:rPr>
          <w:rFonts w:ascii="宋体" w:hAnsi="宋体" w:cs="宋体" w:eastAsia="宋体" w:hint="default"/>
          <w:sz w:val="22"/>
          <w:szCs w:val="22"/>
        </w:rPr>
        <w:t>依米康智能因该案被冻结银行存款</w:t>
      </w:r>
      <w:r>
        <w:rPr>
          <w:rFonts w:ascii="Times New Roman" w:hAnsi="Times New Roman" w:cs="Times New Roman" w:eastAsia="Times New Roman" w:hint="default"/>
          <w:sz w:val="22"/>
          <w:szCs w:val="22"/>
        </w:rPr>
        <w:t>168.85</w:t>
      </w:r>
      <w:r>
        <w:rPr>
          <w:rFonts w:ascii="宋体" w:hAnsi="宋体" w:cs="宋体" w:eastAsia="宋体" w:hint="default"/>
          <w:sz w:val="22"/>
          <w:szCs w:val="22"/>
        </w:rPr>
        <w:t>万元。</w:t>
      </w:r>
    </w:p>
    <w:p>
      <w:pPr>
        <w:spacing w:line="244" w:lineRule="auto" w:before="123"/>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20.</w:t>
      </w:r>
      <w:r>
        <w:rPr>
          <w:rFonts w:ascii="宋体" w:hAnsi="宋体" w:cs="宋体" w:eastAsia="宋体" w:hint="default"/>
          <w:spacing w:val="-1"/>
          <w:sz w:val="22"/>
          <w:szCs w:val="22"/>
        </w:rPr>
        <w:t>本公司之子公司依米康智能与深圳力唯达工程机房有限公司买卖合同纠纷一案，涉案金额</w:t>
      </w:r>
      <w:r>
        <w:rPr>
          <w:rFonts w:ascii="Times New Roman" w:hAnsi="Times New Roman" w:cs="Times New Roman" w:eastAsia="Times New Roman" w:hint="default"/>
          <w:spacing w:val="-1"/>
          <w:sz w:val="22"/>
          <w:szCs w:val="22"/>
        </w:rPr>
        <w:t>161</w:t>
      </w:r>
      <w:r>
        <w:rPr>
          <w:rFonts w:ascii="Times New Roman" w:hAnsi="Times New Roman" w:cs="Times New Roman" w:eastAsia="Times New Roman" w:hint="default"/>
          <w:w w:val="100"/>
          <w:sz w:val="22"/>
          <w:szCs w:val="22"/>
        </w:rPr>
        <w:t> </w:t>
      </w:r>
      <w:r>
        <w:rPr>
          <w:rFonts w:ascii="宋体" w:hAnsi="宋体" w:cs="宋体" w:eastAsia="宋体" w:hint="default"/>
          <w:sz w:val="22"/>
          <w:szCs w:val="22"/>
        </w:rPr>
        <w:t>万元。西安市雁塔区人民法院于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11</w:t>
      </w:r>
      <w:r>
        <w:rPr>
          <w:rFonts w:ascii="宋体" w:hAnsi="宋体" w:cs="宋体" w:eastAsia="宋体" w:hint="default"/>
          <w:sz w:val="22"/>
          <w:szCs w:val="22"/>
        </w:rPr>
        <w:t>月</w:t>
      </w:r>
      <w:r>
        <w:rPr>
          <w:rFonts w:ascii="Times New Roman" w:hAnsi="Times New Roman" w:cs="Times New Roman" w:eastAsia="Times New Roman" w:hint="default"/>
          <w:sz w:val="22"/>
          <w:szCs w:val="22"/>
        </w:rPr>
        <w:t>8</w:t>
      </w:r>
      <w:r>
        <w:rPr>
          <w:rFonts w:ascii="宋体" w:hAnsi="宋体" w:cs="宋体" w:eastAsia="宋体" w:hint="default"/>
          <w:sz w:val="22"/>
          <w:szCs w:val="22"/>
        </w:rPr>
        <w:t>日受理，于</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11</w:t>
      </w:r>
      <w:r>
        <w:rPr>
          <w:rFonts w:ascii="宋体" w:hAnsi="宋体" w:cs="宋体" w:eastAsia="宋体" w:hint="default"/>
          <w:sz w:val="22"/>
          <w:szCs w:val="22"/>
        </w:rPr>
        <w:t>日开庭，因管辖权异议上诉中，依米</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康智能因该案被冻结银行存款</w:t>
      </w:r>
      <w:r>
        <w:rPr>
          <w:rFonts w:ascii="Times New Roman" w:hAnsi="Times New Roman" w:cs="Times New Roman" w:eastAsia="Times New Roman" w:hint="default"/>
          <w:sz w:val="22"/>
          <w:szCs w:val="22"/>
        </w:rPr>
        <w:t>100</w:t>
      </w:r>
      <w:r>
        <w:rPr>
          <w:rFonts w:ascii="宋体" w:hAnsi="宋体" w:cs="宋体" w:eastAsia="宋体" w:hint="default"/>
          <w:sz w:val="22"/>
          <w:szCs w:val="22"/>
        </w:rPr>
        <w:t>万元。</w:t>
      </w:r>
    </w:p>
    <w:p>
      <w:pPr>
        <w:spacing w:line="244" w:lineRule="auto" w:before="122"/>
        <w:ind w:left="153" w:right="0" w:firstLine="441"/>
        <w:jc w:val="left"/>
        <w:rPr>
          <w:rFonts w:ascii="宋体" w:hAnsi="宋体" w:cs="宋体" w:eastAsia="宋体" w:hint="default"/>
          <w:sz w:val="22"/>
          <w:szCs w:val="22"/>
        </w:rPr>
      </w:pPr>
      <w:r>
        <w:rPr>
          <w:rFonts w:ascii="Times New Roman" w:hAnsi="Times New Roman" w:cs="Times New Roman" w:eastAsia="Times New Roman" w:hint="default"/>
          <w:sz w:val="22"/>
          <w:szCs w:val="22"/>
        </w:rPr>
        <w:t>21.</w:t>
      </w:r>
      <w:r>
        <w:rPr>
          <w:rFonts w:ascii="宋体" w:hAnsi="宋体" w:cs="宋体" w:eastAsia="宋体" w:hint="default"/>
          <w:sz w:val="22"/>
          <w:szCs w:val="22"/>
        </w:rPr>
        <w:t>本公司之子公司依米康智能与上海华层建筑材料销售中心采购合同纠纷一案，涉案金额</w:t>
      </w:r>
      <w:r>
        <w:rPr>
          <w:rFonts w:ascii="Times New Roman" w:hAnsi="Times New Roman" w:cs="Times New Roman" w:eastAsia="Times New Roman" w:hint="default"/>
          <w:sz w:val="22"/>
          <w:szCs w:val="22"/>
        </w:rPr>
        <w:t>81.06</w:t>
      </w:r>
      <w:r>
        <w:rPr>
          <w:rFonts w:ascii="Times New Roman" w:hAnsi="Times New Roman" w:cs="Times New Roman" w:eastAsia="Times New Roman" w:hint="default"/>
          <w:w w:val="100"/>
          <w:sz w:val="22"/>
          <w:szCs w:val="22"/>
        </w:rPr>
        <w:t> </w:t>
      </w:r>
      <w:r>
        <w:rPr>
          <w:rFonts w:ascii="宋体" w:hAnsi="宋体" w:cs="宋体" w:eastAsia="宋体" w:hint="default"/>
          <w:spacing w:val="-8"/>
          <w:w w:val="100"/>
          <w:sz w:val="22"/>
          <w:szCs w:val="22"/>
        </w:rPr>
        <w:t>万元。西安市雁塔区人民法院于</w:t>
      </w:r>
      <w:r>
        <w:rPr>
          <w:rFonts w:ascii="Times New Roman" w:hAnsi="Times New Roman" w:cs="Times New Roman" w:eastAsia="Times New Roman" w:hint="default"/>
          <w:spacing w:val="-8"/>
          <w:w w:val="100"/>
          <w:sz w:val="22"/>
          <w:szCs w:val="22"/>
        </w:rPr>
        <w:t>2020</w:t>
      </w:r>
      <w:r>
        <w:rPr>
          <w:rFonts w:ascii="宋体" w:hAnsi="宋体" w:cs="宋体" w:eastAsia="宋体" w:hint="default"/>
          <w:spacing w:val="-8"/>
          <w:w w:val="100"/>
          <w:sz w:val="22"/>
          <w:szCs w:val="22"/>
        </w:rPr>
        <w:t>年</w:t>
      </w:r>
      <w:r>
        <w:rPr>
          <w:rFonts w:ascii="Times New Roman" w:hAnsi="Times New Roman" w:cs="Times New Roman" w:eastAsia="Times New Roman" w:hint="default"/>
          <w:spacing w:val="-8"/>
          <w:w w:val="100"/>
          <w:sz w:val="22"/>
          <w:szCs w:val="22"/>
        </w:rPr>
        <w:t>1</w:t>
      </w:r>
      <w:r>
        <w:rPr>
          <w:rFonts w:ascii="宋体" w:hAnsi="宋体" w:cs="宋体" w:eastAsia="宋体" w:hint="default"/>
          <w:spacing w:val="-8"/>
          <w:w w:val="100"/>
          <w:sz w:val="22"/>
          <w:szCs w:val="22"/>
        </w:rPr>
        <w:t>月</w:t>
      </w:r>
      <w:r>
        <w:rPr>
          <w:rFonts w:ascii="Times New Roman" w:hAnsi="Times New Roman" w:cs="Times New Roman" w:eastAsia="Times New Roman" w:hint="default"/>
          <w:spacing w:val="-8"/>
          <w:w w:val="100"/>
          <w:sz w:val="22"/>
          <w:szCs w:val="22"/>
        </w:rPr>
        <w:t>2</w:t>
      </w:r>
      <w:r>
        <w:rPr>
          <w:rFonts w:ascii="宋体" w:hAnsi="宋体" w:cs="宋体" w:eastAsia="宋体" w:hint="default"/>
          <w:spacing w:val="-8"/>
          <w:w w:val="100"/>
          <w:sz w:val="22"/>
          <w:szCs w:val="22"/>
        </w:rPr>
        <w:t>日立案，于</w:t>
      </w:r>
      <w:r>
        <w:rPr>
          <w:rFonts w:ascii="Times New Roman" w:hAnsi="Times New Roman" w:cs="Times New Roman" w:eastAsia="Times New Roman" w:hint="default"/>
          <w:spacing w:val="-8"/>
          <w:w w:val="100"/>
          <w:sz w:val="22"/>
          <w:szCs w:val="22"/>
        </w:rPr>
        <w:t>2020</w:t>
      </w:r>
      <w:r>
        <w:rPr>
          <w:rFonts w:ascii="宋体" w:hAnsi="宋体" w:cs="宋体" w:eastAsia="宋体" w:hint="default"/>
          <w:spacing w:val="-8"/>
          <w:w w:val="100"/>
          <w:sz w:val="22"/>
          <w:szCs w:val="22"/>
        </w:rPr>
        <w:t>年</w:t>
      </w:r>
      <w:r>
        <w:rPr>
          <w:rFonts w:ascii="Times New Roman" w:hAnsi="Times New Roman" w:cs="Times New Roman" w:eastAsia="Times New Roman" w:hint="default"/>
          <w:spacing w:val="-8"/>
          <w:w w:val="100"/>
          <w:sz w:val="22"/>
          <w:szCs w:val="22"/>
        </w:rPr>
        <w:t>4</w:t>
      </w:r>
      <w:r>
        <w:rPr>
          <w:rFonts w:ascii="宋体" w:hAnsi="宋体" w:cs="宋体" w:eastAsia="宋体" w:hint="default"/>
          <w:spacing w:val="-8"/>
          <w:w w:val="100"/>
          <w:sz w:val="22"/>
          <w:szCs w:val="22"/>
        </w:rPr>
        <w:t>月</w:t>
      </w:r>
      <w:r>
        <w:rPr>
          <w:rFonts w:ascii="Times New Roman" w:hAnsi="Times New Roman" w:cs="Times New Roman" w:eastAsia="Times New Roman" w:hint="default"/>
          <w:spacing w:val="-8"/>
          <w:w w:val="100"/>
          <w:sz w:val="22"/>
          <w:szCs w:val="22"/>
        </w:rPr>
        <w:t>8</w:t>
      </w:r>
      <w:r>
        <w:rPr>
          <w:rFonts w:ascii="宋体" w:hAnsi="宋体" w:cs="宋体" w:eastAsia="宋体" w:hint="default"/>
          <w:spacing w:val="-8"/>
          <w:w w:val="100"/>
          <w:sz w:val="22"/>
          <w:szCs w:val="22"/>
        </w:rPr>
        <w:t>日作出管辖权异议民事裁定（（</w:t>
      </w:r>
      <w:r>
        <w:rPr>
          <w:rFonts w:ascii="Times New Roman" w:hAnsi="Times New Roman" w:cs="Times New Roman" w:eastAsia="Times New Roman" w:hint="default"/>
          <w:spacing w:val="-8"/>
          <w:w w:val="100"/>
          <w:sz w:val="22"/>
          <w:szCs w:val="22"/>
        </w:rPr>
        <w:t>2020</w:t>
      </w:r>
      <w:r>
        <w:rPr>
          <w:rFonts w:ascii="宋体" w:hAnsi="宋体" w:cs="宋体" w:eastAsia="宋体" w:hint="default"/>
          <w:spacing w:val="-8"/>
          <w:w w:val="100"/>
          <w:sz w:val="22"/>
          <w:szCs w:val="22"/>
        </w:rPr>
        <w:t>）</w:t>
      </w:r>
      <w:r>
        <w:rPr>
          <w:rFonts w:ascii="宋体" w:hAnsi="宋体" w:cs="宋体" w:eastAsia="宋体" w:hint="default"/>
          <w:spacing w:val="-90"/>
          <w:w w:val="100"/>
          <w:sz w:val="22"/>
          <w:szCs w:val="22"/>
        </w:rPr>
        <w:t> </w:t>
      </w:r>
      <w:r>
        <w:rPr>
          <w:rFonts w:ascii="宋体" w:hAnsi="宋体" w:cs="宋体" w:eastAsia="宋体" w:hint="default"/>
          <w:sz w:val="22"/>
          <w:szCs w:val="22"/>
        </w:rPr>
        <w:t>陕</w:t>
      </w:r>
      <w:r>
        <w:rPr>
          <w:rFonts w:ascii="Times New Roman" w:hAnsi="Times New Roman" w:cs="Times New Roman" w:eastAsia="Times New Roman" w:hint="default"/>
          <w:sz w:val="22"/>
          <w:szCs w:val="22"/>
        </w:rPr>
        <w:t>0113</w:t>
      </w:r>
      <w:r>
        <w:rPr>
          <w:rFonts w:ascii="宋体" w:hAnsi="宋体" w:cs="宋体" w:eastAsia="宋体" w:hint="default"/>
          <w:sz w:val="22"/>
          <w:szCs w:val="22"/>
        </w:rPr>
        <w:t>民初</w:t>
      </w:r>
      <w:r>
        <w:rPr>
          <w:rFonts w:ascii="Times New Roman" w:hAnsi="Times New Roman" w:cs="Times New Roman" w:eastAsia="Times New Roman" w:hint="default"/>
          <w:sz w:val="22"/>
          <w:szCs w:val="22"/>
        </w:rPr>
        <w:t>123</w:t>
      </w:r>
      <w:r>
        <w:rPr>
          <w:rFonts w:ascii="宋体" w:hAnsi="宋体" w:cs="宋体" w:eastAsia="宋体" w:hint="default"/>
          <w:sz w:val="22"/>
          <w:szCs w:val="22"/>
        </w:rPr>
        <w:t>号），裁定驳回依米康智能提出的管辖权异议，依米康智能不服，于</w:t>
      </w:r>
      <w:r>
        <w:rPr>
          <w:rFonts w:ascii="Times New Roman" w:hAnsi="Times New Roman" w:cs="Times New Roman" w:eastAsia="Times New Roman" w:hint="default"/>
          <w:sz w:val="22"/>
          <w:szCs w:val="22"/>
        </w:rPr>
        <w:t>2020</w:t>
      </w:r>
      <w:r>
        <w:rPr>
          <w:rFonts w:ascii="宋体" w:hAnsi="宋体" w:cs="宋体" w:eastAsia="宋体" w:hint="default"/>
          <w:sz w:val="22"/>
          <w:szCs w:val="22"/>
        </w:rPr>
        <w:t>年</w:t>
      </w:r>
      <w:r>
        <w:rPr>
          <w:rFonts w:ascii="Times New Roman" w:hAnsi="Times New Roman" w:cs="Times New Roman" w:eastAsia="Times New Roman" w:hint="default"/>
          <w:sz w:val="22"/>
          <w:szCs w:val="22"/>
        </w:rPr>
        <w:t>4</w:t>
      </w:r>
      <w:r>
        <w:rPr>
          <w:rFonts w:ascii="宋体" w:hAnsi="宋体" w:cs="宋体" w:eastAsia="宋体" w:hint="default"/>
          <w:sz w:val="22"/>
          <w:szCs w:val="22"/>
        </w:rPr>
        <w:t>月</w:t>
      </w:r>
      <w:r>
        <w:rPr>
          <w:rFonts w:ascii="Times New Roman" w:hAnsi="Times New Roman" w:cs="Times New Roman" w:eastAsia="Times New Roman" w:hint="default"/>
          <w:sz w:val="22"/>
          <w:szCs w:val="22"/>
        </w:rPr>
        <w:t>8</w:t>
      </w:r>
      <w:r>
        <w:rPr>
          <w:rFonts w:ascii="宋体" w:hAnsi="宋体" w:cs="宋体" w:eastAsia="宋体" w:hint="default"/>
          <w:sz w:val="22"/>
          <w:szCs w:val="22"/>
        </w:rPr>
        <w:t>日提</w:t>
      </w:r>
      <w:r>
        <w:rPr>
          <w:rFonts w:ascii="宋体" w:hAnsi="宋体" w:cs="宋体" w:eastAsia="宋体" w:hint="default"/>
          <w:spacing w:val="-49"/>
          <w:sz w:val="22"/>
          <w:szCs w:val="22"/>
        </w:rPr>
        <w:t> </w:t>
      </w:r>
      <w:r>
        <w:rPr>
          <w:rFonts w:ascii="宋体" w:hAnsi="宋体" w:cs="宋体" w:eastAsia="宋体" w:hint="default"/>
          <w:sz w:val="22"/>
          <w:szCs w:val="22"/>
        </w:rPr>
        <w:t>交管辖权异议上诉状，依米康智能因该案被冻结银行存款</w:t>
      </w:r>
      <w:r>
        <w:rPr>
          <w:rFonts w:ascii="Times New Roman" w:hAnsi="Times New Roman" w:cs="Times New Roman" w:eastAsia="Times New Roman" w:hint="default"/>
          <w:sz w:val="22"/>
          <w:szCs w:val="22"/>
        </w:rPr>
        <w:t>162.12</w:t>
      </w:r>
      <w:r>
        <w:rPr>
          <w:rFonts w:ascii="宋体" w:hAnsi="宋体" w:cs="宋体" w:eastAsia="宋体" w:hint="default"/>
          <w:sz w:val="22"/>
          <w:szCs w:val="22"/>
        </w:rPr>
        <w:t>万元，因为法院重复冻结依米康智能</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sz w:val="22"/>
          <w:szCs w:val="22"/>
        </w:rPr>
        <w:t>公司两个账户，依米康智能公司已申请法院将超过诉讼金额冻结的银行存款解除诉讼保全措施。</w:t>
      </w:r>
    </w:p>
    <w:p>
      <w:pPr>
        <w:spacing w:after="0" w:line="244" w:lineRule="auto"/>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44" w:lineRule="auto" w:before="32"/>
        <w:ind w:left="153" w:right="1123" w:firstLine="441"/>
        <w:jc w:val="both"/>
        <w:rPr>
          <w:rFonts w:ascii="宋体" w:hAnsi="宋体" w:cs="宋体" w:eastAsia="宋体" w:hint="default"/>
          <w:sz w:val="22"/>
          <w:szCs w:val="22"/>
        </w:rPr>
      </w:pPr>
      <w:r>
        <w:rPr>
          <w:rFonts w:ascii="Times New Roman" w:hAnsi="Times New Roman" w:cs="Times New Roman" w:eastAsia="Times New Roman" w:hint="default"/>
          <w:spacing w:val="-3"/>
          <w:w w:val="100"/>
          <w:sz w:val="22"/>
          <w:szCs w:val="22"/>
        </w:rPr>
        <w:t>22.</w:t>
      </w:r>
      <w:r>
        <w:rPr>
          <w:rFonts w:ascii="宋体" w:hAnsi="宋体" w:cs="宋体" w:eastAsia="宋体" w:hint="default"/>
          <w:spacing w:val="-3"/>
          <w:w w:val="100"/>
          <w:sz w:val="22"/>
          <w:szCs w:val="22"/>
        </w:rPr>
        <w:t>本公司之子公司依米康智能与上海华东电脑股份有限公司建设工程施工合同纠纷一案，涉案金</w:t>
      </w:r>
      <w:r>
        <w:rPr>
          <w:rFonts w:ascii="宋体" w:hAnsi="宋体" w:cs="宋体" w:eastAsia="宋体" w:hint="default"/>
          <w:w w:val="100"/>
          <w:sz w:val="22"/>
          <w:szCs w:val="22"/>
        </w:rPr>
        <w:t> </w:t>
      </w:r>
      <w:r>
        <w:rPr>
          <w:rFonts w:ascii="宋体" w:hAnsi="宋体" w:cs="宋体" w:eastAsia="宋体" w:hint="default"/>
          <w:spacing w:val="-3"/>
          <w:sz w:val="22"/>
          <w:szCs w:val="22"/>
        </w:rPr>
        <w:t>额</w:t>
      </w:r>
      <w:r>
        <w:rPr>
          <w:rFonts w:ascii="Times New Roman" w:hAnsi="Times New Roman" w:cs="Times New Roman" w:eastAsia="Times New Roman" w:hint="default"/>
          <w:spacing w:val="-3"/>
          <w:sz w:val="22"/>
          <w:szCs w:val="22"/>
        </w:rPr>
        <w:t>480.53</w:t>
      </w:r>
      <w:r>
        <w:rPr>
          <w:rFonts w:ascii="宋体" w:hAnsi="宋体" w:cs="宋体" w:eastAsia="宋体" w:hint="default"/>
          <w:spacing w:val="-3"/>
          <w:sz w:val="22"/>
          <w:szCs w:val="22"/>
        </w:rPr>
        <w:t>万元，湖南省长沙市雨花区人民法院于</w:t>
      </w:r>
      <w:r>
        <w:rPr>
          <w:rFonts w:ascii="Times New Roman" w:hAnsi="Times New Roman" w:cs="Times New Roman" w:eastAsia="Times New Roman" w:hint="default"/>
          <w:spacing w:val="-3"/>
          <w:sz w:val="22"/>
          <w:szCs w:val="22"/>
        </w:rPr>
        <w:t>2020</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2</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19</w:t>
      </w:r>
      <w:r>
        <w:rPr>
          <w:rFonts w:ascii="宋体" w:hAnsi="宋体" w:cs="宋体" w:eastAsia="宋体" w:hint="default"/>
          <w:spacing w:val="-3"/>
          <w:sz w:val="22"/>
          <w:szCs w:val="22"/>
        </w:rPr>
        <w:t>日受理，目前处于管辖权异议上诉中，待</w:t>
      </w:r>
      <w:r>
        <w:rPr>
          <w:rFonts w:ascii="宋体" w:hAnsi="宋体" w:cs="宋体" w:eastAsia="宋体" w:hint="default"/>
          <w:spacing w:val="-51"/>
          <w:sz w:val="22"/>
          <w:szCs w:val="22"/>
        </w:rPr>
        <w:t> </w:t>
      </w:r>
      <w:r>
        <w:rPr>
          <w:rFonts w:ascii="宋体" w:hAnsi="宋体" w:cs="宋体" w:eastAsia="宋体" w:hint="default"/>
          <w:spacing w:val="-51"/>
          <w:sz w:val="22"/>
          <w:szCs w:val="22"/>
        </w:rPr>
      </w:r>
      <w:r>
        <w:rPr>
          <w:rFonts w:ascii="宋体" w:hAnsi="宋体" w:cs="宋体" w:eastAsia="宋体" w:hint="default"/>
          <w:sz w:val="22"/>
          <w:szCs w:val="22"/>
        </w:rPr>
        <w:t>法院通知。</w:t>
      </w:r>
    </w:p>
    <w:p>
      <w:pPr>
        <w:spacing w:before="140"/>
        <w:ind w:left="594" w:right="0" w:firstLine="0"/>
        <w:jc w:val="left"/>
        <w:rPr>
          <w:rFonts w:ascii="宋体" w:hAnsi="宋体" w:cs="宋体" w:eastAsia="宋体" w:hint="default"/>
          <w:sz w:val="22"/>
          <w:szCs w:val="22"/>
        </w:rPr>
      </w:pPr>
      <w:r>
        <w:rPr>
          <w:rFonts w:ascii="Times New Roman" w:hAnsi="Times New Roman" w:cs="Times New Roman" w:eastAsia="Times New Roman" w:hint="default"/>
          <w:spacing w:val="6"/>
          <w:sz w:val="22"/>
          <w:szCs w:val="22"/>
        </w:rPr>
        <w:t>23.</w:t>
      </w:r>
      <w:r>
        <w:rPr>
          <w:rFonts w:ascii="宋体" w:hAnsi="宋体" w:cs="宋体" w:eastAsia="宋体" w:hint="default"/>
          <w:spacing w:val="6"/>
          <w:sz w:val="22"/>
          <w:szCs w:val="22"/>
        </w:rPr>
        <w:t>本公司之控股子公司江苏亿金与江苏元泰环保工程有限公司买卖合同纠纷一案，涉案金额</w:t>
      </w:r>
    </w:p>
    <w:p>
      <w:pPr>
        <w:spacing w:line="244" w:lineRule="auto" w:before="7"/>
        <w:ind w:left="153" w:right="0" w:firstLine="0"/>
        <w:jc w:val="left"/>
        <w:rPr>
          <w:rFonts w:ascii="宋体" w:hAnsi="宋体" w:cs="宋体" w:eastAsia="宋体" w:hint="default"/>
          <w:sz w:val="22"/>
          <w:szCs w:val="22"/>
        </w:rPr>
      </w:pPr>
      <w:r>
        <w:rPr>
          <w:rFonts w:ascii="Times New Roman" w:hAnsi="Times New Roman" w:cs="Times New Roman" w:eastAsia="Times New Roman" w:hint="default"/>
          <w:spacing w:val="-1"/>
          <w:sz w:val="22"/>
          <w:szCs w:val="22"/>
        </w:rPr>
        <w:t>162.79</w:t>
      </w:r>
      <w:r>
        <w:rPr>
          <w:rFonts w:ascii="宋体" w:hAnsi="宋体" w:cs="宋体" w:eastAsia="宋体" w:hint="default"/>
          <w:spacing w:val="-1"/>
          <w:sz w:val="22"/>
          <w:szCs w:val="22"/>
        </w:rPr>
        <w:t>万元。河北省滦州市人民法院于</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3</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4</w:t>
      </w:r>
      <w:r>
        <w:rPr>
          <w:rFonts w:ascii="宋体" w:hAnsi="宋体" w:cs="宋体" w:eastAsia="宋体" w:hint="default"/>
          <w:spacing w:val="-1"/>
          <w:sz w:val="22"/>
          <w:szCs w:val="22"/>
        </w:rPr>
        <w:t>日受理。江苏亿金于</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9</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29</w:t>
      </w:r>
      <w:r>
        <w:rPr>
          <w:rFonts w:ascii="宋体" w:hAnsi="宋体" w:cs="宋体" w:eastAsia="宋体" w:hint="default"/>
          <w:spacing w:val="-1"/>
          <w:sz w:val="22"/>
          <w:szCs w:val="22"/>
        </w:rPr>
        <w:t>日收到一审判决，</w:t>
      </w:r>
      <w:r>
        <w:rPr>
          <w:rFonts w:ascii="宋体" w:hAnsi="宋体" w:cs="宋体" w:eastAsia="宋体" w:hint="default"/>
          <w:spacing w:val="-38"/>
          <w:sz w:val="22"/>
          <w:szCs w:val="22"/>
        </w:rPr>
        <w:t> </w:t>
      </w:r>
      <w:r>
        <w:rPr>
          <w:rFonts w:ascii="宋体" w:hAnsi="宋体" w:cs="宋体" w:eastAsia="宋体" w:hint="default"/>
          <w:spacing w:val="-3"/>
          <w:w w:val="100"/>
          <w:sz w:val="22"/>
          <w:szCs w:val="22"/>
        </w:rPr>
        <w:t>判决江苏亿金于判决生效</w:t>
      </w:r>
      <w:r>
        <w:rPr>
          <w:rFonts w:ascii="Times New Roman" w:hAnsi="Times New Roman" w:cs="Times New Roman" w:eastAsia="Times New Roman" w:hint="default"/>
          <w:spacing w:val="-3"/>
          <w:w w:val="100"/>
          <w:sz w:val="22"/>
          <w:szCs w:val="22"/>
        </w:rPr>
        <w:t>10</w:t>
      </w:r>
      <w:r>
        <w:rPr>
          <w:rFonts w:ascii="宋体" w:hAnsi="宋体" w:cs="宋体" w:eastAsia="宋体" w:hint="default"/>
          <w:spacing w:val="-3"/>
          <w:w w:val="100"/>
          <w:sz w:val="22"/>
          <w:szCs w:val="22"/>
        </w:rPr>
        <w:t>日内向原告支付所欠工程款</w:t>
      </w:r>
      <w:r>
        <w:rPr>
          <w:rFonts w:ascii="Times New Roman" w:hAnsi="Times New Roman" w:cs="Times New Roman" w:eastAsia="Times New Roman" w:hint="default"/>
          <w:spacing w:val="-3"/>
          <w:w w:val="100"/>
          <w:sz w:val="22"/>
          <w:szCs w:val="22"/>
        </w:rPr>
        <w:t>161.99</w:t>
      </w:r>
      <w:r>
        <w:rPr>
          <w:rFonts w:ascii="宋体" w:hAnsi="宋体" w:cs="宋体" w:eastAsia="宋体" w:hint="default"/>
          <w:spacing w:val="-3"/>
          <w:w w:val="100"/>
          <w:sz w:val="22"/>
          <w:szCs w:val="22"/>
        </w:rPr>
        <w:t>万元及利息；江苏亿金已于</w:t>
      </w:r>
      <w:r>
        <w:rPr>
          <w:rFonts w:ascii="Times New Roman" w:hAnsi="Times New Roman" w:cs="Times New Roman" w:eastAsia="Times New Roman" w:hint="default"/>
          <w:spacing w:val="-3"/>
          <w:w w:val="100"/>
          <w:sz w:val="22"/>
          <w:szCs w:val="22"/>
        </w:rPr>
        <w:t>2019</w:t>
      </w:r>
      <w:r>
        <w:rPr>
          <w:rFonts w:ascii="宋体" w:hAnsi="宋体" w:cs="宋体" w:eastAsia="宋体" w:hint="default"/>
          <w:spacing w:val="-3"/>
          <w:w w:val="100"/>
          <w:sz w:val="22"/>
          <w:szCs w:val="22"/>
        </w:rPr>
        <w:t>年</w:t>
      </w:r>
      <w:r>
        <w:rPr>
          <w:rFonts w:ascii="Times New Roman" w:hAnsi="Times New Roman" w:cs="Times New Roman" w:eastAsia="Times New Roman" w:hint="default"/>
          <w:spacing w:val="-3"/>
          <w:w w:val="100"/>
          <w:sz w:val="22"/>
          <w:szCs w:val="22"/>
        </w:rPr>
        <w:t>9</w:t>
      </w:r>
      <w:r>
        <w:rPr>
          <w:rFonts w:ascii="宋体" w:hAnsi="宋体" w:cs="宋体" w:eastAsia="宋体" w:hint="default"/>
          <w:spacing w:val="-3"/>
          <w:w w:val="100"/>
          <w:sz w:val="22"/>
          <w:szCs w:val="22"/>
        </w:rPr>
        <w:t>月</w:t>
      </w:r>
      <w:r>
        <w:rPr>
          <w:rFonts w:ascii="Times New Roman" w:hAnsi="Times New Roman" w:cs="Times New Roman" w:eastAsia="Times New Roman" w:hint="default"/>
          <w:spacing w:val="-3"/>
          <w:w w:val="100"/>
          <w:sz w:val="22"/>
          <w:szCs w:val="22"/>
        </w:rPr>
        <w:t>30</w:t>
      </w:r>
      <w:r>
        <w:rPr>
          <w:rFonts w:ascii="Times New Roman" w:hAnsi="Times New Roman" w:cs="Times New Roman" w:eastAsia="Times New Roman" w:hint="default"/>
          <w:spacing w:val="-38"/>
          <w:w w:val="100"/>
          <w:sz w:val="22"/>
          <w:szCs w:val="22"/>
        </w:rPr>
        <w:t> </w:t>
      </w:r>
      <w:r>
        <w:rPr>
          <w:rFonts w:ascii="宋体" w:hAnsi="宋体" w:cs="宋体" w:eastAsia="宋体" w:hint="default"/>
          <w:sz w:val="22"/>
          <w:szCs w:val="22"/>
        </w:rPr>
        <w:t>日提起上诉，现等待判决。江苏亿金公司因该案被冻结银行存款</w:t>
      </w:r>
      <w:r>
        <w:rPr>
          <w:rFonts w:ascii="Times New Roman" w:hAnsi="Times New Roman" w:cs="Times New Roman" w:eastAsia="Times New Roman" w:hint="default"/>
          <w:sz w:val="22"/>
          <w:szCs w:val="22"/>
        </w:rPr>
        <w:t>162.79</w:t>
      </w:r>
      <w:r>
        <w:rPr>
          <w:rFonts w:ascii="宋体" w:hAnsi="宋体" w:cs="宋体" w:eastAsia="宋体" w:hint="default"/>
          <w:sz w:val="22"/>
          <w:szCs w:val="22"/>
        </w:rPr>
        <w:t>万元。</w:t>
      </w:r>
    </w:p>
    <w:p>
      <w:pPr>
        <w:spacing w:before="122"/>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24.</w:t>
      </w:r>
      <w:r>
        <w:rPr>
          <w:rFonts w:ascii="宋体" w:hAnsi="宋体" w:cs="宋体" w:eastAsia="宋体" w:hint="default"/>
          <w:sz w:val="22"/>
          <w:szCs w:val="22"/>
        </w:rPr>
        <w:t>本公司之控股子公司江苏亿金与上海宝晔自动化工程有限公司买卖合同纠纷一案，涉案金额</w:t>
      </w:r>
    </w:p>
    <w:p>
      <w:pPr>
        <w:spacing w:line="244" w:lineRule="auto" w:before="8"/>
        <w:ind w:left="153" w:right="1128" w:firstLine="0"/>
        <w:jc w:val="both"/>
        <w:rPr>
          <w:rFonts w:ascii="宋体" w:hAnsi="宋体" w:cs="宋体" w:eastAsia="宋体" w:hint="default"/>
          <w:sz w:val="22"/>
          <w:szCs w:val="22"/>
        </w:rPr>
      </w:pPr>
      <w:r>
        <w:rPr>
          <w:rFonts w:ascii="Times New Roman" w:hAnsi="Times New Roman" w:cs="Times New Roman" w:eastAsia="Times New Roman" w:hint="default"/>
          <w:spacing w:val="-5"/>
          <w:sz w:val="22"/>
          <w:szCs w:val="22"/>
        </w:rPr>
        <w:t>234.82</w:t>
      </w:r>
      <w:r>
        <w:rPr>
          <w:rFonts w:ascii="宋体" w:hAnsi="宋体" w:cs="宋体" w:eastAsia="宋体" w:hint="default"/>
          <w:spacing w:val="-5"/>
          <w:sz w:val="22"/>
          <w:szCs w:val="22"/>
        </w:rPr>
        <w:t>万元。江阴市人民法院于</w:t>
      </w:r>
      <w:r>
        <w:rPr>
          <w:rFonts w:ascii="Times New Roman" w:hAnsi="Times New Roman" w:cs="Times New Roman" w:eastAsia="Times New Roman" w:hint="default"/>
          <w:spacing w:val="-5"/>
          <w:sz w:val="22"/>
          <w:szCs w:val="22"/>
        </w:rPr>
        <w:t>2019</w:t>
      </w:r>
      <w:r>
        <w:rPr>
          <w:rFonts w:ascii="宋体" w:hAnsi="宋体" w:cs="宋体" w:eastAsia="宋体" w:hint="default"/>
          <w:spacing w:val="-5"/>
          <w:sz w:val="22"/>
          <w:szCs w:val="22"/>
        </w:rPr>
        <w:t>年</w:t>
      </w:r>
      <w:r>
        <w:rPr>
          <w:rFonts w:ascii="Times New Roman" w:hAnsi="Times New Roman" w:cs="Times New Roman" w:eastAsia="Times New Roman" w:hint="default"/>
          <w:spacing w:val="-5"/>
          <w:sz w:val="22"/>
          <w:szCs w:val="22"/>
        </w:rPr>
        <w:t>5</w:t>
      </w:r>
      <w:r>
        <w:rPr>
          <w:rFonts w:ascii="宋体" w:hAnsi="宋体" w:cs="宋体" w:eastAsia="宋体" w:hint="default"/>
          <w:spacing w:val="-5"/>
          <w:sz w:val="22"/>
          <w:szCs w:val="22"/>
        </w:rPr>
        <w:t>月</w:t>
      </w:r>
      <w:r>
        <w:rPr>
          <w:rFonts w:ascii="Times New Roman" w:hAnsi="Times New Roman" w:cs="Times New Roman" w:eastAsia="Times New Roman" w:hint="default"/>
          <w:spacing w:val="-5"/>
          <w:sz w:val="22"/>
          <w:szCs w:val="22"/>
        </w:rPr>
        <w:t>8</w:t>
      </w:r>
      <w:r>
        <w:rPr>
          <w:rFonts w:ascii="宋体" w:hAnsi="宋体" w:cs="宋体" w:eastAsia="宋体" w:hint="default"/>
          <w:spacing w:val="-5"/>
          <w:sz w:val="22"/>
          <w:szCs w:val="22"/>
        </w:rPr>
        <w:t>日受理，于</w:t>
      </w:r>
      <w:r>
        <w:rPr>
          <w:rFonts w:ascii="Times New Roman" w:hAnsi="Times New Roman" w:cs="Times New Roman" w:eastAsia="Times New Roman" w:hint="default"/>
          <w:spacing w:val="-5"/>
          <w:sz w:val="22"/>
          <w:szCs w:val="22"/>
        </w:rPr>
        <w:t>2019</w:t>
      </w:r>
      <w:r>
        <w:rPr>
          <w:rFonts w:ascii="宋体" w:hAnsi="宋体" w:cs="宋体" w:eastAsia="宋体" w:hint="default"/>
          <w:spacing w:val="-5"/>
          <w:sz w:val="22"/>
          <w:szCs w:val="22"/>
        </w:rPr>
        <w:t>年</w:t>
      </w:r>
      <w:r>
        <w:rPr>
          <w:rFonts w:ascii="Times New Roman" w:hAnsi="Times New Roman" w:cs="Times New Roman" w:eastAsia="Times New Roman" w:hint="default"/>
          <w:spacing w:val="-5"/>
          <w:sz w:val="22"/>
          <w:szCs w:val="22"/>
        </w:rPr>
        <w:t>11</w:t>
      </w:r>
      <w:r>
        <w:rPr>
          <w:rFonts w:ascii="宋体" w:hAnsi="宋体" w:cs="宋体" w:eastAsia="宋体" w:hint="default"/>
          <w:spacing w:val="-5"/>
          <w:sz w:val="22"/>
          <w:szCs w:val="22"/>
        </w:rPr>
        <w:t>月</w:t>
      </w:r>
      <w:r>
        <w:rPr>
          <w:rFonts w:ascii="Times New Roman" w:hAnsi="Times New Roman" w:cs="Times New Roman" w:eastAsia="Times New Roman" w:hint="default"/>
          <w:spacing w:val="-5"/>
          <w:sz w:val="22"/>
          <w:szCs w:val="22"/>
        </w:rPr>
        <w:t>14</w:t>
      </w:r>
      <w:r>
        <w:rPr>
          <w:rFonts w:ascii="宋体" w:hAnsi="宋体" w:cs="宋体" w:eastAsia="宋体" w:hint="default"/>
          <w:spacing w:val="-5"/>
          <w:sz w:val="22"/>
          <w:szCs w:val="22"/>
        </w:rPr>
        <w:t>日和解，并签署了《和解协议》，</w:t>
      </w:r>
      <w:r>
        <w:rPr>
          <w:rFonts w:ascii="宋体" w:hAnsi="宋体" w:cs="宋体" w:eastAsia="宋体" w:hint="default"/>
          <w:spacing w:val="-47"/>
          <w:sz w:val="22"/>
          <w:szCs w:val="22"/>
        </w:rPr>
        <w:t> </w:t>
      </w:r>
      <w:r>
        <w:rPr>
          <w:rFonts w:ascii="宋体" w:hAnsi="宋体" w:cs="宋体" w:eastAsia="宋体" w:hint="default"/>
          <w:spacing w:val="-47"/>
          <w:sz w:val="22"/>
          <w:szCs w:val="22"/>
        </w:rPr>
      </w:r>
      <w:r>
        <w:rPr>
          <w:rFonts w:ascii="宋体" w:hAnsi="宋体" w:cs="宋体" w:eastAsia="宋体" w:hint="default"/>
          <w:sz w:val="22"/>
          <w:szCs w:val="22"/>
        </w:rPr>
        <w:t>截至</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日，江苏亿金已支付完毕。江苏亿金因该案被冻结银行存款</w:t>
      </w:r>
      <w:r>
        <w:rPr>
          <w:rFonts w:ascii="Times New Roman" w:hAnsi="Times New Roman" w:cs="Times New Roman" w:eastAsia="Times New Roman" w:hint="default"/>
          <w:sz w:val="22"/>
          <w:szCs w:val="22"/>
        </w:rPr>
        <w:t>240</w:t>
      </w:r>
      <w:r>
        <w:rPr>
          <w:rFonts w:ascii="宋体" w:hAnsi="宋体" w:cs="宋体" w:eastAsia="宋体" w:hint="default"/>
          <w:sz w:val="22"/>
          <w:szCs w:val="22"/>
        </w:rPr>
        <w:t>万元，冻结资金于</w:t>
      </w:r>
      <w:r>
        <w:rPr>
          <w:rFonts w:ascii="宋体" w:hAnsi="宋体" w:cs="宋体" w:eastAsia="宋体" w:hint="default"/>
          <w:spacing w:val="-53"/>
          <w:sz w:val="22"/>
          <w:szCs w:val="22"/>
        </w:rPr>
        <w:t> </w:t>
      </w:r>
      <w:r>
        <w:rPr>
          <w:rFonts w:ascii="宋体" w:hAnsi="宋体" w:cs="宋体" w:eastAsia="宋体" w:hint="default"/>
          <w:spacing w:val="-53"/>
          <w:sz w:val="22"/>
          <w:szCs w:val="22"/>
        </w:rPr>
      </w:r>
      <w:r>
        <w:rPr>
          <w:rFonts w:ascii="Times New Roman" w:hAnsi="Times New Roman" w:cs="Times New Roman" w:eastAsia="Times New Roman" w:hint="default"/>
          <w:sz w:val="22"/>
          <w:szCs w:val="22"/>
        </w:rPr>
        <w:t>2020</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10</w:t>
      </w:r>
      <w:r>
        <w:rPr>
          <w:rFonts w:ascii="宋体" w:hAnsi="宋体" w:cs="宋体" w:eastAsia="宋体" w:hint="default"/>
          <w:sz w:val="22"/>
          <w:szCs w:val="22"/>
        </w:rPr>
        <w:t>日解冻。</w:t>
      </w:r>
    </w:p>
    <w:p>
      <w:pPr>
        <w:spacing w:line="247" w:lineRule="auto" w:before="122"/>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2"/>
          <w:sz w:val="22"/>
          <w:szCs w:val="22"/>
        </w:rPr>
        <w:t>25.</w:t>
      </w:r>
      <w:r>
        <w:rPr>
          <w:rFonts w:ascii="宋体" w:hAnsi="宋体" w:cs="宋体" w:eastAsia="宋体" w:hint="default"/>
          <w:spacing w:val="-2"/>
          <w:sz w:val="22"/>
          <w:szCs w:val="22"/>
        </w:rPr>
        <w:t>本公司之控股子公司临沧亿金与曹刚合同纠纷一案，涉案金额</w:t>
      </w:r>
      <w:r>
        <w:rPr>
          <w:rFonts w:ascii="Times New Roman" w:hAnsi="Times New Roman" w:cs="Times New Roman" w:eastAsia="Times New Roman" w:hint="default"/>
          <w:spacing w:val="-2"/>
          <w:sz w:val="22"/>
          <w:szCs w:val="22"/>
        </w:rPr>
        <w:t>399.87</w:t>
      </w:r>
      <w:r>
        <w:rPr>
          <w:rFonts w:ascii="宋体" w:hAnsi="宋体" w:cs="宋体" w:eastAsia="宋体" w:hint="default"/>
          <w:spacing w:val="-2"/>
          <w:sz w:val="22"/>
          <w:szCs w:val="22"/>
        </w:rPr>
        <w:t>万元，临沧市临翔区人民</w:t>
      </w:r>
      <w:r>
        <w:rPr>
          <w:rFonts w:ascii="宋体" w:hAnsi="宋体" w:cs="宋体" w:eastAsia="宋体" w:hint="default"/>
          <w:w w:val="100"/>
          <w:sz w:val="22"/>
          <w:szCs w:val="22"/>
        </w:rPr>
        <w:t> </w:t>
      </w:r>
      <w:r>
        <w:rPr>
          <w:rFonts w:ascii="宋体" w:hAnsi="宋体" w:cs="宋体" w:eastAsia="宋体" w:hint="default"/>
          <w:spacing w:val="-2"/>
          <w:sz w:val="22"/>
          <w:szCs w:val="22"/>
        </w:rPr>
        <w:t>法院于</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5</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7</w:t>
      </w:r>
      <w:r>
        <w:rPr>
          <w:rFonts w:ascii="宋体" w:hAnsi="宋体" w:cs="宋体" w:eastAsia="宋体" w:hint="default"/>
          <w:spacing w:val="-2"/>
          <w:sz w:val="22"/>
          <w:szCs w:val="22"/>
        </w:rPr>
        <w:t>日受理，因该案涉及合同诈骗，临沧亿金已报案，目前等待法院决定是否移送公安</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机关处理。</w:t>
      </w:r>
    </w:p>
    <w:p>
      <w:pPr>
        <w:spacing w:before="137"/>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26.</w:t>
      </w:r>
      <w:r>
        <w:rPr>
          <w:rFonts w:ascii="宋体" w:hAnsi="宋体" w:cs="宋体" w:eastAsia="宋体" w:hint="default"/>
          <w:sz w:val="22"/>
          <w:szCs w:val="22"/>
        </w:rPr>
        <w:t>截至</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日，除存在上述或有事项，本集团不存在需要披露的其他重要或有事项。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2）公司没有需要披露的重要或有事项，也应予以说明" w:id="509"/>
      <w:bookmarkEnd w:id="5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620" w:lineRule="exact" w:before="63"/>
        <w:ind w:left="153" w:right="7162" w:firstLine="0"/>
        <w:jc w:val="left"/>
        <w:rPr>
          <w:rFonts w:ascii="宋体" w:hAnsi="宋体" w:cs="宋体" w:eastAsia="宋体" w:hint="default"/>
          <w:sz w:val="24"/>
          <w:szCs w:val="24"/>
        </w:rPr>
      </w:pPr>
      <w:r>
        <w:rPr>
          <w:rFonts w:ascii="宋体" w:hAnsi="宋体" w:cs="宋体" w:eastAsia="宋体" w:hint="default"/>
          <w:spacing w:val="-3"/>
          <w:sz w:val="18"/>
          <w:szCs w:val="18"/>
        </w:rPr>
        <w:t>公司不存在需要披露的重要或有事项。</w:t>
      </w:r>
      <w:r>
        <w:rPr>
          <w:rFonts w:ascii="宋体" w:hAnsi="宋体" w:cs="宋体" w:eastAsia="宋体" w:hint="default"/>
          <w:spacing w:val="-39"/>
          <w:sz w:val="18"/>
          <w:szCs w:val="18"/>
        </w:rPr>
        <w:t> </w:t>
      </w:r>
      <w:r>
        <w:rPr>
          <w:rFonts w:ascii="宋体" w:hAnsi="宋体" w:cs="宋体" w:eastAsia="宋体" w:hint="default"/>
          <w:spacing w:val="-39"/>
          <w:sz w:val="18"/>
          <w:szCs w:val="18"/>
        </w:rPr>
      </w:r>
      <w:bookmarkStart w:name="3、其他" w:id="510"/>
      <w:bookmarkEnd w:id="510"/>
      <w:r>
        <w:rPr>
          <w:rFonts w:ascii="宋体" w:hAnsi="宋体" w:cs="宋体" w:eastAsia="宋体" w:hint="default"/>
          <w:spacing w:val="-39"/>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11"/>
      <w:bookmarkEnd w:id="511"/>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3"/>
        <w:rPr>
          <w:rFonts w:ascii="宋体" w:hAnsi="宋体" w:cs="宋体" w:eastAsia="宋体" w:hint="default"/>
          <w:b/>
          <w:bCs/>
          <w:sz w:val="17"/>
          <w:szCs w:val="17"/>
        </w:rPr>
      </w:pPr>
    </w:p>
    <w:p>
      <w:pPr>
        <w:spacing w:before="0"/>
        <w:ind w:left="153" w:right="0" w:firstLine="0"/>
        <w:jc w:val="left"/>
        <w:rPr>
          <w:rFonts w:ascii="宋体" w:hAnsi="宋体" w:cs="宋体" w:eastAsia="宋体" w:hint="default"/>
          <w:sz w:val="21"/>
          <w:szCs w:val="21"/>
        </w:rPr>
      </w:pPr>
      <w:bookmarkStart w:name="1、重要的非调整事项" w:id="512"/>
      <w:bookmarkEnd w:id="5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利润分配情况" w:id="513"/>
      <w:bookmarkEnd w:id="5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5"/>
          <w:sz w:val="18"/>
          <w:szCs w:val="18"/>
        </w:rPr>
        <w:t> </w:t>
      </w:r>
      <w:r>
        <w:rPr>
          <w:rFonts w:ascii="宋体" w:hAnsi="宋体" w:cs="宋体" w:eastAsia="宋体" w:hint="default"/>
          <w:sz w:val="18"/>
          <w:szCs w:val="18"/>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销售退回" w:id="514"/>
      <w:bookmarkEnd w:id="51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其他资产负债表日后事项说明" w:id="515"/>
      <w:bookmarkEnd w:id="51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before="0"/>
        <w:ind w:left="594" w:right="0" w:firstLine="0"/>
        <w:jc w:val="left"/>
        <w:rPr>
          <w:rFonts w:ascii="宋体" w:hAnsi="宋体" w:cs="宋体" w:eastAsia="宋体" w:hint="default"/>
          <w:sz w:val="22"/>
          <w:szCs w:val="22"/>
        </w:rPr>
      </w:pPr>
      <w:r>
        <w:rPr>
          <w:rFonts w:ascii="宋体" w:hAnsi="宋体" w:cs="宋体" w:eastAsia="宋体" w:hint="default"/>
          <w:sz w:val="22"/>
          <w:szCs w:val="22"/>
        </w:rPr>
        <w:t>截止本报告批准报出日，本集团不存在需要披露的资产负债表日后事项。</w:t>
      </w:r>
    </w:p>
    <w:p>
      <w:pPr>
        <w:spacing w:after="0"/>
        <w:jc w:val="left"/>
        <w:rPr>
          <w:rFonts w:ascii="宋体" w:hAnsi="宋体" w:cs="宋体" w:eastAsia="宋体" w:hint="default"/>
          <w:sz w:val="22"/>
          <w:szCs w:val="22"/>
        </w:rPr>
        <w:sectPr>
          <w:pgSz w:w="11910" w:h="16840"/>
          <w:pgMar w:header="863"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十六、其他重要事项" w:id="516"/>
      <w:bookmarkEnd w:id="516"/>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前期会计差错更正" w:id="517"/>
      <w:bookmarkEnd w:id="51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追溯重述法" w:id="518"/>
      <w:bookmarkEnd w:id="5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未来适用法" w:id="519"/>
      <w:bookmarkEnd w:id="5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债务重组" w:id="520"/>
      <w:bookmarkEnd w:id="5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9" w:lineRule="auto" w:before="0"/>
        <w:ind w:left="153" w:right="1025" w:firstLine="441"/>
        <w:jc w:val="both"/>
        <w:rPr>
          <w:rFonts w:ascii="宋体" w:hAnsi="宋体" w:cs="宋体" w:eastAsia="宋体" w:hint="default"/>
          <w:sz w:val="22"/>
          <w:szCs w:val="22"/>
        </w:rPr>
      </w:pPr>
      <w:r>
        <w:rPr>
          <w:rFonts w:ascii="宋体" w:hAnsi="宋体" w:cs="宋体" w:eastAsia="宋体" w:hint="default"/>
          <w:sz w:val="22"/>
          <w:szCs w:val="22"/>
        </w:rPr>
        <w:t>本期债务重组利得主要为本公司之子公司深圳龙控原物流卡口业务与部分供应商结算达成和解，</w:t>
      </w:r>
      <w:r>
        <w:rPr>
          <w:rFonts w:ascii="宋体" w:hAnsi="宋体" w:cs="宋体" w:eastAsia="宋体" w:hint="default"/>
          <w:w w:val="100"/>
          <w:sz w:val="22"/>
          <w:szCs w:val="22"/>
        </w:rPr>
        <w:t> </w:t>
      </w:r>
      <w:r>
        <w:rPr>
          <w:rFonts w:ascii="宋体" w:hAnsi="宋体" w:cs="宋体" w:eastAsia="宋体" w:hint="default"/>
          <w:sz w:val="22"/>
          <w:szCs w:val="22"/>
        </w:rPr>
        <w:t>免除债务</w:t>
      </w:r>
      <w:r>
        <w:rPr>
          <w:rFonts w:ascii="Times New Roman" w:hAnsi="Times New Roman" w:cs="Times New Roman" w:eastAsia="Times New Roman" w:hint="default"/>
          <w:sz w:val="22"/>
          <w:szCs w:val="22"/>
        </w:rPr>
        <w:t>5,851,901.71</w:t>
      </w:r>
      <w:r>
        <w:rPr>
          <w:rFonts w:ascii="宋体" w:hAnsi="宋体" w:cs="宋体" w:eastAsia="宋体" w:hint="default"/>
          <w:sz w:val="22"/>
          <w:szCs w:val="22"/>
        </w:rPr>
        <w:t>元。</w:t>
      </w:r>
    </w:p>
    <w:p>
      <w:pPr>
        <w:spacing w:line="240" w:lineRule="auto" w:before="9"/>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bookmarkStart w:name="3、资产置换" w:id="521"/>
      <w:bookmarkEnd w:id="52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非货币性资产交换" w:id="522"/>
      <w:bookmarkEnd w:id="5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其他资产置换" w:id="523"/>
      <w:bookmarkEnd w:id="5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年金计划" w:id="524"/>
      <w:bookmarkEnd w:id="52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终止经营" w:id="525"/>
      <w:bookmarkEnd w:id="52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分部信息" w:id="526"/>
      <w:bookmarkEnd w:id="52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报告分部的确定依据与会计政策" w:id="527"/>
      <w:bookmarkEnd w:id="5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报告分部的财务信息" w:id="528"/>
      <w:bookmarkEnd w:id="5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公司无报告分部的，或者不能披露各报告分部的资产总额和负债总额的，应说明原因" w:id="529"/>
      <w:bookmarkEnd w:id="5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其他说明" w:id="530"/>
      <w:bookmarkEnd w:id="5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7、其他对投资者决策有影响的重要交易和事项" w:id="531"/>
      <w:bookmarkEnd w:id="531"/>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其他" w:id="532"/>
      <w:bookmarkEnd w:id="53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3"/>
        <w:rPr>
          <w:rFonts w:ascii="宋体" w:hAnsi="宋体" w:cs="宋体" w:eastAsia="宋体" w:hint="default"/>
          <w:b/>
          <w:bCs/>
          <w:sz w:val="24"/>
          <w:szCs w:val="24"/>
        </w:rPr>
      </w:pPr>
    </w:p>
    <w:p>
      <w:pPr>
        <w:spacing w:line="252" w:lineRule="auto" w:before="0"/>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1.2019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10</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24</w:t>
      </w:r>
      <w:r>
        <w:rPr>
          <w:rFonts w:ascii="宋体" w:hAnsi="宋体" w:cs="宋体" w:eastAsia="宋体" w:hint="default"/>
          <w:spacing w:val="-1"/>
          <w:sz w:val="22"/>
          <w:szCs w:val="22"/>
        </w:rPr>
        <w:t>日，本公司召开第四届董事会第十一次会议及第四届监事会第八次会议审议通过</w:t>
      </w:r>
      <w:r>
        <w:rPr>
          <w:rFonts w:ascii="宋体" w:hAnsi="宋体" w:cs="宋体" w:eastAsia="宋体" w:hint="default"/>
          <w:w w:val="100"/>
          <w:sz w:val="22"/>
          <w:szCs w:val="22"/>
        </w:rPr>
        <w:t> </w:t>
      </w:r>
      <w:r>
        <w:rPr>
          <w:rFonts w:ascii="宋体" w:hAnsi="宋体" w:cs="宋体" w:eastAsia="宋体" w:hint="default"/>
          <w:spacing w:val="-2"/>
          <w:sz w:val="22"/>
          <w:szCs w:val="22"/>
        </w:rPr>
        <w:t>了《关于终止公司公开发行可转换公司债券事项并撤回申请文件的议案》，决定终止公开发行可转换</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公司债券事项并向中国证券监督管理委员会（以下简称</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中国证监会</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）申请撤回相关申请文件。本公</w:t>
      </w:r>
      <w:r>
        <w:rPr>
          <w:rFonts w:ascii="宋体" w:hAnsi="宋体" w:cs="宋体" w:eastAsia="宋体" w:hint="default"/>
          <w:spacing w:val="-34"/>
          <w:sz w:val="22"/>
          <w:szCs w:val="22"/>
        </w:rPr>
        <w:t> </w:t>
      </w:r>
      <w:r>
        <w:rPr>
          <w:rFonts w:ascii="宋体" w:hAnsi="宋体" w:cs="宋体" w:eastAsia="宋体" w:hint="default"/>
          <w:spacing w:val="-34"/>
          <w:sz w:val="22"/>
          <w:szCs w:val="22"/>
        </w:rPr>
      </w:r>
      <w:r>
        <w:rPr>
          <w:rFonts w:ascii="宋体" w:hAnsi="宋体" w:cs="宋体" w:eastAsia="宋体" w:hint="default"/>
          <w:spacing w:val="-3"/>
          <w:sz w:val="22"/>
          <w:szCs w:val="22"/>
        </w:rPr>
        <w:t>司已收到中国证监会出具的《中国证监会行政许可申请终止审查通知书》（</w:t>
      </w:r>
      <w:r>
        <w:rPr>
          <w:rFonts w:ascii="Times New Roman" w:hAnsi="Times New Roman" w:cs="Times New Roman" w:eastAsia="Times New Roman" w:hint="default"/>
          <w:spacing w:val="-3"/>
          <w:sz w:val="22"/>
          <w:szCs w:val="22"/>
        </w:rPr>
        <w:t>[2019]368</w:t>
      </w:r>
      <w:r>
        <w:rPr>
          <w:rFonts w:ascii="宋体" w:hAnsi="宋体" w:cs="宋体" w:eastAsia="宋体" w:hint="default"/>
          <w:spacing w:val="-3"/>
          <w:sz w:val="22"/>
          <w:szCs w:val="22"/>
        </w:rPr>
        <w:t>号），中国证监</w:t>
      </w:r>
      <w:r>
        <w:rPr>
          <w:rFonts w:ascii="宋体" w:hAnsi="宋体" w:cs="宋体" w:eastAsia="宋体" w:hint="default"/>
          <w:spacing w:val="-38"/>
          <w:sz w:val="22"/>
          <w:szCs w:val="22"/>
        </w:rPr>
        <w:t> </w:t>
      </w:r>
      <w:r>
        <w:rPr>
          <w:rFonts w:ascii="宋体" w:hAnsi="宋体" w:cs="宋体" w:eastAsia="宋体" w:hint="default"/>
          <w:spacing w:val="-38"/>
          <w:sz w:val="22"/>
          <w:szCs w:val="22"/>
        </w:rPr>
      </w:r>
      <w:r>
        <w:rPr>
          <w:rFonts w:ascii="宋体" w:hAnsi="宋体" w:cs="宋体" w:eastAsia="宋体" w:hint="default"/>
          <w:spacing w:val="-2"/>
          <w:sz w:val="22"/>
          <w:szCs w:val="22"/>
        </w:rPr>
        <w:t>会根据《行政许可法》及《中国证券监督管理委员会行政许可实施程序规定》第二十条的规定，决定</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终止对公司行政许可申请的审查。</w:t>
      </w:r>
    </w:p>
    <w:p>
      <w:pPr>
        <w:spacing w:line="244" w:lineRule="auto" w:before="133"/>
        <w:ind w:left="153" w:right="1124" w:firstLine="441"/>
        <w:jc w:val="both"/>
        <w:rPr>
          <w:rFonts w:ascii="宋体" w:hAnsi="宋体" w:cs="宋体" w:eastAsia="宋体" w:hint="default"/>
          <w:sz w:val="22"/>
          <w:szCs w:val="22"/>
        </w:rPr>
      </w:pPr>
      <w:r>
        <w:rPr>
          <w:rFonts w:ascii="Times New Roman" w:hAnsi="Times New Roman" w:cs="Times New Roman" w:eastAsia="Times New Roman" w:hint="default"/>
          <w:spacing w:val="-3"/>
          <w:sz w:val="22"/>
          <w:szCs w:val="22"/>
        </w:rPr>
        <w:t>2.2019</w:t>
      </w:r>
      <w:r>
        <w:rPr>
          <w:rFonts w:ascii="宋体" w:hAnsi="宋体" w:cs="宋体" w:eastAsia="宋体" w:hint="default"/>
          <w:spacing w:val="-3"/>
          <w:sz w:val="22"/>
          <w:szCs w:val="22"/>
        </w:rPr>
        <w:t>年</w:t>
      </w:r>
      <w:r>
        <w:rPr>
          <w:rFonts w:ascii="Times New Roman" w:hAnsi="Times New Roman" w:cs="Times New Roman" w:eastAsia="Times New Roman" w:hint="default"/>
          <w:spacing w:val="-3"/>
          <w:sz w:val="22"/>
          <w:szCs w:val="22"/>
        </w:rPr>
        <w:t>8</w:t>
      </w:r>
      <w:r>
        <w:rPr>
          <w:rFonts w:ascii="宋体" w:hAnsi="宋体" w:cs="宋体" w:eastAsia="宋体" w:hint="default"/>
          <w:spacing w:val="-3"/>
          <w:sz w:val="22"/>
          <w:szCs w:val="22"/>
        </w:rPr>
        <w:t>月</w:t>
      </w:r>
      <w:r>
        <w:rPr>
          <w:rFonts w:ascii="Times New Roman" w:hAnsi="Times New Roman" w:cs="Times New Roman" w:eastAsia="Times New Roman" w:hint="default"/>
          <w:spacing w:val="-3"/>
          <w:sz w:val="22"/>
          <w:szCs w:val="22"/>
        </w:rPr>
        <w:t>21</w:t>
      </w:r>
      <w:r>
        <w:rPr>
          <w:rFonts w:ascii="宋体" w:hAnsi="宋体" w:cs="宋体" w:eastAsia="宋体" w:hint="default"/>
          <w:spacing w:val="-3"/>
          <w:sz w:val="22"/>
          <w:szCs w:val="22"/>
        </w:rPr>
        <w:t>日，公司召开第四届董事会第七次会议审议通过了《关于终止设立产业并购基金并</w:t>
      </w:r>
      <w:r>
        <w:rPr>
          <w:rFonts w:ascii="宋体" w:hAnsi="宋体" w:cs="宋体" w:eastAsia="宋体" w:hint="default"/>
          <w:w w:val="100"/>
          <w:sz w:val="22"/>
          <w:szCs w:val="22"/>
        </w:rPr>
        <w:t> </w:t>
      </w:r>
      <w:r>
        <w:rPr>
          <w:rFonts w:ascii="宋体" w:hAnsi="宋体" w:cs="宋体" w:eastAsia="宋体" w:hint="default"/>
          <w:spacing w:val="-2"/>
          <w:sz w:val="22"/>
          <w:szCs w:val="22"/>
        </w:rPr>
        <w:t>注销深圳依米康道格产业投资合伙企业（有限合伙）的议案》，同意终止设立产业并购基金并同步注</w:t>
      </w:r>
    </w:p>
    <w:p>
      <w:pPr>
        <w:spacing w:after="0" w:line="244" w:lineRule="auto"/>
        <w:jc w:val="both"/>
        <w:rPr>
          <w:rFonts w:ascii="宋体" w:hAnsi="宋体" w:cs="宋体" w:eastAsia="宋体" w:hint="default"/>
          <w:sz w:val="22"/>
          <w:szCs w:val="22"/>
        </w:rPr>
        <w:sectPr>
          <w:pgSz w:w="11910" w:h="16840"/>
          <w:pgMar w:header="863" w:footer="979" w:top="1060" w:bottom="1160" w:left="980" w:right="0"/>
        </w:sectPr>
      </w:pPr>
    </w:p>
    <w:p>
      <w:pPr>
        <w:spacing w:line="240" w:lineRule="auto" w:before="9"/>
        <w:rPr>
          <w:rFonts w:ascii="宋体" w:hAnsi="宋体" w:cs="宋体" w:eastAsia="宋体" w:hint="default"/>
          <w:sz w:val="24"/>
          <w:szCs w:val="24"/>
        </w:rPr>
      </w:pPr>
    </w:p>
    <w:p>
      <w:pPr>
        <w:spacing w:line="244" w:lineRule="auto" w:before="32"/>
        <w:ind w:left="153" w:right="1127" w:firstLine="0"/>
        <w:jc w:val="both"/>
        <w:rPr>
          <w:rFonts w:ascii="宋体" w:hAnsi="宋体" w:cs="宋体" w:eastAsia="宋体" w:hint="default"/>
          <w:sz w:val="22"/>
          <w:szCs w:val="22"/>
        </w:rPr>
      </w:pPr>
      <w:r>
        <w:rPr>
          <w:rFonts w:ascii="宋体" w:hAnsi="宋体" w:cs="宋体" w:eastAsia="宋体" w:hint="default"/>
          <w:spacing w:val="-2"/>
          <w:sz w:val="22"/>
          <w:szCs w:val="22"/>
        </w:rPr>
        <w:t>销母基金</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深圳依米康道格产业投资合伙企业（有限合伙）（以下简称</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道格合伙</w:t>
      </w:r>
      <w:r>
        <w:rPr>
          <w:rFonts w:ascii="Times New Roman" w:hAnsi="Times New Roman" w:cs="Times New Roman" w:eastAsia="Times New Roman" w:hint="default"/>
          <w:spacing w:val="-2"/>
          <w:sz w:val="22"/>
          <w:szCs w:val="22"/>
        </w:rPr>
        <w:t>”</w:t>
      </w:r>
      <w:r>
        <w:rPr>
          <w:rFonts w:ascii="宋体" w:hAnsi="宋体" w:cs="宋体" w:eastAsia="宋体" w:hint="default"/>
          <w:spacing w:val="-2"/>
          <w:sz w:val="22"/>
          <w:szCs w:val="22"/>
        </w:rPr>
        <w:t>），道格合伙已于</w:t>
      </w:r>
      <w:r>
        <w:rPr>
          <w:rFonts w:ascii="宋体" w:hAnsi="宋体" w:cs="宋体" w:eastAsia="宋体" w:hint="default"/>
          <w:spacing w:val="-39"/>
          <w:sz w:val="22"/>
          <w:szCs w:val="22"/>
        </w:rPr>
        <w:t> </w:t>
      </w:r>
      <w:r>
        <w:rPr>
          <w:rFonts w:ascii="宋体" w:hAnsi="宋体" w:cs="宋体" w:eastAsia="宋体" w:hint="default"/>
          <w:spacing w:val="-39"/>
          <w:sz w:val="22"/>
          <w:szCs w:val="22"/>
        </w:rPr>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10</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24</w:t>
      </w:r>
      <w:r>
        <w:rPr>
          <w:rFonts w:ascii="宋体" w:hAnsi="宋体" w:cs="宋体" w:eastAsia="宋体" w:hint="default"/>
          <w:spacing w:val="-2"/>
          <w:sz w:val="22"/>
          <w:szCs w:val="22"/>
        </w:rPr>
        <w:t>日收到深圳市市场监督管理局下发的《企业注销通知书》，道格合伙的注销手续已全部</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完成。</w:t>
      </w:r>
    </w:p>
    <w:p>
      <w:pPr>
        <w:spacing w:line="247" w:lineRule="auto" w:before="140"/>
        <w:ind w:left="153" w:right="1122" w:firstLine="441"/>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3.2019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9</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2</w:t>
      </w:r>
      <w:r>
        <w:rPr>
          <w:rFonts w:ascii="宋体" w:hAnsi="宋体" w:cs="宋体" w:eastAsia="宋体" w:hint="default"/>
          <w:spacing w:val="-1"/>
          <w:sz w:val="22"/>
          <w:szCs w:val="22"/>
        </w:rPr>
        <w:t>日，公司召开第四届董事会第八次会议审议通过了《关于转让上海虹港数据信息有</w:t>
      </w:r>
      <w:r>
        <w:rPr>
          <w:rFonts w:ascii="宋体" w:hAnsi="宋体" w:cs="宋体" w:eastAsia="宋体" w:hint="default"/>
          <w:w w:val="100"/>
          <w:sz w:val="22"/>
          <w:szCs w:val="22"/>
        </w:rPr>
        <w:t> </w:t>
      </w:r>
      <w:r>
        <w:rPr>
          <w:rFonts w:ascii="宋体" w:hAnsi="宋体" w:cs="宋体" w:eastAsia="宋体" w:hint="default"/>
          <w:sz w:val="22"/>
          <w:szCs w:val="22"/>
        </w:rPr>
        <w:t>限公司股权的议案》，同意公司将持有的上海虹港数据信息有限公司</w:t>
      </w:r>
      <w:r>
        <w:rPr>
          <w:rFonts w:ascii="Times New Roman" w:hAnsi="Times New Roman" w:cs="Times New Roman" w:eastAsia="Times New Roman" w:hint="default"/>
          <w:sz w:val="22"/>
          <w:szCs w:val="22"/>
        </w:rPr>
        <w:t>14%</w:t>
      </w:r>
      <w:r>
        <w:rPr>
          <w:rFonts w:ascii="宋体" w:hAnsi="宋体" w:cs="宋体" w:eastAsia="宋体" w:hint="default"/>
          <w:sz w:val="22"/>
          <w:szCs w:val="22"/>
        </w:rPr>
        <w:t>的股权（对应出资额</w:t>
      </w:r>
      <w:r>
        <w:rPr>
          <w:rFonts w:ascii="Times New Roman" w:hAnsi="Times New Roman" w:cs="Times New Roman" w:eastAsia="Times New Roman" w:hint="default"/>
          <w:sz w:val="22"/>
          <w:szCs w:val="22"/>
        </w:rPr>
        <w:t>1,400</w:t>
      </w:r>
      <w:r>
        <w:rPr>
          <w:rFonts w:ascii="Times New Roman" w:hAnsi="Times New Roman" w:cs="Times New Roman" w:eastAsia="Times New Roman" w:hint="default"/>
          <w:spacing w:val="30"/>
          <w:sz w:val="22"/>
          <w:szCs w:val="22"/>
        </w:rPr>
        <w:t> </w:t>
      </w:r>
      <w:r>
        <w:rPr>
          <w:rFonts w:ascii="Times New Roman" w:hAnsi="Times New Roman" w:cs="Times New Roman" w:eastAsia="Times New Roman" w:hint="default"/>
          <w:spacing w:val="30"/>
          <w:sz w:val="22"/>
          <w:szCs w:val="22"/>
        </w:rPr>
      </w:r>
      <w:r>
        <w:rPr>
          <w:rFonts w:ascii="宋体" w:hAnsi="宋体" w:cs="宋体" w:eastAsia="宋体" w:hint="default"/>
          <w:spacing w:val="-3"/>
          <w:sz w:val="22"/>
          <w:szCs w:val="22"/>
        </w:rPr>
        <w:t>万元人民币，均已出资到位）以人民币</w:t>
      </w:r>
      <w:r>
        <w:rPr>
          <w:rFonts w:ascii="Times New Roman" w:hAnsi="Times New Roman" w:cs="Times New Roman" w:eastAsia="Times New Roman" w:hint="default"/>
          <w:spacing w:val="-3"/>
          <w:sz w:val="22"/>
          <w:szCs w:val="22"/>
        </w:rPr>
        <w:t>2,440</w:t>
      </w:r>
      <w:r>
        <w:rPr>
          <w:rFonts w:ascii="宋体" w:hAnsi="宋体" w:cs="宋体" w:eastAsia="宋体" w:hint="default"/>
          <w:spacing w:val="-3"/>
          <w:sz w:val="22"/>
          <w:szCs w:val="22"/>
        </w:rPr>
        <w:t>万元的价格转让给上海虹港实际控制人闻之航先生。本次</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pacing w:val="-2"/>
          <w:sz w:val="22"/>
          <w:szCs w:val="22"/>
        </w:rPr>
        <w:t>交易完成后，公司将不再持有上海虹港股权，上海虹港将不再为公司参股子公司。截止</w:t>
      </w:r>
      <w:r>
        <w:rPr>
          <w:rFonts w:ascii="Times New Roman" w:hAnsi="Times New Roman" w:cs="Times New Roman" w:eastAsia="Times New Roman" w:hint="default"/>
          <w:spacing w:val="-2"/>
          <w:sz w:val="22"/>
          <w:szCs w:val="22"/>
        </w:rPr>
        <w:t>2019</w:t>
      </w:r>
      <w:r>
        <w:rPr>
          <w:rFonts w:ascii="宋体" w:hAnsi="宋体" w:cs="宋体" w:eastAsia="宋体" w:hint="default"/>
          <w:spacing w:val="-2"/>
          <w:sz w:val="22"/>
          <w:szCs w:val="22"/>
        </w:rPr>
        <w:t>年</w:t>
      </w:r>
      <w:r>
        <w:rPr>
          <w:rFonts w:ascii="Times New Roman" w:hAnsi="Times New Roman" w:cs="Times New Roman" w:eastAsia="Times New Roman" w:hint="default"/>
          <w:spacing w:val="-2"/>
          <w:sz w:val="22"/>
          <w:szCs w:val="22"/>
        </w:rPr>
        <w:t>10</w:t>
      </w:r>
      <w:r>
        <w:rPr>
          <w:rFonts w:ascii="宋体" w:hAnsi="宋体" w:cs="宋体" w:eastAsia="宋体" w:hint="default"/>
          <w:spacing w:val="-2"/>
          <w:sz w:val="22"/>
          <w:szCs w:val="22"/>
        </w:rPr>
        <w:t>月</w:t>
      </w:r>
      <w:r>
        <w:rPr>
          <w:rFonts w:ascii="Times New Roman" w:hAnsi="Times New Roman" w:cs="Times New Roman" w:eastAsia="Times New Roman" w:hint="default"/>
          <w:spacing w:val="-2"/>
          <w:sz w:val="22"/>
          <w:szCs w:val="22"/>
        </w:rPr>
        <w:t>29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日，本次交易各方依据约定已经完成相关股权的交割，上海虹港已于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9</w:t>
      </w:r>
      <w:r>
        <w:rPr>
          <w:rFonts w:ascii="宋体" w:hAnsi="宋体" w:cs="宋体" w:eastAsia="宋体" w:hint="default"/>
          <w:sz w:val="22"/>
          <w:szCs w:val="22"/>
        </w:rPr>
        <w:t>月</w:t>
      </w:r>
      <w:r>
        <w:rPr>
          <w:rFonts w:ascii="Times New Roman" w:hAnsi="Times New Roman" w:cs="Times New Roman" w:eastAsia="Times New Roman" w:hint="default"/>
          <w:sz w:val="22"/>
          <w:szCs w:val="22"/>
        </w:rPr>
        <w:t>18</w:t>
      </w:r>
      <w:r>
        <w:rPr>
          <w:rFonts w:ascii="宋体" w:hAnsi="宋体" w:cs="宋体" w:eastAsia="宋体" w:hint="default"/>
          <w:sz w:val="22"/>
          <w:szCs w:val="22"/>
        </w:rPr>
        <w:t>日付清海通恒信融</w:t>
      </w:r>
      <w:r>
        <w:rPr>
          <w:rFonts w:ascii="宋体" w:hAnsi="宋体" w:cs="宋体" w:eastAsia="宋体" w:hint="default"/>
          <w:spacing w:val="-50"/>
          <w:sz w:val="22"/>
          <w:szCs w:val="22"/>
        </w:rPr>
        <w:t> </w:t>
      </w:r>
      <w:r>
        <w:rPr>
          <w:rFonts w:ascii="宋体" w:hAnsi="宋体" w:cs="宋体" w:eastAsia="宋体" w:hint="default"/>
          <w:spacing w:val="-50"/>
          <w:sz w:val="22"/>
          <w:szCs w:val="22"/>
        </w:rPr>
      </w:r>
      <w:r>
        <w:rPr>
          <w:rFonts w:ascii="宋体" w:hAnsi="宋体" w:cs="宋体" w:eastAsia="宋体" w:hint="default"/>
          <w:spacing w:val="-1"/>
          <w:sz w:val="22"/>
          <w:szCs w:val="22"/>
        </w:rPr>
        <w:t>资租赁（上海）有限公司（以下简称</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海通恒信</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）在《融资回租合同》（编号：</w:t>
      </w:r>
      <w:r>
        <w:rPr>
          <w:rFonts w:ascii="Times New Roman" w:hAnsi="Times New Roman" w:cs="Times New Roman" w:eastAsia="Times New Roman" w:hint="default"/>
          <w:spacing w:val="-1"/>
          <w:sz w:val="22"/>
          <w:szCs w:val="22"/>
        </w:rPr>
        <w:t>L16A1287001</w:t>
      </w:r>
      <w:r>
        <w:rPr>
          <w:rFonts w:ascii="宋体" w:hAnsi="宋体" w:cs="宋体" w:eastAsia="宋体" w:hint="default"/>
          <w:spacing w:val="-1"/>
          <w:sz w:val="22"/>
          <w:szCs w:val="22"/>
        </w:rPr>
        <w:t>）下的</w:t>
      </w:r>
      <w:r>
        <w:rPr>
          <w:rFonts w:ascii="宋体" w:hAnsi="宋体" w:cs="宋体" w:eastAsia="宋体" w:hint="default"/>
          <w:spacing w:val="-40"/>
          <w:sz w:val="22"/>
          <w:szCs w:val="22"/>
        </w:rPr>
        <w:t> </w:t>
      </w:r>
      <w:r>
        <w:rPr>
          <w:rFonts w:ascii="宋体" w:hAnsi="宋体" w:cs="宋体" w:eastAsia="宋体" w:hint="default"/>
          <w:spacing w:val="-3"/>
          <w:sz w:val="22"/>
          <w:szCs w:val="22"/>
        </w:rPr>
        <w:t>全部应付租金、留购价及其他全款，公司承担的担保责任已经解除。公司以持有的上海虹港</w:t>
      </w:r>
      <w:r>
        <w:rPr>
          <w:rFonts w:ascii="Times New Roman" w:hAnsi="Times New Roman" w:cs="Times New Roman" w:eastAsia="Times New Roman" w:hint="default"/>
          <w:spacing w:val="-3"/>
          <w:sz w:val="22"/>
          <w:szCs w:val="22"/>
        </w:rPr>
        <w:t>1,400</w:t>
      </w:r>
      <w:r>
        <w:rPr>
          <w:rFonts w:ascii="宋体" w:hAnsi="宋体" w:cs="宋体" w:eastAsia="宋体" w:hint="default"/>
          <w:spacing w:val="-3"/>
          <w:sz w:val="22"/>
          <w:szCs w:val="22"/>
        </w:rPr>
        <w:t>万股</w:t>
      </w:r>
      <w:r>
        <w:rPr>
          <w:rFonts w:ascii="宋体" w:hAnsi="宋体" w:cs="宋体" w:eastAsia="宋体" w:hint="default"/>
          <w:spacing w:val="-61"/>
          <w:sz w:val="22"/>
          <w:szCs w:val="22"/>
        </w:rPr>
        <w:t> </w:t>
      </w:r>
      <w:r>
        <w:rPr>
          <w:rFonts w:ascii="宋体" w:hAnsi="宋体" w:cs="宋体" w:eastAsia="宋体" w:hint="default"/>
          <w:spacing w:val="-2"/>
          <w:sz w:val="22"/>
          <w:szCs w:val="22"/>
        </w:rPr>
        <w:t>股权向海通恒信提供的质押担保已办理完毕出质注销登记手续；上海虹港已完成本次股权转让相关的</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工商变更登记备案手续，并取得由上海市虹口区市场监督管理局核发的《营业执照》。</w:t>
      </w:r>
    </w:p>
    <w:p>
      <w:pPr>
        <w:spacing w:line="249" w:lineRule="auto" w:before="137"/>
        <w:ind w:left="153" w:right="0" w:firstLine="441"/>
        <w:jc w:val="left"/>
        <w:rPr>
          <w:rFonts w:ascii="宋体" w:hAnsi="宋体" w:cs="宋体" w:eastAsia="宋体" w:hint="default"/>
          <w:sz w:val="22"/>
          <w:szCs w:val="22"/>
        </w:rPr>
      </w:pPr>
      <w:r>
        <w:rPr>
          <w:rFonts w:ascii="Times New Roman" w:hAnsi="Times New Roman" w:cs="Times New Roman" w:eastAsia="Times New Roman" w:hint="default"/>
          <w:sz w:val="22"/>
          <w:szCs w:val="22"/>
        </w:rPr>
        <w:t>4.</w:t>
      </w:r>
      <w:r>
        <w:rPr>
          <w:rFonts w:ascii="宋体" w:hAnsi="宋体" w:cs="宋体" w:eastAsia="宋体" w:hint="default"/>
          <w:sz w:val="22"/>
          <w:szCs w:val="22"/>
        </w:rPr>
        <w:t>为深入开展</w:t>
      </w:r>
      <w:r>
        <w:rPr>
          <w:rFonts w:ascii="Times New Roman" w:hAnsi="Times New Roman" w:cs="Times New Roman" w:eastAsia="Times New Roman" w:hint="default"/>
          <w:sz w:val="22"/>
          <w:szCs w:val="22"/>
        </w:rPr>
        <w:t>“</w:t>
      </w:r>
      <w:r>
        <w:rPr>
          <w:rFonts w:ascii="宋体" w:hAnsi="宋体" w:cs="宋体" w:eastAsia="宋体" w:hint="default"/>
          <w:sz w:val="22"/>
          <w:szCs w:val="22"/>
        </w:rPr>
        <w:t>重庆同城双活数据中心项目长寿一期工程</w:t>
      </w:r>
      <w:r>
        <w:rPr>
          <w:rFonts w:ascii="Times New Roman" w:hAnsi="Times New Roman" w:cs="Times New Roman" w:eastAsia="Times New Roman" w:hint="default"/>
          <w:sz w:val="22"/>
          <w:szCs w:val="22"/>
        </w:rPr>
        <w:t>”</w:t>
      </w:r>
      <w:r>
        <w:rPr>
          <w:rFonts w:ascii="宋体" w:hAnsi="宋体" w:cs="宋体" w:eastAsia="宋体" w:hint="default"/>
          <w:sz w:val="22"/>
          <w:szCs w:val="22"/>
        </w:rPr>
        <w:t>（以下简称</w:t>
      </w:r>
      <w:r>
        <w:rPr>
          <w:rFonts w:ascii="Times New Roman" w:hAnsi="Times New Roman" w:cs="Times New Roman" w:eastAsia="Times New Roman" w:hint="default"/>
          <w:sz w:val="22"/>
          <w:szCs w:val="22"/>
        </w:rPr>
        <w:t>“</w:t>
      </w:r>
      <w:r>
        <w:rPr>
          <w:rFonts w:ascii="宋体" w:hAnsi="宋体" w:cs="宋体" w:eastAsia="宋体" w:hint="default"/>
          <w:sz w:val="22"/>
          <w:szCs w:val="22"/>
        </w:rPr>
        <w:t>项目</w:t>
      </w:r>
      <w:r>
        <w:rPr>
          <w:rFonts w:ascii="Times New Roman" w:hAnsi="Times New Roman" w:cs="Times New Roman" w:eastAsia="Times New Roman" w:hint="default"/>
          <w:sz w:val="22"/>
          <w:szCs w:val="22"/>
        </w:rPr>
        <w:t>”</w:t>
      </w:r>
      <w:r>
        <w:rPr>
          <w:rFonts w:ascii="宋体" w:hAnsi="宋体" w:cs="宋体" w:eastAsia="宋体" w:hint="default"/>
          <w:sz w:val="22"/>
          <w:szCs w:val="22"/>
        </w:rPr>
        <w:t>）项目合作，公司与</w:t>
      </w:r>
      <w:r>
        <w:rPr>
          <w:rFonts w:ascii="宋体" w:hAnsi="宋体" w:cs="宋体" w:eastAsia="宋体" w:hint="default"/>
          <w:w w:val="100"/>
          <w:sz w:val="22"/>
          <w:szCs w:val="22"/>
        </w:rPr>
        <w:t> </w:t>
      </w:r>
      <w:r>
        <w:rPr>
          <w:rFonts w:ascii="宋体" w:hAnsi="宋体" w:cs="宋体" w:eastAsia="宋体" w:hint="default"/>
          <w:sz w:val="22"/>
          <w:szCs w:val="22"/>
        </w:rPr>
        <w:t>重庆云晟数据科技有限公司（系一家专业从事数据中心投资建设及运维管理服务的项目型公司，以下</w:t>
      </w:r>
      <w:r>
        <w:rPr>
          <w:rFonts w:ascii="宋体" w:hAnsi="宋体" w:cs="宋体" w:eastAsia="宋体" w:hint="default"/>
          <w:w w:val="100"/>
          <w:sz w:val="22"/>
          <w:szCs w:val="22"/>
        </w:rPr>
        <w:t> </w:t>
      </w:r>
      <w:r>
        <w:rPr>
          <w:rFonts w:ascii="宋体" w:hAnsi="宋体" w:cs="宋体" w:eastAsia="宋体" w:hint="default"/>
          <w:sz w:val="22"/>
          <w:szCs w:val="22"/>
        </w:rPr>
        <w:t>简称</w:t>
      </w:r>
      <w:r>
        <w:rPr>
          <w:rFonts w:ascii="Times New Roman" w:hAnsi="Times New Roman" w:cs="Times New Roman" w:eastAsia="Times New Roman" w:hint="default"/>
          <w:sz w:val="22"/>
          <w:szCs w:val="22"/>
        </w:rPr>
        <w:t>“</w:t>
      </w:r>
      <w:r>
        <w:rPr>
          <w:rFonts w:ascii="宋体" w:hAnsi="宋体" w:cs="宋体" w:eastAsia="宋体" w:hint="default"/>
          <w:sz w:val="22"/>
          <w:szCs w:val="22"/>
        </w:rPr>
        <w:t>项目公司</w:t>
      </w:r>
      <w:r>
        <w:rPr>
          <w:rFonts w:ascii="Times New Roman" w:hAnsi="Times New Roman" w:cs="Times New Roman" w:eastAsia="Times New Roman" w:hint="default"/>
          <w:sz w:val="22"/>
          <w:szCs w:val="22"/>
        </w:rPr>
        <w:t>”</w:t>
      </w:r>
      <w:r>
        <w:rPr>
          <w:rFonts w:ascii="宋体" w:hAnsi="宋体" w:cs="宋体" w:eastAsia="宋体" w:hint="default"/>
          <w:sz w:val="22"/>
          <w:szCs w:val="22"/>
        </w:rPr>
        <w:t>或</w:t>
      </w:r>
      <w:r>
        <w:rPr>
          <w:rFonts w:ascii="Times New Roman" w:hAnsi="Times New Roman" w:cs="Times New Roman" w:eastAsia="Times New Roman" w:hint="default"/>
          <w:sz w:val="22"/>
          <w:szCs w:val="22"/>
        </w:rPr>
        <w:t>“</w:t>
      </w:r>
      <w:r>
        <w:rPr>
          <w:rFonts w:ascii="宋体" w:hAnsi="宋体" w:cs="宋体" w:eastAsia="宋体" w:hint="default"/>
          <w:sz w:val="22"/>
          <w:szCs w:val="22"/>
        </w:rPr>
        <w:t>云晟数据</w:t>
      </w:r>
      <w:r>
        <w:rPr>
          <w:rFonts w:ascii="Times New Roman" w:hAnsi="Times New Roman" w:cs="Times New Roman" w:eastAsia="Times New Roman" w:hint="default"/>
          <w:sz w:val="22"/>
          <w:szCs w:val="22"/>
        </w:rPr>
        <w:t>”</w:t>
      </w:r>
      <w:r>
        <w:rPr>
          <w:rFonts w:ascii="宋体" w:hAnsi="宋体" w:cs="宋体" w:eastAsia="宋体" w:hint="default"/>
          <w:sz w:val="22"/>
          <w:szCs w:val="22"/>
        </w:rPr>
        <w:t>）控股股东肖杨先生及其他股东达成以下合作意向：肖杨先生同意以</w:t>
      </w:r>
      <w:r>
        <w:rPr>
          <w:rFonts w:ascii="Times New Roman" w:hAnsi="Times New Roman" w:cs="Times New Roman" w:eastAsia="Times New Roman" w:hint="default"/>
          <w:sz w:val="22"/>
          <w:szCs w:val="22"/>
        </w:rPr>
        <w:t>0</w:t>
      </w:r>
      <w:r>
        <w:rPr>
          <w:rFonts w:ascii="Times New Roman" w:hAnsi="Times New Roman" w:cs="Times New Roman" w:eastAsia="Times New Roman" w:hint="default"/>
          <w:spacing w:val="2"/>
          <w:sz w:val="22"/>
          <w:szCs w:val="22"/>
        </w:rPr>
        <w:t> </w:t>
      </w:r>
      <w:r>
        <w:rPr>
          <w:rFonts w:ascii="宋体" w:hAnsi="宋体" w:cs="宋体" w:eastAsia="宋体" w:hint="default"/>
          <w:sz w:val="22"/>
          <w:szCs w:val="22"/>
        </w:rPr>
        <w:t>元的价格向本公司出让其持有的项目公司</w:t>
      </w:r>
      <w:r>
        <w:rPr>
          <w:rFonts w:ascii="Times New Roman" w:hAnsi="Times New Roman" w:cs="Times New Roman" w:eastAsia="Times New Roman" w:hint="default"/>
          <w:sz w:val="22"/>
          <w:szCs w:val="22"/>
        </w:rPr>
        <w:t>20%</w:t>
      </w:r>
      <w:r>
        <w:rPr>
          <w:rFonts w:ascii="宋体" w:hAnsi="宋体" w:cs="宋体" w:eastAsia="宋体" w:hint="default"/>
          <w:sz w:val="22"/>
          <w:szCs w:val="22"/>
        </w:rPr>
        <w:t>股权（对应出资额为</w:t>
      </w:r>
      <w:r>
        <w:rPr>
          <w:rFonts w:ascii="Times New Roman" w:hAnsi="Times New Roman" w:cs="Times New Roman" w:eastAsia="Times New Roman" w:hint="default"/>
          <w:sz w:val="22"/>
          <w:szCs w:val="22"/>
        </w:rPr>
        <w:t>3,360</w:t>
      </w:r>
      <w:r>
        <w:rPr>
          <w:rFonts w:ascii="宋体" w:hAnsi="宋体" w:cs="宋体" w:eastAsia="宋体" w:hint="default"/>
          <w:sz w:val="22"/>
          <w:szCs w:val="22"/>
        </w:rPr>
        <w:t>万元人民币，尚未实缴到位，</w:t>
      </w:r>
      <w:r>
        <w:rPr>
          <w:rFonts w:ascii="宋体" w:hAnsi="宋体" w:cs="宋体" w:eastAsia="宋体" w:hint="default"/>
          <w:spacing w:val="-66"/>
          <w:sz w:val="22"/>
          <w:szCs w:val="22"/>
        </w:rPr>
        <w:t> </w:t>
      </w:r>
      <w:r>
        <w:rPr>
          <w:rFonts w:ascii="宋体" w:hAnsi="宋体" w:cs="宋体" w:eastAsia="宋体" w:hint="default"/>
          <w:sz w:val="22"/>
          <w:szCs w:val="22"/>
        </w:rPr>
        <w:t>在标的股权交割完成后的</w:t>
      </w:r>
      <w:r>
        <w:rPr>
          <w:rFonts w:ascii="Times New Roman" w:hAnsi="Times New Roman" w:cs="Times New Roman" w:eastAsia="Times New Roman" w:hint="default"/>
          <w:sz w:val="22"/>
          <w:szCs w:val="22"/>
        </w:rPr>
        <w:t>60</w:t>
      </w:r>
      <w:r>
        <w:rPr>
          <w:rFonts w:ascii="宋体" w:hAnsi="宋体" w:cs="宋体" w:eastAsia="宋体" w:hint="default"/>
          <w:sz w:val="22"/>
          <w:szCs w:val="22"/>
        </w:rPr>
        <w:t>日内完成标的股权的出资额实缴义务）（以下简称</w:t>
      </w:r>
      <w:r>
        <w:rPr>
          <w:rFonts w:ascii="Times New Roman" w:hAnsi="Times New Roman" w:cs="Times New Roman" w:eastAsia="Times New Roman" w:hint="default"/>
          <w:sz w:val="22"/>
          <w:szCs w:val="22"/>
        </w:rPr>
        <w:t>“</w:t>
      </w:r>
      <w:r>
        <w:rPr>
          <w:rFonts w:ascii="宋体" w:hAnsi="宋体" w:cs="宋体" w:eastAsia="宋体" w:hint="default"/>
          <w:sz w:val="22"/>
          <w:szCs w:val="22"/>
        </w:rPr>
        <w:t>标的股权</w:t>
      </w:r>
      <w:r>
        <w:rPr>
          <w:rFonts w:ascii="Times New Roman" w:hAnsi="Times New Roman" w:cs="Times New Roman" w:eastAsia="Times New Roman" w:hint="default"/>
          <w:sz w:val="22"/>
          <w:szCs w:val="22"/>
        </w:rPr>
        <w:t>”</w:t>
      </w:r>
      <w:r>
        <w:rPr>
          <w:rFonts w:ascii="宋体" w:hAnsi="宋体" w:cs="宋体" w:eastAsia="宋体" w:hint="default"/>
          <w:sz w:val="22"/>
          <w:szCs w:val="22"/>
        </w:rPr>
        <w:t>），项目公</w:t>
      </w:r>
      <w:r>
        <w:rPr>
          <w:rFonts w:ascii="宋体" w:hAnsi="宋体" w:cs="宋体" w:eastAsia="宋体" w:hint="default"/>
          <w:w w:val="100"/>
          <w:sz w:val="22"/>
          <w:szCs w:val="22"/>
        </w:rPr>
        <w:t> </w:t>
      </w:r>
      <w:r>
        <w:rPr>
          <w:rFonts w:ascii="宋体" w:hAnsi="宋体" w:cs="宋体" w:eastAsia="宋体" w:hint="default"/>
          <w:sz w:val="22"/>
          <w:szCs w:val="22"/>
        </w:rPr>
        <w:t>司的其他股东谢昆先生同意放弃标的股权的优先认购权，公司同意受让上述股权，于</w:t>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18</w:t>
      </w:r>
      <w:r>
        <w:rPr>
          <w:rFonts w:ascii="宋体" w:hAnsi="宋体" w:cs="宋体" w:eastAsia="宋体" w:hint="default"/>
          <w:sz w:val="22"/>
          <w:szCs w:val="22"/>
        </w:rPr>
        <w:t>日</w:t>
      </w:r>
      <w:r>
        <w:rPr>
          <w:rFonts w:ascii="宋体" w:hAnsi="宋体" w:cs="宋体" w:eastAsia="宋体" w:hint="default"/>
          <w:w w:val="100"/>
          <w:sz w:val="22"/>
          <w:szCs w:val="22"/>
        </w:rPr>
        <w:t> </w:t>
      </w:r>
      <w:r>
        <w:rPr>
          <w:rFonts w:ascii="宋体" w:hAnsi="宋体" w:cs="宋体" w:eastAsia="宋体" w:hint="default"/>
          <w:spacing w:val="-2"/>
          <w:sz w:val="22"/>
          <w:szCs w:val="22"/>
        </w:rPr>
        <w:t>履行完出资义务；在标的股权交割完成期满一年后，公司有权要求肖杨先生实施标的股权的回购。同</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pacing w:val="-2"/>
          <w:sz w:val="22"/>
          <w:szCs w:val="22"/>
        </w:rPr>
        <w:t>时，公司为云晟数据提供担保，将持有云晟数据</w:t>
      </w:r>
      <w:r>
        <w:rPr>
          <w:rFonts w:ascii="Times New Roman" w:hAnsi="Times New Roman" w:cs="Times New Roman" w:eastAsia="Times New Roman" w:hint="default"/>
          <w:spacing w:val="-2"/>
          <w:sz w:val="22"/>
          <w:szCs w:val="22"/>
        </w:rPr>
        <w:t>20%</w:t>
      </w:r>
      <w:r>
        <w:rPr>
          <w:rFonts w:ascii="宋体" w:hAnsi="宋体" w:cs="宋体" w:eastAsia="宋体" w:hint="default"/>
          <w:spacing w:val="-2"/>
          <w:sz w:val="22"/>
          <w:szCs w:val="22"/>
        </w:rPr>
        <w:t>的股权对应出资额</w:t>
      </w:r>
      <w:r>
        <w:rPr>
          <w:rFonts w:ascii="Times New Roman" w:hAnsi="Times New Roman" w:cs="Times New Roman" w:eastAsia="Times New Roman" w:hint="default"/>
          <w:spacing w:val="-2"/>
          <w:sz w:val="22"/>
          <w:szCs w:val="22"/>
        </w:rPr>
        <w:t>3,360</w:t>
      </w:r>
      <w:r>
        <w:rPr>
          <w:rFonts w:ascii="宋体" w:hAnsi="宋体" w:cs="宋体" w:eastAsia="宋体" w:hint="default"/>
          <w:spacing w:val="-2"/>
          <w:sz w:val="22"/>
          <w:szCs w:val="22"/>
        </w:rPr>
        <w:t>万元质押给中电投融和融</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z w:val="22"/>
          <w:szCs w:val="22"/>
        </w:rPr>
        <w:t>资租赁有限公司，担保期限为</w:t>
      </w:r>
      <w:r>
        <w:rPr>
          <w:rFonts w:ascii="Times New Roman" w:hAnsi="Times New Roman" w:cs="Times New Roman" w:eastAsia="Times New Roman" w:hint="default"/>
          <w:sz w:val="22"/>
          <w:szCs w:val="22"/>
        </w:rPr>
        <w:t>2020</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15</w:t>
      </w:r>
      <w:r>
        <w:rPr>
          <w:rFonts w:ascii="宋体" w:hAnsi="宋体" w:cs="宋体" w:eastAsia="宋体" w:hint="default"/>
          <w:sz w:val="22"/>
          <w:szCs w:val="22"/>
        </w:rPr>
        <w:t>日至</w:t>
      </w:r>
      <w:r>
        <w:rPr>
          <w:rFonts w:ascii="Times New Roman" w:hAnsi="Times New Roman" w:cs="Times New Roman" w:eastAsia="Times New Roman" w:hint="default"/>
          <w:sz w:val="22"/>
          <w:szCs w:val="22"/>
        </w:rPr>
        <w:t>2026</w:t>
      </w:r>
      <w:r>
        <w:rPr>
          <w:rFonts w:ascii="宋体" w:hAnsi="宋体" w:cs="宋体" w:eastAsia="宋体" w:hint="default"/>
          <w:sz w:val="22"/>
          <w:szCs w:val="22"/>
        </w:rPr>
        <w:t>年</w:t>
      </w:r>
      <w:r>
        <w:rPr>
          <w:rFonts w:ascii="Times New Roman" w:hAnsi="Times New Roman" w:cs="Times New Roman" w:eastAsia="Times New Roman" w:hint="default"/>
          <w:sz w:val="22"/>
          <w:szCs w:val="22"/>
        </w:rPr>
        <w:t>1</w:t>
      </w:r>
      <w:r>
        <w:rPr>
          <w:rFonts w:ascii="宋体" w:hAnsi="宋体" w:cs="宋体" w:eastAsia="宋体" w:hint="default"/>
          <w:sz w:val="22"/>
          <w:szCs w:val="22"/>
        </w:rPr>
        <w:t>月</w:t>
      </w:r>
      <w:r>
        <w:rPr>
          <w:rFonts w:ascii="Times New Roman" w:hAnsi="Times New Roman" w:cs="Times New Roman" w:eastAsia="Times New Roman" w:hint="default"/>
          <w:sz w:val="22"/>
          <w:szCs w:val="22"/>
        </w:rPr>
        <w:t>14</w:t>
      </w:r>
      <w:r>
        <w:rPr>
          <w:rFonts w:ascii="宋体" w:hAnsi="宋体" w:cs="宋体" w:eastAsia="宋体" w:hint="default"/>
          <w:sz w:val="22"/>
          <w:szCs w:val="22"/>
        </w:rPr>
        <w:t>日。</w:t>
      </w:r>
    </w:p>
    <w:p>
      <w:pPr>
        <w:spacing w:before="117"/>
        <w:ind w:left="594" w:right="0"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5.</w:t>
      </w:r>
      <w:r>
        <w:rPr>
          <w:rFonts w:ascii="宋体" w:hAnsi="宋体" w:cs="宋体" w:eastAsia="宋体" w:hint="default"/>
          <w:sz w:val="22"/>
          <w:szCs w:val="22"/>
        </w:rPr>
        <w:t>除存在上述其他重要事项外，本集团不存在需要披露的其他重要事项。</w:t>
      </w:r>
    </w:p>
    <w:p>
      <w:pPr>
        <w:spacing w:line="240" w:lineRule="auto" w:before="12"/>
        <w:rPr>
          <w:rFonts w:ascii="宋体" w:hAnsi="宋体" w:cs="宋体" w:eastAsia="宋体" w:hint="default"/>
          <w:sz w:val="21"/>
          <w:szCs w:val="21"/>
        </w:rPr>
      </w:pPr>
    </w:p>
    <w:p>
      <w:pPr>
        <w:pStyle w:val="Heading2"/>
        <w:spacing w:line="240" w:lineRule="auto"/>
        <w:ind w:right="0"/>
        <w:jc w:val="both"/>
        <w:rPr>
          <w:b w:val="0"/>
          <w:bCs w:val="0"/>
        </w:rPr>
      </w:pPr>
      <w:bookmarkStart w:name="十七、母公司财务报表主要项目注释" w:id="533"/>
      <w:bookmarkEnd w:id="533"/>
      <w:r>
        <w:rPr>
          <w:b w:val="0"/>
          <w:bCs w:val="0"/>
        </w:rPr>
      </w:r>
      <w:r>
        <w:rPr/>
        <w:t>十七、母公司财务报表主要项目注释</w:t>
      </w:r>
      <w:r>
        <w:rPr>
          <w:b w:val="0"/>
          <w:bCs w:val="0"/>
        </w:rPr>
      </w:r>
    </w:p>
    <w:p>
      <w:pPr>
        <w:spacing w:line="240" w:lineRule="auto" w:before="12"/>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应收账款" w:id="534"/>
      <w:bookmarkEnd w:id="53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bookmarkStart w:name="（1）应收账款分类披露" w:id="535"/>
      <w:bookmarkEnd w:id="5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58"/>
        <w:gridCol w:w="764"/>
        <w:gridCol w:w="764"/>
        <w:gridCol w:w="787"/>
        <w:gridCol w:w="778"/>
        <w:gridCol w:w="797"/>
        <w:gridCol w:w="797"/>
        <w:gridCol w:w="792"/>
        <w:gridCol w:w="931"/>
      </w:tblGrid>
      <w:tr>
        <w:trPr>
          <w:trHeight w:val="398"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3" w:hRule="exact"/>
        </w:trPr>
        <w:tc>
          <w:tcPr>
            <w:tcW w:w="1613" w:type="dxa"/>
            <w:vMerge/>
            <w:tcBorders>
              <w:left w:val="single" w:sz="4" w:space="0" w:color="000000"/>
              <w:bottom w:val="nil" w:sz="6" w:space="0" w:color="auto"/>
              <w:right w:val="single" w:sz="4" w:space="0" w:color="000000"/>
            </w:tcBorders>
            <w:shd w:val="clear" w:color="auto" w:fill="D2D2D2"/>
          </w:tcPr>
          <w:p>
            <w:pPr/>
          </w:p>
        </w:tc>
        <w:tc>
          <w:tcPr>
            <w:tcW w:w="15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5" w:hRule="exact"/>
        </w:trPr>
        <w:tc>
          <w:tcPr>
            <w:tcW w:w="16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4"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613" w:type="dxa"/>
            <w:vMerge/>
            <w:tcBorders>
              <w:left w:val="single" w:sz="4" w:space="0" w:color="000000"/>
              <w:bottom w:val="single" w:sz="4" w:space="0" w:color="FFFFFF"/>
              <w:right w:val="single" w:sz="4" w:space="0" w:color="000000"/>
            </w:tcBorders>
            <w:shd w:val="clear" w:color="auto" w:fill="D2D2D2"/>
          </w:tcPr>
          <w:p>
            <w:pPr/>
          </w:p>
        </w:tc>
        <w:tc>
          <w:tcPr>
            <w:tcW w:w="776"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3" w:type="dxa"/>
            <w:vMerge w:val="restart"/>
            <w:tcBorders>
              <w:top w:val="single" w:sz="4" w:space="0" w:color="FFFFFF"/>
              <w:left w:val="single" w:sz="4" w:space="0" w:color="000000"/>
              <w:right w:val="single" w:sz="4" w:space="0" w:color="000000"/>
            </w:tcBorders>
            <w:shd w:val="clear" w:color="auto" w:fill="D2D2D2"/>
          </w:tcPr>
          <w:p>
            <w:pPr/>
          </w:p>
        </w:tc>
        <w:tc>
          <w:tcPr>
            <w:tcW w:w="77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3"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238,900,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854.47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33,247,7</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32.29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205,653,1</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22.18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254,984,8</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09.53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31,123,32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4.06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223,861,48</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5.47</w:t>
            </w:r>
          </w:p>
        </w:tc>
      </w:tr>
      <w:tr>
        <w:trPr>
          <w:trHeight w:val="403"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4"/>
              <w:ind w:left="11" w:right="5"/>
              <w:jc w:val="left"/>
              <w:rPr>
                <w:rFonts w:ascii="宋体" w:hAnsi="宋体" w:cs="宋体" w:eastAsia="宋体" w:hint="default"/>
                <w:sz w:val="18"/>
                <w:szCs w:val="18"/>
              </w:rPr>
            </w:pPr>
            <w:r>
              <w:rPr>
                <w:rFonts w:ascii="宋体" w:hAnsi="宋体" w:cs="宋体" w:eastAsia="宋体" w:hint="default"/>
                <w:spacing w:val="-7"/>
                <w:sz w:val="18"/>
                <w:szCs w:val="18"/>
              </w:rPr>
              <w:t>其中：合并范围内关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联方款项</w:t>
            </w:r>
          </w:p>
        </w:tc>
        <w:tc>
          <w:tcPr>
            <w:tcW w:w="77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2,919,40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1.22%</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2,919,405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.08</w:t>
            </w: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pacing w:val="-7"/>
                <w:sz w:val="18"/>
                <w:szCs w:val="18"/>
              </w:rPr>
              <w:t>其中：按信用风险特</w:t>
            </w:r>
          </w:p>
        </w:tc>
        <w:tc>
          <w:tcPr>
            <w:tcW w:w="77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235,981,</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98.78%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0" w:right="0"/>
              <w:jc w:val="left"/>
              <w:rPr>
                <w:rFonts w:ascii="Times New Roman" w:hAnsi="Times New Roman" w:cs="Times New Roman" w:eastAsia="Times New Roman" w:hint="default"/>
                <w:sz w:val="18"/>
                <w:szCs w:val="18"/>
              </w:rPr>
            </w:pPr>
            <w:r>
              <w:rPr>
                <w:rFonts w:ascii="Times New Roman"/>
                <w:sz w:val="18"/>
              </w:rPr>
              <w:t>33,247,7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38" w:right="0"/>
              <w:jc w:val="left"/>
              <w:rPr>
                <w:rFonts w:ascii="Times New Roman" w:hAnsi="Times New Roman" w:cs="Times New Roman" w:eastAsia="Times New Roman" w:hint="default"/>
                <w:sz w:val="18"/>
                <w:szCs w:val="18"/>
              </w:rPr>
            </w:pPr>
            <w:r>
              <w:rPr>
                <w:rFonts w:ascii="Times New Roman"/>
                <w:sz w:val="18"/>
              </w:rPr>
              <w:t>202,733,7</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23" w:right="0"/>
              <w:jc w:val="left"/>
              <w:rPr>
                <w:rFonts w:ascii="Times New Roman" w:hAnsi="Times New Roman" w:cs="Times New Roman" w:eastAsia="Times New Roman" w:hint="default"/>
                <w:sz w:val="18"/>
                <w:szCs w:val="18"/>
              </w:rPr>
            </w:pPr>
            <w:r>
              <w:rPr>
                <w:rFonts w:ascii="Times New Roman"/>
                <w:sz w:val="18"/>
              </w:rPr>
              <w:t>254,984,8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48" w:right="0"/>
              <w:jc w:val="left"/>
              <w:rPr>
                <w:rFonts w:ascii="Times New Roman" w:hAnsi="Times New Roman" w:cs="Times New Roman" w:eastAsia="Times New Roman" w:hint="default"/>
                <w:sz w:val="18"/>
                <w:szCs w:val="18"/>
              </w:rPr>
            </w:pPr>
            <w:r>
              <w:rPr>
                <w:rFonts w:ascii="Times New Roman"/>
                <w:sz w:val="18"/>
              </w:rPr>
              <w:t>31,123,32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12.21%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91" w:right="0"/>
              <w:jc w:val="left"/>
              <w:rPr>
                <w:rFonts w:ascii="Times New Roman" w:hAnsi="Times New Roman" w:cs="Times New Roman" w:eastAsia="Times New Roman" w:hint="default"/>
                <w:sz w:val="18"/>
                <w:szCs w:val="18"/>
              </w:rPr>
            </w:pPr>
            <w:r>
              <w:rPr>
                <w:rFonts w:ascii="Times New Roman"/>
                <w:sz w:val="18"/>
              </w:rPr>
              <w:t>223,861,48</w:t>
            </w:r>
          </w:p>
        </w:tc>
      </w:tr>
    </w:tbl>
    <w:p>
      <w:pPr>
        <w:spacing w:after="0" w:line="240" w:lineRule="auto"/>
        <w:jc w:val="lef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672" w:hRule="exact"/>
        </w:trPr>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21" w:lineRule="auto" w:before="10"/>
              <w:ind w:left="24" w:right="156"/>
              <w:jc w:val="left"/>
              <w:rPr>
                <w:rFonts w:ascii="宋体" w:hAnsi="宋体" w:cs="宋体" w:eastAsia="宋体" w:hint="default"/>
                <w:sz w:val="18"/>
                <w:szCs w:val="18"/>
              </w:rPr>
            </w:pPr>
            <w:r>
              <w:rPr>
                <w:rFonts w:ascii="宋体" w:hAnsi="宋体" w:cs="宋体" w:eastAsia="宋体" w:hint="default"/>
                <w:spacing w:val="-2"/>
                <w:sz w:val="18"/>
                <w:szCs w:val="18"/>
              </w:rPr>
              <w:t>征组合计提坏账准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7"/>
              <w:ind w:left="223" w:right="0"/>
              <w:jc w:val="left"/>
              <w:rPr>
                <w:rFonts w:ascii="Times New Roman" w:hAnsi="Times New Roman" w:cs="Times New Roman" w:eastAsia="Times New Roman" w:hint="default"/>
                <w:sz w:val="18"/>
                <w:szCs w:val="18"/>
              </w:rPr>
            </w:pPr>
            <w:r>
              <w:rPr>
                <w:rFonts w:ascii="Times New Roman"/>
                <w:sz w:val="18"/>
              </w:rPr>
              <w:t>449.39</w:t>
            </w: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26" w:right="0"/>
              <w:jc w:val="left"/>
              <w:rPr>
                <w:rFonts w:ascii="Times New Roman" w:hAnsi="Times New Roman" w:cs="Times New Roman" w:eastAsia="Times New Roman" w:hint="default"/>
                <w:sz w:val="18"/>
                <w:szCs w:val="18"/>
              </w:rPr>
            </w:pPr>
            <w:r>
              <w:rPr>
                <w:rFonts w:ascii="Times New Roman"/>
                <w:sz w:val="18"/>
              </w:rPr>
              <w:t>32.29</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5" w:right="0"/>
              <w:jc w:val="left"/>
              <w:rPr>
                <w:rFonts w:ascii="Times New Roman" w:hAnsi="Times New Roman" w:cs="Times New Roman" w:eastAsia="Times New Roman" w:hint="default"/>
                <w:sz w:val="18"/>
                <w:szCs w:val="18"/>
              </w:rPr>
            </w:pPr>
            <w:r>
              <w:rPr>
                <w:rFonts w:ascii="Times New Roman"/>
                <w:sz w:val="18"/>
              </w:rPr>
              <w:t>17.10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41" w:right="0"/>
              <w:jc w:val="left"/>
              <w:rPr>
                <w:rFonts w:ascii="Times New Roman" w:hAnsi="Times New Roman" w:cs="Times New Roman" w:eastAsia="Times New Roman" w:hint="default"/>
                <w:sz w:val="18"/>
                <w:szCs w:val="18"/>
              </w:rPr>
            </w:pPr>
            <w:r>
              <w:rPr>
                <w:rFonts w:ascii="Times New Roman"/>
                <w:sz w:val="18"/>
              </w:rPr>
              <w:t>09.53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51" w:right="0"/>
              <w:jc w:val="left"/>
              <w:rPr>
                <w:rFonts w:ascii="Times New Roman" w:hAnsi="Times New Roman" w:cs="Times New Roman" w:eastAsia="Times New Roman" w:hint="default"/>
                <w:sz w:val="18"/>
                <w:szCs w:val="18"/>
              </w:rPr>
            </w:pPr>
            <w:r>
              <w:rPr>
                <w:rFonts w:ascii="Times New Roman"/>
                <w:sz w:val="18"/>
              </w:rPr>
              <w:t>4.06</w:t>
            </w: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85" w:right="0"/>
              <w:jc w:val="left"/>
              <w:rPr>
                <w:rFonts w:ascii="Times New Roman" w:hAnsi="Times New Roman" w:cs="Times New Roman" w:eastAsia="Times New Roman" w:hint="default"/>
                <w:sz w:val="18"/>
                <w:szCs w:val="18"/>
              </w:rPr>
            </w:pPr>
            <w:r>
              <w:rPr>
                <w:rFonts w:ascii="Times New Roman"/>
                <w:sz w:val="18"/>
              </w:rPr>
              <w:t>5.47</w:t>
            </w: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238,900,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854.47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33,247,7</w:t>
            </w:r>
          </w:p>
          <w:p>
            <w:pPr>
              <w:pStyle w:val="TableParagraph"/>
              <w:spacing w:line="240" w:lineRule="auto" w:before="110"/>
              <w:ind w:left="326" w:right="0"/>
              <w:jc w:val="left"/>
              <w:rPr>
                <w:rFonts w:ascii="Times New Roman" w:hAnsi="Times New Roman" w:cs="Times New Roman" w:eastAsia="Times New Roman" w:hint="default"/>
                <w:sz w:val="18"/>
                <w:szCs w:val="18"/>
              </w:rPr>
            </w:pPr>
            <w:r>
              <w:rPr>
                <w:rFonts w:ascii="Times New Roman"/>
                <w:sz w:val="18"/>
              </w:rPr>
              <w:t>32.29</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left"/>
              <w:rPr>
                <w:rFonts w:ascii="Times New Roman" w:hAnsi="Times New Roman" w:cs="Times New Roman" w:eastAsia="Times New Roman" w:hint="default"/>
                <w:sz w:val="18"/>
                <w:szCs w:val="18"/>
              </w:rPr>
            </w:pPr>
            <w:r>
              <w:rPr>
                <w:rFonts w:ascii="Times New Roman"/>
                <w:sz w:val="18"/>
              </w:rPr>
              <w:t>205,653,1</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22.18</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254,984,8</w:t>
            </w:r>
          </w:p>
          <w:p>
            <w:pPr>
              <w:pStyle w:val="TableParagraph"/>
              <w:spacing w:line="240" w:lineRule="auto" w:before="110"/>
              <w:ind w:left="341" w:right="0"/>
              <w:jc w:val="left"/>
              <w:rPr>
                <w:rFonts w:ascii="Times New Roman" w:hAnsi="Times New Roman" w:cs="Times New Roman" w:eastAsia="Times New Roman" w:hint="default"/>
                <w:sz w:val="18"/>
                <w:szCs w:val="18"/>
              </w:rPr>
            </w:pPr>
            <w:r>
              <w:rPr>
                <w:rFonts w:ascii="Times New Roman"/>
                <w:sz w:val="18"/>
              </w:rPr>
              <w:t>09.53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31,123,32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4.06</w:t>
            </w: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223,861,48</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5.47</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138,651,994.90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6,932,599.75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56,950,340.80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5,695,034.08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24,377,475.50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7,313,242.65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3,379,266.37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1,689,633.19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2,010,298.40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1,005,149.20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10,612,073.42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10,612,073.42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235,981,449.39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33,247,732.29</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362" w:lineRule="auto" w:before="53"/>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确定该组合依据的说明：</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如是按照预期信用损失一般模型计提应收账款坏账准备，请参照其他应收款的披露方式披露坏账准备的相关信息：</w:t>
      </w:r>
    </w:p>
    <w:p>
      <w:pPr>
        <w:spacing w:line="338" w:lineRule="auto" w:before="23"/>
        <w:ind w:left="153" w:right="87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141,571,399.98</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56,950,340.80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24,377,475.50</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16,001,638.19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3,379,266.37</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2,010,298.40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10,612,073.42</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238,900,854.47</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本期计提、收回或转回的坏账准备情况" w:id="536"/>
      <w:bookmarkEnd w:id="5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31,123,324.06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2,124,408.23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33,247,732.29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31,123,324.06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2,124,408.23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33,247,732.29</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本期实际核销的应收账款情况" w:id="537"/>
      <w:bookmarkEnd w:id="5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按欠款方归集的期末余额前五名的应收账款情况" w:id="538"/>
      <w:bookmarkEnd w:id="5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因金融资产转移而终止确认的应收账款" w:id="539"/>
      <w:bookmarkEnd w:id="5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6）转移应收账款且继续涉入形成的资产、负债金额" w:id="540"/>
      <w:bookmarkEnd w:id="5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其他说明：本年按欠款方归集的年末余额前五名应收账款汇总金额 </w:t>
      </w:r>
      <w:r>
        <w:rPr>
          <w:rFonts w:ascii="Times New Roman" w:hAnsi="Times New Roman" w:cs="Times New Roman" w:eastAsia="Times New Roman" w:hint="default"/>
          <w:sz w:val="18"/>
          <w:szCs w:val="18"/>
        </w:rPr>
        <w:t>100,027,313.61  </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元，占应收账款年末余额合计数的比例</w:t>
      </w:r>
    </w:p>
    <w:p>
      <w:pPr>
        <w:spacing w:before="6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41.87%</w:t>
      </w:r>
      <w:r>
        <w:rPr>
          <w:rFonts w:ascii="宋体" w:hAnsi="宋体" w:cs="宋体" w:eastAsia="宋体" w:hint="default"/>
          <w:spacing w:val="-2"/>
          <w:sz w:val="18"/>
          <w:szCs w:val="18"/>
        </w:rPr>
        <w:t>，相应计提的坏账准备年末余额汇总金额</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9,652,608.28</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其他应收款" w:id="541"/>
      <w:bookmarkEnd w:id="54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1,578,980.97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1,578,980.97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161,537,514.10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62,418,410.27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163,116,495.07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63,997,391.24</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应收利息" w:id="542"/>
      <w:bookmarkEnd w:id="5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利息分类" w:id="543"/>
      <w:bookmarkEnd w:id="543"/>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2）重要逾期利息" w:id="544"/>
      <w:bookmarkEnd w:id="54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坏账准备计提情况" w:id="545"/>
      <w:bookmarkEnd w:id="54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0"/>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应收股利" w:id="546"/>
      <w:bookmarkEnd w:id="5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应收股利分类" w:id="547"/>
      <w:bookmarkEnd w:id="54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项目（或被投资单位）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深圳市龙控智能技术有限公司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1,578,980.97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1,578,980.97</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1,578,980.97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1,578,980.97</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line="240" w:lineRule="auto" w:before="4"/>
        <w:rPr>
          <w:rFonts w:ascii="宋体" w:hAnsi="宋体" w:cs="宋体" w:eastAsia="宋体" w:hint="default"/>
          <w:sz w:val="25"/>
          <w:szCs w:val="25"/>
        </w:rPr>
      </w:pPr>
    </w:p>
    <w:p>
      <w:pPr>
        <w:spacing w:before="36"/>
        <w:ind w:left="153" w:right="0" w:firstLine="0"/>
        <w:jc w:val="left"/>
        <w:rPr>
          <w:rFonts w:ascii="宋体" w:hAnsi="宋体" w:cs="宋体" w:eastAsia="宋体" w:hint="default"/>
          <w:sz w:val="21"/>
          <w:szCs w:val="21"/>
        </w:rPr>
      </w:pPr>
      <w:bookmarkStart w:name="2）重要的账龄超过1年的应收股利" w:id="548"/>
      <w:bookmarkEnd w:id="54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坏账准备计提情况" w:id="549"/>
      <w:bookmarkEnd w:id="54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3）其他应收款" w:id="550"/>
      <w:bookmarkEnd w:id="5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其他应收款按款项性质分类情况" w:id="551"/>
      <w:bookmarkEnd w:id="55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9,159,440.46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16,535,661.09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10,400,000.00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131,310,182.90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35,062,348.46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6,826,080.32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2,328,172.77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3,870,000.00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3,554,408.67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1,286,401.80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165,120,112.35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65,082,584.12</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坏账准备计提情况" w:id="552"/>
      <w:bookmarkEnd w:id="5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398" w:hRule="exact"/>
        </w:trPr>
        <w:tc>
          <w:tcPr>
            <w:tcW w:w="1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5" w:hRule="exact"/>
        </w:trPr>
        <w:tc>
          <w:tcPr>
            <w:tcW w:w="18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58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71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0" w:hRule="exact"/>
        </w:trPr>
        <w:tc>
          <w:tcPr>
            <w:tcW w:w="1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2"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3" w:type="dxa"/>
            <w:vMerge/>
            <w:tcBorders>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2,664,173.85</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2,664,173.85</w:t>
            </w:r>
          </w:p>
        </w:tc>
      </w:tr>
      <w:tr>
        <w:trPr>
          <w:trHeight w:val="159"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4"/>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7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3"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918,424.40</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918,424.40</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3,582,598.25</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3,582,598.25</w:t>
            </w:r>
          </w:p>
        </w:tc>
      </w:tr>
    </w:tbl>
    <w:p>
      <w:pPr>
        <w:spacing w:after="0" w:line="240" w:lineRule="auto"/>
        <w:jc w:val="right"/>
        <w:rPr>
          <w:rFonts w:ascii="Times New Roman" w:hAnsi="Times New Roman" w:cs="Times New Roman" w:eastAsia="Times New Roman" w:hint="default"/>
          <w:sz w:val="18"/>
          <w:szCs w:val="18"/>
        </w:rPr>
        <w:sectPr>
          <w:pgSz w:w="11910" w:h="16840"/>
          <w:pgMar w:header="863" w:footer="979" w:top="1060" w:bottom="1160" w:left="980" w:right="0"/>
        </w:sectPr>
      </w:pPr>
    </w:p>
    <w:p>
      <w:pPr>
        <w:spacing w:before="54"/>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损失准备本期变动金额重大的账面余额变动情况</w:t>
      </w:r>
    </w:p>
    <w:p>
      <w:pPr>
        <w:spacing w:line="338" w:lineRule="auto" w:before="119"/>
        <w:ind w:left="153"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z w:val="18"/>
          <w:szCs w:val="18"/>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7" w:space="4985"/>
            <w:col w:w="2008"/>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9"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133,175,654.60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29,442,678.43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1,647,296.87</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854,482.45</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206,133.27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4,507.20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643,841.98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165,120,112.35</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3）本期计提、收回或转回的坏账准备情况" w:id="553"/>
      <w:bookmarkEnd w:id="55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本期计提坏账准备情况：</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80"/>
        <w:gridCol w:w="1090"/>
        <w:gridCol w:w="1330"/>
        <w:gridCol w:w="1455"/>
        <w:gridCol w:w="1196"/>
        <w:gridCol w:w="1345"/>
        <w:gridCol w:w="1580"/>
      </w:tblGrid>
      <w:tr>
        <w:trPr>
          <w:trHeight w:val="398"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9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8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0" w:right="0"/>
              <w:jc w:val="center"/>
              <w:rPr>
                <w:rFonts w:ascii="Times New Roman" w:hAnsi="Times New Roman" w:cs="Times New Roman" w:eastAsia="Times New Roman" w:hint="default"/>
                <w:sz w:val="18"/>
                <w:szCs w:val="18"/>
              </w:rPr>
            </w:pPr>
            <w:r>
              <w:rPr>
                <w:rFonts w:ascii="Times New Roman"/>
                <w:sz w:val="18"/>
              </w:rPr>
              <w:t>2,664,173.85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Times New Roman" w:hAnsi="Times New Roman" w:cs="Times New Roman" w:eastAsia="Times New Roman" w:hint="default"/>
                <w:sz w:val="18"/>
                <w:szCs w:val="18"/>
              </w:rPr>
            </w:pPr>
            <w:r>
              <w:rPr>
                <w:rFonts w:ascii="Times New Roman"/>
                <w:sz w:val="18"/>
              </w:rPr>
              <w:t>918,424.40</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3,582,598.25</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90"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85" w:right="0"/>
              <w:jc w:val="center"/>
              <w:rPr>
                <w:rFonts w:ascii="Times New Roman" w:hAnsi="Times New Roman" w:cs="Times New Roman" w:eastAsia="Times New Roman" w:hint="default"/>
                <w:sz w:val="18"/>
                <w:szCs w:val="18"/>
              </w:rPr>
            </w:pPr>
            <w:r>
              <w:rPr>
                <w:rFonts w:ascii="Times New Roman"/>
                <w:sz w:val="18"/>
              </w:rPr>
              <w:t>2,664,173.85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9" w:right="0"/>
              <w:jc w:val="left"/>
              <w:rPr>
                <w:rFonts w:ascii="Times New Roman" w:hAnsi="Times New Roman" w:cs="Times New Roman" w:eastAsia="Times New Roman" w:hint="default"/>
                <w:sz w:val="18"/>
                <w:szCs w:val="18"/>
              </w:rPr>
            </w:pPr>
            <w:r>
              <w:rPr>
                <w:rFonts w:ascii="Times New Roman"/>
                <w:sz w:val="18"/>
              </w:rPr>
              <w:t>918,424.40</w:t>
            </w:r>
          </w:p>
        </w:tc>
        <w:tc>
          <w:tcPr>
            <w:tcW w:w="145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3,582,598.25</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4）本期实际核销的其他应收款情况" w:id="554"/>
      <w:bookmarkEnd w:id="55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5）按欠款方归集的期末余额前五名的其他应收款情况" w:id="555"/>
      <w:bookmarkEnd w:id="55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关联方款项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95,065,444.45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57.57%</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关联方款项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22,250,249.45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13.48%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关联方款项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13,965,889.00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8.46%</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3.63%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4,400,000.00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141,681,582.90</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85.80%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820,000.00</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6）涉及政府补助的应收款项" w:id="556"/>
      <w:bookmarkEnd w:id="556"/>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7）因金融资产转移而终止确认的其他应收款" w:id="557"/>
      <w:bookmarkEnd w:id="55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8）转移其他应收款且继续涉入形成的资产、负债金额" w:id="558"/>
      <w:bookmarkEnd w:id="55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长期股权投资" w:id="559"/>
      <w:bookmarkEnd w:id="55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206" w:hRule="exact"/>
        </w:trPr>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2" w:hRule="exact"/>
        </w:trPr>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554,057,600.91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554,057,600.91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527,457,600.91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527,457,600.91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554,057,600.91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554,057,600.91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527,457,600.91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527,457,600.91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1）对子公司投资" w:id="560"/>
      <w:bookmarkEnd w:id="5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68"/>
        <w:gridCol w:w="1287"/>
        <w:gridCol w:w="1277"/>
        <w:gridCol w:w="936"/>
        <w:gridCol w:w="1167"/>
        <w:gridCol w:w="1210"/>
        <w:gridCol w:w="1215"/>
        <w:gridCol w:w="1215"/>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8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427" w:right="71"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期初余额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459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393" w:right="33"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期末余额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22" w:right="55" w:hanging="360"/>
              <w:jc w:val="left"/>
              <w:rPr>
                <w:rFonts w:ascii="宋体" w:hAnsi="宋体" w:cs="宋体" w:eastAsia="宋体" w:hint="default"/>
                <w:sz w:val="18"/>
                <w:szCs w:val="18"/>
              </w:rPr>
            </w:pPr>
            <w:r>
              <w:rPr>
                <w:rFonts w:ascii="宋体" w:hAnsi="宋体" w:cs="宋体" w:eastAsia="宋体" w:hint="default"/>
                <w:spacing w:val="-2"/>
                <w:sz w:val="18"/>
                <w:szCs w:val="18"/>
              </w:rPr>
              <w:t>减值准备期末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287"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7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桑瑞思</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80,934,425.18</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center"/>
              <w:rPr>
                <w:rFonts w:ascii="Times New Roman" w:hAnsi="Times New Roman" w:cs="Times New Roman" w:eastAsia="Times New Roman" w:hint="default"/>
                <w:sz w:val="18"/>
                <w:szCs w:val="18"/>
              </w:rPr>
            </w:pPr>
            <w:r>
              <w:rPr>
                <w:rFonts w:ascii="Times New Roman"/>
                <w:sz w:val="18"/>
              </w:rPr>
              <w:t>80,934,425.18</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依米康软件</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29,404,669.46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center"/>
              <w:rPr>
                <w:rFonts w:ascii="Times New Roman" w:hAnsi="Times New Roman" w:cs="Times New Roman" w:eastAsia="Times New Roman" w:hint="default"/>
                <w:sz w:val="18"/>
                <w:szCs w:val="18"/>
              </w:rPr>
            </w:pPr>
            <w:r>
              <w:rPr>
                <w:rFonts w:ascii="Times New Roman"/>
                <w:sz w:val="18"/>
              </w:rPr>
              <w:t>29,404,669.46</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深圳龙控</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33,150,000.00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22,000,000.00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center"/>
              <w:rPr>
                <w:rFonts w:ascii="Times New Roman" w:hAnsi="Times New Roman" w:cs="Times New Roman" w:eastAsia="Times New Roman" w:hint="default"/>
                <w:sz w:val="18"/>
                <w:szCs w:val="18"/>
              </w:rPr>
            </w:pPr>
            <w:r>
              <w:rPr>
                <w:rFonts w:ascii="Times New Roman"/>
                <w:sz w:val="18"/>
              </w:rPr>
              <w:t>55,150,000.00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依米康智能</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118,914,550.00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pacing w:val="-2"/>
                <w:sz w:val="18"/>
              </w:rPr>
              <w:t>118,914,550.00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江苏亿金</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204,041,456.27</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7" w:right="0"/>
              <w:jc w:val="center"/>
              <w:rPr>
                <w:rFonts w:ascii="Times New Roman" w:hAnsi="Times New Roman" w:cs="Times New Roman" w:eastAsia="Times New Roman" w:hint="default"/>
                <w:sz w:val="18"/>
                <w:szCs w:val="18"/>
              </w:rPr>
            </w:pPr>
            <w:r>
              <w:rPr>
                <w:rFonts w:ascii="Times New Roman"/>
                <w:sz w:val="18"/>
              </w:rPr>
              <w:t>204,041,456.27</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依米康冷元</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20,400,000.00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center"/>
              <w:rPr>
                <w:rFonts w:ascii="Times New Roman" w:hAnsi="Times New Roman" w:cs="Times New Roman" w:eastAsia="Times New Roman" w:hint="default"/>
                <w:sz w:val="18"/>
                <w:szCs w:val="18"/>
              </w:rPr>
            </w:pPr>
            <w:r>
              <w:rPr>
                <w:rFonts w:ascii="Times New Roman"/>
                <w:sz w:val="18"/>
              </w:rPr>
              <w:t>20,400,000.00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平昌依米康</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40,612,500.00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4,600,000.00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center"/>
              <w:rPr>
                <w:rFonts w:ascii="Times New Roman" w:hAnsi="Times New Roman" w:cs="Times New Roman" w:eastAsia="Times New Roman" w:hint="default"/>
                <w:sz w:val="18"/>
                <w:szCs w:val="18"/>
              </w:rPr>
            </w:pPr>
            <w:r>
              <w:rPr>
                <w:rFonts w:ascii="Times New Roman"/>
                <w:sz w:val="18"/>
              </w:rPr>
              <w:t>45,212,500.00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527,457,600.91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26,600,000.00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 w:right="0"/>
              <w:jc w:val="center"/>
              <w:rPr>
                <w:rFonts w:ascii="Times New Roman" w:hAnsi="Times New Roman" w:cs="Times New Roman" w:eastAsia="Times New Roman" w:hint="default"/>
                <w:sz w:val="18"/>
                <w:szCs w:val="18"/>
              </w:rPr>
            </w:pPr>
            <w:r>
              <w:rPr>
                <w:rFonts w:ascii="Times New Roman"/>
                <w:sz w:val="18"/>
              </w:rPr>
              <w:t>554,057,600.91</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2）对联营、合营企业投资" w:id="561"/>
      <w:bookmarkEnd w:id="5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3）其他说明" w:id="562"/>
      <w:bookmarkEnd w:id="5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营业收入和营业成本" w:id="563"/>
      <w:bookmarkEnd w:id="56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7"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375,552,050.74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265,360,837.81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393,382,526.18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249,673,029.20</w:t>
            </w:r>
          </w:p>
        </w:tc>
      </w:tr>
      <w:tr>
        <w:trPr>
          <w:trHeight w:val="398"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14,571,825.73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1,847,203.59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6,908,008.53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409,980.71</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390,123,876.47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267,208,041.40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400,290,534.71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250,083,009.91</w:t>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9"/>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1"/>
        <w:ind w:left="153"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其他说明：本年按客户归集的营业收入前五名汇总金额 </w:t>
      </w:r>
      <w:r>
        <w:rPr>
          <w:rFonts w:ascii="Times New Roman" w:hAnsi="Times New Roman" w:cs="Times New Roman" w:eastAsia="Times New Roman" w:hint="default"/>
          <w:sz w:val="18"/>
          <w:szCs w:val="18"/>
        </w:rPr>
        <w:t>98,269,991.86  </w:t>
      </w:r>
      <w:r>
        <w:rPr>
          <w:rFonts w:ascii="宋体" w:hAnsi="宋体" w:cs="宋体" w:eastAsia="宋体" w:hint="default"/>
          <w:spacing w:val="-3"/>
          <w:sz w:val="18"/>
          <w:szCs w:val="18"/>
        </w:rPr>
        <w:t>元，占营业收入本年发生额合计数的比例</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25.19%</w:t>
      </w:r>
      <w:r>
        <w:rPr>
          <w:rFonts w:ascii="宋体" w:hAnsi="宋体" w:cs="宋体" w:eastAsia="宋体" w:hint="default"/>
          <w:sz w:val="18"/>
          <w:szCs w:val="18"/>
        </w:rPr>
        <w:t>。</w:t>
      </w:r>
    </w:p>
    <w:p>
      <w:pPr>
        <w:spacing w:line="240" w:lineRule="auto" w:before="8"/>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5、投资收益" w:id="564"/>
      <w:bookmarkEnd w:id="56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after="0"/>
        <w:jc w:val="right"/>
        <w:rPr>
          <w:rFonts w:ascii="宋体" w:hAnsi="宋体" w:cs="宋体" w:eastAsia="宋体" w:hint="default"/>
          <w:sz w:val="18"/>
          <w:szCs w:val="18"/>
        </w:rPr>
        <w:sectPr>
          <w:pgSz w:w="11910" w:h="16840"/>
          <w:pgMar w:header="863"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7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-7,700,000.00</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处置交易性金融资产取得的投资收益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21,079,512.60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处置可供出售金融资产取得的投资收益</w:t>
            </w:r>
          </w:p>
        </w:tc>
        <w:tc>
          <w:tcPr>
            <w:tcW w:w="3070" w:type="dxa"/>
            <w:tcBorders>
              <w:top w:val="single" w:sz="4" w:space="0" w:color="000000"/>
              <w:left w:val="single" w:sz="13" w:space="0" w:color="D2D2D2"/>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4,309,469.11</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21,079,512.60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18,609,469.11</w:t>
            </w:r>
          </w:p>
        </w:tc>
      </w:tr>
    </w:tbl>
    <w:p>
      <w:pPr>
        <w:spacing w:line="240" w:lineRule="auto" w:before="3"/>
        <w:rPr>
          <w:rFonts w:ascii="宋体" w:hAnsi="宋体" w:cs="宋体" w:eastAsia="宋体" w:hint="default"/>
          <w:sz w:val="19"/>
          <w:szCs w:val="19"/>
        </w:rPr>
      </w:pPr>
    </w:p>
    <w:p>
      <w:pPr>
        <w:spacing w:before="36"/>
        <w:ind w:left="153" w:right="0" w:firstLine="0"/>
        <w:jc w:val="left"/>
        <w:rPr>
          <w:rFonts w:ascii="宋体" w:hAnsi="宋体" w:cs="宋体" w:eastAsia="宋体" w:hint="default"/>
          <w:sz w:val="21"/>
          <w:szCs w:val="21"/>
        </w:rPr>
      </w:pPr>
      <w:bookmarkStart w:name="6、其他" w:id="565"/>
      <w:bookmarkEnd w:id="56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66"/>
      <w:bookmarkEnd w:id="566"/>
      <w:r>
        <w:rPr>
          <w:b w:val="0"/>
          <w:bCs w:val="0"/>
        </w:rPr>
      </w:r>
      <w:r>
        <w:rPr/>
        <w:t>十八、补充资料</w:t>
      </w:r>
      <w:r>
        <w:rPr>
          <w:b w:val="0"/>
          <w:bCs w:val="0"/>
        </w:rPr>
      </w:r>
    </w:p>
    <w:p>
      <w:pPr>
        <w:spacing w:line="240" w:lineRule="auto" w:before="3"/>
        <w:rPr>
          <w:rFonts w:ascii="宋体" w:hAnsi="宋体" w:cs="宋体" w:eastAsia="宋体" w:hint="default"/>
          <w:b/>
          <w:bCs/>
          <w:sz w:val="25"/>
          <w:szCs w:val="25"/>
        </w:rPr>
      </w:pPr>
    </w:p>
    <w:p>
      <w:pPr>
        <w:spacing w:before="0"/>
        <w:ind w:left="153" w:right="0" w:firstLine="0"/>
        <w:jc w:val="left"/>
        <w:rPr>
          <w:rFonts w:ascii="宋体" w:hAnsi="宋体" w:cs="宋体" w:eastAsia="宋体" w:hint="default"/>
          <w:sz w:val="21"/>
          <w:szCs w:val="21"/>
        </w:rPr>
      </w:pPr>
      <w:bookmarkStart w:name="1、当期非经常性损益明细表" w:id="567"/>
      <w:bookmarkEnd w:id="5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spacing w:before="4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before="10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31" w:type="dxa"/>
        <w:tblLayout w:type="fixed"/>
        <w:tblCellMar>
          <w:top w:w="0" w:type="dxa"/>
          <w:left w:w="0" w:type="dxa"/>
          <w:bottom w:w="0" w:type="dxa"/>
          <w:right w:w="0" w:type="dxa"/>
        </w:tblCellMar>
        <w:tblLook w:val="01E0"/>
      </w:tblPr>
      <w:tblGrid>
        <w:gridCol w:w="3304"/>
        <w:gridCol w:w="2355"/>
        <w:gridCol w:w="3904"/>
      </w:tblGrid>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235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-320,275.40</w:t>
            </w:r>
          </w:p>
        </w:tc>
        <w:tc>
          <w:tcPr>
            <w:tcW w:w="3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主要系报告期内固定资产处置及报废损益</w:t>
            </w:r>
          </w:p>
        </w:tc>
      </w:tr>
      <w:tr>
        <w:trPr>
          <w:trHeight w:val="102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 w:right="34"/>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切相关，按照国家统一标准定额或定量享</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受的政府补助除外）</w:t>
            </w:r>
          </w:p>
        </w:tc>
        <w:tc>
          <w:tcPr>
            <w:tcW w:w="235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13,893,890.01</w:t>
            </w:r>
          </w:p>
        </w:tc>
        <w:tc>
          <w:tcPr>
            <w:tcW w:w="3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36"/>
              <w:jc w:val="left"/>
              <w:rPr>
                <w:rFonts w:ascii="宋体" w:hAnsi="宋体" w:cs="宋体" w:eastAsia="宋体" w:hint="default"/>
                <w:sz w:val="18"/>
                <w:szCs w:val="18"/>
              </w:rPr>
            </w:pPr>
            <w:r>
              <w:rPr>
                <w:rFonts w:ascii="宋体" w:hAnsi="宋体" w:cs="宋体" w:eastAsia="宋体" w:hint="default"/>
                <w:spacing w:val="-3"/>
                <w:sz w:val="18"/>
                <w:szCs w:val="18"/>
              </w:rPr>
              <w:t>详见第十二节、七、</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、递延收益和 </w:t>
            </w:r>
            <w:r>
              <w:rPr>
                <w:rFonts w:ascii="Times New Roman" w:hAnsi="Times New Roman" w:cs="Times New Roman" w:eastAsia="Times New Roman" w:hint="default"/>
                <w:sz w:val="18"/>
                <w:szCs w:val="18"/>
              </w:rPr>
              <w:t>84</w:t>
            </w:r>
            <w:r>
              <w:rPr>
                <w:rFonts w:ascii="宋体" w:hAnsi="宋体" w:cs="宋体" w:eastAsia="宋体" w:hint="default"/>
                <w:sz w:val="18"/>
                <w:szCs w:val="18"/>
              </w:rPr>
              <w:t>、政府补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助明细</w:t>
            </w:r>
          </w:p>
        </w:tc>
      </w:tr>
      <w:tr>
        <w:trPr>
          <w:trHeight w:val="715"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34"/>
              <w:jc w:val="left"/>
              <w:rPr>
                <w:rFonts w:ascii="宋体" w:hAnsi="宋体" w:cs="宋体" w:eastAsia="宋体" w:hint="default"/>
                <w:sz w:val="18"/>
                <w:szCs w:val="18"/>
              </w:rPr>
            </w:pPr>
            <w:r>
              <w:rPr>
                <w:rFonts w:ascii="宋体" w:hAnsi="宋体" w:cs="宋体" w:eastAsia="宋体" w:hint="default"/>
                <w:spacing w:val="-3"/>
                <w:sz w:val="18"/>
                <w:szCs w:val="18"/>
              </w:rPr>
              <w:t>计入当期损益的对非金融企业收取的资金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占用费</w:t>
            </w:r>
          </w:p>
        </w:tc>
        <w:tc>
          <w:tcPr>
            <w:tcW w:w="235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1,934,543.30</w:t>
            </w:r>
          </w:p>
        </w:tc>
        <w:tc>
          <w:tcPr>
            <w:tcW w:w="390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85"/>
              <w:jc w:val="left"/>
              <w:rPr>
                <w:rFonts w:ascii="宋体" w:hAnsi="宋体" w:cs="宋体" w:eastAsia="宋体" w:hint="default"/>
                <w:sz w:val="18"/>
                <w:szCs w:val="18"/>
              </w:rPr>
            </w:pPr>
            <w:r>
              <w:rPr>
                <w:rFonts w:ascii="宋体" w:hAnsi="宋体" w:cs="宋体" w:eastAsia="宋体" w:hint="default"/>
                <w:spacing w:val="-3"/>
                <w:sz w:val="18"/>
                <w:szCs w:val="18"/>
              </w:rPr>
              <w:t>主要系报告期内因合同纠纷经法院判决取得资金</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占用费</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35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6,640,534.51</w:t>
            </w:r>
          </w:p>
        </w:tc>
        <w:tc>
          <w:tcPr>
            <w:tcW w:w="3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主要系报告期内债务重组利得</w:t>
            </w:r>
          </w:p>
        </w:tc>
      </w:tr>
      <w:tr>
        <w:trPr>
          <w:trHeight w:val="2276"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34"/>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值业务外，持有交易性金融资产、衍生金</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融资产、交易性金融负债、衍生金融负债</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产生的公允价值变动损益，以及处置交易</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性金融资产、衍生金融资产、交易性金融</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负债、衍生金融负债和其他债权投资取得</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的投资收益</w:t>
            </w:r>
          </w:p>
        </w:tc>
        <w:tc>
          <w:tcPr>
            <w:tcW w:w="235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15,177,842.61</w:t>
            </w:r>
          </w:p>
        </w:tc>
        <w:tc>
          <w:tcPr>
            <w:tcW w:w="3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主要系报告期内转让上海虹港剩余股权收益</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235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-2,503,454.21</w:t>
            </w:r>
          </w:p>
        </w:tc>
        <w:tc>
          <w:tcPr>
            <w:tcW w:w="39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35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944,449.09</w:t>
            </w:r>
          </w:p>
        </w:tc>
        <w:tc>
          <w:tcPr>
            <w:tcW w:w="39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2"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2355"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1,324,950.00</w:t>
            </w:r>
          </w:p>
        </w:tc>
        <w:tc>
          <w:tcPr>
            <w:tcW w:w="39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55" w:type="dxa"/>
            <w:tcBorders>
              <w:top w:val="single" w:sz="4" w:space="0" w:color="000000"/>
              <w:left w:val="single" w:sz="14" w:space="0" w:color="D2D2D2"/>
              <w:bottom w:val="single" w:sz="4" w:space="0" w:color="000000"/>
              <w:right w:val="single" w:sz="13" w:space="0" w:color="D2D2D2"/>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32,553,681.73</w:t>
            </w:r>
          </w:p>
        </w:tc>
        <w:tc>
          <w:tcPr>
            <w:tcW w:w="3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before="53"/>
        <w:ind w:left="153" w:right="0"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53" w:right="1131"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63" w:footer="979" w:top="1060" w:bottom="1160" w:left="980" w:right="0"/>
        </w:sectPr>
      </w:pPr>
    </w:p>
    <w:p>
      <w:pPr>
        <w:spacing w:line="240" w:lineRule="auto" w:before="12"/>
        <w:rPr>
          <w:rFonts w:ascii="宋体" w:hAnsi="宋体" w:cs="宋体" w:eastAsia="宋体" w:hint="default"/>
          <w:sz w:val="24"/>
          <w:szCs w:val="24"/>
        </w:rPr>
      </w:pPr>
    </w:p>
    <w:p>
      <w:pPr>
        <w:spacing w:before="36"/>
        <w:ind w:left="153" w:right="0" w:firstLine="0"/>
        <w:jc w:val="left"/>
        <w:rPr>
          <w:rFonts w:ascii="宋体" w:hAnsi="宋体" w:cs="宋体" w:eastAsia="宋体" w:hint="default"/>
          <w:sz w:val="21"/>
          <w:szCs w:val="21"/>
        </w:rPr>
      </w:pPr>
      <w:bookmarkStart w:name="2、净资产收益率及每股收益" w:id="568"/>
      <w:bookmarkEnd w:id="56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3"/>
        <w:gridCol w:w="3078"/>
        <w:gridCol w:w="1916"/>
        <w:gridCol w:w="1911"/>
      </w:tblGrid>
      <w:tr>
        <w:trPr>
          <w:trHeight w:val="206" w:hRule="exact"/>
        </w:trPr>
        <w:tc>
          <w:tcPr>
            <w:tcW w:w="265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78"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86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53" w:type="dxa"/>
            <w:vMerge/>
            <w:tcBorders>
              <w:left w:val="single" w:sz="4" w:space="0" w:color="000000"/>
              <w:bottom w:val="nil" w:sz="6" w:space="0" w:color="auto"/>
              <w:right w:val="single" w:sz="4" w:space="0" w:color="000000"/>
            </w:tcBorders>
            <w:shd w:val="clear" w:color="auto" w:fill="D2D2D2"/>
          </w:tcPr>
          <w:p>
            <w:pPr/>
          </w:p>
        </w:tc>
        <w:tc>
          <w:tcPr>
            <w:tcW w:w="3078"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28"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206" w:hRule="exact"/>
        </w:trPr>
        <w:tc>
          <w:tcPr>
            <w:tcW w:w="265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0.0075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0.0075</w:t>
            </w:r>
          </w:p>
        </w:tc>
      </w:tr>
      <w:tr>
        <w:trPr>
          <w:trHeight w:val="715"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-3.71%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-0.0669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-0.0669</w:t>
            </w:r>
          </w:p>
        </w:tc>
      </w:tr>
    </w:tbl>
    <w:p>
      <w:pPr>
        <w:spacing w:line="240" w:lineRule="auto" w:before="3"/>
        <w:rPr>
          <w:rFonts w:ascii="宋体" w:hAnsi="宋体" w:cs="宋体" w:eastAsia="宋体" w:hint="default"/>
          <w:b/>
          <w:bCs/>
          <w:sz w:val="19"/>
          <w:szCs w:val="19"/>
        </w:rPr>
      </w:pPr>
    </w:p>
    <w:p>
      <w:pPr>
        <w:spacing w:before="36"/>
        <w:ind w:left="153" w:right="0" w:firstLine="0"/>
        <w:jc w:val="left"/>
        <w:rPr>
          <w:rFonts w:ascii="宋体" w:hAnsi="宋体" w:cs="宋体" w:eastAsia="宋体" w:hint="default"/>
          <w:sz w:val="21"/>
          <w:szCs w:val="21"/>
        </w:rPr>
      </w:pPr>
      <w:bookmarkStart w:name="3、境内外会计准则下会计数据差异" w:id="569"/>
      <w:bookmarkEnd w:id="56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5"/>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1）同时按照国际会计准则与按中国会计准则披露的财务报告中净利润和净资产差异情况" w:id="570"/>
      <w:bookmarkEnd w:id="5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5"/>
          <w:szCs w:val="25"/>
        </w:rPr>
      </w:pPr>
    </w:p>
    <w:p>
      <w:pPr>
        <w:spacing w:before="0"/>
        <w:ind w:left="153" w:right="0" w:firstLine="0"/>
        <w:jc w:val="left"/>
        <w:rPr>
          <w:rFonts w:ascii="宋体" w:hAnsi="宋体" w:cs="宋体" w:eastAsia="宋体" w:hint="default"/>
          <w:sz w:val="21"/>
          <w:szCs w:val="21"/>
        </w:rPr>
      </w:pPr>
      <w:bookmarkStart w:name="（2）同时按照境外会计准则与按中国会计准则披露的财务报告中净利润和净资产差异情况" w:id="571"/>
      <w:bookmarkEnd w:id="5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1"/>
        <w:rPr>
          <w:rFonts w:ascii="宋体" w:hAnsi="宋体" w:cs="宋体" w:eastAsia="宋体" w:hint="default"/>
          <w:b/>
          <w:bCs/>
          <w:sz w:val="27"/>
          <w:szCs w:val="27"/>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5"/>
          <w:szCs w:val="25"/>
        </w:rPr>
      </w:pPr>
    </w:p>
    <w:p>
      <w:pPr>
        <w:spacing w:line="256" w:lineRule="auto" w:before="0"/>
        <w:ind w:left="153" w:right="0" w:firstLine="0"/>
        <w:jc w:val="left"/>
        <w:rPr>
          <w:rFonts w:ascii="宋体" w:hAnsi="宋体" w:cs="宋体" w:eastAsia="宋体" w:hint="default"/>
          <w:sz w:val="21"/>
          <w:szCs w:val="21"/>
        </w:rPr>
      </w:pPr>
      <w:bookmarkStart w:name="（3）境内外会计准则下会计数据差异原因说明，对已经境外审计机构审计的数据进行差异" w:id="572"/>
      <w:bookmarkEnd w:id="5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66"/>
          <w:sz w:val="21"/>
          <w:szCs w:val="21"/>
        </w:rPr>
        <w:t> </w:t>
      </w:r>
      <w:r>
        <w:rPr>
          <w:rFonts w:ascii="宋体" w:hAnsi="宋体" w:cs="宋体" w:eastAsia="宋体" w:hint="default"/>
          <w:b/>
          <w:bCs/>
          <w:spacing w:val="-66"/>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bookmarkStart w:name="4、其他" w:id="573"/>
      <w:bookmarkEnd w:id="57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63"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Heading1"/>
        <w:spacing w:line="240" w:lineRule="auto"/>
        <w:ind w:left="3365" w:right="0"/>
        <w:jc w:val="left"/>
        <w:rPr>
          <w:b w:val="0"/>
          <w:bCs w:val="0"/>
        </w:rPr>
      </w:pPr>
      <w:bookmarkStart w:name="第十三节备查文件目录" w:id="574"/>
      <w:bookmarkEnd w:id="574"/>
      <w:r>
        <w:rPr>
          <w:b w:val="0"/>
          <w:bCs w:val="0"/>
        </w:rPr>
      </w:r>
      <w:bookmarkStart w:name="_bookmark12" w:id="575"/>
      <w:bookmarkEnd w:id="575"/>
      <w:r>
        <w:rPr>
          <w:b w:val="0"/>
          <w:bCs w:val="0"/>
        </w:rPr>
      </w:r>
      <w:r>
        <w:rPr/>
        <w:t>第十三节备查文件目录</w:t>
      </w:r>
      <w:r>
        <w:rPr>
          <w:b w:val="0"/>
          <w:bCs w:val="0"/>
        </w:rPr>
      </w:r>
    </w:p>
    <w:p>
      <w:pPr>
        <w:spacing w:line="240" w:lineRule="auto" w:before="12"/>
        <w:rPr>
          <w:rFonts w:ascii="宋体" w:hAnsi="宋体" w:cs="宋体" w:eastAsia="宋体" w:hint="default"/>
          <w:b/>
          <w:bCs/>
          <w:sz w:val="44"/>
          <w:szCs w:val="44"/>
        </w:rPr>
      </w:pPr>
    </w:p>
    <w:p>
      <w:pPr>
        <w:pStyle w:val="BodyText"/>
        <w:spacing w:line="336" w:lineRule="auto" w:before="0"/>
        <w:ind w:left="633" w:right="0"/>
        <w:jc w:val="left"/>
      </w:pPr>
      <w:r>
        <w:rPr/>
        <w:t>一、载有法定代表人张菀女士签名的</w:t>
      </w:r>
      <w:r>
        <w:rPr>
          <w:rFonts w:ascii="Times New Roman" w:hAnsi="Times New Roman" w:cs="Times New Roman" w:eastAsia="Times New Roman" w:hint="default"/>
        </w:rPr>
        <w:t>2019</w:t>
      </w:r>
      <w:r>
        <w:rPr/>
        <w:t>年年度报告文件原件； 二、载有法定代表人张菀女士、主管会计工作负责人黄建军先生、会计机构负责人汤华</w:t>
      </w:r>
    </w:p>
    <w:p>
      <w:pPr>
        <w:pStyle w:val="BodyText"/>
        <w:spacing w:line="357" w:lineRule="auto" w:before="60"/>
        <w:ind w:left="633" w:right="0" w:hanging="480"/>
        <w:jc w:val="left"/>
      </w:pPr>
      <w:r>
        <w:rPr/>
        <w:t>林先生签名并盖章的财务报告文本； 三、载有会计师事务所盖章、注册会计师签名并盖章的审计报告原件； </w:t>
      </w:r>
      <w:r>
        <w:rPr>
          <w:spacing w:val="-3"/>
        </w:rPr>
        <w:t>四、报告期内在中国证监会指定网站上公开披露过的所有公司文件的正本及公告的原稿；</w:t>
      </w:r>
      <w:r>
        <w:rPr/>
        <w:t> 五、其他相关资料。</w:t>
      </w:r>
    </w:p>
    <w:p>
      <w:pPr>
        <w:pStyle w:val="BodyText"/>
        <w:spacing w:line="240" w:lineRule="auto" w:before="38"/>
        <w:ind w:left="633" w:right="0"/>
        <w:jc w:val="left"/>
      </w:pPr>
      <w:r>
        <w:rPr/>
        <w:t>以上备查文件的备置地点：公司董事会秘书办公室。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4"/>
          <w:szCs w:val="34"/>
        </w:rPr>
      </w:pPr>
    </w:p>
    <w:p>
      <w:pPr>
        <w:pStyle w:val="BodyText"/>
        <w:spacing w:line="357" w:lineRule="auto" w:before="0"/>
        <w:ind w:left="6712" w:right="1111" w:hanging="39"/>
        <w:jc w:val="left"/>
      </w:pPr>
      <w:r>
        <w:rPr/>
        <w:t>依米康科技集团股份有限公司 法定代表人：张菀 日期：</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w:t>
      </w:r>
    </w:p>
    <w:sectPr>
      <w:pgSz w:w="11910" w:h="16840"/>
      <w:pgMar w:header="863"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1488" type="#_x0000_t75" stroked="false">
          <v:imagedata r:id="rId1" o:title=""/>
        </v:shape>
      </w:pict>
    </w:r>
    <w:r>
      <w:rPr/>
      <w:pict>
        <v:shape style="position:absolute;margin-left:294.320007pt;margin-top:795.661377pt;width:6.6pt;height:11.15pt;mso-position-horizontal-relative:page;mso-position-vertical-relative:page;z-index:-118146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1128" type="#_x0000_t75" stroked="false">
          <v:imagedata r:id="rId1" o:title=""/>
        </v:shape>
      </w:pict>
    </w:r>
    <w:r>
      <w:rPr/>
      <w:pict>
        <v:shape style="position:absolute;margin-left:289pt;margin-top:781.957336pt;width:17.7pt;height:11.15pt;mso-position-horizontal-relative:page;mso-position-vertical-relative:page;z-index:-118110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1440" type="#_x0000_t75" stroked="false">
          <v:imagedata r:id="rId1" o:title=""/>
        </v:shape>
      </w:pict>
    </w:r>
    <w:r>
      <w:rPr/>
      <w:pict>
        <v:shape style="position:absolute;margin-left:291.160004pt;margin-top:781.957336pt;width:13.15pt;height:11.15pt;mso-position-horizontal-relative:page;mso-position-vertical-relative:page;z-index:-118141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1368" type="#_x0000_t75" stroked="false">
          <v:imagedata r:id="rId1" o:title=""/>
        </v:shape>
      </w:pict>
    </w:r>
    <w:r>
      <w:rPr/>
      <w:pict>
        <v:shape style="position:absolute;margin-left:292.160004pt;margin-top:781.957336pt;width:11.15pt;height:11.15pt;mso-position-horizontal-relative:page;mso-position-vertical-relative:page;z-index:-118134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59</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1320" type="#_x0000_t75" stroked="false">
          <v:imagedata r:id="rId1" o:title=""/>
        </v:shape>
      </w:pict>
    </w:r>
    <w:r>
      <w:rPr/>
      <w:pict>
        <v:shape style="position:absolute;margin-left:291.160004pt;margin-top:781.957336pt;width:13.15pt;height:11.15pt;mso-position-horizontal-relative:page;mso-position-vertical-relative:page;z-index:-118129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61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1272" type="#_x0000_t75" stroked="false">
          <v:imagedata r:id="rId1" o:title=""/>
        </v:shape>
      </w:pict>
    </w:r>
    <w:r>
      <w:rPr/>
      <w:pict>
        <v:shape style="position:absolute;margin-left:290pt;margin-top:781.957336pt;width:15.7pt;height:11.15pt;mso-position-horizontal-relative:page;mso-position-vertical-relative:page;z-index:-1181248"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1224" type="#_x0000_t75" stroked="false">
          <v:imagedata r:id="rId1" o:title=""/>
        </v:shape>
      </w:pict>
    </w:r>
    <w:r>
      <w:rPr/>
      <w:pict>
        <v:shape style="position:absolute;margin-left:289pt;margin-top:781.957336pt;width:17.7pt;height:11.15pt;mso-position-horizontal-relative:page;mso-position-vertical-relative:page;z-index:-118120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81176" type="#_x0000_t75" stroked="false">
          <v:imagedata r:id="rId1" o:title=""/>
        </v:shape>
      </w:pict>
    </w:r>
    <w:r>
      <w:rPr/>
      <w:pict>
        <v:shape style="position:absolute;margin-left:290pt;margin-top:781.957336pt;width:15.7pt;height:11.15pt;mso-position-horizontal-relative:page;mso-position-vertical-relative:page;z-index:-118115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062485pt;width:204.9pt;height:11.65pt;mso-position-horizontal-relative:page;mso-position-vertical-relative:page;z-index:-118151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依米康科技集团股份有限公司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35.119995pt;margin-top:42.542484pt;width:204.9pt;height:11.65pt;mso-position-horizontal-relative:page;mso-position-vertical-relative:page;z-index:-1181392" type="#_x0000_t202" filled="false" stroked="false">
          <v:textbox inset="0,0,0,0">
            <w:txbxContent>
              <w:p>
                <w:pPr>
                  <w:spacing w:line="216"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依米康科技集团股份有限公司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9"/>
      <w:ind w:left="153"/>
    </w:pPr>
    <w:rPr>
      <w:rFonts w:ascii="微软雅黑" w:hAnsi="微软雅黑" w:eastAsia="微软雅黑"/>
      <w:sz w:val="24"/>
      <w:szCs w:val="24"/>
    </w:rPr>
  </w:style>
  <w:style w:styleId="BodyText" w:type="paragraph">
    <w:name w:val="Body Text"/>
    <w:basedOn w:val="Normal"/>
    <w:uiPriority w:val="1"/>
    <w:qFormat/>
    <w:pPr>
      <w:spacing w:before="26"/>
      <w:ind w:left="153"/>
    </w:pPr>
    <w:rPr>
      <w:rFonts w:ascii="宋体" w:hAnsi="宋体" w:eastAsia="宋体"/>
      <w:sz w:val="24"/>
      <w:szCs w:val="24"/>
    </w:rPr>
  </w:style>
  <w:style w:styleId="Heading1" w:type="paragraph">
    <w:name w:val="Heading 1"/>
    <w:basedOn w:val="Normal"/>
    <w:uiPriority w:val="1"/>
    <w:qFormat/>
    <w:pPr>
      <w:spacing w:before="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ymk.com.cn/" TargetMode="External"/><Relationship Id="rId11" Type="http://schemas.openxmlformats.org/officeDocument/2006/relationships/hyperlink" Target="mailto:yimikang@ymk.com.cn" TargetMode="External"/><Relationship Id="rId12" Type="http://schemas.openxmlformats.org/officeDocument/2006/relationships/hyperlink" Target="mailto:lihn@ymk.com.cn" TargetMode="External"/><Relationship Id="rId13" Type="http://schemas.openxmlformats.org/officeDocument/2006/relationships/hyperlink" Target="mailto:zhangmin@ymk.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image" Target="media/image1.jpeg"/><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image" Target="media/image3.png"/><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依米康科技集团股份有限公司</dc:creator>
  <dc:title>依米康科技集团股份有限公司2019年年度报告全文</dc:title>
  <dcterms:created xsi:type="dcterms:W3CDTF">2020-05-19T12:52:52Z</dcterms:created>
  <dcterms:modified xsi:type="dcterms:W3CDTF">2020-05-19T12:52:52Z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Creator">
    <vt:lpwstr>Microsoft® Office Word 2007</vt:lpwstr>
  </property>
  <property fmtid="{D5CDD505-2E9C-101B-9397-08002B2CF9AE}" pid="4" name="LastSaved">
    <vt:filetime>2020-05-19T00:00:00Z</vt:filetime>
  </property>
</Properties>
</file>