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p>
      <w:pPr>
        <w:spacing w:line="1914" w:lineRule="exact"/>
        <w:ind w:left="3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drawing>
          <wp:inline distT="0" distB="0" distL="0" distR="0">
            <wp:extent cx="1505564" cy="121539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05564" cy="1215390"/>
                    </a:xfrm>
                    <a:prstGeom prst="rect">
                      <a:avLst/>
                    </a:prstGeom>
                  </pic:spPr>
                </pic:pic>
              </a:graphicData>
            </a:graphic>
          </wp:inline>
        </w:drawing>
      </w:r>
      <w:r>
        <w:rPr>
          <w:rFonts w:ascii="Times New Roman" w:hAnsi="Times New Roman" w:cs="Times New Roman" w:eastAsia="Times New Roman" w:hint="default"/>
          <w:position w:val="-3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spacing w:line="549" w:lineRule="exact" w:before="0"/>
        <w:ind w:left="977" w:right="0" w:firstLine="0"/>
        <w:jc w:val="left"/>
        <w:rPr>
          <w:rFonts w:ascii="宋体" w:hAnsi="宋体" w:cs="宋体" w:eastAsia="宋体" w:hint="default"/>
          <w:sz w:val="44"/>
          <w:szCs w:val="44"/>
        </w:rPr>
      </w:pPr>
      <w:r>
        <w:rPr>
          <w:rFonts w:ascii="宋体" w:hAnsi="宋体" w:cs="宋体" w:eastAsia="宋体" w:hint="default"/>
          <w:sz w:val="44"/>
          <w:szCs w:val="44"/>
        </w:rPr>
        <w:t>上海金仕达卫宁软件股份有限公</w:t>
      </w:r>
      <w:r>
        <w:rPr>
          <w:rFonts w:ascii="宋体" w:hAnsi="宋体" w:cs="宋体" w:eastAsia="宋体" w:hint="default"/>
          <w:position w:val="1"/>
          <w:sz w:val="44"/>
          <w:szCs w:val="44"/>
        </w:rPr>
        <w:t>司</w:t>
      </w:r>
      <w:r>
        <w:rPr>
          <w:rFonts w:ascii="宋体" w:hAnsi="宋体" w:cs="宋体" w:eastAsia="宋体" w:hint="default"/>
          <w:sz w:val="44"/>
          <w:szCs w:val="44"/>
        </w:rPr>
      </w:r>
    </w:p>
    <w:p>
      <w:pPr>
        <w:spacing w:line="240" w:lineRule="auto" w:before="10"/>
        <w:rPr>
          <w:rFonts w:ascii="宋体" w:hAnsi="宋体" w:cs="宋体" w:eastAsia="宋体" w:hint="default"/>
          <w:sz w:val="22"/>
          <w:szCs w:val="22"/>
        </w:rPr>
      </w:pPr>
    </w:p>
    <w:p>
      <w:pPr>
        <w:spacing w:before="61"/>
        <w:ind w:left="1003" w:right="969" w:firstLine="0"/>
        <w:jc w:val="center"/>
        <w:rPr>
          <w:rFonts w:ascii="Arial" w:hAnsi="Arial" w:cs="Arial" w:eastAsia="Arial" w:hint="default"/>
          <w:sz w:val="30"/>
          <w:szCs w:val="30"/>
        </w:rPr>
      </w:pPr>
      <w:r>
        <w:rPr>
          <w:rFonts w:ascii="Arial"/>
          <w:b/>
          <w:sz w:val="30"/>
        </w:rPr>
        <w:t>Shanghai Kingstar Winning Software Co.,</w:t>
      </w:r>
      <w:r>
        <w:rPr>
          <w:rFonts w:ascii="Arial"/>
          <w:b/>
          <w:spacing w:val="-17"/>
          <w:sz w:val="30"/>
        </w:rPr>
        <w:t> </w:t>
      </w:r>
      <w:r>
        <w:rPr>
          <w:rFonts w:ascii="Arial"/>
          <w:b/>
          <w:sz w:val="30"/>
        </w:rPr>
        <w:t>Ltd.</w:t>
      </w:r>
      <w:r>
        <w:rPr>
          <w:rFonts w:ascii="Arial"/>
          <w:sz w:val="30"/>
        </w:rPr>
      </w:r>
    </w:p>
    <w:p>
      <w:pPr>
        <w:spacing w:line="240" w:lineRule="auto" w:before="0"/>
        <w:rPr>
          <w:rFonts w:ascii="Arial" w:hAnsi="Arial" w:cs="Arial" w:eastAsia="Arial" w:hint="default"/>
          <w:b/>
          <w:bCs/>
          <w:sz w:val="30"/>
          <w:szCs w:val="30"/>
        </w:rPr>
      </w:pPr>
    </w:p>
    <w:p>
      <w:pPr>
        <w:spacing w:line="240" w:lineRule="auto" w:before="0"/>
        <w:rPr>
          <w:rFonts w:ascii="Arial" w:hAnsi="Arial" w:cs="Arial" w:eastAsia="Arial" w:hint="default"/>
          <w:b/>
          <w:bCs/>
          <w:sz w:val="30"/>
          <w:szCs w:val="30"/>
        </w:rPr>
      </w:pPr>
    </w:p>
    <w:p>
      <w:pPr>
        <w:spacing w:line="240" w:lineRule="auto" w:before="0"/>
        <w:rPr>
          <w:rFonts w:ascii="Arial" w:hAnsi="Arial" w:cs="Arial" w:eastAsia="Arial" w:hint="default"/>
          <w:b/>
          <w:bCs/>
          <w:sz w:val="30"/>
          <w:szCs w:val="30"/>
        </w:rPr>
      </w:pPr>
    </w:p>
    <w:p>
      <w:pPr>
        <w:spacing w:line="240" w:lineRule="auto" w:before="0"/>
        <w:rPr>
          <w:rFonts w:ascii="Arial" w:hAnsi="Arial" w:cs="Arial" w:eastAsia="Arial" w:hint="default"/>
          <w:b/>
          <w:bCs/>
          <w:sz w:val="30"/>
          <w:szCs w:val="30"/>
        </w:rPr>
      </w:pPr>
    </w:p>
    <w:p>
      <w:pPr>
        <w:spacing w:before="248"/>
        <w:ind w:left="2686" w:right="0" w:firstLine="0"/>
        <w:jc w:val="left"/>
        <w:rPr>
          <w:rFonts w:ascii="宋体" w:hAnsi="宋体" w:cs="宋体" w:eastAsia="宋体" w:hint="default"/>
          <w:sz w:val="44"/>
          <w:szCs w:val="44"/>
        </w:rPr>
      </w:pPr>
      <w:r>
        <w:rPr>
          <w:rFonts w:ascii="宋体" w:hAnsi="宋体" w:cs="宋体" w:eastAsia="宋体" w:hint="default"/>
          <w:sz w:val="44"/>
          <w:szCs w:val="44"/>
        </w:rPr>
        <w:t>2011</w:t>
      </w:r>
      <w:r>
        <w:rPr>
          <w:rFonts w:ascii="宋体" w:hAnsi="宋体" w:cs="宋体" w:eastAsia="宋体" w:hint="default"/>
          <w:spacing w:val="-102"/>
          <w:sz w:val="44"/>
          <w:szCs w:val="44"/>
        </w:rPr>
        <w:t> </w:t>
      </w:r>
      <w:r>
        <w:rPr>
          <w:rFonts w:ascii="宋体" w:hAnsi="宋体" w:cs="宋体" w:eastAsia="宋体" w:hint="default"/>
          <w:sz w:val="44"/>
          <w:szCs w:val="44"/>
        </w:rPr>
        <w:t>年年度报告</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5"/>
        <w:rPr>
          <w:rFonts w:ascii="宋体" w:hAnsi="宋体" w:cs="宋体" w:eastAsia="宋体" w:hint="default"/>
          <w:sz w:val="33"/>
          <w:szCs w:val="33"/>
        </w:rPr>
      </w:pPr>
    </w:p>
    <w:p>
      <w:pPr>
        <w:spacing w:line="288" w:lineRule="auto" w:before="0"/>
        <w:ind w:left="2740" w:right="1950" w:firstLine="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证券简称：卫宁软件</w:t>
      </w:r>
      <w:r>
        <w:rPr>
          <w:rFonts w:ascii="Microsoft JhengHei" w:hAnsi="Microsoft JhengHei" w:cs="Microsoft JhengHei" w:eastAsia="Microsoft JhengHei" w:hint="default"/>
          <w:b/>
          <w:bCs/>
          <w:spacing w:val="-68"/>
          <w:sz w:val="30"/>
          <w:szCs w:val="30"/>
        </w:rPr>
        <w:t> </w:t>
      </w:r>
      <w:r>
        <w:rPr>
          <w:rFonts w:ascii="Microsoft JhengHei" w:hAnsi="Microsoft JhengHei" w:cs="Microsoft JhengHei" w:eastAsia="Microsoft JhengHei" w:hint="default"/>
          <w:b/>
          <w:bCs/>
          <w:spacing w:val="-68"/>
          <w:sz w:val="30"/>
          <w:szCs w:val="30"/>
        </w:rPr>
      </w:r>
      <w:r>
        <w:rPr>
          <w:rFonts w:ascii="Microsoft JhengHei" w:hAnsi="Microsoft JhengHei" w:cs="Microsoft JhengHei" w:eastAsia="Microsoft JhengHei" w:hint="default"/>
          <w:b/>
          <w:bCs/>
          <w:sz w:val="30"/>
          <w:szCs w:val="30"/>
        </w:rPr>
        <w:t>证券代码：300253</w:t>
      </w:r>
      <w:r>
        <w:rPr>
          <w:rFonts w:ascii="Microsoft JhengHei" w:hAnsi="Microsoft JhengHei" w:cs="Microsoft JhengHei" w:eastAsia="Microsoft JhengHei" w:hint="default"/>
          <w:b/>
          <w:bCs/>
          <w:w w:val="83"/>
          <w:sz w:val="30"/>
          <w:szCs w:val="30"/>
        </w:rPr>
        <w:t> </w:t>
      </w:r>
      <w:r>
        <w:rPr>
          <w:rFonts w:ascii="Microsoft JhengHei" w:hAnsi="Microsoft JhengHei" w:cs="Microsoft JhengHei" w:eastAsia="Microsoft JhengHei" w:hint="default"/>
          <w:b/>
          <w:bCs/>
          <w:sz w:val="30"/>
          <w:szCs w:val="30"/>
        </w:rPr>
        <w:t>披露日期：2012</w:t>
      </w:r>
      <w:r>
        <w:rPr>
          <w:rFonts w:ascii="Microsoft JhengHei" w:hAnsi="Microsoft JhengHei" w:cs="Microsoft JhengHei" w:eastAsia="Microsoft JhengHei" w:hint="default"/>
          <w:b/>
          <w:bCs/>
          <w:spacing w:val="-38"/>
          <w:sz w:val="30"/>
          <w:szCs w:val="30"/>
        </w:rPr>
        <w:t> </w:t>
      </w:r>
      <w:r>
        <w:rPr>
          <w:rFonts w:ascii="Microsoft JhengHei" w:hAnsi="Microsoft JhengHei" w:cs="Microsoft JhengHei" w:eastAsia="Microsoft JhengHei" w:hint="default"/>
          <w:b/>
          <w:bCs/>
          <w:sz w:val="30"/>
          <w:szCs w:val="30"/>
        </w:rPr>
        <w:t>年</w:t>
      </w:r>
      <w:r>
        <w:rPr>
          <w:rFonts w:ascii="Microsoft JhengHei" w:hAnsi="Microsoft JhengHei" w:cs="Microsoft JhengHei" w:eastAsia="Microsoft JhengHei" w:hint="default"/>
          <w:b/>
          <w:bCs/>
          <w:spacing w:val="-38"/>
          <w:sz w:val="30"/>
          <w:szCs w:val="30"/>
        </w:rPr>
        <w:t> </w:t>
      </w:r>
      <w:r>
        <w:rPr>
          <w:rFonts w:ascii="Microsoft JhengHei" w:hAnsi="Microsoft JhengHei" w:cs="Microsoft JhengHei" w:eastAsia="Microsoft JhengHei" w:hint="default"/>
          <w:b/>
          <w:bCs/>
          <w:sz w:val="30"/>
          <w:szCs w:val="30"/>
        </w:rPr>
        <w:t>4</w:t>
      </w:r>
      <w:r>
        <w:rPr>
          <w:rFonts w:ascii="Microsoft JhengHei" w:hAnsi="Microsoft JhengHei" w:cs="Microsoft JhengHei" w:eastAsia="Microsoft JhengHei" w:hint="default"/>
          <w:b/>
          <w:bCs/>
          <w:spacing w:val="-38"/>
          <w:sz w:val="30"/>
          <w:szCs w:val="30"/>
        </w:rPr>
        <w:t> </w:t>
      </w:r>
      <w:r>
        <w:rPr>
          <w:rFonts w:ascii="Microsoft JhengHei" w:hAnsi="Microsoft JhengHei" w:cs="Microsoft JhengHei" w:eastAsia="Microsoft JhengHei" w:hint="default"/>
          <w:b/>
          <w:bCs/>
          <w:sz w:val="30"/>
          <w:szCs w:val="30"/>
        </w:rPr>
        <w:t>月</w:t>
      </w:r>
      <w:r>
        <w:rPr>
          <w:rFonts w:ascii="Microsoft JhengHei" w:hAnsi="Microsoft JhengHei" w:cs="Microsoft JhengHei" w:eastAsia="Microsoft JhengHei" w:hint="default"/>
          <w:b/>
          <w:bCs/>
          <w:spacing w:val="-38"/>
          <w:sz w:val="30"/>
          <w:szCs w:val="30"/>
        </w:rPr>
        <w:t> </w:t>
      </w:r>
      <w:r>
        <w:rPr>
          <w:rFonts w:ascii="Microsoft JhengHei" w:hAnsi="Microsoft JhengHei" w:cs="Microsoft JhengHei" w:eastAsia="Microsoft JhengHei" w:hint="default"/>
          <w:b/>
          <w:bCs/>
          <w:sz w:val="30"/>
          <w:szCs w:val="30"/>
        </w:rPr>
        <w:t>25</w:t>
      </w:r>
      <w:r>
        <w:rPr>
          <w:rFonts w:ascii="Microsoft JhengHei" w:hAnsi="Microsoft JhengHei" w:cs="Microsoft JhengHei" w:eastAsia="Microsoft JhengHei" w:hint="default"/>
          <w:b/>
          <w:bCs/>
          <w:spacing w:val="-38"/>
          <w:sz w:val="30"/>
          <w:szCs w:val="30"/>
        </w:rPr>
        <w:t> </w:t>
      </w:r>
      <w:r>
        <w:rPr>
          <w:rFonts w:ascii="Microsoft JhengHei" w:hAnsi="Microsoft JhengHei" w:cs="Microsoft JhengHei" w:eastAsia="Microsoft JhengHei" w:hint="default"/>
          <w:b/>
          <w:bCs/>
          <w:sz w:val="30"/>
          <w:szCs w:val="30"/>
        </w:rPr>
        <w:t>日</w:t>
      </w:r>
      <w:r>
        <w:rPr>
          <w:rFonts w:ascii="Microsoft JhengHei" w:hAnsi="Microsoft JhengHei" w:cs="Microsoft JhengHei" w:eastAsia="Microsoft JhengHei" w:hint="default"/>
          <w:sz w:val="30"/>
          <w:szCs w:val="30"/>
        </w:rPr>
      </w:r>
    </w:p>
    <w:p>
      <w:pPr>
        <w:spacing w:after="0" w:line="288" w:lineRule="auto"/>
        <w:jc w:val="left"/>
        <w:rPr>
          <w:rFonts w:ascii="Microsoft JhengHei" w:hAnsi="Microsoft JhengHei" w:cs="Microsoft JhengHei" w:eastAsia="Microsoft JhengHei" w:hint="default"/>
          <w:sz w:val="30"/>
          <w:szCs w:val="30"/>
        </w:rPr>
        <w:sectPr>
          <w:type w:val="continuous"/>
          <w:pgSz w:w="11910" w:h="16840"/>
          <w:pgMar w:top="1580" w:bottom="280" w:left="1680" w:right="1680"/>
        </w:sectPr>
      </w:pPr>
    </w:p>
    <w:p>
      <w:pPr>
        <w:spacing w:line="240" w:lineRule="auto" w:before="2"/>
        <w:rPr>
          <w:rFonts w:ascii="Microsoft JhengHei" w:hAnsi="Microsoft JhengHei" w:cs="Microsoft JhengHei" w:eastAsia="Microsoft JhengHei" w:hint="default"/>
          <w:b/>
          <w:bCs/>
          <w:sz w:val="6"/>
          <w:szCs w:val="6"/>
        </w:rPr>
      </w:pPr>
    </w:p>
    <w:p>
      <w:pPr>
        <w:spacing w:before="0"/>
        <w:ind w:left="0" w:right="0" w:firstLine="0"/>
        <w:jc w:val="center"/>
        <w:rPr>
          <w:rFonts w:ascii="宋体" w:hAnsi="宋体" w:cs="宋体" w:eastAsia="宋体" w:hint="default"/>
          <w:sz w:val="32"/>
          <w:szCs w:val="32"/>
        </w:rPr>
      </w:pPr>
      <w:r>
        <w:rPr/>
        <w:pict>
          <v:group style="position:absolute;margin-left:56.279999pt;margin-top:-4.112521pt;width:482.65pt;height:12.4pt;mso-position-horizontal-relative:page;mso-position-vertical-relative:paragraph;z-index:-634792" coordorigin="1126,-82" coordsize="9653,248">
            <v:shape style="position:absolute;left:1135;top:-82;width:797;height:144" type="#_x0000_t75" stroked="false">
              <v:imagedata r:id="rId8" o:title=""/>
            </v:shape>
            <v:shape style="position:absolute;left:1966;top:-82;width:430;height:101" type="#_x0000_t75" stroked="false">
              <v:imagedata r:id="rId9" o:title=""/>
            </v:shape>
            <v:group style="position:absolute;left:1133;top:71;width:1251;height:94" coordorigin="1133,71" coordsize="1251,94">
              <v:shape style="position:absolute;left:1133;top:71;width:1251;height:94" coordorigin="1133,71" coordsize="1251,94" path="m1133,165l1227,150,1312,139,1407,127,1511,117,1646,106,1819,96,2383,71,1133,165xe" filled="true" fillcolor="#074278" stroked="false">
                <v:path arrowok="t"/>
                <v:fill type="solid"/>
              </v:shape>
            </v:group>
            <v:group style="position:absolute;left:1133;top:-63;width:9639;height:2" coordorigin="1133,-63" coordsize="9639,2">
              <v:shape style="position:absolute;left:1133;top:-63;width:9639;height:2" coordorigin="1133,-63" coordsize="9639,0" path="m1133,-63l10771,-63e" filled="false" stroked="true" strokeweight=".72pt" strokecolor="#000000">
                <v:path arrowok="t"/>
              </v:shape>
            </v:group>
            <w10:wrap type="none"/>
          </v:group>
        </w:pict>
      </w:r>
      <w:r>
        <w:rPr>
          <w:rFonts w:ascii="宋体" w:hAnsi="宋体" w:cs="宋体" w:eastAsia="宋体" w:hint="default"/>
          <w:sz w:val="32"/>
          <w:szCs w:val="32"/>
        </w:rPr>
        <w:t>重要提示</w:t>
      </w:r>
    </w:p>
    <w:p>
      <w:pPr>
        <w:pStyle w:val="Heading4"/>
        <w:spacing w:line="256" w:lineRule="auto" w:before="264"/>
        <w:ind w:left="112" w:right="0" w:firstLine="434"/>
        <w:jc w:val="left"/>
        <w:rPr>
          <w:b w:val="0"/>
          <w:bCs w:val="0"/>
        </w:rPr>
      </w:pPr>
      <w:r>
        <w:rPr>
          <w:spacing w:val="2"/>
          <w:w w:val="95"/>
        </w:rPr>
        <w:t>1、本公司董事会、监事会及董事、监事、高级管理人员保证本报告所载资料不存在任何虚假记载、</w:t>
      </w:r>
      <w:r>
        <w:rPr>
          <w:w w:val="99"/>
        </w:rPr>
        <w:t> </w:t>
      </w:r>
      <w:r>
        <w:rPr/>
        <w:t>误导性陈述或者重大遗漏，并对其内容的真实性、准确性和完整性承担个别及连带责任。</w:t>
      </w:r>
      <w:r>
        <w:rPr>
          <w:b w:val="0"/>
          <w:bCs w:val="0"/>
        </w:rPr>
      </w:r>
    </w:p>
    <w:p>
      <w:pPr>
        <w:pStyle w:val="Heading4"/>
        <w:spacing w:line="254" w:lineRule="auto" w:before="159"/>
        <w:ind w:left="112" w:right="0" w:firstLine="434"/>
        <w:jc w:val="left"/>
        <w:rPr>
          <w:b w:val="0"/>
          <w:bCs w:val="0"/>
        </w:rPr>
      </w:pPr>
      <w:r>
        <w:rPr>
          <w:spacing w:val="2"/>
          <w:w w:val="95"/>
        </w:rPr>
        <w:t>2、没有董事、监事、高级管理人员声明对年度报告内容的真实性、准确性和完整性无法保证或存在</w:t>
      </w:r>
      <w:r>
        <w:rPr>
          <w:w w:val="99"/>
        </w:rPr>
        <w:t> </w:t>
      </w:r>
      <w:r>
        <w:rPr/>
        <w:t>异议。</w:t>
      </w:r>
      <w:r>
        <w:rPr>
          <w:b w:val="0"/>
          <w:bCs w:val="0"/>
        </w:rPr>
      </w:r>
    </w:p>
    <w:p>
      <w:pPr>
        <w:pStyle w:val="Heading4"/>
        <w:spacing w:line="240" w:lineRule="auto" w:before="165"/>
        <w:ind w:left="547" w:right="0"/>
        <w:jc w:val="left"/>
        <w:rPr>
          <w:b w:val="0"/>
          <w:bCs w:val="0"/>
        </w:rPr>
      </w:pPr>
      <w:r>
        <w:rPr/>
        <w:t>3、全体董事均已出席审议本次年报的董事会会议。</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333" w:lineRule="exact"/>
        <w:ind w:left="547" w:right="0"/>
        <w:jc w:val="left"/>
        <w:rPr>
          <w:b w:val="0"/>
          <w:bCs w:val="0"/>
        </w:rPr>
      </w:pPr>
      <w:r>
        <w:rPr>
          <w:spacing w:val="2"/>
        </w:rPr>
        <w:t>4、公司年度财务报告已经中磊会计师事务所有限责任公司审计并被出具了标准无保留意见的审计报</w:t>
      </w:r>
      <w:r>
        <w:rPr>
          <w:b w:val="0"/>
          <w:bCs w:val="0"/>
          <w:spacing w:val="2"/>
        </w:rPr>
      </w:r>
    </w:p>
    <w:p>
      <w:pPr>
        <w:pStyle w:val="Heading4"/>
        <w:spacing w:line="240" w:lineRule="auto" w:before="23"/>
        <w:ind w:left="112" w:right="0"/>
        <w:jc w:val="left"/>
        <w:rPr>
          <w:b w:val="0"/>
          <w:bCs w:val="0"/>
        </w:rPr>
      </w:pPr>
      <w:r>
        <w:rPr/>
        <w:t>告。</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333" w:lineRule="exact"/>
        <w:ind w:left="547" w:right="0"/>
        <w:jc w:val="left"/>
        <w:rPr>
          <w:b w:val="0"/>
          <w:bCs w:val="0"/>
        </w:rPr>
      </w:pPr>
      <w:r>
        <w:rPr>
          <w:spacing w:val="2"/>
        </w:rPr>
        <w:t>5、公司负责人周炜、主管会计工作负责人靳茂及会计机构负责人</w:t>
      </w:r>
      <w:r>
        <w:rPr>
          <w:spacing w:val="-22"/>
        </w:rPr>
        <w:t> </w:t>
      </w:r>
      <w:r>
        <w:rPr>
          <w:spacing w:val="2"/>
        </w:rPr>
        <w:t>(会计主管人员)奚冰声明：保证年</w:t>
      </w:r>
      <w:r>
        <w:rPr>
          <w:b w:val="0"/>
          <w:bCs w:val="0"/>
          <w:spacing w:val="2"/>
        </w:rPr>
      </w:r>
    </w:p>
    <w:p>
      <w:pPr>
        <w:pStyle w:val="Heading4"/>
        <w:spacing w:line="240" w:lineRule="auto" w:before="23"/>
        <w:ind w:left="112" w:right="0"/>
        <w:jc w:val="left"/>
        <w:rPr>
          <w:b w:val="0"/>
          <w:bCs w:val="0"/>
        </w:rPr>
      </w:pPr>
      <w:r>
        <w:rPr/>
        <w:t>度报告中财务报告的真实、完整。</w:t>
      </w:r>
      <w:r>
        <w:rPr>
          <w:b w:val="0"/>
          <w:bCs w:val="0"/>
        </w:rPr>
      </w:r>
    </w:p>
    <w:p>
      <w:pPr>
        <w:spacing w:after="0" w:line="240" w:lineRule="auto"/>
        <w:jc w:val="left"/>
        <w:sectPr>
          <w:headerReference w:type="default" r:id="rId6"/>
          <w:footerReference w:type="default" r:id="rId7"/>
          <w:pgSz w:w="11910" w:h="16840"/>
          <w:pgMar w:header="849" w:footer="976" w:top="1460" w:bottom="1160" w:left="1020" w:right="1000"/>
          <w:pgNumType w:start="1"/>
        </w:sectPr>
      </w:pPr>
    </w:p>
    <w:p>
      <w:pPr>
        <w:spacing w:line="240" w:lineRule="auto" w:before="2"/>
        <w:rPr>
          <w:rFonts w:ascii="Microsoft JhengHei" w:hAnsi="Microsoft JhengHei" w:cs="Microsoft JhengHei" w:eastAsia="Microsoft JhengHei" w:hint="default"/>
          <w:b/>
          <w:bCs/>
          <w:sz w:val="6"/>
          <w:szCs w:val="6"/>
        </w:rPr>
      </w:pPr>
    </w:p>
    <w:p>
      <w:pPr>
        <w:tabs>
          <w:tab w:pos="662" w:val="left" w:leader="none"/>
        </w:tabs>
        <w:spacing w:before="0"/>
        <w:ind w:left="19" w:right="0" w:firstLine="0"/>
        <w:jc w:val="center"/>
        <w:rPr>
          <w:rFonts w:ascii="宋体" w:hAnsi="宋体" w:cs="宋体" w:eastAsia="宋体" w:hint="default"/>
          <w:sz w:val="32"/>
          <w:szCs w:val="32"/>
        </w:rPr>
      </w:pPr>
      <w:r>
        <w:rPr/>
        <w:pict>
          <v:group style="position:absolute;margin-left:56.279999pt;margin-top:-4.112521pt;width:482.65pt;height:12.4pt;mso-position-horizontal-relative:page;mso-position-vertical-relative:paragraph;z-index:-634768" coordorigin="1126,-82" coordsize="9653,248">
            <v:shape style="position:absolute;left:1135;top:-82;width:797;height:144" type="#_x0000_t75" stroked="false">
              <v:imagedata r:id="rId8" o:title=""/>
            </v:shape>
            <v:shape style="position:absolute;left:1966;top:-82;width:430;height:101" type="#_x0000_t75" stroked="false">
              <v:imagedata r:id="rId9" o:title=""/>
            </v:shape>
            <v:group style="position:absolute;left:1133;top:71;width:1251;height:94" coordorigin="1133,71" coordsize="1251,94">
              <v:shape style="position:absolute;left:1133;top:71;width:1251;height:94" coordorigin="1133,71" coordsize="1251,94" path="m1133,165l1227,150,1312,139,1407,127,1511,117,1646,106,1819,96,2383,71,1133,165xe" filled="true" fillcolor="#074278" stroked="false">
                <v:path arrowok="t"/>
                <v:fill type="solid"/>
              </v:shape>
            </v:group>
            <v:group style="position:absolute;left:1133;top:-63;width:9639;height:2" coordorigin="1133,-63" coordsize="9639,2">
              <v:shape style="position:absolute;left:1133;top:-63;width:9639;height:2" coordorigin="1133,-63" coordsize="9639,0" path="m1133,-63l10771,-63e" filled="false" stroked="true" strokeweight=".72pt" strokecolor="#000000">
                <v:path arrowok="t"/>
              </v:shape>
            </v:group>
            <w10:wrap type="none"/>
          </v:group>
        </w:pict>
      </w:r>
      <w:bookmarkStart w:name="第一章公司基本情况简介" w:id="1"/>
      <w:bookmarkEnd w:id="1"/>
      <w:r>
        <w:rPr/>
      </w:r>
      <w:r>
        <w:rPr>
          <w:rFonts w:ascii="宋体" w:hAnsi="宋体" w:cs="宋体" w:eastAsia="宋体" w:hint="default"/>
          <w:w w:val="95"/>
          <w:sz w:val="32"/>
          <w:szCs w:val="32"/>
        </w:rPr>
        <w:t>目</w:t>
        <w:tab/>
      </w:r>
      <w:r>
        <w:rPr>
          <w:rFonts w:ascii="宋体" w:hAnsi="宋体" w:cs="宋体" w:eastAsia="宋体" w:hint="default"/>
          <w:sz w:val="32"/>
          <w:szCs w:val="32"/>
        </w:rPr>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9"/>
        <w:rPr>
          <w:rFonts w:ascii="宋体" w:hAnsi="宋体" w:cs="宋体" w:eastAsia="宋体" w:hint="default"/>
          <w:sz w:val="25"/>
          <w:szCs w:val="25"/>
        </w:rPr>
      </w:pPr>
    </w:p>
    <w:sdt>
      <w:sdtPr>
        <w:docPartObj>
          <w:docPartGallery w:val="Table of Contents"/>
          <w:docPartUnique/>
        </w:docPartObj>
      </w:sdtPr>
      <w:sdtEndPr/>
      <w:sdtContent>
        <w:p>
          <w:pPr>
            <w:pStyle w:val="TOC1"/>
            <w:tabs>
              <w:tab w:pos="1233" w:val="left" w:leader="none"/>
              <w:tab w:pos="974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第一章</w:t>
              <w:tab/>
              <w:t>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3</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1">
            <w:r>
              <w:rPr/>
              <w:t>第二章</w:t>
              <w:tab/>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2">
            <w:r>
              <w:rPr/>
              <w:t>第三章</w:t>
              <w:tab/>
              <w:t>董事会报告</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3">
            <w:r>
              <w:rPr/>
              <w:t>第四章</w:t>
              <w:tab/>
              <w:t>重要事项</w:t>
            </w:r>
            <w:r>
              <w:rPr>
                <w:rFonts w:ascii="Times New Roman" w:hAnsi="Times New Roman" w:cs="Times New Roman" w:eastAsia="Times New Roman" w:hint="default"/>
              </w:rPr>
              <w:tab/>
            </w:r>
            <w:r>
              <w:rPr>
                <w:rFonts w:ascii="Times New Roman" w:hAnsi="Times New Roman" w:cs="Times New Roman" w:eastAsia="Times New Roman" w:hint="default"/>
              </w:rPr>
              <w:t>39</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4">
            <w:r>
              <w:rPr/>
              <w:t>第五章</w:t>
              <w:tab/>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43</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5">
            <w:r>
              <w:rPr/>
              <w:t>第六章</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48</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6">
            <w:r>
              <w:rPr/>
              <w:t>第七章</w:t>
              <w:tab/>
              <w:t>公司治理</w:t>
            </w:r>
            <w:r>
              <w:rPr>
                <w:rFonts w:ascii="Times New Roman" w:hAnsi="Times New Roman" w:cs="Times New Roman" w:eastAsia="Times New Roman" w:hint="default"/>
              </w:rPr>
              <w:tab/>
            </w:r>
            <w:r>
              <w:rPr>
                <w:rFonts w:ascii="Times New Roman" w:hAnsi="Times New Roman" w:cs="Times New Roman" w:eastAsia="Times New Roman" w:hint="default"/>
              </w:rPr>
              <w:t>53</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7">
            <w:r>
              <w:rPr/>
              <w:t>第八章</w:t>
              <w:tab/>
              <w:t>监事会报告</w:t>
            </w:r>
            <w:r>
              <w:rPr>
                <w:rFonts w:ascii="Times New Roman" w:hAnsi="Times New Roman" w:cs="Times New Roman" w:eastAsia="Times New Roman" w:hint="default"/>
              </w:rPr>
              <w:tab/>
            </w:r>
            <w:r>
              <w:rPr>
                <w:rFonts w:ascii="Times New Roman" w:hAnsi="Times New Roman" w:cs="Times New Roman" w:eastAsia="Times New Roman" w:hint="default"/>
              </w:rPr>
              <w:t>63</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8">
            <w:r>
              <w:rPr/>
              <w:t>第九章</w:t>
              <w:tab/>
              <w:t>财务报告</w:t>
            </w:r>
            <w:r>
              <w:rPr>
                <w:rFonts w:ascii="Times New Roman" w:hAnsi="Times New Roman" w:cs="Times New Roman" w:eastAsia="Times New Roman" w:hint="default"/>
              </w:rPr>
              <w:tab/>
            </w:r>
            <w:r>
              <w:rPr>
                <w:rFonts w:ascii="Times New Roman" w:hAnsi="Times New Roman" w:cs="Times New Roman" w:eastAsia="Times New Roman" w:hint="default"/>
              </w:rPr>
              <w:t>66</w:t>
            </w:r>
          </w:hyperlink>
        </w:p>
        <w:p>
          <w:pPr>
            <w:pStyle w:val="TOC1"/>
            <w:tabs>
              <w:tab w:pos="1233" w:val="left" w:leader="none"/>
              <w:tab w:pos="9742" w:val="right" w:leader="dot"/>
            </w:tabs>
            <w:spacing w:line="240" w:lineRule="auto"/>
            <w:ind w:right="0"/>
            <w:jc w:val="left"/>
            <w:rPr>
              <w:rFonts w:ascii="Times New Roman" w:hAnsi="Times New Roman" w:cs="Times New Roman" w:eastAsia="Times New Roman" w:hint="default"/>
            </w:rPr>
          </w:pPr>
          <w:hyperlink w:history="true" w:anchor="_bookmark9">
            <w:r>
              <w:rPr/>
              <w:t>第十章</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121</w:t>
            </w:r>
          </w:hyperlink>
        </w:p>
        <w:p>
          <w:pPr/>
          <w:r>
            <w:fldChar w:fldCharType="end"/>
          </w:r>
        </w:p>
      </w:sdtContent>
    </w:sdt>
    <w:p>
      <w:pPr>
        <w:spacing w:after="0"/>
        <w:sectPr>
          <w:pgSz w:w="11910" w:h="16840"/>
          <w:pgMar w:header="849" w:footer="976" w:top="1460" w:bottom="1160" w:left="1020" w:right="1020"/>
        </w:sectPr>
      </w:pPr>
    </w:p>
    <w:p>
      <w:pPr>
        <w:spacing w:line="240" w:lineRule="auto" w:before="2"/>
        <w:rPr>
          <w:rFonts w:ascii="Times New Roman" w:hAnsi="Times New Roman" w:cs="Times New Roman" w:eastAsia="Times New Roman" w:hint="default"/>
          <w:sz w:val="2"/>
          <w:szCs w:val="2"/>
        </w:rPr>
      </w:pPr>
    </w:p>
    <w:p>
      <w:pPr>
        <w:spacing w:line="247" w:lineRule="exact"/>
        <w:ind w:left="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Times New Roman" w:hAnsi="Times New Roman" w:cs="Times New Roman" w:eastAsia="Times New Roman" w:hint="default"/>
          <w:position w:val="-4"/>
          <w:sz w:val="20"/>
          <w:szCs w:val="20"/>
        </w:rPr>
      </w:r>
    </w:p>
    <w:p>
      <w:pPr>
        <w:pStyle w:val="Heading1"/>
        <w:tabs>
          <w:tab w:pos="4300" w:val="left" w:leader="none"/>
        </w:tabs>
        <w:spacing w:line="240" w:lineRule="auto" w:before="236"/>
        <w:ind w:left="3016" w:right="2294"/>
        <w:jc w:val="left"/>
      </w:pPr>
      <w:bookmarkStart w:name="_bookmark0" w:id="2"/>
      <w:bookmarkEnd w:id="2"/>
      <w:r>
        <w:rPr/>
      </w:r>
      <w:r>
        <w:rPr/>
        <w:t>第一章</w:t>
        <w:tab/>
        <w:t>公司基本情况简介</w:t>
      </w:r>
    </w:p>
    <w:p>
      <w:pPr>
        <w:spacing w:line="240" w:lineRule="auto" w:before="5"/>
        <w:rPr>
          <w:rFonts w:ascii="宋体" w:hAnsi="宋体" w:cs="宋体" w:eastAsia="宋体" w:hint="default"/>
          <w:sz w:val="38"/>
          <w:szCs w:val="38"/>
        </w:rPr>
      </w:pPr>
    </w:p>
    <w:p>
      <w:pPr>
        <w:spacing w:line="400" w:lineRule="auto" w:before="0"/>
        <w:ind w:left="535" w:right="2294"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一、公司的法定中、英文名称及缩写</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中文名称：上海金仕达卫宁软件股份有限公司</w:t>
      </w:r>
    </w:p>
    <w:p>
      <w:pPr>
        <w:pStyle w:val="BodyText"/>
        <w:spacing w:line="475" w:lineRule="auto" w:before="131"/>
        <w:ind w:left="535" w:right="3735"/>
        <w:jc w:val="left"/>
      </w:pPr>
      <w:r>
        <w:rPr/>
        <w:t>英文名称：Shanghai Kingstar Winning Software Co.,</w:t>
      </w:r>
      <w:r>
        <w:rPr>
          <w:spacing w:val="-14"/>
        </w:rPr>
        <w:t> </w:t>
      </w:r>
      <w:r>
        <w:rPr/>
        <w:t>Ltd.</w:t>
      </w:r>
      <w:r>
        <w:rPr>
          <w:w w:val="99"/>
        </w:rPr>
        <w:t> </w:t>
      </w:r>
      <w:r>
        <w:rPr/>
        <w:t>中文简称：卫宁软件</w:t>
      </w:r>
    </w:p>
    <w:p>
      <w:pPr>
        <w:spacing w:line="417" w:lineRule="auto" w:before="66"/>
        <w:ind w:left="112" w:right="7187" w:firstLine="422"/>
        <w:jc w:val="left"/>
        <w:rPr>
          <w:rFonts w:ascii="宋体" w:hAnsi="宋体" w:cs="宋体" w:eastAsia="宋体" w:hint="default"/>
          <w:sz w:val="21"/>
          <w:szCs w:val="21"/>
        </w:rPr>
      </w:pPr>
      <w:r>
        <w:rPr>
          <w:rFonts w:ascii="宋体" w:hAnsi="宋体" w:cs="宋体" w:eastAsia="宋体" w:hint="default"/>
          <w:sz w:val="21"/>
          <w:szCs w:val="21"/>
        </w:rPr>
        <w:t>英文简称：WinningSoft</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二、公司法定代表人：</w:t>
      </w:r>
      <w:r>
        <w:rPr>
          <w:rFonts w:ascii="宋体" w:hAnsi="宋体" w:cs="宋体" w:eastAsia="宋体" w:hint="default"/>
          <w:sz w:val="21"/>
          <w:szCs w:val="21"/>
        </w:rPr>
        <w:t>周炜</w:t>
      </w:r>
    </w:p>
    <w:p>
      <w:pPr>
        <w:pStyle w:val="Heading4"/>
        <w:spacing w:line="341" w:lineRule="exact"/>
        <w:ind w:left="112" w:right="2294"/>
        <w:jc w:val="left"/>
        <w:rPr>
          <w:b w:val="0"/>
          <w:bCs w:val="0"/>
        </w:rPr>
      </w:pPr>
      <w:r>
        <w:rPr/>
        <w:t>三、公司联系人及联系方式</w:t>
      </w:r>
      <w:r>
        <w:rPr>
          <w:b w:val="0"/>
          <w:bCs w:val="0"/>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880"/>
        <w:gridCol w:w="6840"/>
      </w:tblGrid>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68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靳茂</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上海市共和新路</w:t>
            </w:r>
            <w:r>
              <w:rPr>
                <w:rFonts w:ascii="宋体" w:hAnsi="宋体" w:cs="宋体" w:eastAsia="宋体" w:hint="default"/>
                <w:spacing w:val="-55"/>
                <w:sz w:val="21"/>
                <w:szCs w:val="21"/>
              </w:rPr>
              <w:t> </w:t>
            </w:r>
            <w:r>
              <w:rPr>
                <w:rFonts w:ascii="宋体" w:hAnsi="宋体" w:cs="宋体" w:eastAsia="宋体" w:hint="default"/>
                <w:sz w:val="21"/>
                <w:szCs w:val="21"/>
              </w:rPr>
              <w:t>3388</w:t>
            </w:r>
            <w:r>
              <w:rPr>
                <w:rFonts w:ascii="宋体" w:hAnsi="宋体" w:cs="宋体" w:eastAsia="宋体" w:hint="default"/>
                <w:spacing w:val="-56"/>
                <w:sz w:val="21"/>
                <w:szCs w:val="21"/>
              </w:rPr>
              <w:t> </w:t>
            </w:r>
            <w:r>
              <w:rPr>
                <w:rFonts w:ascii="宋体" w:hAnsi="宋体" w:cs="宋体" w:eastAsia="宋体" w:hint="default"/>
                <w:sz w:val="21"/>
                <w:szCs w:val="21"/>
              </w:rPr>
              <w:t>号永鼎大厦</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楼</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021-56773525</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sz w:val="21"/>
              </w:rPr>
              <w:t>021-56778685</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hyperlink r:id="rId10">
              <w:r>
                <w:rPr>
                  <w:rFonts w:ascii="宋体"/>
                  <w:sz w:val="21"/>
                </w:rPr>
                <w:t>wndsh@winning.com.cn</w:t>
              </w:r>
            </w:hyperlink>
          </w:p>
        </w:tc>
      </w:tr>
    </w:tbl>
    <w:p>
      <w:pPr>
        <w:spacing w:line="240" w:lineRule="auto" w:before="6"/>
        <w:rPr>
          <w:rFonts w:ascii="Microsoft JhengHei" w:hAnsi="Microsoft JhengHei" w:cs="Microsoft JhengHei" w:eastAsia="Microsoft JhengHei" w:hint="default"/>
          <w:b/>
          <w:bCs/>
          <w:sz w:val="8"/>
          <w:szCs w:val="8"/>
        </w:rPr>
      </w:pPr>
    </w:p>
    <w:p>
      <w:pPr>
        <w:spacing w:line="333" w:lineRule="exact" w:before="0"/>
        <w:ind w:left="112" w:right="2294"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四、公司注册地址：</w:t>
      </w:r>
      <w:r>
        <w:rPr>
          <w:rFonts w:ascii="宋体" w:hAnsi="宋体" w:cs="宋体" w:eastAsia="宋体" w:hint="default"/>
          <w:sz w:val="21"/>
          <w:szCs w:val="21"/>
        </w:rPr>
        <w:t>上海市浦东新区上南路</w:t>
      </w:r>
      <w:r>
        <w:rPr>
          <w:rFonts w:ascii="宋体" w:hAnsi="宋体" w:cs="宋体" w:eastAsia="宋体" w:hint="default"/>
          <w:spacing w:val="-54"/>
          <w:sz w:val="21"/>
          <w:szCs w:val="21"/>
        </w:rPr>
        <w:t> </w:t>
      </w:r>
      <w:r>
        <w:rPr>
          <w:rFonts w:ascii="宋体" w:hAnsi="宋体" w:cs="宋体" w:eastAsia="宋体" w:hint="default"/>
          <w:sz w:val="21"/>
          <w:szCs w:val="21"/>
        </w:rPr>
        <w:t>4184</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258</w:t>
      </w:r>
      <w:r>
        <w:rPr>
          <w:rFonts w:ascii="宋体" w:hAnsi="宋体" w:cs="宋体" w:eastAsia="宋体" w:hint="default"/>
          <w:spacing w:val="-55"/>
          <w:sz w:val="21"/>
          <w:szCs w:val="21"/>
        </w:rPr>
        <w:t> </w:t>
      </w:r>
      <w:r>
        <w:rPr>
          <w:rFonts w:ascii="宋体" w:hAnsi="宋体" w:cs="宋体" w:eastAsia="宋体" w:hint="default"/>
          <w:sz w:val="21"/>
          <w:szCs w:val="21"/>
        </w:rPr>
        <w:t>室</w:t>
      </w:r>
    </w:p>
    <w:p>
      <w:pPr>
        <w:spacing w:line="240" w:lineRule="auto" w:before="13"/>
        <w:rPr>
          <w:rFonts w:ascii="宋体" w:hAnsi="宋体" w:cs="宋体" w:eastAsia="宋体" w:hint="default"/>
          <w:sz w:val="18"/>
          <w:szCs w:val="18"/>
        </w:rPr>
      </w:pPr>
    </w:p>
    <w:p>
      <w:pPr>
        <w:pStyle w:val="BodyText"/>
        <w:spacing w:line="477" w:lineRule="auto"/>
        <w:ind w:left="535" w:right="4467"/>
        <w:jc w:val="left"/>
      </w:pPr>
      <w:r>
        <w:rPr/>
        <w:t>注册地址的邮政编码：200124</w:t>
      </w:r>
      <w:r>
        <w:rPr>
          <w:w w:val="99"/>
        </w:rPr>
        <w:t> </w:t>
      </w:r>
      <w:r>
        <w:rPr/>
        <w:t>公司办公地址：上海市共和新路</w:t>
      </w:r>
      <w:r>
        <w:rPr>
          <w:spacing w:val="-57"/>
        </w:rPr>
        <w:t> </w:t>
      </w:r>
      <w:r>
        <w:rPr/>
        <w:t>3388</w:t>
      </w:r>
      <w:r>
        <w:rPr>
          <w:spacing w:val="-56"/>
        </w:rPr>
        <w:t> </w:t>
      </w:r>
      <w:r>
        <w:rPr/>
        <w:t>号永鼎大厦</w:t>
      </w:r>
      <w:r>
        <w:rPr>
          <w:spacing w:val="-55"/>
        </w:rPr>
        <w:t> </w:t>
      </w:r>
      <w:r>
        <w:rPr/>
        <w:t>8</w:t>
      </w:r>
      <w:r>
        <w:rPr>
          <w:spacing w:val="-53"/>
        </w:rPr>
        <w:t> </w:t>
      </w:r>
      <w:r>
        <w:rPr/>
        <w:t>楼</w:t>
      </w:r>
      <w:r>
        <w:rPr>
          <w:w w:val="99"/>
        </w:rPr>
        <w:t> </w:t>
      </w:r>
      <w:r>
        <w:rPr/>
        <w:t>办公地址的邮政编码：200436</w:t>
      </w:r>
      <w:r>
        <w:rPr>
          <w:w w:val="99"/>
        </w:rPr>
        <w:t> </w:t>
      </w:r>
      <w:r>
        <w:rPr/>
        <w:t>公司国际互联网网址：</w:t>
      </w:r>
      <w:hyperlink r:id="rId11">
        <w:r>
          <w:rPr/>
          <w:t>www.winning.com.cn</w:t>
        </w:r>
      </w:hyperlink>
      <w:r>
        <w:rPr>
          <w:w w:val="99"/>
        </w:rPr>
        <w:t> </w:t>
      </w:r>
      <w:r>
        <w:rPr/>
        <w:t>电子信箱：</w:t>
      </w:r>
      <w:hyperlink r:id="rId10">
        <w:r>
          <w:rPr/>
          <w:t>wndsh@winning.com.cn</w:t>
        </w:r>
      </w:hyperlink>
    </w:p>
    <w:p>
      <w:pPr>
        <w:pStyle w:val="BodyText"/>
        <w:spacing w:line="400" w:lineRule="auto"/>
        <w:ind w:left="535" w:right="0" w:hanging="423"/>
        <w:jc w:val="left"/>
      </w:pPr>
      <w:r>
        <w:rPr>
          <w:rFonts w:ascii="Microsoft JhengHei" w:hAnsi="Microsoft JhengHei" w:cs="Microsoft JhengHei" w:eastAsia="Microsoft JhengHei" w:hint="default"/>
          <w:b/>
          <w:bCs/>
          <w:spacing w:val="-16"/>
          <w:w w:val="99"/>
        </w:rPr>
        <w:t>五、公司选定的信息披露报纸名称：</w:t>
      </w:r>
      <w:r>
        <w:rPr>
          <w:spacing w:val="-16"/>
          <w:w w:val="99"/>
        </w:rPr>
        <w:t>《证券时报》、《上海证券报》、《中国证券报》、《证券日报》</w:t>
      </w:r>
      <w:r>
        <w:rPr>
          <w:spacing w:val="-65"/>
          <w:w w:val="99"/>
        </w:rPr>
        <w:t> </w:t>
      </w:r>
      <w:r>
        <w:rPr>
          <w:spacing w:val="-65"/>
          <w:w w:val="99"/>
        </w:rPr>
      </w:r>
      <w:r>
        <w:rPr/>
        <w:t>登载年度报告的中国证监会指定网站的网址：</w:t>
      </w:r>
      <w:hyperlink r:id="rId12">
        <w:r>
          <w:rPr/>
          <w:t>www.cninfo.com.cn</w:t>
        </w:r>
      </w:hyperlink>
    </w:p>
    <w:p>
      <w:pPr>
        <w:spacing w:line="417" w:lineRule="auto" w:before="131"/>
        <w:ind w:left="112" w:right="5402" w:firstLine="422"/>
        <w:jc w:val="left"/>
        <w:rPr>
          <w:rFonts w:ascii="宋体" w:hAnsi="宋体" w:cs="宋体" w:eastAsia="宋体" w:hint="default"/>
          <w:sz w:val="21"/>
          <w:szCs w:val="21"/>
        </w:rPr>
      </w:pPr>
      <w:r>
        <w:rPr>
          <w:rFonts w:ascii="宋体" w:hAnsi="宋体" w:cs="宋体" w:eastAsia="宋体" w:hint="default"/>
          <w:sz w:val="21"/>
          <w:szCs w:val="21"/>
        </w:rPr>
        <w:t>公司年度报告备置地点：董事会秘书办公室</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六、公司股票上市交易所：</w:t>
      </w:r>
      <w:r>
        <w:rPr>
          <w:rFonts w:ascii="宋体" w:hAnsi="宋体" w:cs="宋体" w:eastAsia="宋体" w:hint="default"/>
          <w:sz w:val="21"/>
          <w:szCs w:val="21"/>
        </w:rPr>
        <w:t>深圳证券交易所</w:t>
      </w:r>
    </w:p>
    <w:p>
      <w:pPr>
        <w:pStyle w:val="BodyText"/>
        <w:spacing w:line="475" w:lineRule="auto" w:before="42"/>
        <w:ind w:left="535" w:right="7501"/>
        <w:jc w:val="left"/>
      </w:pPr>
      <w:r>
        <w:rPr/>
        <w:t>股票简称：卫宁软件</w:t>
      </w:r>
      <w:r>
        <w:rPr>
          <w:w w:val="99"/>
        </w:rPr>
        <w:t> </w:t>
      </w:r>
      <w:r>
        <w:rPr/>
        <w:t>股票代码：300253</w:t>
      </w:r>
    </w:p>
    <w:p>
      <w:pPr>
        <w:spacing w:after="0" w:line="475" w:lineRule="auto"/>
        <w:jc w:val="left"/>
        <w:sectPr>
          <w:pgSz w:w="11910" w:h="16840"/>
          <w:pgMar w:header="849" w:footer="976" w:top="1460" w:bottom="1160" w:left="1020" w:right="94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line="327" w:lineRule="exact" w:before="0"/>
                        <w:ind w:left="7" w:right="0" w:firstLine="0"/>
                        <w:jc w:val="left"/>
                        <w:rPr>
                          <w:rFonts w:ascii="Microsoft JhengHei" w:hAnsi="Microsoft JhengHei" w:cs="Microsoft JhengHei" w:eastAsia="Microsoft JhengHei" w:hint="default"/>
                          <w:sz w:val="21"/>
                          <w:szCs w:val="21"/>
                        </w:rPr>
                      </w:pPr>
                      <w:bookmarkStart w:name="第二章会计数据和财务指标摘要" w:id="3"/>
                      <w:bookmarkEnd w:id="3"/>
                      <w:r>
                        <w:rPr/>
                      </w:r>
                      <w:r>
                        <w:rPr>
                          <w:rFonts w:ascii="Microsoft JhengHei" w:hAnsi="Microsoft JhengHei" w:cs="Microsoft JhengHei" w:eastAsia="Microsoft JhengHei" w:hint="default"/>
                          <w:b/>
                          <w:bCs/>
                          <w:sz w:val="21"/>
                          <w:szCs w:val="21"/>
                        </w:rPr>
                        <w:t>七、其他有关资料：</w:t>
                      </w:r>
                      <w:r>
                        <w:rPr>
                          <w:rFonts w:ascii="Microsoft JhengHei" w:hAnsi="Microsoft JhengHei" w:cs="Microsoft JhengHei" w:eastAsia="Microsoft JhengHei"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477" w:lineRule="auto" w:before="34"/>
        <w:ind w:left="547" w:right="4889"/>
        <w:jc w:val="left"/>
      </w:pPr>
      <w:r>
        <w:rPr/>
        <w:t>公司最新注册登记日期：2011</w:t>
      </w:r>
      <w:r>
        <w:rPr>
          <w:spacing w:val="-55"/>
        </w:rPr>
        <w:t> </w:t>
      </w:r>
      <w:r>
        <w:rPr/>
        <w:t>年</w:t>
      </w:r>
      <w:r>
        <w:rPr>
          <w:spacing w:val="-51"/>
        </w:rPr>
        <w:t> </w:t>
      </w:r>
      <w:r>
        <w:rPr/>
        <w:t>11</w:t>
      </w:r>
      <w:r>
        <w:rPr>
          <w:spacing w:val="-55"/>
        </w:rPr>
        <w:t> </w:t>
      </w:r>
      <w:r>
        <w:rPr/>
        <w:t>月</w:t>
      </w:r>
      <w:r>
        <w:rPr>
          <w:spacing w:val="-54"/>
        </w:rPr>
        <w:t> </w:t>
      </w:r>
      <w:r>
        <w:rPr/>
        <w:t>8</w:t>
      </w:r>
      <w:r>
        <w:rPr>
          <w:spacing w:val="-52"/>
        </w:rPr>
        <w:t> </w:t>
      </w:r>
      <w:r>
        <w:rPr/>
        <w:t>日</w:t>
      </w:r>
      <w:r>
        <w:rPr>
          <w:w w:val="99"/>
        </w:rPr>
        <w:t> </w:t>
      </w:r>
      <w:r>
        <w:rPr/>
        <w:t>公司最新注册登记地点：上海市工商行政管理局</w:t>
      </w:r>
      <w:r>
        <w:rPr>
          <w:w w:val="99"/>
        </w:rPr>
        <w:t> </w:t>
      </w:r>
      <w:r>
        <w:rPr/>
        <w:t>企业法人营业执照注册号：310115400147263</w:t>
      </w:r>
      <w:r>
        <w:rPr>
          <w:w w:val="99"/>
        </w:rPr>
        <w:t> </w:t>
      </w:r>
      <w:r>
        <w:rPr/>
        <w:t>税务登记号码：310115759874061</w:t>
      </w:r>
      <w:r>
        <w:rPr>
          <w:w w:val="99"/>
        </w:rPr>
        <w:t> </w:t>
      </w:r>
      <w:r>
        <w:rPr/>
        <w:t>组织机构代码：75987406－1</w:t>
      </w:r>
    </w:p>
    <w:p>
      <w:pPr>
        <w:pStyle w:val="BodyText"/>
        <w:spacing w:line="477" w:lineRule="auto" w:before="64"/>
        <w:ind w:left="547" w:right="2379"/>
        <w:jc w:val="left"/>
      </w:pPr>
      <w:r>
        <w:rPr/>
        <w:t>公司聘请的会计师事务所名称：中磊会计师事务所有限责任公司</w:t>
      </w:r>
      <w:r>
        <w:rPr>
          <w:w w:val="99"/>
        </w:rPr>
        <w:t> </w:t>
      </w:r>
      <w:r>
        <w:rPr/>
        <w:t>公司聘请的会计师事务所办公地址：北京市丰台区星火路</w:t>
      </w:r>
      <w:r>
        <w:rPr>
          <w:spacing w:val="-56"/>
        </w:rPr>
        <w:t> </w:t>
      </w:r>
      <w:r>
        <w:rPr/>
        <w:t>1</w:t>
      </w:r>
      <w:r>
        <w:rPr>
          <w:spacing w:val="-54"/>
        </w:rPr>
        <w:t> </w:t>
      </w:r>
      <w:r>
        <w:rPr/>
        <w:t>号昌宁大厦</w:t>
      </w:r>
      <w:r>
        <w:rPr>
          <w:spacing w:val="-56"/>
        </w:rPr>
        <w:t> </w:t>
      </w:r>
      <w:r>
        <w:rPr/>
        <w:t>8</w:t>
      </w:r>
      <w:r>
        <w:rPr>
          <w:spacing w:val="-54"/>
        </w:rPr>
        <w:t> </w:t>
      </w:r>
      <w:r>
        <w:rPr/>
        <w:t>层</w:t>
      </w:r>
    </w:p>
    <w:p>
      <w:pPr>
        <w:pStyle w:val="Heading4"/>
        <w:spacing w:line="361" w:lineRule="exact"/>
        <w:ind w:left="112" w:right="0"/>
        <w:jc w:val="left"/>
        <w:rPr>
          <w:b w:val="0"/>
          <w:bCs w:val="0"/>
        </w:rPr>
      </w:pPr>
      <w:r>
        <w:rPr/>
        <w:t>八、公司上市以来的历史沿革：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109" w:firstLine="434"/>
        <w:jc w:val="both"/>
      </w:pPr>
      <w:r>
        <w:rPr>
          <w:w w:val="99"/>
        </w:rPr>
        <w:t>公司经中国证券监督管理委员会证监许可[2011]1129</w:t>
      </w:r>
      <w:r>
        <w:rPr>
          <w:spacing w:val="-28"/>
          <w:w w:val="99"/>
        </w:rPr>
        <w:t> </w:t>
      </w:r>
      <w:r>
        <w:rPr>
          <w:spacing w:val="-4"/>
          <w:w w:val="99"/>
        </w:rPr>
        <w:t>号文《关于核准上海金仕达卫宁软件股份有限公</w:t>
      </w:r>
      <w:r>
        <w:rPr>
          <w:w w:val="99"/>
        </w:rPr>
        <w:t> </w:t>
      </w:r>
      <w:r>
        <w:rPr/>
        <w:t>司首次公开发行股票并在创业板上市的批复》核准，首次公开发行人民币普通股（A</w:t>
      </w:r>
      <w:r>
        <w:rPr>
          <w:spacing w:val="-64"/>
        </w:rPr>
        <w:t> </w:t>
      </w:r>
      <w:r>
        <w:rPr/>
        <w:t>股）1350</w:t>
      </w:r>
      <w:r>
        <w:rPr>
          <w:spacing w:val="-66"/>
        </w:rPr>
        <w:t> </w:t>
      </w:r>
      <w:r>
        <w:rPr/>
        <w:t>万股，每股</w:t>
      </w:r>
      <w:r>
        <w:rPr>
          <w:w w:val="99"/>
        </w:rPr>
        <w:t> </w:t>
      </w:r>
      <w:r>
        <w:rPr/>
        <w:t>面值</w:t>
      </w:r>
      <w:r>
        <w:rPr>
          <w:spacing w:val="-51"/>
        </w:rPr>
        <w:t> </w:t>
      </w:r>
      <w:r>
        <w:rPr/>
        <w:t>1</w:t>
      </w:r>
      <w:r>
        <w:rPr>
          <w:spacing w:val="-52"/>
        </w:rPr>
        <w:t> </w:t>
      </w:r>
      <w:r>
        <w:rPr>
          <w:spacing w:val="3"/>
        </w:rPr>
        <w:t>元，发行后总股本为</w:t>
      </w:r>
      <w:r>
        <w:rPr>
          <w:spacing w:val="-53"/>
        </w:rPr>
        <w:t> </w:t>
      </w:r>
      <w:r>
        <w:rPr/>
        <w:t>5350</w:t>
      </w:r>
      <w:r>
        <w:rPr>
          <w:spacing w:val="-52"/>
        </w:rPr>
        <w:t> </w:t>
      </w:r>
      <w:r>
        <w:rPr>
          <w:spacing w:val="3"/>
        </w:rPr>
        <w:t>万元。此次变更已经中磊会计师事务所有限责任公司于</w:t>
      </w:r>
      <w:r>
        <w:rPr>
          <w:spacing w:val="-53"/>
        </w:rPr>
        <w:t> </w:t>
      </w:r>
      <w:r>
        <w:rPr/>
        <w:t>2011</w:t>
      </w:r>
      <w:r>
        <w:rPr>
          <w:spacing w:val="-52"/>
        </w:rPr>
        <w:t> </w:t>
      </w:r>
      <w:r>
        <w:rPr/>
        <w:t>年</w:t>
      </w:r>
      <w:r>
        <w:rPr>
          <w:spacing w:val="-51"/>
        </w:rPr>
        <w:t> </w:t>
      </w:r>
      <w:r>
        <w:rPr/>
        <w:t>8</w:t>
      </w:r>
      <w:r>
        <w:rPr>
          <w:spacing w:val="-52"/>
        </w:rPr>
        <w:t> </w:t>
      </w:r>
      <w:r>
        <w:rPr/>
        <w:t>月</w:t>
      </w:r>
      <w:r>
        <w:rPr>
          <w:spacing w:val="-51"/>
        </w:rPr>
        <w:t> </w:t>
      </w:r>
      <w:r>
        <w:rPr/>
        <w:t>10</w:t>
      </w:r>
      <w:r>
        <w:rPr>
          <w:w w:val="99"/>
        </w:rPr>
        <w:t> </w:t>
      </w:r>
      <w:r>
        <w:rPr/>
        <w:t>日出具的中磊验字[2011]第</w:t>
      </w:r>
      <w:r>
        <w:rPr>
          <w:spacing w:val="-68"/>
        </w:rPr>
        <w:t> </w:t>
      </w:r>
      <w:r>
        <w:rPr/>
        <w:t>0067</w:t>
      </w:r>
      <w:r>
        <w:rPr>
          <w:spacing w:val="-71"/>
        </w:rPr>
        <w:t> </w:t>
      </w:r>
      <w:r>
        <w:rPr/>
        <w:t>号验资报告验证。经深圳证券交易所深证上[2011]244</w:t>
      </w:r>
      <w:r>
        <w:rPr>
          <w:spacing w:val="-68"/>
        </w:rPr>
        <w:t> </w:t>
      </w:r>
      <w:r>
        <w:rPr>
          <w:spacing w:val="-4"/>
        </w:rPr>
        <w:t>号文《关于上海金</w:t>
      </w:r>
      <w:r>
        <w:rPr>
          <w:w w:val="99"/>
        </w:rPr>
        <w:t> </w:t>
      </w:r>
      <w:r>
        <w:rPr>
          <w:w w:val="95"/>
        </w:rPr>
        <w:t>仕达卫宁软件股份有限公司人民币普通股股票在创业板上市的通知》同意，公司发行的人民币普通股股票   </w:t>
      </w:r>
      <w:r>
        <w:rPr>
          <w:spacing w:val="51"/>
          <w:w w:val="95"/>
        </w:rPr>
        <w:t> </w:t>
      </w:r>
      <w:r>
        <w:rPr>
          <w:spacing w:val="51"/>
          <w:w w:val="95"/>
        </w:rPr>
      </w:r>
      <w:r>
        <w:rPr/>
        <w:t>于</w:t>
      </w:r>
      <w:r>
        <w:rPr>
          <w:spacing w:val="-54"/>
        </w:rPr>
        <w:t> </w:t>
      </w:r>
      <w:r>
        <w:rPr/>
        <w:t>2011</w:t>
      </w:r>
      <w:r>
        <w:rPr>
          <w:spacing w:val="-55"/>
        </w:rPr>
        <w:t> </w:t>
      </w:r>
      <w:r>
        <w:rPr/>
        <w:t>年</w:t>
      </w:r>
      <w:r>
        <w:rPr>
          <w:spacing w:val="-57"/>
        </w:rPr>
        <w:t> </w:t>
      </w:r>
      <w:r>
        <w:rPr/>
        <w:t>8</w:t>
      </w:r>
      <w:r>
        <w:rPr>
          <w:spacing w:val="-55"/>
        </w:rPr>
        <w:t> </w:t>
      </w:r>
      <w:r>
        <w:rPr/>
        <w:t>月</w:t>
      </w:r>
      <w:r>
        <w:rPr>
          <w:spacing w:val="-57"/>
        </w:rPr>
        <w:t> </w:t>
      </w:r>
      <w:r>
        <w:rPr/>
        <w:t>18</w:t>
      </w:r>
      <w:r>
        <w:rPr>
          <w:spacing w:val="-55"/>
        </w:rPr>
        <w:t> </w:t>
      </w:r>
      <w:r>
        <w:rPr/>
        <w:t>日在深圳证券交易所创业板挂牌上市。公司于</w:t>
      </w:r>
      <w:r>
        <w:rPr>
          <w:spacing w:val="-54"/>
        </w:rPr>
        <w:t> </w:t>
      </w:r>
      <w:r>
        <w:rPr/>
        <w:t>2011</w:t>
      </w:r>
      <w:r>
        <w:rPr>
          <w:spacing w:val="-58"/>
        </w:rPr>
        <w:t> </w:t>
      </w:r>
      <w:r>
        <w:rPr/>
        <w:t>年</w:t>
      </w:r>
      <w:r>
        <w:rPr>
          <w:spacing w:val="-54"/>
        </w:rPr>
        <w:t> </w:t>
      </w:r>
      <w:r>
        <w:rPr/>
        <w:t>11</w:t>
      </w:r>
      <w:r>
        <w:rPr>
          <w:spacing w:val="-58"/>
        </w:rPr>
        <w:t> </w:t>
      </w:r>
      <w:r>
        <w:rPr/>
        <w:t>月</w:t>
      </w:r>
      <w:r>
        <w:rPr>
          <w:spacing w:val="-54"/>
        </w:rPr>
        <w:t> </w:t>
      </w:r>
      <w:r>
        <w:rPr/>
        <w:t>8</w:t>
      </w:r>
      <w:r>
        <w:rPr>
          <w:spacing w:val="-58"/>
        </w:rPr>
        <w:t> </w:t>
      </w:r>
      <w:r>
        <w:rPr/>
        <w:t>日在上海市工商行政管理</w:t>
      </w:r>
    </w:p>
    <w:p>
      <w:pPr>
        <w:pStyle w:val="BodyText"/>
        <w:spacing w:line="240" w:lineRule="auto" w:before="25"/>
        <w:ind w:right="0"/>
        <w:jc w:val="left"/>
      </w:pPr>
      <w:r>
        <w:rPr/>
        <w:t>局完成工商变更登记，换发相同注册号的企业法人营业执照，变更后的注册资本为人民币 5350</w:t>
      </w:r>
      <w:r>
        <w:rPr>
          <w:spacing w:val="-43"/>
        </w:rPr>
        <w:t> </w:t>
      </w:r>
      <w:r>
        <w:rPr/>
        <w:t>万元，实</w:t>
      </w:r>
    </w:p>
    <w:p>
      <w:pPr>
        <w:pStyle w:val="BodyText"/>
        <w:spacing w:line="240" w:lineRule="auto" w:before="116"/>
        <w:ind w:right="0"/>
        <w:jc w:val="left"/>
      </w:pPr>
      <w:r>
        <w:rPr>
          <w:spacing w:val="2"/>
          <w:w w:val="99"/>
        </w:rPr>
        <w:t>收</w:t>
      </w:r>
      <w:r>
        <w:rPr>
          <w:w w:val="99"/>
        </w:rPr>
        <w:t>资</w:t>
      </w:r>
      <w:r>
        <w:rPr>
          <w:spacing w:val="2"/>
          <w:w w:val="99"/>
        </w:rPr>
        <w:t>本</w:t>
      </w:r>
      <w:r>
        <w:rPr>
          <w:w w:val="99"/>
        </w:rPr>
        <w:t>为</w:t>
      </w:r>
      <w:r>
        <w:rPr>
          <w:spacing w:val="2"/>
          <w:w w:val="99"/>
        </w:rPr>
        <w:t>人</w:t>
      </w:r>
      <w:r>
        <w:rPr>
          <w:w w:val="99"/>
        </w:rPr>
        <w:t>民币</w:t>
      </w:r>
      <w:r>
        <w:rPr>
          <w:spacing w:val="-50"/>
        </w:rPr>
        <w:t> </w:t>
      </w:r>
      <w:r>
        <w:rPr>
          <w:spacing w:val="1"/>
          <w:w w:val="99"/>
        </w:rPr>
        <w:t>53</w:t>
      </w:r>
      <w:r>
        <w:rPr>
          <w:spacing w:val="-2"/>
          <w:w w:val="99"/>
        </w:rPr>
        <w:t>5</w:t>
      </w:r>
      <w:r>
        <w:rPr>
          <w:w w:val="99"/>
        </w:rPr>
        <w:t>0</w:t>
      </w:r>
      <w:r>
        <w:rPr>
          <w:spacing w:val="-51"/>
        </w:rPr>
        <w:t> </w:t>
      </w:r>
      <w:r>
        <w:rPr>
          <w:spacing w:val="2"/>
          <w:w w:val="99"/>
        </w:rPr>
        <w:t>万</w:t>
      </w:r>
      <w:r>
        <w:rPr>
          <w:w w:val="99"/>
        </w:rPr>
        <w:t>元</w:t>
      </w:r>
      <w:r>
        <w:rPr>
          <w:spacing w:val="2"/>
          <w:w w:val="99"/>
        </w:rPr>
        <w:t>，</w:t>
      </w:r>
      <w:r>
        <w:rPr>
          <w:w w:val="99"/>
        </w:rPr>
        <w:t>公</w:t>
      </w:r>
      <w:r>
        <w:rPr>
          <w:spacing w:val="2"/>
          <w:w w:val="99"/>
        </w:rPr>
        <w:t>司</w:t>
      </w:r>
      <w:r>
        <w:rPr>
          <w:w w:val="99"/>
        </w:rPr>
        <w:t>类</w:t>
      </w:r>
      <w:r>
        <w:rPr>
          <w:spacing w:val="2"/>
          <w:w w:val="99"/>
        </w:rPr>
        <w:t>型</w:t>
      </w:r>
      <w:r>
        <w:rPr>
          <w:w w:val="99"/>
        </w:rPr>
        <w:t>为</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w:t>
      </w:r>
      <w:r>
        <w:rPr>
          <w:w w:val="99"/>
        </w:rPr>
        <w:t>上市</w:t>
      </w:r>
      <w:r>
        <w:rPr>
          <w:spacing w:val="-104"/>
          <w:w w:val="99"/>
        </w:rPr>
        <w:t>）</w:t>
      </w:r>
      <w:r>
        <w:rPr>
          <w:w w:val="99"/>
        </w:rPr>
        <w:t>。</w:t>
      </w:r>
      <w:r>
        <w:rPr/>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247" w:lineRule="exact"/>
        <w:ind w:left="10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宋体" w:hAnsi="宋体" w:cs="宋体" w:eastAsia="宋体" w:hint="default"/>
          <w:position w:val="-4"/>
          <w:sz w:val="20"/>
          <w:szCs w:val="20"/>
        </w:rPr>
      </w:r>
    </w:p>
    <w:p>
      <w:pPr>
        <w:spacing w:line="240" w:lineRule="auto" w:before="12"/>
        <w:rPr>
          <w:rFonts w:ascii="宋体" w:hAnsi="宋体" w:cs="宋体" w:eastAsia="宋体" w:hint="default"/>
          <w:sz w:val="17"/>
          <w:szCs w:val="17"/>
        </w:rPr>
      </w:pPr>
    </w:p>
    <w:p>
      <w:pPr>
        <w:pStyle w:val="Heading1"/>
        <w:tabs>
          <w:tab w:pos="3820" w:val="left" w:leader="none"/>
        </w:tabs>
        <w:spacing w:line="240" w:lineRule="auto"/>
        <w:ind w:left="2536" w:right="484"/>
        <w:jc w:val="left"/>
      </w:pPr>
      <w:bookmarkStart w:name="_bookmark1" w:id="4"/>
      <w:bookmarkEnd w:id="4"/>
      <w:r>
        <w:rPr/>
      </w:r>
      <w:r>
        <w:rPr>
          <w:w w:val="95"/>
        </w:rPr>
        <w:t>第二章</w:t>
        <w:tab/>
      </w:r>
      <w:r>
        <w:rPr/>
        <w:t>会计数据和财务指标摘要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333" w:lineRule="exact"/>
        <w:ind w:left="112" w:right="484"/>
        <w:jc w:val="left"/>
        <w:rPr>
          <w:b w:val="0"/>
          <w:bCs w:val="0"/>
        </w:rPr>
      </w:pPr>
      <w:r>
        <w:rPr/>
        <w:t>一、主要会计数据</w:t>
      </w:r>
      <w:r>
        <w:rPr>
          <w:b w:val="0"/>
          <w:bCs w:val="0"/>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169,919,002.90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120,229,590.95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41.33%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113,407,808.38</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33,392,138.13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28,682,683.92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16.42%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17,115,697.55</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49,049,140.36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38,958,497.24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25.90%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28,929,417.87</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44,292,891.86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35,346,503.46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26,162,582.09</w:t>
            </w:r>
          </w:p>
        </w:tc>
      </w:tr>
      <w:tr>
        <w:trPr>
          <w:trHeight w:val="94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both"/>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的扣除非经常性损益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41,025,944.91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33,828,962.19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21.27%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23,878,939.98</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流量净额（元）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4,598,615.82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38,068,366.62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-87.92%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21,637,830.93</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521,226,708.71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117,797,009.22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342.48%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93,257,230.72</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43,145,931.07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22,988,953.52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87.68%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13,795,678.48</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的所有者权益（元）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478,080,777.64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94,808,055.70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404.26%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79,461,552.24</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53,500,000.00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33.75%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40,000,000.00</w:t>
            </w:r>
          </w:p>
        </w:tc>
      </w:tr>
    </w:tbl>
    <w:p>
      <w:pPr>
        <w:spacing w:line="240" w:lineRule="auto" w:before="6"/>
        <w:rPr>
          <w:rFonts w:ascii="Microsoft JhengHei" w:hAnsi="Microsoft JhengHei" w:cs="Microsoft JhengHei" w:eastAsia="Microsoft JhengHei" w:hint="default"/>
          <w:b/>
          <w:bCs/>
          <w:sz w:val="8"/>
          <w:szCs w:val="8"/>
        </w:rPr>
      </w:pPr>
    </w:p>
    <w:p>
      <w:pPr>
        <w:pStyle w:val="Heading4"/>
        <w:spacing w:line="333" w:lineRule="exact"/>
        <w:ind w:left="112" w:right="484"/>
        <w:jc w:val="left"/>
        <w:rPr>
          <w:b w:val="0"/>
          <w:bCs w:val="0"/>
        </w:rPr>
      </w:pPr>
      <w:r>
        <w:rPr/>
        <w:pict>
          <v:shape style="position:absolute;margin-left:445.920013pt;margin-top:28.251863pt;width:102pt;height:15.85pt;mso-position-horizontal-relative:page;mso-position-vertical-relative:paragraph;z-index:-634648" type="#_x0000_t202" filled="false" stroked="false">
            <v:textbox inset="0,0,0,0">
              <w:txbxContent>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二、主要财务指标</w:t>
      </w:r>
      <w:r>
        <w:rPr>
          <w:b w:val="0"/>
          <w:bCs w:val="0"/>
        </w:rPr>
      </w:r>
    </w:p>
    <w:p>
      <w:pPr>
        <w:spacing w:line="240" w:lineRule="auto" w:before="16"/>
        <w:rPr>
          <w:rFonts w:ascii="Microsoft JhengHei" w:hAnsi="Microsoft JhengHei" w:cs="Microsoft JhengHei" w:eastAsia="Microsoft JhengHei"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290"/>
        <w:gridCol w:w="1922"/>
        <w:gridCol w:w="1925"/>
        <w:gridCol w:w="1769"/>
        <w:gridCol w:w="1922"/>
      </w:tblGrid>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0.88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13.64%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0.65</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0.88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13.64%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0.65</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0.92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0.85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0.60</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tabs>
                <w:tab w:pos="1351" w:val="left" w:leader="none"/>
              </w:tabs>
              <w:spacing w:line="240" w:lineRule="auto" w:before="10"/>
              <w:ind w:left="-123" w:right="18"/>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19.26%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37.02%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-17.76%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39.41%</w:t>
            </w:r>
          </w:p>
        </w:tc>
      </w:tr>
      <w:tr>
        <w:trPr>
          <w:trHeight w:val="636"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3"/>
              <w:ind w:left="24" w:right="9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17.84%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35.43%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-17.59%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35.97%</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0.09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0.95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-90.53%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0.54</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63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9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8.94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277.22%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1.99</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8.28%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19.52%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-11.24%</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14.79%</w:t>
            </w:r>
          </w:p>
        </w:tc>
      </w:tr>
    </w:tbl>
    <w:p>
      <w:pPr>
        <w:spacing w:line="240" w:lineRule="auto" w:before="9"/>
        <w:rPr>
          <w:rFonts w:ascii="Microsoft JhengHei" w:hAnsi="Microsoft JhengHei" w:cs="Microsoft JhengHei" w:eastAsia="Microsoft JhengHei" w:hint="default"/>
          <w:b/>
          <w:bCs/>
          <w:sz w:val="8"/>
          <w:szCs w:val="8"/>
        </w:rPr>
      </w:pPr>
    </w:p>
    <w:p>
      <w:pPr>
        <w:pStyle w:val="Heading4"/>
        <w:spacing w:line="333" w:lineRule="exact"/>
        <w:ind w:left="112" w:right="484"/>
        <w:jc w:val="left"/>
        <w:rPr>
          <w:b w:val="0"/>
          <w:bCs w:val="0"/>
        </w:rPr>
      </w:pPr>
      <w:r>
        <w:rPr/>
        <w:t>三、净资产收益率及每股收益的计算过程</w:t>
      </w:r>
      <w:r>
        <w:rPr>
          <w:b w:val="0"/>
          <w:bCs w:val="0"/>
        </w:rPr>
      </w:r>
    </w:p>
    <w:p>
      <w:pPr>
        <w:spacing w:after="0" w:line="333" w:lineRule="exact"/>
        <w:jc w:val="left"/>
        <w:sectPr>
          <w:pgSz w:w="11910" w:h="16840"/>
          <w:pgMar w:header="849" w:footer="976" w:top="1460" w:bottom="1160" w:left="1020" w:right="820"/>
        </w:sectPr>
      </w:pPr>
    </w:p>
    <w:p>
      <w:pPr>
        <w:spacing w:line="240" w:lineRule="auto" w:before="0"/>
        <w:rPr>
          <w:rFonts w:ascii="Microsoft JhengHei" w:hAnsi="Microsoft JhengHei" w:cs="Microsoft JhengHei" w:eastAsia="Microsoft JhengHei" w:hint="default"/>
          <w:b/>
          <w:bCs/>
          <w:sz w:val="2"/>
          <w:szCs w:val="2"/>
        </w:rPr>
      </w:pPr>
    </w:p>
    <w:p>
      <w:pPr>
        <w:spacing w:line="326" w:lineRule="exact"/>
        <w:ind w:left="22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根据中国证券监督管理委员会《公开发行证券的公司信息披露编报规则第9号—净资产收益率和每股</w:t>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1"/>
        <w:rPr>
          <w:rFonts w:ascii="Microsoft JhengHei" w:hAnsi="Microsoft JhengHei" w:cs="Microsoft JhengHei" w:eastAsia="Microsoft JhengHei" w:hint="default"/>
          <w:b/>
          <w:bCs/>
          <w:sz w:val="4"/>
          <w:szCs w:val="4"/>
        </w:rPr>
      </w:pPr>
    </w:p>
    <w:p>
      <w:pPr>
        <w:pStyle w:val="BodyText"/>
        <w:spacing w:line="240" w:lineRule="auto" w:before="34"/>
        <w:ind w:left="232" w:right="0"/>
        <w:jc w:val="left"/>
      </w:pPr>
      <w:r>
        <w:rPr>
          <w:spacing w:val="2"/>
          <w:w w:val="99"/>
        </w:rPr>
        <w:t>收</w:t>
      </w:r>
      <w:r>
        <w:rPr>
          <w:w w:val="99"/>
        </w:rPr>
        <w:t>益</w:t>
      </w:r>
      <w:r>
        <w:rPr>
          <w:spacing w:val="2"/>
          <w:w w:val="99"/>
        </w:rPr>
        <w:t>的</w:t>
      </w:r>
      <w:r>
        <w:rPr>
          <w:w w:val="99"/>
        </w:rPr>
        <w:t>计</w:t>
      </w:r>
      <w:r>
        <w:rPr>
          <w:spacing w:val="2"/>
          <w:w w:val="99"/>
        </w:rPr>
        <w:t>算</w:t>
      </w:r>
      <w:r>
        <w:rPr>
          <w:w w:val="99"/>
        </w:rPr>
        <w:t>及</w:t>
      </w:r>
      <w:r>
        <w:rPr>
          <w:spacing w:val="2"/>
          <w:w w:val="99"/>
        </w:rPr>
        <w:t>披露</w:t>
      </w:r>
      <w:r>
        <w:rPr>
          <w:spacing w:val="-106"/>
          <w:w w:val="99"/>
        </w:rPr>
        <w:t>》</w:t>
      </w:r>
      <w:r>
        <w:rPr>
          <w:spacing w:val="2"/>
          <w:w w:val="99"/>
        </w:rPr>
        <w:t>（</w:t>
      </w:r>
      <w:r>
        <w:rPr>
          <w:spacing w:val="1"/>
          <w:w w:val="99"/>
        </w:rPr>
        <w:t>20</w:t>
      </w:r>
      <w:r>
        <w:rPr>
          <w:spacing w:val="-2"/>
          <w:w w:val="99"/>
        </w:rPr>
        <w:t>1</w:t>
      </w:r>
      <w:r>
        <w:rPr>
          <w:spacing w:val="1"/>
          <w:w w:val="99"/>
        </w:rPr>
        <w:t>0</w:t>
      </w:r>
      <w:r>
        <w:rPr>
          <w:spacing w:val="2"/>
          <w:w w:val="99"/>
        </w:rPr>
        <w:t>年</w:t>
      </w:r>
      <w:r>
        <w:rPr>
          <w:w w:val="99"/>
        </w:rPr>
        <w:t>修订</w:t>
      </w:r>
      <w:r>
        <w:rPr>
          <w:spacing w:val="-104"/>
          <w:w w:val="99"/>
        </w:rPr>
        <w:t>）</w:t>
      </w:r>
      <w:r>
        <w:rPr>
          <w:spacing w:val="2"/>
          <w:w w:val="99"/>
        </w:rPr>
        <w:t>，</w:t>
      </w:r>
      <w:r>
        <w:rPr>
          <w:w w:val="99"/>
        </w:rPr>
        <w:t>公</w:t>
      </w:r>
      <w:r>
        <w:rPr>
          <w:spacing w:val="2"/>
          <w:w w:val="99"/>
        </w:rPr>
        <w:t>司</w:t>
      </w:r>
      <w:r>
        <w:rPr>
          <w:w w:val="99"/>
        </w:rPr>
        <w:t>加</w:t>
      </w:r>
      <w:r>
        <w:rPr>
          <w:spacing w:val="2"/>
          <w:w w:val="99"/>
        </w:rPr>
        <w:t>权</w:t>
      </w:r>
      <w:r>
        <w:rPr>
          <w:w w:val="99"/>
        </w:rPr>
        <w:t>平</w:t>
      </w:r>
      <w:r>
        <w:rPr>
          <w:spacing w:val="2"/>
          <w:w w:val="99"/>
        </w:rPr>
        <w:t>均</w:t>
      </w:r>
      <w:r>
        <w:rPr>
          <w:w w:val="99"/>
        </w:rPr>
        <w:t>净</w:t>
      </w:r>
      <w:r>
        <w:rPr>
          <w:spacing w:val="2"/>
          <w:w w:val="99"/>
        </w:rPr>
        <w:t>资</w:t>
      </w:r>
      <w:r>
        <w:rPr>
          <w:w w:val="99"/>
        </w:rPr>
        <w:t>产</w:t>
      </w:r>
      <w:r>
        <w:rPr>
          <w:spacing w:val="2"/>
          <w:w w:val="99"/>
        </w:rPr>
        <w:t>收</w:t>
      </w:r>
      <w:r>
        <w:rPr>
          <w:w w:val="99"/>
        </w:rPr>
        <w:t>益</w:t>
      </w:r>
      <w:r>
        <w:rPr>
          <w:spacing w:val="2"/>
          <w:w w:val="99"/>
        </w:rPr>
        <w:t>率</w:t>
      </w:r>
      <w:r>
        <w:rPr>
          <w:w w:val="99"/>
        </w:rPr>
        <w:t>以</w:t>
      </w:r>
      <w:r>
        <w:rPr>
          <w:spacing w:val="2"/>
          <w:w w:val="99"/>
        </w:rPr>
        <w:t>及</w:t>
      </w:r>
      <w:r>
        <w:rPr>
          <w:w w:val="99"/>
        </w:rPr>
        <w:t>基</w:t>
      </w:r>
      <w:r>
        <w:rPr>
          <w:spacing w:val="2"/>
          <w:w w:val="99"/>
        </w:rPr>
        <w:t>本</w:t>
      </w:r>
      <w:r>
        <w:rPr>
          <w:w w:val="99"/>
        </w:rPr>
        <w:t>每</w:t>
      </w:r>
      <w:r>
        <w:rPr>
          <w:spacing w:val="2"/>
          <w:w w:val="99"/>
        </w:rPr>
        <w:t>股</w:t>
      </w:r>
      <w:r>
        <w:rPr>
          <w:w w:val="99"/>
        </w:rPr>
        <w:t>收</w:t>
      </w:r>
      <w:r>
        <w:rPr>
          <w:spacing w:val="2"/>
          <w:w w:val="99"/>
        </w:rPr>
        <w:t>益</w:t>
      </w:r>
      <w:r>
        <w:rPr>
          <w:w w:val="99"/>
        </w:rPr>
        <w:t>和</w:t>
      </w:r>
      <w:r>
        <w:rPr>
          <w:spacing w:val="2"/>
          <w:w w:val="99"/>
        </w:rPr>
        <w:t>稀</w:t>
      </w:r>
      <w:r>
        <w:rPr>
          <w:w w:val="99"/>
        </w:rPr>
        <w:t>释</w:t>
      </w:r>
      <w:r>
        <w:rPr>
          <w:spacing w:val="2"/>
          <w:w w:val="99"/>
        </w:rPr>
        <w:t>每</w:t>
      </w:r>
      <w:r>
        <w:rPr>
          <w:w w:val="99"/>
        </w:rPr>
        <w:t>股</w:t>
      </w:r>
      <w:r>
        <w:rPr>
          <w:spacing w:val="2"/>
          <w:w w:val="99"/>
        </w:rPr>
        <w:t>收</w:t>
      </w:r>
      <w:r>
        <w:rPr>
          <w:w w:val="99"/>
        </w:rPr>
        <w:t>益</w:t>
      </w:r>
      <w:r>
        <w:rPr>
          <w:spacing w:val="2"/>
          <w:w w:val="99"/>
        </w:rPr>
        <w:t>如</w:t>
      </w:r>
      <w:r>
        <w:rPr>
          <w:w w:val="99"/>
        </w:rPr>
        <w:t>下：</w:t>
      </w:r>
      <w:r>
        <w:rPr/>
      </w:r>
    </w:p>
    <w:p>
      <w:pPr>
        <w:pStyle w:val="Heading4"/>
        <w:spacing w:line="240" w:lineRule="auto" w:before="49"/>
        <w:ind w:left="655" w:right="0"/>
        <w:jc w:val="left"/>
        <w:rPr>
          <w:b w:val="0"/>
          <w:bCs w:val="0"/>
        </w:rPr>
      </w:pPr>
      <w:r>
        <w:rPr/>
        <w:t>（一）净资产收益率</w:t>
      </w:r>
      <w:r>
        <w:rPr>
          <w:b w:val="0"/>
          <w:bCs w:val="0"/>
        </w:rPr>
      </w:r>
    </w:p>
    <w:p>
      <w:pPr>
        <w:spacing w:after="0" w:line="240" w:lineRule="auto"/>
        <w:jc w:val="left"/>
        <w:sectPr>
          <w:pgSz w:w="11910" w:h="16840"/>
          <w:pgMar w:header="849" w:footer="976" w:top="1460" w:bottom="1160" w:left="900" w:right="820"/>
        </w:sectPr>
      </w:pPr>
    </w:p>
    <w:p>
      <w:pPr>
        <w:spacing w:line="240" w:lineRule="auto" w:before="1"/>
        <w:rPr>
          <w:rFonts w:ascii="Microsoft JhengHei" w:hAnsi="Microsoft JhengHei" w:cs="Microsoft JhengHei" w:eastAsia="Microsoft JhengHei"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报告期利润</w:t>
      </w:r>
    </w:p>
    <w:p>
      <w:pPr>
        <w:tabs>
          <w:tab w:pos="4607" w:val="left" w:leader="none"/>
        </w:tabs>
        <w:spacing w:line="350" w:lineRule="auto" w:before="89"/>
        <w:ind w:left="2472" w:right="933" w:firstLine="439"/>
        <w:jc w:val="left"/>
        <w:rPr>
          <w:rFonts w:ascii="宋体" w:hAnsi="宋体" w:cs="宋体" w:eastAsia="宋体" w:hint="default"/>
          <w:sz w:val="18"/>
          <w:szCs w:val="18"/>
        </w:rPr>
      </w:pPr>
      <w:r>
        <w:rPr/>
        <w:br w:type="column"/>
      </w:r>
      <w:r>
        <w:rPr>
          <w:rFonts w:ascii="宋体" w:hAnsi="宋体" w:cs="宋体" w:eastAsia="宋体" w:hint="default"/>
          <w:sz w:val="18"/>
          <w:szCs w:val="18"/>
        </w:rPr>
        <w:t>加权平均净资产收益率 本期数</w:t>
        <w:tab/>
        <w:t>上期数</w:t>
      </w:r>
    </w:p>
    <w:p>
      <w:pPr>
        <w:spacing w:after="0" w:line="350" w:lineRule="auto"/>
        <w:jc w:val="left"/>
        <w:rPr>
          <w:rFonts w:ascii="宋体" w:hAnsi="宋体" w:cs="宋体" w:eastAsia="宋体" w:hint="default"/>
          <w:sz w:val="18"/>
          <w:szCs w:val="18"/>
        </w:rPr>
        <w:sectPr>
          <w:type w:val="continuous"/>
          <w:pgSz w:w="11910" w:h="16840"/>
          <w:pgMar w:top="1580" w:bottom="280" w:left="900" w:right="820"/>
          <w:cols w:num="2" w:equalWidth="0">
            <w:col w:w="3373" w:space="731"/>
            <w:col w:w="6086"/>
          </w:cols>
        </w:sectPr>
      </w:pPr>
    </w:p>
    <w:p>
      <w:pPr>
        <w:tabs>
          <w:tab w:pos="5935" w:val="left" w:leader="none"/>
          <w:tab w:pos="8066" w:val="left" w:leader="none"/>
        </w:tabs>
        <w:spacing w:line="20" w:lineRule="exact"/>
        <w:ind w:left="228" w:right="0" w:firstLine="0"/>
        <w:rPr>
          <w:rFonts w:ascii="宋体" w:hAnsi="宋体" w:cs="宋体" w:eastAsia="宋体" w:hint="default"/>
          <w:sz w:val="2"/>
          <w:szCs w:val="2"/>
        </w:rPr>
      </w:pPr>
      <w:r>
        <w:rPr>
          <w:rFonts w:ascii="宋体"/>
          <w:sz w:val="2"/>
        </w:rPr>
        <w:pict>
          <v:group style="width:269.4pt;height:.5pt;mso-position-horizontal-relative:char;mso-position-vertical-relative:line" coordorigin="0,0" coordsize="5388,10">
            <v:group style="position:absolute;left:5;top:5;width:5379;height:2" coordorigin="5,5" coordsize="5379,2">
              <v:shape style="position:absolute;left:5;top:5;width:5379;height:2" coordorigin="5,5" coordsize="5379,0" path="m5,5l5383,5e" filled="false" stroked="true" strokeweight=".48pt" strokecolor="#000000">
                <v:path arrowok="t"/>
              </v:shape>
            </v:group>
          </v:group>
        </w:pict>
      </w:r>
      <w:r>
        <w:rPr>
          <w:rFonts w:ascii="宋体"/>
          <w:sz w:val="2"/>
        </w:rPr>
      </w:r>
      <w:r>
        <w:rPr>
          <w:rFonts w:ascii="宋体"/>
          <w:sz w:val="2"/>
        </w:rPr>
        <w:tab/>
      </w:r>
      <w:r>
        <w:rPr>
          <w:rFonts w:ascii="宋体"/>
          <w:sz w:val="2"/>
        </w:rPr>
        <w:pict>
          <v:group style="width:91pt;height:.5pt;mso-position-horizontal-relative:char;mso-position-vertical-relative:line" coordorigin="0,0" coordsize="1820,10">
            <v:group style="position:absolute;left:5;top:5;width:1810;height:2" coordorigin="5,5" coordsize="1810,2">
              <v:shape style="position:absolute;left:5;top:5;width:1810;height:2" coordorigin="5,5" coordsize="1810,0" path="m5,5l1814,5e" filled="false" stroked="true" strokeweight=".48pt" strokecolor="#000000">
                <v:path arrowok="t"/>
              </v:shape>
            </v:group>
          </v:group>
        </w:pict>
      </w:r>
      <w:r>
        <w:rPr>
          <w:rFonts w:ascii="宋体"/>
          <w:sz w:val="2"/>
        </w:rPr>
      </w:r>
      <w:r>
        <w:rPr>
          <w:rFonts w:ascii="宋体"/>
          <w:sz w:val="2"/>
        </w:rPr>
        <w:tab/>
      </w:r>
      <w:r>
        <w:rPr>
          <w:rFonts w:ascii="宋体"/>
          <w:sz w:val="2"/>
        </w:rPr>
        <w:pict>
          <v:group style="width:91.6pt;height:.5pt;mso-position-horizontal-relative:char;mso-position-vertical-relative:line" coordorigin="0,0" coordsize="1832,10">
            <v:group style="position:absolute;left:5;top:5;width:1822;height:2" coordorigin="5,5" coordsize="1822,2">
              <v:shape style="position:absolute;left:5;top:5;width:1822;height:2" coordorigin="5,5" coordsize="1822,0" path="m5,5l1826,5e" filled="false" stroked="true" strokeweight=".48pt" strokecolor="#000000">
                <v:path arrowok="t"/>
              </v:shape>
            </v:group>
          </v:group>
        </w:pict>
      </w:r>
      <w:r>
        <w:rPr>
          <w:rFonts w:ascii="宋体"/>
          <w:sz w:val="2"/>
        </w:rPr>
      </w:r>
    </w:p>
    <w:p>
      <w:pPr>
        <w:tabs>
          <w:tab w:pos="6575" w:val="left" w:leader="none"/>
          <w:tab w:pos="8711" w:val="left" w:leader="none"/>
        </w:tabs>
        <w:spacing w:before="12"/>
        <w:ind w:left="343" w:right="0" w:firstLine="0"/>
        <w:jc w:val="left"/>
        <w:rPr>
          <w:rFonts w:ascii="宋体" w:hAnsi="宋体" w:cs="宋体" w:eastAsia="宋体" w:hint="default"/>
          <w:sz w:val="18"/>
          <w:szCs w:val="18"/>
        </w:rPr>
      </w:pPr>
      <w:r>
        <w:rPr/>
        <w:pict>
          <v:group style="position:absolute;margin-left:342pt;margin-top:-17.928278pt;width:197.65pt;height:.1pt;mso-position-horizontal-relative:page;mso-position-vertical-relative:paragraph;z-index:-634480" coordorigin="6840,-359" coordsize="3953,2">
            <v:shape style="position:absolute;left:6840;top:-359;width:3953;height:2" coordorigin="6840,-359" coordsize="3953,0" path="m6840,-359l10793,-359e" filled="false" stroked="true" strokeweight=".48pt" strokecolor="#000000">
              <v:path arrowok="t"/>
            </v:shape>
            <w10:wrap type="none"/>
          </v:group>
        </w:pict>
      </w:r>
      <w:r>
        <w:rPr>
          <w:rFonts w:ascii="宋体" w:hAnsi="宋体" w:cs="宋体" w:eastAsia="宋体" w:hint="default"/>
          <w:sz w:val="18"/>
          <w:szCs w:val="18"/>
        </w:rPr>
        <w:t>归属于公司普通股股东的净利润</w:t>
        <w:tab/>
      </w:r>
      <w:r>
        <w:rPr>
          <w:rFonts w:ascii="宋体" w:hAnsi="宋体" w:cs="宋体" w:eastAsia="宋体" w:hint="default"/>
          <w:spacing w:val="-1"/>
          <w:sz w:val="18"/>
          <w:szCs w:val="18"/>
        </w:rPr>
        <w:t>19.26%</w:t>
        <w:tab/>
        <w:t>37.02%</w:t>
      </w:r>
    </w:p>
    <w:p>
      <w:pPr>
        <w:tabs>
          <w:tab w:pos="6575" w:val="left" w:leader="none"/>
          <w:tab w:pos="8711" w:val="left" w:leader="none"/>
        </w:tabs>
        <w:spacing w:before="100"/>
        <w:ind w:left="343"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tab/>
      </w:r>
      <w:r>
        <w:rPr>
          <w:rFonts w:ascii="宋体" w:hAnsi="宋体" w:cs="宋体" w:eastAsia="宋体" w:hint="default"/>
          <w:spacing w:val="-1"/>
          <w:sz w:val="18"/>
          <w:szCs w:val="18"/>
        </w:rPr>
        <w:t>17.84%</w:t>
        <w:tab/>
        <w:t>35.43%</w:t>
      </w:r>
    </w:p>
    <w:p>
      <w:pPr>
        <w:pStyle w:val="BodyText"/>
        <w:spacing w:line="240" w:lineRule="auto" w:before="101"/>
        <w:ind w:left="655" w:right="0"/>
        <w:jc w:val="left"/>
      </w:pPr>
      <w:r>
        <w:rPr/>
        <w:t>计算过程为：</w:t>
      </w:r>
    </w:p>
    <w:p>
      <w:pPr>
        <w:spacing w:before="113"/>
        <w:ind w:left="655" w:right="0" w:firstLine="0"/>
        <w:jc w:val="left"/>
        <w:rPr>
          <w:rFonts w:ascii="Times New Roman" w:hAnsi="Times New Roman" w:cs="Times New Roman" w:eastAsia="Times New Roman" w:hint="default"/>
          <w:sz w:val="21"/>
          <w:szCs w:val="21"/>
        </w:rPr>
      </w:pPr>
      <w:r>
        <w:rPr>
          <w:rFonts w:ascii="宋体" w:hAnsi="宋体" w:cs="宋体" w:eastAsia="宋体" w:hint="default"/>
          <w:position w:val="2"/>
          <w:sz w:val="21"/>
          <w:szCs w:val="21"/>
        </w:rPr>
        <w:t>加权平均净资产收益率</w:t>
      </w:r>
      <w:r>
        <w:rPr>
          <w:rFonts w:ascii="Times New Roman" w:hAnsi="Times New Roman" w:cs="Times New Roman" w:eastAsia="Times New Roman" w:hint="default"/>
          <w:position w:val="2"/>
          <w:sz w:val="21"/>
          <w:szCs w:val="21"/>
        </w:rPr>
        <w:t>=P</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/(E</w:t>
      </w:r>
      <w:r>
        <w:rPr>
          <w:rFonts w:ascii="Times New Roman" w:hAnsi="Times New Roman" w:cs="Times New Roman" w:eastAsia="Times New Roman" w:hint="default"/>
          <w:sz w:val="13"/>
          <w:szCs w:val="13"/>
        </w:rPr>
        <w:t>0</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NP÷2</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E</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pacing w:val="4"/>
          <w:position w:val="2"/>
          <w:sz w:val="21"/>
          <w:szCs w:val="21"/>
        </w:rPr>
        <w:t> </w:t>
      </w:r>
      <w:r>
        <w:rPr>
          <w:rFonts w:ascii="Times New Roman" w:hAnsi="Times New Roman" w:cs="Times New Roman" w:eastAsia="Times New Roman" w:hint="default"/>
          <w:position w:val="2"/>
          <w:sz w:val="21"/>
          <w:szCs w:val="21"/>
        </w:rPr>
        <w:t>E</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±E</w:t>
      </w:r>
      <w:r>
        <w:rPr>
          <w:rFonts w:ascii="Times New Roman" w:hAnsi="Times New Roman" w:cs="Times New Roman" w:eastAsia="Times New Roman" w:hint="default"/>
          <w:sz w:val="13"/>
          <w:szCs w:val="13"/>
        </w:rPr>
        <w:t>k</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k</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pStyle w:val="BodyText"/>
        <w:spacing w:line="319" w:lineRule="auto" w:before="95"/>
        <w:ind w:left="232" w:right="312" w:firstLine="422"/>
        <w:jc w:val="both"/>
      </w:pPr>
      <w:r>
        <w:rPr>
          <w:spacing w:val="-4"/>
          <w:position w:val="2"/>
        </w:rPr>
        <w:t>其中：</w:t>
      </w:r>
      <w:r>
        <w:rPr>
          <w:rFonts w:ascii="Times New Roman" w:hAnsi="Times New Roman" w:cs="Times New Roman" w:eastAsia="Times New Roman" w:hint="default"/>
          <w:spacing w:val="-4"/>
          <w:position w:val="2"/>
        </w:rPr>
        <w:t>P</w:t>
      </w:r>
      <w:r>
        <w:rPr>
          <w:rFonts w:ascii="Times New Roman" w:hAnsi="Times New Roman" w:cs="Times New Roman" w:eastAsia="Times New Roman" w:hint="default"/>
          <w:spacing w:val="-4"/>
          <w:sz w:val="13"/>
          <w:szCs w:val="13"/>
        </w:rPr>
        <w:t>0</w:t>
      </w:r>
      <w:r>
        <w:rPr>
          <w:rFonts w:ascii="Times New Roman" w:hAnsi="Times New Roman" w:cs="Times New Roman" w:eastAsia="Times New Roman" w:hint="default"/>
          <w:spacing w:val="-12"/>
          <w:sz w:val="13"/>
          <w:szCs w:val="13"/>
        </w:rPr>
        <w:t> </w:t>
      </w:r>
      <w:r>
        <w:rPr>
          <w:position w:val="2"/>
        </w:rPr>
        <w:t>分别对应于归属于公司普通股股东的净利润、扣除非经常性损益后归属于公司普通股股东的</w:t>
      </w:r>
      <w:r>
        <w:rPr>
          <w:w w:val="99"/>
          <w:position w:val="2"/>
        </w:rPr>
        <w:t> </w:t>
      </w:r>
      <w:r>
        <w:rPr>
          <w:position w:val="2"/>
        </w:rPr>
        <w:t>净利润；</w:t>
      </w:r>
      <w:r>
        <w:rPr>
          <w:rFonts w:ascii="Times New Roman" w:hAnsi="Times New Roman" w:cs="Times New Roman" w:eastAsia="Times New Roman" w:hint="default"/>
          <w:position w:val="2"/>
        </w:rPr>
        <w:t>NP </w:t>
      </w:r>
      <w:r>
        <w:rPr>
          <w:position w:val="2"/>
        </w:rPr>
        <w:t>为归属于公司普通股股东的净利润；</w:t>
      </w:r>
      <w:r>
        <w:rPr>
          <w:rFonts w:ascii="Times New Roman" w:hAnsi="Times New Roman" w:cs="Times New Roman" w:eastAsia="Times New Roman" w:hint="default"/>
          <w:position w:val="2"/>
        </w:rPr>
        <w:t>E</w:t>
      </w:r>
      <w:r>
        <w:rPr>
          <w:rFonts w:ascii="Times New Roman" w:hAnsi="Times New Roman" w:cs="Times New Roman" w:eastAsia="Times New Roman" w:hint="default"/>
          <w:sz w:val="13"/>
          <w:szCs w:val="13"/>
        </w:rPr>
        <w:t>0 </w:t>
      </w:r>
      <w:r>
        <w:rPr>
          <w:position w:val="2"/>
        </w:rPr>
        <w:t>为归属于公司普通股股东的期初净资产；</w:t>
      </w:r>
      <w:r>
        <w:rPr>
          <w:rFonts w:ascii="Times New Roman" w:hAnsi="Times New Roman" w:cs="Times New Roman" w:eastAsia="Times New Roman" w:hint="default"/>
          <w:position w:val="2"/>
        </w:rPr>
        <w:t>E</w:t>
      </w:r>
      <w:r>
        <w:rPr>
          <w:rFonts w:ascii="Times New Roman" w:hAnsi="Times New Roman" w:cs="Times New Roman" w:eastAsia="Times New Roman" w:hint="default"/>
          <w:sz w:val="13"/>
          <w:szCs w:val="13"/>
        </w:rPr>
        <w:t>i</w:t>
      </w:r>
      <w:r>
        <w:rPr>
          <w:rFonts w:ascii="Times New Roman" w:hAnsi="Times New Roman" w:cs="Times New Roman" w:eastAsia="Times New Roman" w:hint="default"/>
          <w:spacing w:val="-3"/>
          <w:sz w:val="13"/>
          <w:szCs w:val="13"/>
        </w:rPr>
        <w:t> </w:t>
      </w:r>
      <w:r>
        <w:rPr>
          <w:position w:val="2"/>
        </w:rPr>
        <w:t>为报告期</w:t>
      </w:r>
      <w:r>
        <w:rPr>
          <w:w w:val="99"/>
          <w:position w:val="2"/>
        </w:rPr>
        <w:t> </w:t>
      </w:r>
      <w:r>
        <w:rPr>
          <w:position w:val="2"/>
        </w:rPr>
        <w:t>发行新股或债转股等新增的、归属于公司普通股股东的净资产；</w:t>
      </w:r>
      <w:r>
        <w:rPr>
          <w:rFonts w:ascii="Times New Roman" w:hAnsi="Times New Roman" w:cs="Times New Roman" w:eastAsia="Times New Roman" w:hint="default"/>
          <w:position w:val="2"/>
        </w:rPr>
        <w:t>E</w:t>
      </w:r>
      <w:r>
        <w:rPr>
          <w:rFonts w:ascii="Times New Roman" w:hAnsi="Times New Roman" w:cs="Times New Roman" w:eastAsia="Times New Roman" w:hint="default"/>
          <w:sz w:val="13"/>
          <w:szCs w:val="13"/>
        </w:rPr>
        <w:t>j</w:t>
      </w:r>
      <w:r>
        <w:rPr>
          <w:rFonts w:ascii="Times New Roman" w:hAnsi="Times New Roman" w:cs="Times New Roman" w:eastAsia="Times New Roman" w:hint="default"/>
          <w:spacing w:val="-12"/>
          <w:sz w:val="13"/>
          <w:szCs w:val="13"/>
        </w:rPr>
        <w:t> </w:t>
      </w:r>
      <w:r>
        <w:rPr>
          <w:position w:val="2"/>
        </w:rPr>
        <w:t>为报告期回购或现金分红等减少的、归</w:t>
      </w:r>
      <w:r>
        <w:rPr>
          <w:w w:val="99"/>
          <w:position w:val="2"/>
        </w:rPr>
        <w:t> </w:t>
      </w:r>
      <w:r>
        <w:rPr>
          <w:position w:val="2"/>
        </w:rPr>
        <w:t>属于公司普通股股东的净资产；</w:t>
      </w:r>
      <w:r>
        <w:rPr>
          <w:rFonts w:ascii="Times New Roman" w:hAnsi="Times New Roman" w:cs="Times New Roman" w:eastAsia="Times New Roman" w:hint="default"/>
          <w:position w:val="2"/>
        </w:rPr>
        <w:t>M</w:t>
      </w:r>
      <w:r>
        <w:rPr>
          <w:rFonts w:ascii="Times New Roman" w:hAnsi="Times New Roman" w:cs="Times New Roman" w:eastAsia="Times New Roman" w:hint="default"/>
          <w:sz w:val="13"/>
          <w:szCs w:val="13"/>
        </w:rPr>
        <w:t>0 </w:t>
      </w:r>
      <w:r>
        <w:rPr>
          <w:position w:val="2"/>
        </w:rPr>
        <w:t>为报告期月份数；</w:t>
      </w:r>
      <w:r>
        <w:rPr>
          <w:rFonts w:ascii="Times New Roman" w:hAnsi="Times New Roman" w:cs="Times New Roman" w:eastAsia="Times New Roman" w:hint="default"/>
          <w:position w:val="2"/>
        </w:rPr>
        <w:t>M</w:t>
      </w:r>
      <w:r>
        <w:rPr>
          <w:rFonts w:ascii="Times New Roman" w:hAnsi="Times New Roman" w:cs="Times New Roman" w:eastAsia="Times New Roman" w:hint="default"/>
          <w:sz w:val="13"/>
          <w:szCs w:val="13"/>
        </w:rPr>
        <w:t>i</w:t>
      </w:r>
      <w:r>
        <w:rPr>
          <w:rFonts w:ascii="Times New Roman" w:hAnsi="Times New Roman" w:cs="Times New Roman" w:eastAsia="Times New Roman" w:hint="default"/>
          <w:spacing w:val="-3"/>
          <w:sz w:val="13"/>
          <w:szCs w:val="13"/>
        </w:rPr>
        <w:t> </w:t>
      </w:r>
      <w:r>
        <w:rPr>
          <w:position w:val="2"/>
        </w:rPr>
        <w:t>为新增净资产次月起至报告期期末的累计月数；</w:t>
      </w:r>
      <w:r>
        <w:rPr>
          <w:w w:val="99"/>
          <w:position w:val="2"/>
        </w:rPr>
        <w:t> </w:t>
      </w:r>
      <w:r>
        <w:rPr>
          <w:rFonts w:ascii="Times New Roman" w:hAnsi="Times New Roman" w:cs="Times New Roman" w:eastAsia="Times New Roman" w:hint="default"/>
          <w:position w:val="2"/>
        </w:rPr>
        <w:t>M</w:t>
      </w:r>
      <w:r>
        <w:rPr>
          <w:rFonts w:ascii="Times New Roman" w:hAnsi="Times New Roman" w:cs="Times New Roman" w:eastAsia="Times New Roman" w:hint="default"/>
          <w:sz w:val="13"/>
          <w:szCs w:val="13"/>
        </w:rPr>
        <w:t>j </w:t>
      </w:r>
      <w:r>
        <w:rPr>
          <w:spacing w:val="-2"/>
          <w:position w:val="2"/>
        </w:rPr>
        <w:t>为减少净资产次月起至报告期期末的累计月数；</w:t>
      </w:r>
      <w:r>
        <w:rPr>
          <w:rFonts w:ascii="Times New Roman" w:hAnsi="Times New Roman" w:cs="Times New Roman" w:eastAsia="Times New Roman" w:hint="default"/>
          <w:spacing w:val="-2"/>
          <w:position w:val="2"/>
        </w:rPr>
        <w:t>E</w:t>
      </w:r>
      <w:r>
        <w:rPr>
          <w:rFonts w:ascii="Times New Roman" w:hAnsi="Times New Roman" w:cs="Times New Roman" w:eastAsia="Times New Roman" w:hint="default"/>
          <w:spacing w:val="-2"/>
          <w:sz w:val="13"/>
          <w:szCs w:val="13"/>
        </w:rPr>
        <w:t>k </w:t>
      </w:r>
      <w:r>
        <w:rPr>
          <w:spacing w:val="-2"/>
          <w:position w:val="2"/>
        </w:rPr>
        <w:t>为因其他交易或事项引起的、归属于公司普通股股东</w:t>
      </w:r>
      <w:r>
        <w:rPr>
          <w:w w:val="99"/>
          <w:position w:val="2"/>
        </w:rPr>
        <w:t> </w:t>
      </w:r>
      <w:r>
        <w:rPr>
          <w:position w:val="2"/>
        </w:rPr>
        <w:t>的净资产增减变动；</w:t>
      </w:r>
      <w:r>
        <w:rPr>
          <w:rFonts w:ascii="Times New Roman" w:hAnsi="Times New Roman" w:cs="Times New Roman" w:eastAsia="Times New Roman" w:hint="default"/>
          <w:position w:val="2"/>
        </w:rPr>
        <w:t>M</w:t>
      </w:r>
      <w:r>
        <w:rPr>
          <w:rFonts w:ascii="Times New Roman" w:hAnsi="Times New Roman" w:cs="Times New Roman" w:eastAsia="Times New Roman" w:hint="default"/>
          <w:sz w:val="13"/>
          <w:szCs w:val="13"/>
        </w:rPr>
        <w:t>k</w:t>
      </w:r>
      <w:r>
        <w:rPr>
          <w:rFonts w:ascii="Times New Roman" w:hAnsi="Times New Roman" w:cs="Times New Roman" w:eastAsia="Times New Roman" w:hint="default"/>
          <w:spacing w:val="-6"/>
          <w:sz w:val="13"/>
          <w:szCs w:val="13"/>
        </w:rPr>
        <w:t> </w:t>
      </w:r>
      <w:r>
        <w:rPr>
          <w:position w:val="2"/>
        </w:rPr>
        <w:t>为发生其他净资产增减变动次月起至报告期期末的累计月数。</w:t>
      </w:r>
      <w:r>
        <w:rPr/>
      </w: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900" w:right="820"/>
        </w:sectPr>
      </w:pPr>
    </w:p>
    <w:p>
      <w:pPr>
        <w:pStyle w:val="Heading4"/>
        <w:spacing w:line="333" w:lineRule="exact"/>
        <w:ind w:left="655" w:right="-20"/>
        <w:jc w:val="left"/>
        <w:rPr>
          <w:b w:val="0"/>
          <w:bCs w:val="0"/>
        </w:rPr>
      </w:pPr>
      <w:r>
        <w:rPr/>
        <w:t>（二）每股收益</w:t>
      </w:r>
      <w:r>
        <w:rPr>
          <w:b w:val="0"/>
          <w:bCs w:val="0"/>
        </w:rPr>
      </w:r>
    </w:p>
    <w:p>
      <w:pPr>
        <w:spacing w:line="240" w:lineRule="auto" w:before="3"/>
        <w:rPr>
          <w:rFonts w:ascii="Microsoft JhengHei" w:hAnsi="Microsoft JhengHei" w:cs="Microsoft JhengHei" w:eastAsia="Microsoft JhengHei" w:hint="default"/>
          <w:b/>
          <w:bCs/>
          <w:sz w:val="15"/>
          <w:szCs w:val="15"/>
        </w:rPr>
      </w:pPr>
    </w:p>
    <w:p>
      <w:pPr>
        <w:spacing w:before="0"/>
        <w:ind w:left="1723" w:right="-20" w:firstLine="0"/>
        <w:jc w:val="left"/>
        <w:rPr>
          <w:rFonts w:ascii="宋体" w:hAnsi="宋体" w:cs="宋体" w:eastAsia="宋体" w:hint="default"/>
          <w:sz w:val="18"/>
          <w:szCs w:val="18"/>
        </w:rPr>
      </w:pPr>
      <w:r>
        <w:rPr>
          <w:rFonts w:ascii="宋体" w:hAnsi="宋体" w:cs="宋体" w:eastAsia="宋体" w:hint="default"/>
          <w:sz w:val="18"/>
          <w:szCs w:val="18"/>
        </w:rPr>
        <w:t>报告期利润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tabs>
          <w:tab w:pos="3530" w:val="left" w:leader="none"/>
        </w:tabs>
        <w:spacing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基本每股收益</w:t>
        <w:tab/>
        <w:t>稀释每股收益</w:t>
      </w:r>
    </w:p>
    <w:p>
      <w:pPr>
        <w:spacing w:after="0"/>
        <w:jc w:val="left"/>
        <w:rPr>
          <w:rFonts w:ascii="宋体" w:hAnsi="宋体" w:cs="宋体" w:eastAsia="宋体" w:hint="default"/>
          <w:sz w:val="18"/>
          <w:szCs w:val="18"/>
        </w:rPr>
        <w:sectPr>
          <w:type w:val="continuous"/>
          <w:pgSz w:w="11910" w:h="16840"/>
          <w:pgMar w:top="1580" w:bottom="280" w:left="900" w:right="820"/>
          <w:cols w:num="2" w:equalWidth="0">
            <w:col w:w="2624" w:space="1963"/>
            <w:col w:w="5603"/>
          </w:cols>
        </w:sectPr>
      </w:pPr>
    </w:p>
    <w:p>
      <w:pPr>
        <w:spacing w:line="240" w:lineRule="auto" w:before="7"/>
        <w:rPr>
          <w:rFonts w:ascii="宋体" w:hAnsi="宋体" w:cs="宋体" w:eastAsia="宋体" w:hint="default"/>
          <w:sz w:val="19"/>
          <w:szCs w:val="19"/>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205.2pt;height:.5pt;mso-position-horizontal-relative:char;mso-position-vertical-relative:line" coordorigin="0,0" coordsize="4104,10">
            <v:group style="position:absolute;left:5;top:5;width:4095;height:2" coordorigin="5,5" coordsize="4095,2">
              <v:shape style="position:absolute;left:5;top:5;width:4095;height:2" coordorigin="5,5" coordsize="4095,0" path="m5,5l4099,5e" filled="false" stroked="true" strokeweight=".48pt" strokecolor="#000000">
                <v:path arrowok="t"/>
              </v:shape>
            </v:group>
          </v:group>
        </w:pict>
      </w:r>
      <w:r>
        <w:rPr>
          <w:rFonts w:ascii="宋体" w:hAnsi="宋体" w:cs="宋体" w:eastAsia="宋体" w:hint="default"/>
          <w:sz w:val="2"/>
          <w:szCs w:val="2"/>
        </w:rPr>
      </w:r>
    </w:p>
    <w:p>
      <w:pPr>
        <w:spacing w:before="14"/>
        <w:ind w:left="232" w:right="0" w:firstLine="0"/>
        <w:jc w:val="left"/>
        <w:rPr>
          <w:rFonts w:ascii="宋体" w:hAnsi="宋体" w:cs="宋体" w:eastAsia="宋体" w:hint="default"/>
          <w:sz w:val="18"/>
          <w:szCs w:val="18"/>
        </w:rPr>
      </w:pPr>
      <w:r>
        <w:rPr/>
        <w:pict>
          <v:shape style="position:absolute;margin-left:268.199982pt;margin-top:-18.308298pt;width:275.8pt;height:50.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0"/>
                    <w:gridCol w:w="238"/>
                    <w:gridCol w:w="1147"/>
                    <w:gridCol w:w="235"/>
                    <w:gridCol w:w="1205"/>
                    <w:gridCol w:w="240"/>
                    <w:gridCol w:w="1200"/>
                  </w:tblGrid>
                  <w:tr>
                    <w:trPr>
                      <w:trHeight w:val="350" w:hRule="exact"/>
                    </w:trPr>
                    <w:tc>
                      <w:tcPr>
                        <w:tcW w:w="125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8" w:type="dxa"/>
                        <w:tcBorders>
                          <w:top w:val="single" w:sz="4" w:space="0" w:color="000000"/>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0" w:type="dxa"/>
                        <w:tcBorders>
                          <w:top w:val="single" w:sz="4" w:space="0" w:color="000000"/>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77" w:hRule="exact"/>
                    </w:trPr>
                    <w:tc>
                      <w:tcPr>
                        <w:tcW w:w="125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1.00</w:t>
                        </w:r>
                      </w:p>
                    </w:tc>
                    <w:tc>
                      <w:tcPr>
                        <w:tcW w:w="238" w:type="dxa"/>
                        <w:tcBorders>
                          <w:top w:val="nil" w:sz="6" w:space="0" w:color="auto"/>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 w:right="0"/>
                          <w:jc w:val="center"/>
                          <w:rPr>
                            <w:rFonts w:ascii="宋体" w:hAnsi="宋体" w:cs="宋体" w:eastAsia="宋体" w:hint="default"/>
                            <w:sz w:val="18"/>
                            <w:szCs w:val="18"/>
                          </w:rPr>
                        </w:pPr>
                        <w:r>
                          <w:rPr>
                            <w:rFonts w:ascii="宋体"/>
                            <w:sz w:val="18"/>
                          </w:rPr>
                          <w:t>0.88</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92" w:hRule="exact"/>
                    </w:trPr>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 w:right="0"/>
                          <w:jc w:val="center"/>
                          <w:rPr>
                            <w:rFonts w:ascii="宋体" w:hAnsi="宋体" w:cs="宋体" w:eastAsia="宋体" w:hint="default"/>
                            <w:sz w:val="18"/>
                            <w:szCs w:val="18"/>
                          </w:rPr>
                        </w:pPr>
                        <w:r>
                          <w:rPr>
                            <w:rFonts w:ascii="宋体"/>
                            <w:sz w:val="18"/>
                          </w:rPr>
                          <w:t>0.92</w:t>
                        </w:r>
                      </w:p>
                    </w:tc>
                    <w:tc>
                      <w:tcPr>
                        <w:tcW w:w="238"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 w:right="0"/>
                          <w:jc w:val="center"/>
                          <w:rPr>
                            <w:rFonts w:ascii="宋体" w:hAnsi="宋体" w:cs="宋体" w:eastAsia="宋体" w:hint="default"/>
                            <w:sz w:val="18"/>
                            <w:szCs w:val="18"/>
                          </w:rPr>
                        </w:pPr>
                        <w:r>
                          <w:rPr>
                            <w:rFonts w:ascii="宋体"/>
                            <w:sz w:val="18"/>
                          </w:rPr>
                          <w:t>0.85</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4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归属于公司普通股股东的净利润</w:t>
      </w:r>
    </w:p>
    <w:p>
      <w:pPr>
        <w:spacing w:line="232" w:lineRule="exact" w:before="77"/>
        <w:ind w:left="232" w:right="6154"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 利润</w:t>
      </w:r>
    </w:p>
    <w:p>
      <w:pPr>
        <w:pStyle w:val="BodyText"/>
        <w:spacing w:line="336" w:lineRule="auto" w:before="30"/>
        <w:ind w:left="655" w:right="7718"/>
        <w:jc w:val="left"/>
        <w:rPr>
          <w:rFonts w:ascii="Times New Roman" w:hAnsi="Times New Roman" w:cs="Times New Roman" w:eastAsia="Times New Roman" w:hint="default"/>
        </w:rPr>
      </w:pPr>
      <w:r>
        <w:rPr/>
        <w:t>计算过程为：</w:t>
      </w:r>
      <w:r>
        <w:rPr>
          <w:w w:val="99"/>
        </w:rPr>
        <w:t> </w:t>
      </w:r>
      <w:r>
        <w:rPr>
          <w:position w:val="2"/>
        </w:rPr>
        <w:t>基本每股收益</w:t>
      </w:r>
      <w:r>
        <w:rPr>
          <w:rFonts w:ascii="Times New Roman" w:hAnsi="Times New Roman" w:cs="Times New Roman" w:eastAsia="Times New Roman" w:hint="default"/>
          <w:position w:val="2"/>
        </w:rPr>
        <w:t>=P</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rPr>
        <w:t>÷S</w:t>
      </w:r>
      <w:r>
        <w:rPr>
          <w:rFonts w:ascii="Times New Roman" w:hAnsi="Times New Roman" w:cs="Times New Roman" w:eastAsia="Times New Roman" w:hint="default"/>
        </w:rPr>
      </w:r>
    </w:p>
    <w:p>
      <w:pPr>
        <w:spacing w:before="3"/>
        <w:ind w:left="655" w:right="0" w:firstLine="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position w:val="2"/>
          <w:sz w:val="21"/>
          <w:szCs w:val="21"/>
        </w:rPr>
        <w:t>S= S</w:t>
      </w:r>
      <w:r>
        <w:rPr>
          <w:rFonts w:ascii="Times New Roman" w:hAnsi="Times New Roman" w:cs="Times New Roman" w:eastAsia="Times New Roman" w:hint="default"/>
          <w:sz w:val="13"/>
          <w:szCs w:val="13"/>
        </w:rPr>
        <w:t>0</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1</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pacing w:val="7"/>
          <w:position w:val="2"/>
          <w:sz w:val="21"/>
          <w:szCs w:val="21"/>
        </w:rPr>
        <w:t> </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k</w:t>
      </w:r>
    </w:p>
    <w:p>
      <w:pPr>
        <w:pStyle w:val="BodyText"/>
        <w:spacing w:line="319" w:lineRule="auto" w:before="95"/>
        <w:ind w:left="232" w:right="312" w:firstLine="422"/>
        <w:jc w:val="both"/>
      </w:pPr>
      <w:r>
        <w:rPr>
          <w:position w:val="2"/>
        </w:rPr>
        <w:t>其中：</w:t>
      </w:r>
      <w:r>
        <w:rPr>
          <w:rFonts w:ascii="Times New Roman" w:hAnsi="Times New Roman" w:cs="Times New Roman" w:eastAsia="Times New Roman" w:hint="default"/>
          <w:position w:val="2"/>
        </w:rPr>
        <w:t>P</w:t>
      </w:r>
      <w:r>
        <w:rPr>
          <w:rFonts w:ascii="Times New Roman" w:hAnsi="Times New Roman" w:cs="Times New Roman" w:eastAsia="Times New Roman" w:hint="default"/>
          <w:sz w:val="13"/>
          <w:szCs w:val="13"/>
        </w:rPr>
        <w:t>0</w:t>
      </w:r>
      <w:r>
        <w:rPr>
          <w:position w:val="2"/>
        </w:rPr>
        <w:t>为归属于公司普通股股东的净利润或扣除非经常性损益后归属于普通股股东的净利润；</w:t>
      </w:r>
      <w:r>
        <w:rPr>
          <w:rFonts w:ascii="Times New Roman" w:hAnsi="Times New Roman" w:cs="Times New Roman" w:eastAsia="Times New Roman" w:hint="default"/>
          <w:position w:val="2"/>
        </w:rPr>
        <w:t>S</w:t>
      </w:r>
      <w:r>
        <w:rPr>
          <w:position w:val="2"/>
        </w:rPr>
        <w:t>为</w:t>
      </w:r>
      <w:r>
        <w:rPr>
          <w:w w:val="99"/>
          <w:position w:val="2"/>
        </w:rPr>
        <w:t> </w:t>
      </w:r>
      <w:r>
        <w:rPr>
          <w:position w:val="2"/>
        </w:rPr>
        <w:t>发行在外的普通股加权平均数；</w:t>
      </w:r>
      <w:r>
        <w:rPr>
          <w:rFonts w:ascii="Times New Roman" w:hAnsi="Times New Roman" w:cs="Times New Roman" w:eastAsia="Times New Roman" w:hint="default"/>
          <w:position w:val="2"/>
        </w:rPr>
        <w:t>S</w:t>
      </w:r>
      <w:r>
        <w:rPr>
          <w:rFonts w:ascii="Times New Roman" w:hAnsi="Times New Roman" w:cs="Times New Roman" w:eastAsia="Times New Roman" w:hint="default"/>
          <w:sz w:val="13"/>
          <w:szCs w:val="13"/>
        </w:rPr>
        <w:t>0</w:t>
      </w:r>
      <w:r>
        <w:rPr>
          <w:position w:val="2"/>
        </w:rPr>
        <w:t>为期初股份总数；</w:t>
      </w:r>
      <w:r>
        <w:rPr>
          <w:rFonts w:ascii="Times New Roman" w:hAnsi="Times New Roman" w:cs="Times New Roman" w:eastAsia="Times New Roman" w:hint="default"/>
          <w:position w:val="2"/>
        </w:rPr>
        <w:t>S</w:t>
      </w:r>
      <w:r>
        <w:rPr>
          <w:rFonts w:ascii="Times New Roman" w:hAnsi="Times New Roman" w:cs="Times New Roman" w:eastAsia="Times New Roman" w:hint="default"/>
          <w:sz w:val="13"/>
          <w:szCs w:val="13"/>
        </w:rPr>
        <w:t>1</w:t>
      </w:r>
      <w:r>
        <w:rPr>
          <w:position w:val="2"/>
        </w:rPr>
        <w:t>为报告期因公积金转增股本或股票股利分配等增加</w:t>
      </w:r>
      <w:r>
        <w:rPr>
          <w:w w:val="99"/>
          <w:position w:val="2"/>
        </w:rPr>
        <w:t> </w:t>
      </w:r>
      <w:r>
        <w:rPr>
          <w:spacing w:val="-2"/>
          <w:position w:val="2"/>
        </w:rPr>
        <w:t>股份数；</w:t>
      </w:r>
      <w:r>
        <w:rPr>
          <w:rFonts w:ascii="Times New Roman" w:hAnsi="Times New Roman" w:cs="Times New Roman" w:eastAsia="Times New Roman" w:hint="default"/>
          <w:spacing w:val="-2"/>
          <w:position w:val="2"/>
        </w:rPr>
        <w:t>S</w:t>
      </w:r>
      <w:r>
        <w:rPr>
          <w:rFonts w:ascii="Times New Roman" w:hAnsi="Times New Roman" w:cs="Times New Roman" w:eastAsia="Times New Roman" w:hint="default"/>
          <w:spacing w:val="-2"/>
          <w:sz w:val="13"/>
          <w:szCs w:val="13"/>
        </w:rPr>
        <w:t>i</w:t>
      </w:r>
      <w:r>
        <w:rPr>
          <w:spacing w:val="-2"/>
          <w:position w:val="2"/>
        </w:rPr>
        <w:t>为报告期因发行新股或债转股等增加股份数；</w:t>
      </w:r>
      <w:r>
        <w:rPr>
          <w:rFonts w:ascii="Times New Roman" w:hAnsi="Times New Roman" w:cs="Times New Roman" w:eastAsia="Times New Roman" w:hint="default"/>
          <w:spacing w:val="-2"/>
          <w:position w:val="2"/>
        </w:rPr>
        <w:t>S</w:t>
      </w:r>
      <w:r>
        <w:rPr>
          <w:rFonts w:ascii="Times New Roman" w:hAnsi="Times New Roman" w:cs="Times New Roman" w:eastAsia="Times New Roman" w:hint="default"/>
          <w:spacing w:val="-2"/>
          <w:sz w:val="13"/>
          <w:szCs w:val="13"/>
        </w:rPr>
        <w:t>j</w:t>
      </w:r>
      <w:r>
        <w:rPr>
          <w:spacing w:val="-2"/>
          <w:position w:val="2"/>
        </w:rPr>
        <w:t>为报告期因回购等减少股份数；</w:t>
      </w:r>
      <w:r>
        <w:rPr>
          <w:rFonts w:ascii="Times New Roman" w:hAnsi="Times New Roman" w:cs="Times New Roman" w:eastAsia="Times New Roman" w:hint="default"/>
          <w:spacing w:val="-2"/>
          <w:position w:val="2"/>
        </w:rPr>
        <w:t>S</w:t>
      </w:r>
      <w:r>
        <w:rPr>
          <w:rFonts w:ascii="Times New Roman" w:hAnsi="Times New Roman" w:cs="Times New Roman" w:eastAsia="Times New Roman" w:hint="default"/>
          <w:spacing w:val="-2"/>
          <w:sz w:val="13"/>
          <w:szCs w:val="13"/>
        </w:rPr>
        <w:t>k</w:t>
      </w:r>
      <w:r>
        <w:rPr>
          <w:spacing w:val="-2"/>
          <w:position w:val="2"/>
        </w:rPr>
        <w:t>为报告期缩股</w:t>
      </w:r>
      <w:r>
        <w:rPr>
          <w:w w:val="99"/>
          <w:position w:val="2"/>
        </w:rPr>
        <w:t> </w:t>
      </w:r>
      <w:r>
        <w:rPr>
          <w:spacing w:val="-2"/>
          <w:position w:val="2"/>
        </w:rPr>
        <w:t>数；</w:t>
      </w:r>
      <w:r>
        <w:rPr>
          <w:rFonts w:ascii="Times New Roman" w:hAnsi="Times New Roman" w:cs="Times New Roman" w:eastAsia="Times New Roman" w:hint="default"/>
          <w:spacing w:val="-2"/>
          <w:position w:val="2"/>
        </w:rPr>
        <w:t>M</w:t>
      </w:r>
      <w:r>
        <w:rPr>
          <w:rFonts w:ascii="Times New Roman" w:hAnsi="Times New Roman" w:cs="Times New Roman" w:eastAsia="Times New Roman" w:hint="default"/>
          <w:spacing w:val="-2"/>
          <w:sz w:val="13"/>
          <w:szCs w:val="13"/>
        </w:rPr>
        <w:t>0</w:t>
      </w:r>
      <w:r>
        <w:rPr>
          <w:spacing w:val="-2"/>
          <w:position w:val="2"/>
        </w:rPr>
        <w:t>报告期月份数；</w:t>
      </w:r>
      <w:r>
        <w:rPr>
          <w:rFonts w:ascii="Times New Roman" w:hAnsi="Times New Roman" w:cs="Times New Roman" w:eastAsia="Times New Roman" w:hint="default"/>
          <w:spacing w:val="-2"/>
          <w:position w:val="2"/>
        </w:rPr>
        <w:t>M</w:t>
      </w:r>
      <w:r>
        <w:rPr>
          <w:rFonts w:ascii="Times New Roman" w:hAnsi="Times New Roman" w:cs="Times New Roman" w:eastAsia="Times New Roman" w:hint="default"/>
          <w:spacing w:val="-2"/>
          <w:sz w:val="13"/>
          <w:szCs w:val="13"/>
        </w:rPr>
        <w:t>i</w:t>
      </w:r>
      <w:r>
        <w:rPr>
          <w:spacing w:val="-2"/>
          <w:position w:val="2"/>
        </w:rPr>
        <w:t>为增加股份次月起至报告期期末的累计月数；</w:t>
      </w:r>
      <w:r>
        <w:rPr>
          <w:rFonts w:ascii="Times New Roman" w:hAnsi="Times New Roman" w:cs="Times New Roman" w:eastAsia="Times New Roman" w:hint="default"/>
          <w:spacing w:val="-2"/>
          <w:position w:val="2"/>
        </w:rPr>
        <w:t>M</w:t>
      </w:r>
      <w:r>
        <w:rPr>
          <w:rFonts w:ascii="Times New Roman" w:hAnsi="Times New Roman" w:cs="Times New Roman" w:eastAsia="Times New Roman" w:hint="default"/>
          <w:spacing w:val="-2"/>
          <w:sz w:val="13"/>
          <w:szCs w:val="13"/>
        </w:rPr>
        <w:t>j</w:t>
      </w:r>
      <w:r>
        <w:rPr>
          <w:spacing w:val="-2"/>
          <w:position w:val="2"/>
        </w:rPr>
        <w:t>为减少股份次月起至报告期期末</w:t>
      </w:r>
      <w:r>
        <w:rPr>
          <w:w w:val="99"/>
          <w:position w:val="2"/>
        </w:rPr>
        <w:t> </w:t>
      </w:r>
      <w:r>
        <w:rPr/>
        <w:t>的累计月数。</w:t>
      </w:r>
    </w:p>
    <w:p>
      <w:pPr>
        <w:spacing w:line="415" w:lineRule="auto" w:before="47"/>
        <w:ind w:left="232" w:right="3842" w:firstLine="42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本公司报告期内不存在稀释性普通股，未列示稀释每股收益。</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四、稀释每股收益的计算过程与基本每股收益的计算过程相同。</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五、非经常性损益项目</w:t>
      </w:r>
      <w:r>
        <w:rPr>
          <w:rFonts w:ascii="Microsoft JhengHei" w:hAnsi="Microsoft JhengHei" w:cs="Microsoft JhengHei" w:eastAsia="Microsoft JhengHei" w:hint="default"/>
          <w:sz w:val="21"/>
          <w:szCs w:val="21"/>
        </w:rPr>
      </w:r>
    </w:p>
    <w:p>
      <w:pPr>
        <w:pStyle w:val="BodyText"/>
        <w:spacing w:line="240" w:lineRule="auto" w:before="4"/>
        <w:ind w:left="0" w:right="312"/>
        <w:jc w:val="right"/>
      </w:pPr>
      <w:r>
        <w:rPr>
          <w:w w:val="95"/>
        </w:rPr>
        <w:t>单位：元</w:t>
      </w:r>
      <w:r>
        <w:rPr/>
      </w:r>
    </w:p>
    <w:p>
      <w:pPr>
        <w:spacing w:line="240" w:lineRule="auto" w:before="11"/>
        <w:rPr>
          <w:rFonts w:ascii="宋体" w:hAnsi="宋体" w:cs="宋体" w:eastAsia="宋体" w:hint="default"/>
          <w:sz w:val="18"/>
          <w:szCs w:val="18"/>
        </w:rPr>
      </w:pPr>
    </w:p>
    <w:tbl>
      <w:tblPr>
        <w:tblW w:w="0" w:type="auto"/>
        <w:jc w:val="left"/>
        <w:tblInd w:w="227" w:type="dxa"/>
        <w:tblLayout w:type="fixed"/>
        <w:tblCellMar>
          <w:top w:w="0" w:type="dxa"/>
          <w:left w:w="0" w:type="dxa"/>
          <w:bottom w:w="0" w:type="dxa"/>
          <w:right w:w="0" w:type="dxa"/>
        </w:tblCellMar>
        <w:tblLook w:val="01E0"/>
      </w:tblPr>
      <w:tblGrid>
        <w:gridCol w:w="3562"/>
        <w:gridCol w:w="1548"/>
        <w:gridCol w:w="1625"/>
        <w:gridCol w:w="1548"/>
        <w:gridCol w:w="1546"/>
      </w:tblGrid>
      <w:tr>
        <w:trPr>
          <w:trHeight w:val="324"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058"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9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77" w:right="0"/>
              <w:jc w:val="left"/>
              <w:rPr>
                <w:rFonts w:ascii="宋体" w:hAnsi="宋体" w:cs="宋体" w:eastAsia="宋体" w:hint="default"/>
                <w:sz w:val="18"/>
                <w:szCs w:val="18"/>
              </w:rPr>
            </w:pPr>
            <w:r>
              <w:rPr>
                <w:rFonts w:ascii="宋体" w:hAnsi="宋体" w:cs="宋体" w:eastAsia="宋体" w:hint="default"/>
                <w:sz w:val="18"/>
                <w:szCs w:val="18"/>
              </w:rPr>
              <w:t>附注（如适用）</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9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9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bl>
    <w:p>
      <w:pPr>
        <w:spacing w:after="0" w:line="240" w:lineRule="auto"/>
        <w:jc w:val="left"/>
        <w:rPr>
          <w:rFonts w:ascii="宋体" w:hAnsi="宋体" w:cs="宋体" w:eastAsia="宋体" w:hint="default"/>
          <w:sz w:val="18"/>
          <w:szCs w:val="18"/>
        </w:rPr>
        <w:sectPr>
          <w:type w:val="continuous"/>
          <w:pgSz w:w="11910" w:h="16840"/>
          <w:pgMar w:top="1580" w:bottom="280" w:left="900" w:right="820"/>
        </w:sectPr>
      </w:pPr>
    </w:p>
    <w:p>
      <w:pPr>
        <w:spacing w:line="240" w:lineRule="auto" w:before="2"/>
        <w:rPr>
          <w:rFonts w:ascii="Times New Roman" w:hAnsi="Times New Roman" w:cs="Times New Roman" w:eastAsia="Times New Roman" w:hint="default"/>
          <w:sz w:val="3"/>
          <w:szCs w:val="3"/>
        </w:rPr>
      </w:pPr>
      <w:r>
        <w:rPr/>
        <w:pict>
          <v:group style="position:absolute;margin-left:56.639999pt;margin-top:75.120026pt;width:63.15pt;height:12.4pt;mso-position-horizontal-relative:page;mso-position-vertical-relative:page;z-index:-634432"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3562"/>
        <w:gridCol w:w="1548"/>
        <w:gridCol w:w="1625"/>
        <w:gridCol w:w="1548"/>
        <w:gridCol w:w="1546"/>
      </w:tblGrid>
      <w:tr>
        <w:trPr>
          <w:trHeight w:val="330" w:hRule="exact"/>
        </w:trPr>
        <w:tc>
          <w:tcPr>
            <w:tcW w:w="3562"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1058" w:right="0"/>
              <w:jc w:val="left"/>
              <w:rPr>
                <w:rFonts w:ascii="宋体" w:hAnsi="宋体" w:cs="宋体" w:eastAsia="宋体" w:hint="default"/>
                <w:sz w:val="18"/>
                <w:szCs w:val="18"/>
              </w:rPr>
            </w:pPr>
            <w:bookmarkStart w:name="第三章董事会报告" w:id="5"/>
            <w:bookmarkEnd w:id="5"/>
            <w:r>
              <w:rPr/>
            </w:r>
            <w:r>
              <w:rPr>
                <w:rFonts w:ascii="宋体" w:hAnsi="宋体" w:cs="宋体" w:eastAsia="宋体" w:hint="default"/>
                <w:sz w:val="18"/>
                <w:szCs w:val="18"/>
              </w:rPr>
              <w:t>非经常性损益项目</w:t>
            </w:r>
          </w:p>
        </w:tc>
        <w:tc>
          <w:tcPr>
            <w:tcW w:w="1548"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9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625"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48"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9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年金额</w:t>
            </w:r>
          </w:p>
        </w:tc>
        <w:tc>
          <w:tcPr>
            <w:tcW w:w="1546"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71,287.80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-15,434.60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0.00</w:t>
            </w:r>
          </w:p>
        </w:tc>
      </w:tr>
      <w:tr>
        <w:trPr>
          <w:trHeight w:val="63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越权审批，或无正式批准文件，或偶发性的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税收返还、减免</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354,174.94</w:t>
            </w:r>
          </w:p>
        </w:tc>
      </w:tr>
      <w:tr>
        <w:trPr>
          <w:trHeight w:val="1258"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营业务密切相关，符合国家政策规定、按照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一定标准定额或定量持续享受的政府补助除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3,515,972.00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1,134,184.73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1,656,959.60</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38,356.16</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0.00</w:t>
            </w:r>
          </w:p>
        </w:tc>
      </w:tr>
      <w:tr>
        <w:trPr>
          <w:trHeight w:val="636"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19"/>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用费</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187,011.00</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567,077.97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365,948.00</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231,580.45</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104,454.57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71,660.76</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-590,249.46</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-272,741.40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-352,112.19</w:t>
            </w:r>
          </w:p>
        </w:tc>
      </w:tr>
      <w:tr>
        <w:trPr>
          <w:trHeight w:val="322"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3,266,946.95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1,517,541.27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2,283,642.11</w:t>
            </w:r>
          </w:p>
        </w:tc>
      </w:tr>
    </w:tbl>
    <w:p>
      <w:pPr>
        <w:spacing w:after="0" w:line="240" w:lineRule="auto"/>
        <w:jc w:val="right"/>
        <w:rPr>
          <w:rFonts w:ascii="宋体" w:hAnsi="宋体" w:cs="宋体" w:eastAsia="宋体" w:hint="default"/>
          <w:sz w:val="18"/>
          <w:szCs w:val="18"/>
        </w:rPr>
        <w:sectPr>
          <w:pgSz w:w="11910" w:h="16840"/>
          <w:pgMar w:header="849" w:footer="976" w:top="1460" w:bottom="1160" w:left="1020" w:right="820"/>
        </w:sectPr>
      </w:pPr>
    </w:p>
    <w:p>
      <w:pPr>
        <w:spacing w:line="240" w:lineRule="auto" w:before="2"/>
        <w:rPr>
          <w:rFonts w:ascii="Times New Roman" w:hAnsi="Times New Roman" w:cs="Times New Roman" w:eastAsia="Times New Roman" w:hint="default"/>
          <w:sz w:val="2"/>
          <w:szCs w:val="2"/>
        </w:rPr>
      </w:pPr>
    </w:p>
    <w:p>
      <w:pPr>
        <w:spacing w:line="247" w:lineRule="exact"/>
        <w:ind w:left="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Times New Roman" w:hAnsi="Times New Roman" w:cs="Times New Roman" w:eastAsia="Times New Roman" w:hint="default"/>
          <w:position w:val="-4"/>
          <w:sz w:val="20"/>
          <w:szCs w:val="20"/>
        </w:rPr>
      </w:r>
    </w:p>
    <w:p>
      <w:pPr>
        <w:spacing w:line="240" w:lineRule="auto" w:before="4"/>
        <w:rPr>
          <w:rFonts w:ascii="Times New Roman" w:hAnsi="Times New Roman" w:cs="Times New Roman" w:eastAsia="Times New Roman" w:hint="default"/>
          <w:sz w:val="6"/>
          <w:szCs w:val="6"/>
        </w:rPr>
      </w:pPr>
    </w:p>
    <w:p>
      <w:pPr>
        <w:pStyle w:val="Heading1"/>
        <w:tabs>
          <w:tab w:pos="1305" w:val="left" w:leader="none"/>
        </w:tabs>
        <w:spacing w:line="426" w:lineRule="exact"/>
        <w:ind w:left="21" w:right="0"/>
        <w:jc w:val="center"/>
      </w:pPr>
      <w:bookmarkStart w:name="_bookmark2" w:id="6"/>
      <w:bookmarkEnd w:id="6"/>
      <w:r>
        <w:rPr/>
      </w:r>
      <w:r>
        <w:rPr/>
        <w:t>第</w:t>
      </w:r>
      <w:r>
        <w:rPr>
          <w:position w:val="1"/>
        </w:rPr>
        <w:t>三</w:t>
      </w:r>
      <w:r>
        <w:rPr/>
        <w:t>章</w:t>
        <w:tab/>
        <w:t>董事会报告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333" w:lineRule="exact"/>
        <w:ind w:left="112" w:right="0"/>
        <w:jc w:val="left"/>
        <w:rPr>
          <w:b w:val="0"/>
          <w:bCs w:val="0"/>
        </w:rPr>
      </w:pPr>
      <w:r>
        <w:rPr/>
        <w:t>一、报告期内公司经营情况的回顾</w:t>
      </w:r>
      <w:r>
        <w:rPr>
          <w:b w:val="0"/>
          <w:bCs w:val="0"/>
        </w:rPr>
      </w:r>
    </w:p>
    <w:p>
      <w:pPr>
        <w:pStyle w:val="Heading4"/>
        <w:spacing w:line="240" w:lineRule="auto" w:before="179"/>
        <w:ind w:right="0"/>
        <w:jc w:val="left"/>
        <w:rPr>
          <w:b w:val="0"/>
          <w:bCs w:val="0"/>
        </w:rPr>
      </w:pPr>
      <w:r>
        <w:rPr/>
        <w:t>（一）公司报告期内总体经营情况概述</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112" w:firstLine="422"/>
        <w:jc w:val="both"/>
      </w:pPr>
      <w:r>
        <w:rPr/>
        <w:t>2011</w:t>
      </w:r>
      <w:r>
        <w:rPr>
          <w:spacing w:val="-54"/>
        </w:rPr>
        <w:t> </w:t>
      </w:r>
      <w:r>
        <w:rPr/>
        <w:t>年</w:t>
      </w:r>
      <w:r>
        <w:rPr>
          <w:spacing w:val="-56"/>
        </w:rPr>
        <w:t> </w:t>
      </w:r>
      <w:r>
        <w:rPr/>
        <w:t>8</w:t>
      </w:r>
      <w:r>
        <w:rPr>
          <w:spacing w:val="-54"/>
        </w:rPr>
        <w:t> </w:t>
      </w:r>
      <w:r>
        <w:rPr/>
        <w:t>月</w:t>
      </w:r>
      <w:r>
        <w:rPr>
          <w:spacing w:val="-53"/>
        </w:rPr>
        <w:t> </w:t>
      </w:r>
      <w:r>
        <w:rPr/>
        <w:t>18</w:t>
      </w:r>
      <w:r>
        <w:rPr>
          <w:spacing w:val="-54"/>
        </w:rPr>
        <w:t> </w:t>
      </w:r>
      <w:r>
        <w:rPr/>
        <w:t>日公司成功上市，公司从一个以技术和产品为主导的中小型软件企业成长为一个拥有</w:t>
      </w:r>
      <w:r>
        <w:rPr>
          <w:w w:val="99"/>
        </w:rPr>
        <w:t> </w:t>
      </w:r>
      <w:r>
        <w:rPr>
          <w:w w:val="95"/>
        </w:rPr>
        <w:t>较为充足资本的上市公司，市场形象和品牌影响力得到大幅提升。作为一个以公立医疗卫生机构为主要目</w:t>
      </w:r>
      <w:r>
        <w:rPr>
          <w:spacing w:val="52"/>
          <w:w w:val="95"/>
        </w:rPr>
        <w:t> </w:t>
      </w:r>
      <w:r>
        <w:rPr>
          <w:spacing w:val="52"/>
          <w:w w:val="95"/>
        </w:rPr>
      </w:r>
      <w:r>
        <w:rPr/>
        <w:t>标客户的专业化软件企业，公司的上市同样使公司在这些客户中的信任度和美誉度得到进一步的提高。</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w w:val="95"/>
        </w:rPr>
        <w:t>报告期内，在公司董事会、管理层及广大员工的共同努力下，通过加强公司科学管理，进一步加大研</w:t>
      </w:r>
      <w:r>
        <w:rPr>
          <w:spacing w:val="-92"/>
          <w:w w:val="95"/>
        </w:rPr>
        <w:t> </w:t>
      </w:r>
      <w:r>
        <w:rPr>
          <w:spacing w:val="-92"/>
          <w:w w:val="95"/>
        </w:rPr>
      </w:r>
      <w:r>
        <w:rPr>
          <w:w w:val="95"/>
        </w:rPr>
        <w:t>发和市场开拓力度，继续强化公司在行业内的领先优势。同时受益于国家新医改等利好政策的推动，公司</w:t>
      </w:r>
      <w:r>
        <w:rPr>
          <w:spacing w:val="52"/>
          <w:w w:val="95"/>
        </w:rPr>
        <w:t> </w:t>
      </w:r>
      <w:r>
        <w:rPr>
          <w:spacing w:val="52"/>
          <w:w w:val="95"/>
        </w:rPr>
      </w:r>
      <w:r>
        <w:rPr/>
        <w:t>经营状况良好，市场规模不断扩大，整体经营业绩保持持续较快增长。</w:t>
      </w:r>
    </w:p>
    <w:p>
      <w:pPr>
        <w:spacing w:line="240" w:lineRule="auto" w:before="1"/>
        <w:rPr>
          <w:rFonts w:ascii="宋体" w:hAnsi="宋体" w:cs="宋体" w:eastAsia="宋体" w:hint="default"/>
          <w:sz w:val="14"/>
          <w:szCs w:val="14"/>
        </w:rPr>
      </w:pPr>
    </w:p>
    <w:p>
      <w:pPr>
        <w:pStyle w:val="BodyText"/>
        <w:spacing w:line="340" w:lineRule="auto"/>
        <w:ind w:right="109" w:firstLine="422"/>
        <w:jc w:val="both"/>
      </w:pPr>
      <w:r>
        <w:rPr/>
        <w:t>2011</w:t>
      </w:r>
      <w:r>
        <w:rPr>
          <w:spacing w:val="-60"/>
        </w:rPr>
        <w:t> </w:t>
      </w:r>
      <w:r>
        <w:rPr/>
        <w:t>年公司实现营业收入</w:t>
      </w:r>
      <w:r>
        <w:rPr>
          <w:spacing w:val="-57"/>
        </w:rPr>
        <w:t> </w:t>
      </w:r>
      <w:r>
        <w:rPr/>
        <w:t>16,991.90</w:t>
      </w:r>
      <w:r>
        <w:rPr>
          <w:spacing w:val="-58"/>
        </w:rPr>
        <w:t> </w:t>
      </w:r>
      <w:r>
        <w:rPr/>
        <w:t>万元，比上年同期增长</w:t>
      </w:r>
      <w:r>
        <w:rPr>
          <w:spacing w:val="-60"/>
        </w:rPr>
        <w:t> </w:t>
      </w:r>
      <w:r>
        <w:rPr/>
        <w:t>41.33%；营业利润</w:t>
      </w:r>
      <w:r>
        <w:rPr>
          <w:spacing w:val="-57"/>
        </w:rPr>
        <w:t> </w:t>
      </w:r>
      <w:r>
        <w:rPr/>
        <w:t>3,339.21</w:t>
      </w:r>
      <w:r>
        <w:rPr>
          <w:spacing w:val="-60"/>
        </w:rPr>
        <w:t> </w:t>
      </w:r>
      <w:r>
        <w:rPr/>
        <w:t>万元，比上</w:t>
      </w:r>
      <w:r>
        <w:rPr>
          <w:w w:val="99"/>
        </w:rPr>
        <w:t> </w:t>
      </w:r>
      <w:r>
        <w:rPr>
          <w:spacing w:val="4"/>
        </w:rPr>
        <w:t>年同期增长</w:t>
      </w:r>
      <w:r>
        <w:rPr>
          <w:spacing w:val="-56"/>
        </w:rPr>
        <w:t> </w:t>
      </w:r>
      <w:r>
        <w:rPr>
          <w:spacing w:val="3"/>
        </w:rPr>
        <w:t>16.42%；利润总额</w:t>
      </w:r>
      <w:r>
        <w:rPr>
          <w:spacing w:val="-56"/>
        </w:rPr>
        <w:t> </w:t>
      </w:r>
      <w:r>
        <w:rPr/>
        <w:t>4,904.91</w:t>
      </w:r>
      <w:r>
        <w:rPr>
          <w:spacing w:val="-58"/>
        </w:rPr>
        <w:t> </w:t>
      </w:r>
      <w:r>
        <w:rPr>
          <w:spacing w:val="5"/>
        </w:rPr>
        <w:t>万元，比上年同期增长</w:t>
      </w:r>
      <w:r>
        <w:rPr>
          <w:spacing w:val="-54"/>
        </w:rPr>
        <w:t> </w:t>
      </w:r>
      <w:r>
        <w:rPr>
          <w:spacing w:val="4"/>
        </w:rPr>
        <w:t>25.90%；归属于母公司所有者的净利润</w:t>
      </w:r>
      <w:r>
        <w:rPr>
          <w:w w:val="99"/>
        </w:rPr>
        <w:t> </w:t>
      </w:r>
      <w:r>
        <w:rPr/>
        <w:t>4,429.29</w:t>
      </w:r>
      <w:r>
        <w:rPr>
          <w:spacing w:val="-57"/>
        </w:rPr>
        <w:t> </w:t>
      </w:r>
      <w:r>
        <w:rPr/>
        <w:t>万元，比上年同期增长</w:t>
      </w:r>
      <w:r>
        <w:rPr>
          <w:spacing w:val="-56"/>
        </w:rPr>
        <w:t> </w:t>
      </w:r>
      <w:r>
        <w:rPr/>
        <w:t>25.31%。</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2011</w:t>
      </w:r>
      <w:r>
        <w:rPr>
          <w:spacing w:val="-54"/>
        </w:rPr>
        <w:t> </w:t>
      </w:r>
      <w:r>
        <w:rPr/>
        <w:t>年公司客户遍布全国</w:t>
      </w:r>
      <w:r>
        <w:rPr>
          <w:spacing w:val="-48"/>
        </w:rPr>
        <w:t> </w:t>
      </w:r>
      <w:r>
        <w:rPr/>
        <w:t>29</w:t>
      </w:r>
      <w:r>
        <w:rPr>
          <w:spacing w:val="-54"/>
        </w:rPr>
        <w:t> </w:t>
      </w:r>
      <w:r>
        <w:rPr/>
        <w:t>个省市自治区，比上年增加了</w:t>
      </w:r>
      <w:r>
        <w:rPr>
          <w:spacing w:val="-47"/>
        </w:rPr>
        <w:t> </w:t>
      </w:r>
      <w:r>
        <w:rPr/>
        <w:t>1</w:t>
      </w:r>
      <w:r>
        <w:rPr>
          <w:spacing w:val="-54"/>
        </w:rPr>
        <w:t> </w:t>
      </w:r>
      <w:r>
        <w:rPr/>
        <w:t>个省份，全国化市场布局进一步显现。</w:t>
      </w:r>
    </w:p>
    <w:p>
      <w:pPr>
        <w:pStyle w:val="BodyText"/>
        <w:spacing w:line="240" w:lineRule="auto" w:before="116"/>
        <w:ind w:right="0"/>
        <w:jc w:val="left"/>
      </w:pPr>
      <w:r>
        <w:rPr/>
        <w:t>公司客户中三级甲等医院客户达到</w:t>
      </w:r>
      <w:r>
        <w:rPr>
          <w:spacing w:val="-56"/>
        </w:rPr>
        <w:t> </w:t>
      </w:r>
      <w:r>
        <w:rPr/>
        <w:t>82</w:t>
      </w:r>
      <w:r>
        <w:rPr>
          <w:spacing w:val="-57"/>
        </w:rPr>
        <w:t> </w:t>
      </w:r>
      <w:r>
        <w:rPr/>
        <w:t>家，比上年增加了</w:t>
      </w:r>
      <w:r>
        <w:rPr>
          <w:spacing w:val="-59"/>
        </w:rPr>
        <w:t> </w:t>
      </w:r>
      <w:r>
        <w:rPr/>
        <w:t>11</w:t>
      </w:r>
      <w:r>
        <w:rPr>
          <w:spacing w:val="-60"/>
        </w:rPr>
        <w:t> </w:t>
      </w:r>
      <w:r>
        <w:rPr/>
        <w:t>家。全年公司新签订金额</w:t>
      </w:r>
      <w:r>
        <w:rPr>
          <w:spacing w:val="-56"/>
        </w:rPr>
        <w:t> </w:t>
      </w:r>
      <w:r>
        <w:rPr/>
        <w:t>100</w:t>
      </w:r>
      <w:r>
        <w:rPr>
          <w:spacing w:val="-60"/>
        </w:rPr>
        <w:t> </w:t>
      </w:r>
      <w:r>
        <w:rPr/>
        <w:t>万元以上医疗卫</w:t>
      </w:r>
    </w:p>
    <w:p>
      <w:pPr>
        <w:pStyle w:val="BodyText"/>
        <w:spacing w:line="240" w:lineRule="auto" w:before="114"/>
        <w:ind w:right="0"/>
        <w:jc w:val="left"/>
      </w:pPr>
      <w:r>
        <w:rPr/>
        <w:t>生信息化项目 50</w:t>
      </w:r>
      <w:r>
        <w:rPr>
          <w:spacing w:val="-66"/>
        </w:rPr>
        <w:t> </w:t>
      </w:r>
      <w:r>
        <w:rPr/>
        <w:t>个，客户包括上海市奉贤区卫生局、合肥市第二人民医院、上海市浦东新区卫生信息中</w:t>
      </w:r>
    </w:p>
    <w:p>
      <w:pPr>
        <w:pStyle w:val="BodyText"/>
        <w:spacing w:line="338" w:lineRule="auto" w:before="116"/>
        <w:ind w:right="103"/>
        <w:jc w:val="left"/>
      </w:pPr>
      <w:r>
        <w:rPr/>
        <w:t>心、上海电力医院、上海市宝山区卫生局、鄂州市卫生局等，该类合同总金额约</w:t>
      </w:r>
      <w:r>
        <w:rPr>
          <w:spacing w:val="-67"/>
        </w:rPr>
        <w:t> </w:t>
      </w:r>
      <w:r>
        <w:rPr/>
        <w:t>11,011.92</w:t>
      </w:r>
      <w:r>
        <w:rPr>
          <w:spacing w:val="-67"/>
        </w:rPr>
        <w:t> </w:t>
      </w:r>
      <w:r>
        <w:rPr/>
        <w:t>万元，合同数</w:t>
      </w:r>
      <w:r>
        <w:rPr>
          <w:w w:val="99"/>
        </w:rPr>
        <w:t> </w:t>
      </w:r>
      <w:r>
        <w:rPr/>
        <w:t>量及金额分别比上年同期增长</w:t>
      </w:r>
      <w:r>
        <w:rPr>
          <w:spacing w:val="-57"/>
        </w:rPr>
        <w:t> </w:t>
      </w:r>
      <w:r>
        <w:rPr/>
        <w:t>47.06%和</w:t>
      </w:r>
      <w:r>
        <w:rPr>
          <w:spacing w:val="-57"/>
        </w:rPr>
        <w:t> </w:t>
      </w:r>
      <w:r>
        <w:rPr/>
        <w:t>48.67%。</w:t>
      </w:r>
    </w:p>
    <w:p>
      <w:pPr>
        <w:spacing w:line="240" w:lineRule="auto" w:before="3"/>
        <w:rPr>
          <w:rFonts w:ascii="宋体" w:hAnsi="宋体" w:cs="宋体" w:eastAsia="宋体" w:hint="default"/>
          <w:sz w:val="14"/>
          <w:szCs w:val="14"/>
        </w:rPr>
      </w:pPr>
    </w:p>
    <w:p>
      <w:pPr>
        <w:pStyle w:val="BodyText"/>
        <w:spacing w:line="340" w:lineRule="auto"/>
        <w:ind w:right="112" w:firstLine="422"/>
        <w:jc w:val="both"/>
      </w:pPr>
      <w:r>
        <w:rPr>
          <w:w w:val="95"/>
        </w:rPr>
        <w:t>公司首次公开发行时招股说明书中披露的未来三年发展目标是：继续保持在传统医院信息管理系统和</w:t>
      </w:r>
      <w:r>
        <w:rPr>
          <w:spacing w:val="-93"/>
          <w:w w:val="95"/>
        </w:rPr>
        <w:t> </w:t>
      </w:r>
      <w:r>
        <w:rPr>
          <w:spacing w:val="-93"/>
          <w:w w:val="95"/>
        </w:rPr>
      </w:r>
      <w:r>
        <w:rPr>
          <w:w w:val="95"/>
        </w:rPr>
        <w:t>医技信息管理系统产品的市场领先优势，大力发展公共卫生信息产品，逐步实现从单纯的软件开发商向医</w:t>
      </w:r>
      <w:r>
        <w:rPr>
          <w:spacing w:val="52"/>
          <w:w w:val="95"/>
        </w:rPr>
        <w:t> </w:t>
      </w:r>
      <w:r>
        <w:rPr>
          <w:spacing w:val="52"/>
          <w:w w:val="95"/>
        </w:rPr>
      </w:r>
      <w:r>
        <w:rPr/>
        <w:t>疗行业整体解决方案提供商的战略转型，成为中国医疗卫生信息化行业的绝对领先企业。</w:t>
      </w:r>
    </w:p>
    <w:p>
      <w:pPr>
        <w:spacing w:line="240" w:lineRule="auto" w:before="12"/>
        <w:rPr>
          <w:rFonts w:ascii="宋体" w:hAnsi="宋体" w:cs="宋体" w:eastAsia="宋体" w:hint="default"/>
          <w:sz w:val="13"/>
          <w:szCs w:val="13"/>
        </w:rPr>
      </w:pPr>
    </w:p>
    <w:p>
      <w:pPr>
        <w:pStyle w:val="BodyText"/>
        <w:spacing w:line="340" w:lineRule="auto"/>
        <w:ind w:right="109" w:firstLine="422"/>
        <w:jc w:val="both"/>
      </w:pPr>
      <w:r>
        <w:rPr>
          <w:spacing w:val="-2"/>
          <w:w w:val="95"/>
        </w:rPr>
        <w:t>为了实现以上发展目标，进一步增强公司成长性、增进自主创新能力和提升核心竞争优势，报告期内，</w:t>
      </w:r>
      <w:r>
        <w:rPr>
          <w:w w:val="49"/>
        </w:rPr>
        <w:t> </w:t>
      </w:r>
      <w:r>
        <w:rPr/>
        <w:t>随着上市募集资金投资项目的建设，公司加大研发投入，研发人员从上年末的</w:t>
      </w:r>
      <w:r>
        <w:rPr>
          <w:spacing w:val="-80"/>
        </w:rPr>
        <w:t> </w:t>
      </w:r>
      <w:r>
        <w:rPr/>
        <w:t>92</w:t>
      </w:r>
      <w:r>
        <w:rPr>
          <w:spacing w:val="-81"/>
        </w:rPr>
        <w:t> </w:t>
      </w:r>
      <w:r>
        <w:rPr/>
        <w:t>人增加为报告期末的</w:t>
      </w:r>
      <w:r>
        <w:rPr>
          <w:spacing w:val="-79"/>
        </w:rPr>
        <w:t> </w:t>
      </w:r>
      <w:r>
        <w:rPr/>
        <w:t>140</w:t>
      </w:r>
    </w:p>
    <w:p>
      <w:pPr>
        <w:pStyle w:val="BodyText"/>
        <w:spacing w:line="240" w:lineRule="auto" w:before="25"/>
        <w:ind w:right="0"/>
        <w:jc w:val="left"/>
      </w:pPr>
      <w:r>
        <w:rPr>
          <w:spacing w:val="-14"/>
        </w:rPr>
        <w:t>人，增长</w:t>
      </w:r>
      <w:r>
        <w:rPr>
          <w:spacing w:val="-60"/>
        </w:rPr>
        <w:t> </w:t>
      </w:r>
      <w:r>
        <w:rPr>
          <w:spacing w:val="-4"/>
        </w:rPr>
        <w:t>52.17%，研发费用同比增长</w:t>
      </w:r>
      <w:r>
        <w:rPr>
          <w:spacing w:val="-58"/>
        </w:rPr>
        <w:t> </w:t>
      </w:r>
      <w:r>
        <w:rPr>
          <w:spacing w:val="-3"/>
        </w:rPr>
        <w:t>74.35%；新增软件著作权证书</w:t>
      </w:r>
      <w:r>
        <w:rPr>
          <w:spacing w:val="-56"/>
        </w:rPr>
        <w:t> </w:t>
      </w:r>
      <w:r>
        <w:rPr/>
        <w:t>25</w:t>
      </w:r>
      <w:r>
        <w:rPr>
          <w:spacing w:val="-56"/>
        </w:rPr>
        <w:t> </w:t>
      </w:r>
      <w:r>
        <w:rPr>
          <w:spacing w:val="-8"/>
        </w:rPr>
        <w:t>项；加大员工招聘力度，员工从</w:t>
      </w:r>
      <w:r>
        <w:rPr>
          <w:spacing w:val="-56"/>
        </w:rPr>
        <w:t> </w:t>
      </w:r>
      <w:r>
        <w:rPr/>
        <w:t>2010</w:t>
      </w:r>
    </w:p>
    <w:p>
      <w:pPr>
        <w:pStyle w:val="BodyText"/>
        <w:spacing w:line="338" w:lineRule="auto" w:before="116"/>
        <w:ind w:right="104"/>
        <w:jc w:val="left"/>
      </w:pPr>
      <w:r>
        <w:rPr/>
        <w:t>年末的</w:t>
      </w:r>
      <w:r>
        <w:rPr>
          <w:spacing w:val="-58"/>
        </w:rPr>
        <w:t> </w:t>
      </w:r>
      <w:r>
        <w:rPr/>
        <w:t>518</w:t>
      </w:r>
      <w:r>
        <w:rPr>
          <w:spacing w:val="-62"/>
        </w:rPr>
        <w:t> </w:t>
      </w:r>
      <w:r>
        <w:rPr/>
        <w:t>人增长为报告期末的</w:t>
      </w:r>
      <w:r>
        <w:rPr>
          <w:spacing w:val="-58"/>
        </w:rPr>
        <w:t> </w:t>
      </w:r>
      <w:r>
        <w:rPr/>
        <w:t>638</w:t>
      </w:r>
      <w:r>
        <w:rPr>
          <w:spacing w:val="-62"/>
        </w:rPr>
        <w:t> </w:t>
      </w:r>
      <w:r>
        <w:rPr/>
        <w:t>人，为公司的持续发展提供了人力资源保障；此外，报告期内公司成</w:t>
      </w:r>
      <w:r>
        <w:rPr>
          <w:w w:val="99"/>
        </w:rPr>
        <w:t> </w:t>
      </w:r>
      <w:r>
        <w:rPr/>
        <w:t>功上市，为公司的品牌战略打下了坚实基础。</w:t>
      </w:r>
    </w:p>
    <w:p>
      <w:pPr>
        <w:spacing w:line="240" w:lineRule="auto" w:before="3"/>
        <w:rPr>
          <w:rFonts w:ascii="宋体" w:hAnsi="宋体" w:cs="宋体" w:eastAsia="宋体" w:hint="default"/>
          <w:sz w:val="14"/>
          <w:szCs w:val="14"/>
        </w:rPr>
      </w:pPr>
    </w:p>
    <w:p>
      <w:pPr>
        <w:pStyle w:val="BodyText"/>
        <w:tabs>
          <w:tab w:pos="4103" w:val="left" w:leader="none"/>
        </w:tabs>
        <w:spacing w:line="338" w:lineRule="auto"/>
        <w:ind w:right="112" w:firstLine="422"/>
        <w:jc w:val="both"/>
      </w:pPr>
      <w:r>
        <w:rPr>
          <w:w w:val="95"/>
        </w:rPr>
        <w:t>本次上市募集资金投资项目为医院信息管理系统技术改造项目、医技信息管理系统技术改造项目、公</w:t>
      </w:r>
      <w:r>
        <w:rPr>
          <w:spacing w:val="-93"/>
          <w:w w:val="95"/>
        </w:rPr>
        <w:t> </w:t>
      </w:r>
      <w:r>
        <w:rPr>
          <w:spacing w:val="-93"/>
          <w:w w:val="95"/>
        </w:rPr>
      </w:r>
      <w:r>
        <w:rPr/>
        <w:t>共卫生信息系统技术改造项目和</w:t>
      </w:r>
      <w:r>
        <w:rPr>
          <w:rFonts w:ascii="Times New Roman" w:hAnsi="Times New Roman" w:cs="Times New Roman" w:eastAsia="Times New Roman" w:hint="default"/>
        </w:rPr>
        <w:t>□</w:t>
        <w:tab/>
      </w:r>
      <w:r>
        <w:rPr/>
        <w:t>四个项目。</w:t>
      </w:r>
    </w:p>
    <w:p>
      <w:pPr>
        <w:pStyle w:val="BodyText"/>
        <w:spacing w:line="338" w:lineRule="auto" w:before="161"/>
        <w:ind w:right="111" w:firstLine="422"/>
        <w:jc w:val="both"/>
      </w:pPr>
      <w:r>
        <w:rPr>
          <w:spacing w:val="-2"/>
          <w:w w:val="95"/>
        </w:rPr>
        <w:t>上述募集资金投资项目的实施完成，将为公司进一步从产品和市场两方面拓展业务领域，完善产品线，</w:t>
      </w:r>
      <w:r>
        <w:rPr>
          <w:w w:val="49"/>
        </w:rPr>
        <w:t> </w:t>
      </w:r>
      <w:r>
        <w:rPr/>
        <w:t>提高收入和盈利能力，进一步巩固公司在行业的领先地位。报告期内，因公司募集资金</w:t>
      </w:r>
      <w:r>
        <w:rPr>
          <w:spacing w:val="-13"/>
        </w:rPr>
        <w:t> </w:t>
      </w:r>
      <w:r>
        <w:rPr/>
        <w:t>2011</w:t>
      </w:r>
      <w:r>
        <w:rPr>
          <w:spacing w:val="-46"/>
        </w:rPr>
        <w:t> </w:t>
      </w:r>
      <w:r>
        <w:rPr/>
        <w:t>年</w:t>
      </w:r>
      <w:r>
        <w:rPr>
          <w:spacing w:val="-44"/>
        </w:rPr>
        <w:t> </w:t>
      </w:r>
      <w:r>
        <w:rPr/>
        <w:t>8</w:t>
      </w:r>
      <w:r>
        <w:rPr>
          <w:spacing w:val="-43"/>
        </w:rPr>
        <w:t> </w:t>
      </w:r>
      <w:r>
        <w:rPr/>
        <w:t>月刚到</w:t>
      </w:r>
    </w:p>
    <w:p>
      <w:pPr>
        <w:spacing w:after="0" w:line="338"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位，募投项目按照轻重缓急次序投资，加之综合考虑 2011</w:t>
                      </w:r>
                      <w:r>
                        <w:rPr>
                          <w:rFonts w:ascii="宋体" w:hAnsi="宋体" w:cs="宋体" w:eastAsia="宋体" w:hint="default"/>
                          <w:spacing w:val="-55"/>
                          <w:sz w:val="21"/>
                          <w:szCs w:val="21"/>
                        </w:rPr>
                        <w:t> </w:t>
                      </w:r>
                      <w:r>
                        <w:rPr>
                          <w:rFonts w:ascii="宋体" w:hAnsi="宋体" w:cs="宋体" w:eastAsia="宋体" w:hint="default"/>
                          <w:sz w:val="21"/>
                          <w:szCs w:val="21"/>
                        </w:rPr>
                        <w:t>年宏观经济和公司实际经营情况，导致四个募</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312"/>
        <w:jc w:val="both"/>
      </w:pPr>
      <w:r>
        <w:rPr>
          <w:w w:val="95"/>
        </w:rPr>
        <w:t>投项目的投资进度不完全一致，其中医院信息管理系统技术改造项目和营销服务体系建设项目的投资进度</w:t>
      </w:r>
      <w:r>
        <w:rPr>
          <w:spacing w:val="52"/>
          <w:w w:val="95"/>
        </w:rPr>
        <w:t> </w:t>
      </w:r>
      <w:r>
        <w:rPr>
          <w:spacing w:val="52"/>
          <w:w w:val="95"/>
        </w:rPr>
      </w:r>
      <w:r>
        <w:rPr>
          <w:w w:val="95"/>
        </w:rPr>
        <w:t>基本按原计划进行，医技信息管理系统技术改造项目和公共卫生信息系统技术改造项目的投资进度未能达</w:t>
      </w:r>
      <w:r>
        <w:rPr>
          <w:spacing w:val="52"/>
          <w:w w:val="95"/>
        </w:rPr>
        <w:t> </w:t>
      </w:r>
      <w:r>
        <w:rPr>
          <w:spacing w:val="52"/>
          <w:w w:val="95"/>
        </w:rPr>
      </w:r>
      <w:r>
        <w:rPr/>
        <w:t>到原计划进度。</w:t>
      </w:r>
    </w:p>
    <w:p>
      <w:pPr>
        <w:pStyle w:val="Heading4"/>
        <w:spacing w:line="240" w:lineRule="auto" w:before="115"/>
        <w:ind w:right="484"/>
        <w:jc w:val="left"/>
        <w:rPr>
          <w:b w:val="0"/>
          <w:bCs w:val="0"/>
        </w:rPr>
      </w:pPr>
      <w:r>
        <w:rPr/>
        <w:t>（二）公司主营业务及其经营状况分析</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27" w:lineRule="auto"/>
        <w:ind w:left="535" w:right="484" w:firstLine="6"/>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、公司主营业务</w:t>
      </w:r>
      <w:r>
        <w:rPr>
          <w:rFonts w:ascii="Microsoft JhengHei" w:hAnsi="Microsoft JhengHei" w:cs="Microsoft JhengHei" w:eastAsia="Microsoft JhengHei" w:hint="default"/>
          <w:b/>
          <w:bCs/>
          <w:w w:val="99"/>
        </w:rPr>
        <w:t> </w:t>
      </w:r>
      <w:r>
        <w:rPr>
          <w:spacing w:val="-2"/>
          <w:w w:val="95"/>
        </w:rPr>
        <w:t>公司主要从事医疗软件研究开发、销售与技术服务业务，并为医疗卫生行业信息化提供整体解决方案。</w:t>
      </w:r>
      <w:r>
        <w:rPr>
          <w:spacing w:val="-2"/>
        </w:rPr>
      </w:r>
    </w:p>
    <w:p>
      <w:pPr>
        <w:pStyle w:val="BodyText"/>
        <w:spacing w:line="227" w:lineRule="exact"/>
        <w:ind w:right="0"/>
        <w:jc w:val="both"/>
      </w:pPr>
      <w:r>
        <w:rPr>
          <w:spacing w:val="2"/>
          <w:w w:val="99"/>
        </w:rPr>
        <w:t>公司主要服务于医院、卫生院、社区卫生服务中心（</w:t>
      </w:r>
      <w:r>
        <w:rPr>
          <w:w w:val="99"/>
        </w:rPr>
        <w:t>站</w:t>
      </w:r>
      <w:r>
        <w:rPr>
          <w:spacing w:val="-86"/>
        </w:rPr>
        <w:t> </w:t>
      </w:r>
      <w:r>
        <w:rPr>
          <w:spacing w:val="-104"/>
          <w:w w:val="99"/>
        </w:rPr>
        <w:t>）</w:t>
      </w:r>
      <w:r>
        <w:rPr>
          <w:spacing w:val="2"/>
          <w:w w:val="99"/>
        </w:rPr>
        <w:t>、门诊部、疗养院、妇幼保健院、专科疾病防</w:t>
      </w:r>
      <w:r>
        <w:rPr>
          <w:w w:val="99"/>
        </w:rPr>
        <w:t>治</w:t>
      </w:r>
      <w:r>
        <w:rPr/>
      </w:r>
    </w:p>
    <w:p>
      <w:pPr>
        <w:spacing w:line="417" w:lineRule="auto" w:before="116"/>
        <w:ind w:left="535" w:right="484" w:hanging="42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机构、疾病预防控制中心、医学科研机构、各级医疗卫生行政管理机构等医疗卫生机构的信息化市场。</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2、公司主营业务分行业、产品情况表</w:t>
      </w:r>
      <w:r>
        <w:rPr>
          <w:rFonts w:ascii="Microsoft JhengHei" w:hAnsi="Microsoft JhengHei" w:cs="Microsoft JhengHei" w:eastAsia="Microsoft JhengHei" w:hint="default"/>
          <w:sz w:val="21"/>
          <w:szCs w:val="21"/>
        </w:rPr>
      </w:r>
    </w:p>
    <w:p>
      <w:pPr>
        <w:pStyle w:val="Heading4"/>
        <w:spacing w:line="341" w:lineRule="exact"/>
        <w:ind w:right="484"/>
        <w:jc w:val="left"/>
        <w:rPr>
          <w:b w:val="0"/>
          <w:bCs w:val="0"/>
        </w:rPr>
      </w:pPr>
      <w:r>
        <w:rPr/>
        <w:t>（1）公司主营业务分行业情况</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left="0" w:right="312"/>
        <w:jc w:val="right"/>
      </w:pPr>
      <w:r>
        <w:rPr>
          <w:w w:val="95"/>
        </w:rPr>
        <w:t>单位：万元</w:t>
      </w:r>
      <w:r>
        <w:rPr/>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634"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151" w:right="101"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151" w:right="103"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369" w:right="50" w:hanging="315"/>
              <w:jc w:val="left"/>
              <w:rPr>
                <w:rFonts w:ascii="宋体" w:hAnsi="宋体" w:cs="宋体" w:eastAsia="宋体" w:hint="default"/>
                <w:sz w:val="18"/>
                <w:szCs w:val="18"/>
              </w:rPr>
            </w:pPr>
            <w:r>
              <w:rPr>
                <w:rFonts w:ascii="宋体" w:hAnsi="宋体" w:cs="宋体" w:eastAsia="宋体" w:hint="default"/>
                <w:sz w:val="18"/>
                <w:szCs w:val="18"/>
              </w:rPr>
              <w:t>毛利率比上年增 减（%）</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医疗卫生信息化行业</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8" w:right="0"/>
              <w:jc w:val="left"/>
              <w:rPr>
                <w:rFonts w:ascii="宋体" w:hAnsi="宋体" w:cs="宋体" w:eastAsia="宋体" w:hint="default"/>
                <w:sz w:val="18"/>
                <w:szCs w:val="18"/>
              </w:rPr>
            </w:pPr>
            <w:r>
              <w:rPr>
                <w:rFonts w:ascii="宋体"/>
                <w:sz w:val="18"/>
              </w:rPr>
              <w:t>16,991.90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18"/>
                <w:szCs w:val="18"/>
              </w:rPr>
            </w:pPr>
            <w:r>
              <w:rPr>
                <w:rFonts w:ascii="宋体"/>
                <w:sz w:val="18"/>
              </w:rPr>
              <w:t>6,789.02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7" w:right="0"/>
              <w:jc w:val="left"/>
              <w:rPr>
                <w:rFonts w:ascii="宋体" w:hAnsi="宋体" w:cs="宋体" w:eastAsia="宋体" w:hint="default"/>
                <w:sz w:val="18"/>
                <w:szCs w:val="18"/>
              </w:rPr>
            </w:pPr>
            <w:r>
              <w:rPr>
                <w:rFonts w:ascii="宋体"/>
                <w:sz w:val="18"/>
              </w:rPr>
              <w:t>60.05%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7" w:right="0"/>
              <w:jc w:val="left"/>
              <w:rPr>
                <w:rFonts w:ascii="宋体" w:hAnsi="宋体" w:cs="宋体" w:eastAsia="宋体" w:hint="default"/>
                <w:sz w:val="18"/>
                <w:szCs w:val="18"/>
              </w:rPr>
            </w:pPr>
            <w:r>
              <w:rPr>
                <w:rFonts w:ascii="宋体"/>
                <w:sz w:val="18"/>
              </w:rPr>
              <w:t>41.33%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9" w:right="0"/>
              <w:jc w:val="left"/>
              <w:rPr>
                <w:rFonts w:ascii="宋体" w:hAnsi="宋体" w:cs="宋体" w:eastAsia="宋体" w:hint="default"/>
                <w:sz w:val="18"/>
                <w:szCs w:val="18"/>
              </w:rPr>
            </w:pPr>
            <w:r>
              <w:rPr>
                <w:rFonts w:ascii="宋体"/>
                <w:sz w:val="18"/>
              </w:rPr>
              <w:t>34.90%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5" w:right="0"/>
              <w:jc w:val="left"/>
              <w:rPr>
                <w:rFonts w:ascii="宋体" w:hAnsi="宋体" w:cs="宋体" w:eastAsia="宋体" w:hint="default"/>
                <w:sz w:val="18"/>
                <w:szCs w:val="18"/>
              </w:rPr>
            </w:pPr>
            <w:r>
              <w:rPr>
                <w:rFonts w:ascii="宋体"/>
                <w:sz w:val="18"/>
              </w:rPr>
              <w:t>1.91%</w:t>
            </w:r>
          </w:p>
        </w:tc>
      </w:tr>
    </w:tbl>
    <w:p>
      <w:pPr>
        <w:spacing w:line="240" w:lineRule="auto" w:before="1"/>
        <w:rPr>
          <w:rFonts w:ascii="宋体" w:hAnsi="宋体" w:cs="宋体" w:eastAsia="宋体" w:hint="default"/>
          <w:sz w:val="11"/>
          <w:szCs w:val="11"/>
        </w:rPr>
      </w:pPr>
    </w:p>
    <w:p>
      <w:pPr>
        <w:pStyle w:val="BodyText"/>
        <w:spacing w:line="340" w:lineRule="auto" w:before="34"/>
        <w:ind w:right="312" w:firstLine="422"/>
        <w:jc w:val="both"/>
      </w:pPr>
      <w:r>
        <w:rPr>
          <w:w w:val="95"/>
        </w:rPr>
        <w:t>报告期内，公司营业收入较上年同期增长</w:t>
      </w:r>
      <w:r>
        <w:rPr>
          <w:spacing w:val="27"/>
          <w:w w:val="95"/>
        </w:rPr>
        <w:t> </w:t>
      </w:r>
      <w:r>
        <w:rPr>
          <w:w w:val="95"/>
        </w:rPr>
        <w:t>41.33%，主要是受益于新医改等利好政策推动，公司业务拓</w:t>
      </w:r>
      <w:r>
        <w:rPr>
          <w:w w:val="99"/>
        </w:rPr>
        <w:t> </w:t>
      </w:r>
      <w:r>
        <w:rPr>
          <w:w w:val="95"/>
        </w:rPr>
        <w:t>展情况较好；同时，公司不断加大研发投入和新产品的开发推广力度，新产品订单不断增加所致。营业成</w:t>
      </w:r>
      <w:r>
        <w:rPr>
          <w:spacing w:val="52"/>
          <w:w w:val="95"/>
        </w:rPr>
        <w:t> </w:t>
      </w:r>
      <w:r>
        <w:rPr>
          <w:spacing w:val="52"/>
          <w:w w:val="95"/>
        </w:rPr>
      </w:r>
      <w:r>
        <w:rPr/>
        <w:t>本则主要是随营业收入增长而同比上升</w:t>
      </w:r>
      <w:r>
        <w:rPr>
          <w:spacing w:val="-60"/>
        </w:rPr>
        <w:t> </w:t>
      </w:r>
      <w:r>
        <w:rPr/>
        <w:t>34.90%。</w:t>
      </w:r>
    </w:p>
    <w:p>
      <w:pPr>
        <w:pStyle w:val="Heading4"/>
        <w:spacing w:line="240" w:lineRule="auto" w:before="117"/>
        <w:ind w:right="484"/>
        <w:jc w:val="left"/>
        <w:rPr>
          <w:b w:val="0"/>
          <w:bCs w:val="0"/>
        </w:rPr>
      </w:pPr>
      <w:r>
        <w:rPr/>
        <w:t>（2）公司主营业务分产品情况</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left="0" w:right="312"/>
        <w:jc w:val="right"/>
      </w:pPr>
      <w:r>
        <w:rPr>
          <w:w w:val="95"/>
        </w:rPr>
        <w:t>单位：万元</w:t>
      </w:r>
      <w:r>
        <w:rPr/>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634" w:hRule="exact"/>
        </w:trPr>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151" w:right="101"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151" w:right="103"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369" w:right="50" w:hanging="315"/>
              <w:jc w:val="left"/>
              <w:rPr>
                <w:rFonts w:ascii="宋体" w:hAnsi="宋体" w:cs="宋体" w:eastAsia="宋体" w:hint="default"/>
                <w:sz w:val="18"/>
                <w:szCs w:val="18"/>
              </w:rPr>
            </w:pPr>
            <w:r>
              <w:rPr>
                <w:rFonts w:ascii="宋体" w:hAnsi="宋体" w:cs="宋体" w:eastAsia="宋体" w:hint="default"/>
                <w:sz w:val="18"/>
                <w:szCs w:val="18"/>
              </w:rPr>
              <w:t>毛利率比上年增 减（%）</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9,100.49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2,458.49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72.99%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34.05%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58.02%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-4.10%</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4,526.33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3,545.08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21.68%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43.51%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24.18%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12.19%</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3,365.08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785.46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76.66%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61.76%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26.25%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6.57%</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16,991.90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6,789.02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60.05%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41.33%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34.90%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1.91%</w:t>
            </w:r>
          </w:p>
        </w:tc>
      </w:tr>
    </w:tbl>
    <w:p>
      <w:pPr>
        <w:spacing w:line="240" w:lineRule="auto" w:before="4"/>
        <w:rPr>
          <w:rFonts w:ascii="宋体" w:hAnsi="宋体" w:cs="宋体" w:eastAsia="宋体" w:hint="default"/>
          <w:sz w:val="11"/>
          <w:szCs w:val="11"/>
        </w:rPr>
      </w:pPr>
    </w:p>
    <w:p>
      <w:pPr>
        <w:pStyle w:val="BodyText"/>
        <w:spacing w:line="340" w:lineRule="auto" w:before="34"/>
        <w:ind w:right="310" w:firstLine="422"/>
        <w:jc w:val="both"/>
      </w:pPr>
      <w:r>
        <w:rPr>
          <w:w w:val="95"/>
        </w:rPr>
        <w:t>报告期内，主要受益于新医改等利好政策推动，公司软件销售收入较上年同期增长</w:t>
      </w:r>
      <w:r>
        <w:rPr>
          <w:spacing w:val="25"/>
          <w:w w:val="95"/>
        </w:rPr>
        <w:t> </w:t>
      </w:r>
      <w:r>
        <w:rPr>
          <w:w w:val="95"/>
        </w:rPr>
        <w:t>34.05%；硬件销售</w:t>
      </w:r>
      <w:r>
        <w:rPr>
          <w:w w:val="99"/>
        </w:rPr>
        <w:t> </w:t>
      </w:r>
      <w:r>
        <w:rPr/>
        <w:t>收入较上年同期增长</w:t>
      </w:r>
      <w:r>
        <w:rPr>
          <w:spacing w:val="-33"/>
        </w:rPr>
        <w:t> </w:t>
      </w:r>
      <w:r>
        <w:rPr/>
        <w:t>43.51%；技术服务收入较上年同期增长</w:t>
      </w:r>
      <w:r>
        <w:rPr>
          <w:spacing w:val="-29"/>
        </w:rPr>
        <w:t> </w:t>
      </w:r>
      <w:r>
        <w:rPr/>
        <w:t>61.76%。同时，由于公司进一步加大上海地</w:t>
      </w:r>
      <w:r>
        <w:rPr>
          <w:spacing w:val="-100"/>
        </w:rPr>
        <w:t> </w:t>
      </w:r>
      <w:r>
        <w:rPr>
          <w:spacing w:val="-100"/>
        </w:rPr>
      </w:r>
      <w:r>
        <w:rPr/>
        <w:t>区以外市场的开拓力度，使得软件销售业务的营业成本较上年同期增长</w:t>
      </w:r>
      <w:r>
        <w:rPr>
          <w:spacing w:val="-62"/>
        </w:rPr>
        <w:t> </w:t>
      </w:r>
      <w:r>
        <w:rPr>
          <w:spacing w:val="-4"/>
        </w:rPr>
        <w:t>58.02%，毛利率水平略有下降。硬</w:t>
      </w:r>
      <w:r>
        <w:rPr>
          <w:w w:val="99"/>
        </w:rPr>
        <w:t> </w:t>
      </w:r>
      <w:r>
        <w:rPr>
          <w:w w:val="95"/>
        </w:rPr>
        <w:t>件销售业务收入增长较快主要是报告期内公司承接了部分大型医疗信息化项目，其中部分硬件项目包含有</w:t>
      </w:r>
      <w:r>
        <w:rPr>
          <w:spacing w:val="51"/>
          <w:w w:val="95"/>
        </w:rPr>
        <w:t> </w:t>
      </w:r>
      <w:r>
        <w:rPr>
          <w:spacing w:val="51"/>
          <w:w w:val="95"/>
        </w:rPr>
      </w:r>
      <w:r>
        <w:rPr>
          <w:w w:val="95"/>
        </w:rPr>
        <w:t>集成业务，毛利率水平较纯硬件销售要高，综合使得毛利率水平上升较快。技术服务业务收入增长较快的</w:t>
      </w:r>
      <w:r>
        <w:rPr>
          <w:spacing w:val="51"/>
          <w:w w:val="95"/>
        </w:rPr>
        <w:t> </w:t>
      </w:r>
      <w:r>
        <w:rPr>
          <w:spacing w:val="51"/>
          <w:w w:val="95"/>
        </w:rPr>
      </w:r>
      <w:r>
        <w:rPr>
          <w:w w:val="95"/>
        </w:rPr>
        <w:t>主要原因是随着软件完工项目的不断增加，公司加强了客服人员的培训，提高服务质量和水平，使用户体</w:t>
      </w:r>
      <w:r>
        <w:rPr>
          <w:spacing w:val="54"/>
          <w:w w:val="95"/>
        </w:rPr>
        <w:t> </w:t>
      </w:r>
      <w:r>
        <w:rPr>
          <w:spacing w:val="54"/>
          <w:w w:val="95"/>
        </w:rPr>
      </w:r>
      <w:r>
        <w:rPr>
          <w:w w:val="95"/>
        </w:rPr>
        <w:t>验和满意度进一步提升，从而带动了后续技术服务的需求，此外报告期内技术服务项目中包含有部分软件</w:t>
      </w:r>
      <w:r>
        <w:rPr/>
      </w:r>
    </w:p>
    <w:p>
      <w:pPr>
        <w:spacing w:after="0" w:line="340" w:lineRule="auto"/>
        <w:jc w:val="both"/>
        <w:sectPr>
          <w:pgSz w:w="11910" w:h="16840"/>
          <w:pgMar w:header="849" w:footer="976" w:top="1460" w:bottom="1160" w:left="1020" w:right="8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技术开发项目，综合导致技术服务业务收入增长达到</w:t>
                      </w:r>
                      <w:r>
                        <w:rPr>
                          <w:rFonts w:ascii="宋体" w:hAnsi="宋体" w:cs="宋体" w:eastAsia="宋体" w:hint="default"/>
                          <w:spacing w:val="-63"/>
                          <w:sz w:val="21"/>
                          <w:szCs w:val="21"/>
                        </w:rPr>
                        <w:t> </w:t>
                      </w:r>
                      <w:r>
                        <w:rPr>
                          <w:rFonts w:ascii="宋体" w:hAnsi="宋体" w:cs="宋体" w:eastAsia="宋体" w:hint="default"/>
                          <w:sz w:val="21"/>
                          <w:szCs w:val="21"/>
                        </w:rPr>
                        <w:t>61.76%，也使得毛利率水平略有提高。</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319" w:firstLine="422"/>
        <w:jc w:val="left"/>
      </w:pPr>
      <w:r>
        <w:rPr/>
        <w:t>报告期内，公司综合毛利率为</w:t>
      </w:r>
      <w:r>
        <w:rPr>
          <w:spacing w:val="-48"/>
        </w:rPr>
        <w:t> </w:t>
      </w:r>
      <w:r>
        <w:rPr/>
        <w:t>60.05%，较去年同期上升</w:t>
      </w:r>
      <w:r>
        <w:rPr>
          <w:spacing w:val="-49"/>
        </w:rPr>
        <w:t> </w:t>
      </w:r>
      <w:r>
        <w:rPr/>
        <w:t>1.91</w:t>
      </w:r>
      <w:r>
        <w:rPr>
          <w:spacing w:val="-55"/>
        </w:rPr>
        <w:t> </w:t>
      </w:r>
      <w:r>
        <w:rPr/>
        <w:t>个百分点，主要是公司提供的产品和服</w:t>
      </w:r>
      <w:r>
        <w:rPr>
          <w:w w:val="99"/>
        </w:rPr>
        <w:t> </w:t>
      </w:r>
      <w:r>
        <w:rPr/>
        <w:t>务维持了较高的技术含量和较强的市场竞争力。</w:t>
      </w:r>
    </w:p>
    <w:p>
      <w:pPr>
        <w:pStyle w:val="Heading4"/>
        <w:spacing w:line="240" w:lineRule="auto" w:before="117"/>
        <w:ind w:right="484"/>
        <w:jc w:val="left"/>
        <w:rPr>
          <w:b w:val="0"/>
          <w:bCs w:val="0"/>
        </w:rPr>
      </w:pPr>
      <w:r>
        <w:rPr/>
        <w:t>（3）公司主营业务分地区情况</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left="0" w:right="312"/>
        <w:jc w:val="right"/>
      </w:pPr>
      <w:r>
        <w:rPr>
          <w:w w:val="95"/>
        </w:rPr>
        <w:t>单位：万元</w:t>
      </w:r>
      <w:r>
        <w:rPr/>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159"/>
        <w:gridCol w:w="2861"/>
        <w:gridCol w:w="2808"/>
      </w:tblGrid>
      <w:tr>
        <w:trPr>
          <w:trHeight w:val="322" w:hRule="exact"/>
        </w:trPr>
        <w:tc>
          <w:tcPr>
            <w:tcW w:w="41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7,641.30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25.11%</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1,344.85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-7.03%</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2,270.51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196.90%</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1,355.23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73.87%</w:t>
            </w:r>
          </w:p>
        </w:tc>
      </w:tr>
      <w:tr>
        <w:trPr>
          <w:trHeight w:val="324"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12,611.90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38.62%</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888.23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144.51%</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1,696.68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34.40%</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1,795.10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38.20%</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16,991.90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41.33%</w:t>
            </w:r>
          </w:p>
        </w:tc>
      </w:tr>
    </w:tbl>
    <w:p>
      <w:pPr>
        <w:spacing w:line="240" w:lineRule="auto" w:before="4"/>
        <w:rPr>
          <w:rFonts w:ascii="宋体" w:hAnsi="宋体" w:cs="宋体" w:eastAsia="宋体" w:hint="default"/>
          <w:sz w:val="11"/>
          <w:szCs w:val="11"/>
        </w:rPr>
      </w:pPr>
    </w:p>
    <w:p>
      <w:pPr>
        <w:pStyle w:val="BodyText"/>
        <w:spacing w:line="340" w:lineRule="auto" w:before="34"/>
        <w:ind w:right="310" w:firstLine="422"/>
        <w:jc w:val="both"/>
      </w:pPr>
      <w:r>
        <w:rPr>
          <w:w w:val="95"/>
        </w:rPr>
        <w:t>报告期内，公司积极实施“走出去”战略，进一步加大了上海地区以外市场的开拓力度，在上海地区</w:t>
      </w:r>
      <w:r>
        <w:rPr>
          <w:spacing w:val="-93"/>
          <w:w w:val="95"/>
        </w:rPr>
        <w:t> </w:t>
      </w:r>
      <w:r>
        <w:rPr>
          <w:spacing w:val="-93"/>
          <w:w w:val="95"/>
        </w:rPr>
      </w:r>
      <w:r>
        <w:rPr/>
        <w:t>营业收入保持稳步增长的同时，上海地区收入占比由上年的</w:t>
      </w:r>
      <w:r>
        <w:rPr>
          <w:spacing w:val="-15"/>
        </w:rPr>
        <w:t> </w:t>
      </w:r>
      <w:r>
        <w:rPr/>
        <w:t>50.80%下降为</w:t>
      </w:r>
      <w:r>
        <w:rPr>
          <w:spacing w:val="-40"/>
        </w:rPr>
        <w:t> </w:t>
      </w:r>
      <w:r>
        <w:rPr/>
        <w:t>44.97%；安徽、其他华东地区</w:t>
      </w:r>
      <w:r>
        <w:rPr>
          <w:spacing w:val="-100"/>
        </w:rPr>
        <w:t> </w:t>
      </w:r>
      <w:r>
        <w:rPr>
          <w:spacing w:val="-100"/>
        </w:rPr>
      </w:r>
      <w:r>
        <w:rPr>
          <w:w w:val="95"/>
        </w:rPr>
        <w:t>省份的营业收入大幅增长，主要是当地医疗卫生信息化市场需求旺盛，这样使得整个华东地区的营业收入</w:t>
      </w:r>
      <w:r>
        <w:rPr>
          <w:spacing w:val="52"/>
          <w:w w:val="95"/>
        </w:rPr>
        <w:t> </w:t>
      </w:r>
      <w:r>
        <w:rPr>
          <w:spacing w:val="52"/>
          <w:w w:val="95"/>
        </w:rPr>
      </w:r>
      <w:r>
        <w:rPr/>
        <w:t>增长达到</w:t>
      </w:r>
      <w:r>
        <w:rPr>
          <w:spacing w:val="-53"/>
        </w:rPr>
        <w:t> </w:t>
      </w:r>
      <w:r>
        <w:rPr/>
        <w:t>38.62%，同时收入占比也由上年的</w:t>
      </w:r>
      <w:r>
        <w:rPr>
          <w:spacing w:val="-45"/>
        </w:rPr>
        <w:t> </w:t>
      </w:r>
      <w:r>
        <w:rPr/>
        <w:t>75.68%下降为</w:t>
      </w:r>
      <w:r>
        <w:rPr>
          <w:spacing w:val="-53"/>
        </w:rPr>
        <w:t> </w:t>
      </w:r>
      <w:r>
        <w:rPr/>
        <w:t>74.22%；华南地区营业收入大幅增长，主要是</w:t>
      </w:r>
      <w:r>
        <w:rPr>
          <w:w w:val="99"/>
        </w:rPr>
        <w:t> </w:t>
      </w:r>
      <w:r>
        <w:rPr>
          <w:w w:val="95"/>
        </w:rPr>
        <w:t>公司加大了当地市场的开拓力度以及上年同期收入基数较小；华中地区、华北地区营业收入继续保持较快</w:t>
      </w:r>
      <w:r>
        <w:rPr>
          <w:spacing w:val="52"/>
          <w:w w:val="95"/>
        </w:rPr>
        <w:t> </w:t>
      </w:r>
      <w:r>
        <w:rPr>
          <w:spacing w:val="52"/>
          <w:w w:val="95"/>
        </w:rPr>
      </w:r>
      <w:r>
        <w:rPr/>
        <w:t>增长，主要是公司加大了当地市场的开拓力度。</w:t>
      </w:r>
    </w:p>
    <w:p>
      <w:pPr>
        <w:pStyle w:val="Heading4"/>
        <w:spacing w:line="240" w:lineRule="auto" w:before="117"/>
        <w:ind w:right="484"/>
        <w:jc w:val="left"/>
        <w:rPr>
          <w:b w:val="0"/>
          <w:bCs w:val="0"/>
        </w:rPr>
      </w:pPr>
      <w:r>
        <w:rPr/>
        <w:t>3、公司主要客户和供应商情况</w:t>
      </w:r>
      <w:r>
        <w:rPr>
          <w:b w:val="0"/>
          <w:bCs w:val="0"/>
        </w:rPr>
      </w:r>
    </w:p>
    <w:p>
      <w:pPr>
        <w:spacing w:line="240" w:lineRule="auto" w:before="16"/>
        <w:rPr>
          <w:rFonts w:ascii="Microsoft JhengHei" w:hAnsi="Microsoft JhengHei" w:cs="Microsoft JhengHei" w:eastAsia="Microsoft JhengHei" w:hint="default"/>
          <w:b/>
          <w:bCs/>
          <w:sz w:val="12"/>
          <w:szCs w:val="12"/>
        </w:rPr>
      </w:pPr>
    </w:p>
    <w:p>
      <w:pPr>
        <w:pStyle w:val="BodyText"/>
        <w:spacing w:line="240" w:lineRule="auto"/>
        <w:ind w:left="0" w:right="293"/>
        <w:jc w:val="right"/>
      </w:pPr>
      <w:r>
        <w:rPr>
          <w:w w:val="95"/>
        </w:rPr>
        <w:t>单位：万元</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76"/>
        <w:gridCol w:w="2330"/>
        <w:gridCol w:w="1750"/>
        <w:gridCol w:w="1514"/>
        <w:gridCol w:w="2158"/>
      </w:tblGrid>
      <w:tr>
        <w:trPr>
          <w:trHeight w:val="324" w:hRule="exact"/>
        </w:trPr>
        <w:tc>
          <w:tcPr>
            <w:tcW w:w="9828" w:type="dxa"/>
            <w:gridSpan w:val="5"/>
            <w:tcBorders>
              <w:top w:val="single" w:sz="4" w:space="0" w:color="000000"/>
              <w:left w:val="single" w:sz="4" w:space="0" w:color="000000"/>
              <w:bottom w:val="single" w:sz="6" w:space="0" w:color="000000"/>
              <w:right w:val="single" w:sz="4" w:space="0" w:color="000000"/>
            </w:tcBorders>
            <w:shd w:val="clear" w:color="auto" w:fill="DFDFDF"/>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前五名客户情况</w:t>
            </w:r>
          </w:p>
        </w:tc>
      </w:tr>
      <w:tr>
        <w:trPr>
          <w:trHeight w:val="670" w:hRule="exact"/>
        </w:trPr>
        <w:tc>
          <w:tcPr>
            <w:tcW w:w="2076" w:type="dxa"/>
            <w:tcBorders>
              <w:top w:val="single" w:sz="6" w:space="0" w:color="000000"/>
              <w:left w:val="single" w:sz="4" w:space="0" w:color="000000"/>
              <w:bottom w:val="single" w:sz="6" w:space="0" w:color="000000"/>
              <w:right w:val="single" w:sz="6" w:space="0" w:color="000000"/>
            </w:tcBorders>
            <w:shd w:val="clear" w:color="auto" w:fill="DFDFDF"/>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3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75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316" w:lineRule="auto" w:before="27"/>
              <w:ind w:left="283" w:right="144" w:hanging="135"/>
              <w:jc w:val="left"/>
              <w:rPr>
                <w:rFonts w:ascii="宋体" w:hAnsi="宋体" w:cs="宋体" w:eastAsia="宋体" w:hint="default"/>
                <w:sz w:val="18"/>
                <w:szCs w:val="18"/>
              </w:rPr>
            </w:pPr>
            <w:r>
              <w:rPr>
                <w:rFonts w:ascii="宋体" w:hAnsi="宋体" w:cs="宋体" w:eastAsia="宋体" w:hint="default"/>
                <w:sz w:val="18"/>
                <w:szCs w:val="18"/>
              </w:rPr>
              <w:t>占公司年度销售总 额的比例（%）</w:t>
            </w:r>
          </w:p>
        </w:tc>
        <w:tc>
          <w:tcPr>
            <w:tcW w:w="151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2158" w:type="dxa"/>
            <w:tcBorders>
              <w:top w:val="single" w:sz="6" w:space="0" w:color="000000"/>
              <w:left w:val="single" w:sz="6" w:space="0" w:color="000000"/>
              <w:bottom w:val="single" w:sz="6" w:space="0" w:color="000000"/>
              <w:right w:val="single" w:sz="4" w:space="0" w:color="000000"/>
            </w:tcBorders>
            <w:shd w:val="clear" w:color="auto" w:fill="DFDFDF"/>
          </w:tcPr>
          <w:p>
            <w:pPr>
              <w:pStyle w:val="TableParagraph"/>
              <w:spacing w:line="316" w:lineRule="auto" w:before="27"/>
              <w:ind w:left="576" w:right="173" w:hanging="406"/>
              <w:jc w:val="left"/>
              <w:rPr>
                <w:rFonts w:ascii="宋体" w:hAnsi="宋体" w:cs="宋体" w:eastAsia="宋体" w:hint="default"/>
                <w:sz w:val="18"/>
                <w:szCs w:val="18"/>
              </w:rPr>
            </w:pPr>
            <w:r>
              <w:rPr>
                <w:rFonts w:ascii="宋体" w:hAnsi="宋体" w:cs="宋体" w:eastAsia="宋体" w:hint="default"/>
                <w:sz w:val="18"/>
                <w:szCs w:val="18"/>
              </w:rPr>
              <w:t>占公司应收账款总余额 的比例（%）</w:t>
            </w:r>
          </w:p>
        </w:tc>
      </w:tr>
      <w:tr>
        <w:trPr>
          <w:trHeight w:val="610" w:hRule="exact"/>
        </w:trPr>
        <w:tc>
          <w:tcPr>
            <w:tcW w:w="20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前五名客户合计</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宋体" w:hAnsi="宋体" w:cs="宋体" w:eastAsia="宋体" w:hint="default"/>
                <w:sz w:val="18"/>
                <w:szCs w:val="18"/>
              </w:rPr>
            </w:pPr>
            <w:r>
              <w:rPr>
                <w:rFonts w:ascii="宋体"/>
                <w:spacing w:val="-1"/>
                <w:sz w:val="18"/>
              </w:rPr>
              <w:t>3,360.11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宋体" w:hAnsi="宋体" w:cs="宋体" w:eastAsia="宋体" w:hint="default"/>
                <w:sz w:val="18"/>
                <w:szCs w:val="18"/>
              </w:rPr>
            </w:pPr>
            <w:r>
              <w:rPr>
                <w:rFonts w:ascii="宋体"/>
                <w:spacing w:val="-1"/>
                <w:sz w:val="18"/>
              </w:rPr>
              <w:t>19.79%</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宋体" w:hAnsi="宋体" w:cs="宋体" w:eastAsia="宋体" w:hint="default"/>
                <w:sz w:val="18"/>
                <w:szCs w:val="18"/>
              </w:rPr>
            </w:pPr>
            <w:r>
              <w:rPr>
                <w:rFonts w:ascii="宋体"/>
                <w:spacing w:val="-1"/>
                <w:sz w:val="18"/>
              </w:rPr>
              <w:t>1,882.29</w:t>
            </w:r>
          </w:p>
        </w:tc>
        <w:tc>
          <w:tcPr>
            <w:tcW w:w="21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28.37%</w:t>
            </w:r>
          </w:p>
        </w:tc>
      </w:tr>
      <w:tr>
        <w:trPr>
          <w:trHeight w:val="326" w:hRule="exact"/>
        </w:trPr>
        <w:tc>
          <w:tcPr>
            <w:tcW w:w="9828" w:type="dxa"/>
            <w:gridSpan w:val="5"/>
            <w:tcBorders>
              <w:top w:val="single" w:sz="6" w:space="0" w:color="000000"/>
              <w:left w:val="single" w:sz="4" w:space="0" w:color="000000"/>
              <w:bottom w:val="single" w:sz="6" w:space="0" w:color="000000"/>
              <w:right w:val="single" w:sz="4" w:space="0" w:color="000000"/>
            </w:tcBorders>
            <w:shd w:val="clear" w:color="auto" w:fill="DFDFD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前五名供应商情况</w:t>
            </w:r>
          </w:p>
        </w:tc>
      </w:tr>
      <w:tr>
        <w:trPr>
          <w:trHeight w:val="638" w:hRule="exact"/>
        </w:trPr>
        <w:tc>
          <w:tcPr>
            <w:tcW w:w="2076" w:type="dxa"/>
            <w:tcBorders>
              <w:top w:val="single" w:sz="6" w:space="0" w:color="000000"/>
              <w:left w:val="single" w:sz="4" w:space="0" w:color="000000"/>
              <w:bottom w:val="single" w:sz="6" w:space="0" w:color="000000"/>
              <w:right w:val="single" w:sz="6"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3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75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316" w:lineRule="auto" w:before="10"/>
              <w:ind w:left="283" w:right="144" w:hanging="135"/>
              <w:jc w:val="left"/>
              <w:rPr>
                <w:rFonts w:ascii="宋体" w:hAnsi="宋体" w:cs="宋体" w:eastAsia="宋体" w:hint="default"/>
                <w:sz w:val="18"/>
                <w:szCs w:val="18"/>
              </w:rPr>
            </w:pPr>
            <w:r>
              <w:rPr>
                <w:rFonts w:ascii="宋体" w:hAnsi="宋体" w:cs="宋体" w:eastAsia="宋体" w:hint="default"/>
                <w:sz w:val="18"/>
                <w:szCs w:val="18"/>
              </w:rPr>
              <w:t>占公司年度采购总 额的比例（%）</w:t>
            </w:r>
          </w:p>
        </w:tc>
        <w:tc>
          <w:tcPr>
            <w:tcW w:w="151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应付账款余额</w:t>
            </w:r>
          </w:p>
        </w:tc>
        <w:tc>
          <w:tcPr>
            <w:tcW w:w="2158" w:type="dxa"/>
            <w:tcBorders>
              <w:top w:val="single" w:sz="6" w:space="0" w:color="000000"/>
              <w:left w:val="single" w:sz="6" w:space="0" w:color="000000"/>
              <w:bottom w:val="single" w:sz="6" w:space="0" w:color="000000"/>
              <w:right w:val="single" w:sz="4" w:space="0" w:color="000000"/>
            </w:tcBorders>
            <w:shd w:val="clear" w:color="auto" w:fill="DFDFDF"/>
          </w:tcPr>
          <w:p>
            <w:pPr>
              <w:pStyle w:val="TableParagraph"/>
              <w:spacing w:line="316" w:lineRule="auto" w:before="10"/>
              <w:ind w:left="576" w:right="173" w:hanging="406"/>
              <w:jc w:val="left"/>
              <w:rPr>
                <w:rFonts w:ascii="宋体" w:hAnsi="宋体" w:cs="宋体" w:eastAsia="宋体" w:hint="default"/>
                <w:sz w:val="18"/>
                <w:szCs w:val="18"/>
              </w:rPr>
            </w:pPr>
            <w:r>
              <w:rPr>
                <w:rFonts w:ascii="宋体" w:hAnsi="宋体" w:cs="宋体" w:eastAsia="宋体" w:hint="default"/>
                <w:sz w:val="18"/>
                <w:szCs w:val="18"/>
              </w:rPr>
              <w:t>占公司应付账款总余额 的比例（%）</w:t>
            </w:r>
          </w:p>
        </w:tc>
      </w:tr>
      <w:tr>
        <w:trPr>
          <w:trHeight w:val="612" w:hRule="exact"/>
        </w:trPr>
        <w:tc>
          <w:tcPr>
            <w:tcW w:w="207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前五名供应商合计</w:t>
            </w:r>
          </w:p>
        </w:tc>
        <w:tc>
          <w:tcPr>
            <w:tcW w:w="23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pacing w:val="-1"/>
                <w:sz w:val="18"/>
              </w:rPr>
              <w:t>1,744.94</w:t>
            </w:r>
          </w:p>
        </w:tc>
        <w:tc>
          <w:tcPr>
            <w:tcW w:w="17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pacing w:val="-1"/>
                <w:sz w:val="18"/>
              </w:rPr>
              <w:t>28.25%</w:t>
            </w:r>
          </w:p>
        </w:tc>
        <w:tc>
          <w:tcPr>
            <w:tcW w:w="15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pacing w:val="-1"/>
                <w:sz w:val="18"/>
              </w:rPr>
              <w:t>193.67</w:t>
            </w:r>
          </w:p>
        </w:tc>
        <w:tc>
          <w:tcPr>
            <w:tcW w:w="215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3.40%</w:t>
            </w:r>
          </w:p>
        </w:tc>
      </w:tr>
    </w:tbl>
    <w:p>
      <w:pPr>
        <w:spacing w:line="240" w:lineRule="auto" w:before="4"/>
        <w:rPr>
          <w:rFonts w:ascii="宋体" w:hAnsi="宋体" w:cs="宋体" w:eastAsia="宋体" w:hint="default"/>
          <w:sz w:val="11"/>
          <w:szCs w:val="11"/>
        </w:rPr>
      </w:pPr>
    </w:p>
    <w:p>
      <w:pPr>
        <w:pStyle w:val="BodyText"/>
        <w:spacing w:line="340" w:lineRule="auto" w:before="34"/>
        <w:ind w:right="312" w:firstLine="422"/>
        <w:jc w:val="both"/>
      </w:pPr>
      <w:r>
        <w:rPr/>
        <w:t>报告期内，公司不存在向单个客户的销售比例超过总额的</w:t>
      </w:r>
      <w:r>
        <w:rPr>
          <w:spacing w:val="-43"/>
        </w:rPr>
        <w:t> </w:t>
      </w:r>
      <w:r>
        <w:rPr/>
        <w:t>30%或者严重依赖于少数客户的情形。公司</w:t>
      </w:r>
      <w:r>
        <w:rPr>
          <w:w w:val="99"/>
        </w:rPr>
        <w:t> </w:t>
      </w:r>
      <w:r>
        <w:rPr>
          <w:w w:val="95"/>
        </w:rPr>
        <w:t>董事、监事、高级管理人员和核心技术人员及主要关联方或持有公司 5%以上股份的股东在上述客户中未占</w:t>
      </w:r>
      <w:r>
        <w:rPr>
          <w:spacing w:val="-49"/>
          <w:w w:val="95"/>
        </w:rPr>
        <w:t> </w:t>
      </w:r>
      <w:r>
        <w:rPr>
          <w:spacing w:val="-49"/>
          <w:w w:val="95"/>
        </w:rPr>
      </w:r>
      <w:r>
        <w:rPr/>
        <w:t>有任何权益。</w:t>
      </w:r>
    </w:p>
    <w:p>
      <w:pPr>
        <w:spacing w:after="0" w:line="340" w:lineRule="auto"/>
        <w:jc w:val="both"/>
        <w:sectPr>
          <w:footerReference w:type="default" r:id="rId13"/>
          <w:pgSz w:w="11910" w:h="16840"/>
          <w:pgMar w:footer="976" w:header="849" w:top="1460" w:bottom="1160" w:left="1020" w:right="820"/>
          <w:pgNumType w:start="1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报告期内，公司不存在向单个供应商的采购比例超过总额的</w:t>
                      </w:r>
                      <w:r>
                        <w:rPr>
                          <w:rFonts w:ascii="宋体" w:hAnsi="宋体" w:cs="宋体" w:eastAsia="宋体" w:hint="default"/>
                          <w:spacing w:val="-44"/>
                          <w:sz w:val="21"/>
                          <w:szCs w:val="21"/>
                        </w:rPr>
                        <w:t> </w:t>
                      </w:r>
                      <w:r>
                        <w:rPr>
                          <w:rFonts w:ascii="宋体" w:hAnsi="宋体" w:cs="宋体" w:eastAsia="宋体" w:hint="default"/>
                          <w:sz w:val="21"/>
                          <w:szCs w:val="21"/>
                        </w:rPr>
                        <w:t>30%或严重依赖于少数供应商的情形。公</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0"/>
        <w:jc w:val="left"/>
      </w:pPr>
      <w:r>
        <w:rPr>
          <w:w w:val="95"/>
        </w:rPr>
        <w:t>司董事、监事、高级管理人员和核心技术人员及主要关联方或持有公司 5%以上股份的股东在上述供应商中</w:t>
      </w:r>
      <w:r>
        <w:rPr>
          <w:spacing w:val="-46"/>
          <w:w w:val="95"/>
        </w:rPr>
        <w:t> </w:t>
      </w:r>
      <w:r>
        <w:rPr>
          <w:spacing w:val="-46"/>
          <w:w w:val="95"/>
        </w:rPr>
      </w:r>
      <w:r>
        <w:rPr/>
        <w:t>未占有任何权益。</w:t>
      </w:r>
    </w:p>
    <w:p>
      <w:pPr>
        <w:pStyle w:val="Heading4"/>
        <w:spacing w:line="357" w:lineRule="auto" w:before="117"/>
        <w:ind w:right="2530"/>
        <w:jc w:val="left"/>
        <w:rPr>
          <w:b w:val="0"/>
          <w:bCs w:val="0"/>
        </w:rPr>
      </w:pPr>
      <w:r>
        <w:rPr/>
        <w:t>（三）公司报告期内主要财务数据分析</w:t>
      </w:r>
      <w:r>
        <w:rPr>
          <w:w w:val="99"/>
        </w:rPr>
        <w:t> </w:t>
      </w:r>
      <w:r>
        <w:rPr>
          <w:w w:val="95"/>
        </w:rPr>
        <w:t>1、公司主要资产和负债构成及变动分析</w:t>
      </w:r>
      <w:r>
        <w:rPr>
          <w:b w:val="0"/>
          <w:bCs w:val="0"/>
        </w:rPr>
      </w:r>
    </w:p>
    <w:p>
      <w:pPr>
        <w:pStyle w:val="BodyText"/>
        <w:spacing w:line="240" w:lineRule="auto" w:before="87"/>
        <w:ind w:left="0" w:right="353"/>
        <w:jc w:val="right"/>
      </w:pPr>
      <w:r>
        <w:rPr>
          <w:w w:val="95"/>
        </w:rPr>
        <w:t>单位：万元</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64"/>
        <w:gridCol w:w="1099"/>
        <w:gridCol w:w="1099"/>
        <w:gridCol w:w="1027"/>
        <w:gridCol w:w="5210"/>
      </w:tblGrid>
      <w:tr>
        <w:trPr>
          <w:trHeight w:val="350" w:hRule="exact"/>
        </w:trPr>
        <w:tc>
          <w:tcPr>
            <w:tcW w:w="14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27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9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27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2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right="146"/>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521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具体情况及变动原因</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40,592.88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7,468.08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报告期内发行新股及经营积累带来资金增长</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123.14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85.19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44.55%</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收入规模增长</w:t>
            </w:r>
          </w:p>
        </w:tc>
      </w:tr>
      <w:tr>
        <w:trPr>
          <w:trHeight w:val="47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6,118.62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2,736.43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123.60%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收入规模增长及部分医疗卫生管理机构资金预算及付款手续更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为严格</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237.20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&gt;100%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募集资金定期存款利息</w:t>
            </w:r>
          </w:p>
        </w:tc>
      </w:tr>
      <w:tr>
        <w:trPr>
          <w:trHeight w:val="71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2,146.44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690.45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部分增值税即征即退税款 2011</w:t>
            </w:r>
            <w:r>
              <w:rPr>
                <w:rFonts w:ascii="宋体" w:hAnsi="宋体" w:cs="宋体" w:eastAsia="宋体" w:hint="default"/>
                <w:spacing w:val="-61"/>
                <w:sz w:val="18"/>
                <w:szCs w:val="18"/>
              </w:rPr>
              <w:t> </w:t>
            </w:r>
            <w:r>
              <w:rPr>
                <w:rFonts w:ascii="宋体" w:hAnsi="宋体" w:cs="宋体" w:eastAsia="宋体" w:hint="default"/>
                <w:sz w:val="18"/>
                <w:szCs w:val="18"/>
              </w:rPr>
              <w:t>年末尚未实际收到；部分采购未</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2"/>
                <w:sz w:val="18"/>
                <w:szCs w:val="18"/>
              </w:rPr>
              <w:t>及时取得增值税发票而暂估了进项税；业务扩展带来履约及投标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保证金增加</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851.04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35.94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一笔硬件销售合同未履行完毕，形成发出存货</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1,441.47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346.11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募投项目投入及业务增长</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290.32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129.77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123.72%</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应收款项计提坏账准备、预计质保金及应付职工薪酬余额增加</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532.22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79.00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986.95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269.54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1,429.85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1,073.19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33.23%</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441.72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171.11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158.15%</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业务规模扩大及工资水平提高</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187.60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385.21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-51.30%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上期末应交税费余额较大且于报告期内支付所致</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538.56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134.69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部分销售代理费用未到付款条件</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5,350.00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33.75%</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报告期发行新股</w:t>
            </w:r>
          </w:p>
        </w:tc>
      </w:tr>
      <w:tr>
        <w:trPr>
          <w:trHeight w:val="34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33,839.23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1,291.25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报告期发行新股</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1,085.86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620.75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74.93%</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盈利增加影响</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7,532.99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3,568.81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111.08%</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盈利增加影响</w:t>
            </w:r>
          </w:p>
        </w:tc>
      </w:tr>
    </w:tbl>
    <w:p>
      <w:pPr>
        <w:spacing w:line="240" w:lineRule="auto" w:before="4"/>
        <w:rPr>
          <w:rFonts w:ascii="宋体" w:hAnsi="宋体" w:cs="宋体" w:eastAsia="宋体" w:hint="default"/>
          <w:sz w:val="11"/>
          <w:szCs w:val="11"/>
        </w:rPr>
      </w:pPr>
    </w:p>
    <w:p>
      <w:pPr>
        <w:pStyle w:val="Heading4"/>
        <w:spacing w:line="333" w:lineRule="exact"/>
        <w:ind w:right="0"/>
        <w:jc w:val="left"/>
        <w:rPr>
          <w:b w:val="0"/>
          <w:bCs w:val="0"/>
        </w:rPr>
      </w:pPr>
      <w:r>
        <w:rPr/>
        <w:t>2、公司利润表主要构成及变动分析</w:t>
      </w:r>
      <w:r>
        <w:rPr>
          <w:b w:val="0"/>
          <w:bCs w:val="0"/>
        </w:rPr>
      </w:r>
    </w:p>
    <w:p>
      <w:pPr>
        <w:spacing w:line="240" w:lineRule="auto" w:before="16"/>
        <w:rPr>
          <w:rFonts w:ascii="Microsoft JhengHei" w:hAnsi="Microsoft JhengHei" w:cs="Microsoft JhengHei" w:eastAsia="Microsoft JhengHei" w:hint="default"/>
          <w:b/>
          <w:bCs/>
          <w:sz w:val="10"/>
          <w:szCs w:val="10"/>
        </w:rPr>
      </w:pPr>
    </w:p>
    <w:p>
      <w:pPr>
        <w:pStyle w:val="BodyText"/>
        <w:spacing w:line="240" w:lineRule="auto" w:before="34"/>
        <w:ind w:left="0" w:right="353"/>
        <w:jc w:val="right"/>
      </w:pPr>
      <w:r>
        <w:rPr>
          <w:w w:val="95"/>
        </w:rPr>
        <w:t>单位：万元</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64"/>
        <w:gridCol w:w="1099"/>
        <w:gridCol w:w="1099"/>
        <w:gridCol w:w="1027"/>
        <w:gridCol w:w="5210"/>
      </w:tblGrid>
      <w:tr>
        <w:trPr>
          <w:trHeight w:val="350" w:hRule="exact"/>
        </w:trPr>
        <w:tc>
          <w:tcPr>
            <w:tcW w:w="146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27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9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27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2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right="146"/>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521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具体情况及变动原因</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16,991.90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12,022.96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41.33%</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6,789.02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5,032.68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34.90%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358.56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242.69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47.74%</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3,244.91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1,849.01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75.49%</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业务增长带来人工成本、差旅费等费用的增长</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3,309.68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2,064.35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60.33%</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研发投入增长，上市费用影响</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-391.31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-45.34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发行新股募集资金存款利息增加</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345.67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11.30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&gt;200%</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应收款项增长影响</w:t>
            </w:r>
          </w:p>
        </w:tc>
      </w:tr>
    </w:tbl>
    <w:p>
      <w:pPr>
        <w:spacing w:after="0" w:line="240" w:lineRule="auto"/>
        <w:jc w:val="left"/>
        <w:rPr>
          <w:rFonts w:ascii="宋体" w:hAnsi="宋体" w:cs="宋体" w:eastAsia="宋体" w:hint="default"/>
          <w:sz w:val="18"/>
          <w:szCs w:val="18"/>
        </w:rPr>
        <w:sectPr>
          <w:pgSz w:w="11910" w:h="16840"/>
          <w:pgMar w:header="849" w:footer="976" w:top="1460" w:bottom="1160" w:left="1020" w:right="760"/>
        </w:sectPr>
      </w:pPr>
    </w:p>
    <w:p>
      <w:pPr>
        <w:spacing w:line="240" w:lineRule="auto" w:before="11"/>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464"/>
        <w:gridCol w:w="1099"/>
        <w:gridCol w:w="1099"/>
        <w:gridCol w:w="1025"/>
        <w:gridCol w:w="5213"/>
      </w:tblGrid>
      <w:tr>
        <w:trPr>
          <w:trHeight w:val="356" w:hRule="exact"/>
        </w:trPr>
        <w:tc>
          <w:tcPr>
            <w:tcW w:w="1464"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9"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27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99"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27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25"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right="144"/>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5213"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具体情况及变动原因</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1,566.70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1,030.12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pacing w:val="-1"/>
                <w:sz w:val="18"/>
              </w:rPr>
              <w:t>52.09%</w:t>
            </w:r>
          </w:p>
        </w:tc>
        <w:tc>
          <w:tcPr>
            <w:tcW w:w="5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政府补助收入及软件产品增值税即征即退影响</w:t>
            </w:r>
          </w:p>
        </w:tc>
      </w:tr>
      <w:tr>
        <w:trPr>
          <w:trHeight w:val="3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475.62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361.20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pacing w:val="-1"/>
                <w:sz w:val="18"/>
              </w:rPr>
              <w:t>31.68%</w:t>
            </w:r>
          </w:p>
        </w:tc>
        <w:tc>
          <w:tcPr>
            <w:tcW w:w="5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盈利增长影响</w:t>
            </w:r>
          </w:p>
        </w:tc>
      </w:tr>
    </w:tbl>
    <w:p>
      <w:pPr>
        <w:spacing w:line="240" w:lineRule="auto" w:before="4"/>
        <w:rPr>
          <w:rFonts w:ascii="宋体" w:hAnsi="宋体" w:cs="宋体" w:eastAsia="宋体" w:hint="default"/>
          <w:sz w:val="11"/>
          <w:szCs w:val="11"/>
        </w:rPr>
      </w:pPr>
    </w:p>
    <w:p>
      <w:pPr>
        <w:pStyle w:val="Heading4"/>
        <w:spacing w:line="333" w:lineRule="exact"/>
        <w:ind w:left="675" w:right="0"/>
        <w:jc w:val="left"/>
        <w:rPr>
          <w:b w:val="0"/>
          <w:bCs w:val="0"/>
        </w:rPr>
      </w:pPr>
      <w:r>
        <w:rPr/>
        <w:pict>
          <v:group style="position:absolute;margin-left:56.639999pt;margin-top:-61.748127pt;width:63.15pt;height:12.4pt;mso-position-horizontal-relative:page;mso-position-vertical-relative:paragraph;z-index:-634240" coordorigin="1133,-1235" coordsize="1263,248">
            <v:shape style="position:absolute;left:1135;top:-1235;width:797;height:144" type="#_x0000_t75" stroked="false">
              <v:imagedata r:id="rId8" o:title=""/>
            </v:shape>
            <v:shape style="position:absolute;left:1966;top:-1235;width:430;height:101" type="#_x0000_t75" stroked="false">
              <v:imagedata r:id="rId9" o:title=""/>
            </v:shape>
            <v:group style="position:absolute;left:1133;top:-1081;width:1251;height:94" coordorigin="1133,-1081" coordsize="1251,94">
              <v:shape style="position:absolute;left:1133;top:-1081;width:1251;height:94" coordorigin="1133,-1081" coordsize="1251,94" path="m1133,-988l1227,-1003,1312,-1014,1407,-1025,1511,-1036,1646,-1046,1819,-1057,2383,-1081,1133,-988xe" filled="true" fillcolor="#074278" stroked="false">
                <v:path arrowok="t"/>
                <v:fill type="solid"/>
              </v:shape>
            </v:group>
            <w10:wrap type="none"/>
          </v:group>
        </w:pict>
      </w:r>
      <w:r>
        <w:rPr/>
        <w:t>3、主要财务指标</w:t>
      </w:r>
      <w:r>
        <w:rPr>
          <w:b w:val="0"/>
          <w:bCs w:val="0"/>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243" w:type="dxa"/>
        <w:tblLayout w:type="fixed"/>
        <w:tblCellMar>
          <w:top w:w="0" w:type="dxa"/>
          <w:left w:w="0" w:type="dxa"/>
          <w:bottom w:w="0" w:type="dxa"/>
          <w:right w:w="0" w:type="dxa"/>
        </w:tblCellMar>
        <w:tblLook w:val="01E0"/>
      </w:tblPr>
      <w:tblGrid>
        <w:gridCol w:w="1476"/>
        <w:gridCol w:w="2376"/>
        <w:gridCol w:w="2088"/>
        <w:gridCol w:w="1980"/>
        <w:gridCol w:w="1980"/>
      </w:tblGrid>
      <w:tr>
        <w:trPr>
          <w:trHeight w:val="350" w:hRule="exact"/>
        </w:trPr>
        <w:tc>
          <w:tcPr>
            <w:tcW w:w="1476"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2376"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2088"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8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59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8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同比增减变化</w:t>
            </w:r>
          </w:p>
        </w:tc>
      </w:tr>
      <w:tr>
        <w:trPr>
          <w:trHeight w:val="487" w:hRule="exact"/>
        </w:trPr>
        <w:tc>
          <w:tcPr>
            <w:tcW w:w="147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盈利能力</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销售毛利率（%）</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60.05%</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58.14%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1.91%</w:t>
            </w:r>
          </w:p>
        </w:tc>
      </w:tr>
      <w:tr>
        <w:trPr>
          <w:trHeight w:val="350" w:hRule="exact"/>
        </w:trPr>
        <w:tc>
          <w:tcPr>
            <w:tcW w:w="1476" w:type="dxa"/>
            <w:vMerge/>
            <w:tcBorders>
              <w:left w:val="single" w:sz="8" w:space="0" w:color="000000"/>
              <w:bottom w:val="single" w:sz="8" w:space="0" w:color="000000"/>
              <w:right w:val="single" w:sz="8" w:space="0" w:color="000000"/>
            </w:tcBorders>
          </w:tcPr>
          <w:p>
            <w:pP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19.26%</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37.02%</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-17.76%</w:t>
            </w:r>
          </w:p>
        </w:tc>
      </w:tr>
      <w:tr>
        <w:trPr>
          <w:trHeight w:val="350" w:hRule="exact"/>
        </w:trPr>
        <w:tc>
          <w:tcPr>
            <w:tcW w:w="1476"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偿债能力</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流动比率（倍）</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12.23</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z w:val="18"/>
              </w:rPr>
              <w:t>5.34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6.89</w:t>
            </w:r>
          </w:p>
        </w:tc>
      </w:tr>
      <w:tr>
        <w:trPr>
          <w:trHeight w:val="348" w:hRule="exact"/>
        </w:trPr>
        <w:tc>
          <w:tcPr>
            <w:tcW w:w="1476" w:type="dxa"/>
            <w:vMerge/>
            <w:tcBorders>
              <w:left w:val="single" w:sz="8" w:space="0" w:color="000000"/>
              <w:right w:val="single" w:sz="8" w:space="0" w:color="000000"/>
            </w:tcBorders>
          </w:tcPr>
          <w:p>
            <w:pP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速动比率（倍）</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12.02</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z w:val="18"/>
              </w:rPr>
              <w:t>5.32</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6.70</w:t>
            </w:r>
          </w:p>
        </w:tc>
      </w:tr>
      <w:tr>
        <w:trPr>
          <w:trHeight w:val="350" w:hRule="exact"/>
        </w:trPr>
        <w:tc>
          <w:tcPr>
            <w:tcW w:w="1476" w:type="dxa"/>
            <w:vMerge/>
            <w:tcBorders>
              <w:left w:val="single" w:sz="8" w:space="0" w:color="000000"/>
              <w:bottom w:val="single" w:sz="8" w:space="0" w:color="000000"/>
              <w:right w:val="single" w:sz="8" w:space="0" w:color="000000"/>
            </w:tcBorders>
          </w:tcPr>
          <w:p>
            <w:pP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8.28%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19.52%</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-11.24%</w:t>
            </w:r>
          </w:p>
        </w:tc>
      </w:tr>
      <w:tr>
        <w:trPr>
          <w:trHeight w:val="350" w:hRule="exact"/>
        </w:trPr>
        <w:tc>
          <w:tcPr>
            <w:tcW w:w="1476"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营运能力</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存货周转率（%）</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15.31</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37.74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-22.43</w:t>
            </w:r>
          </w:p>
        </w:tc>
      </w:tr>
      <w:tr>
        <w:trPr>
          <w:trHeight w:val="350" w:hRule="exact"/>
        </w:trPr>
        <w:tc>
          <w:tcPr>
            <w:tcW w:w="1476" w:type="dxa"/>
            <w:vMerge/>
            <w:tcBorders>
              <w:left w:val="single" w:sz="8" w:space="0" w:color="000000"/>
              <w:bottom w:val="single" w:sz="8" w:space="0" w:color="000000"/>
              <w:right w:val="single" w:sz="8" w:space="0" w:color="000000"/>
            </w:tcBorders>
          </w:tcPr>
          <w:p>
            <w:pP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应收账款周转次数（次）</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3.84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z w:val="18"/>
              </w:rPr>
              <w:t>4.18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-0.34</w:t>
            </w:r>
          </w:p>
        </w:tc>
      </w:tr>
    </w:tbl>
    <w:p>
      <w:pPr>
        <w:spacing w:line="240" w:lineRule="auto" w:before="9"/>
        <w:rPr>
          <w:rFonts w:ascii="Microsoft JhengHei" w:hAnsi="Microsoft JhengHei" w:cs="Microsoft JhengHei" w:eastAsia="Microsoft JhengHei" w:hint="default"/>
          <w:b/>
          <w:bCs/>
          <w:sz w:val="8"/>
          <w:szCs w:val="8"/>
        </w:rPr>
      </w:pPr>
    </w:p>
    <w:p>
      <w:pPr>
        <w:pStyle w:val="BodyText"/>
        <w:spacing w:line="240" w:lineRule="auto" w:before="34"/>
        <w:ind w:left="675" w:right="0"/>
        <w:jc w:val="left"/>
      </w:pPr>
      <w:r>
        <w:rPr/>
        <w:t>销售毛利率上升</w:t>
      </w:r>
      <w:r>
        <w:rPr>
          <w:spacing w:val="-67"/>
        </w:rPr>
        <w:t> </w:t>
      </w:r>
      <w:r>
        <w:rPr/>
        <w:t>1.91%，主要是公司提供的产品和服务维持了较高的技术含量和较强的市场竞争力。</w:t>
      </w:r>
    </w:p>
    <w:p>
      <w:pPr>
        <w:spacing w:line="240" w:lineRule="auto" w:before="8"/>
        <w:rPr>
          <w:rFonts w:ascii="宋体" w:hAnsi="宋体" w:cs="宋体" w:eastAsia="宋体" w:hint="default"/>
          <w:sz w:val="20"/>
          <w:szCs w:val="20"/>
        </w:rPr>
      </w:pPr>
    </w:p>
    <w:p>
      <w:pPr>
        <w:pStyle w:val="BodyText"/>
        <w:spacing w:line="340" w:lineRule="auto"/>
        <w:ind w:left="252" w:right="399" w:firstLine="422"/>
        <w:jc w:val="left"/>
      </w:pPr>
      <w:r>
        <w:rPr/>
        <w:t>加权平均净资产收益率与上年同期相比下降</w:t>
      </w:r>
      <w:r>
        <w:rPr>
          <w:spacing w:val="-42"/>
        </w:rPr>
        <w:t> </w:t>
      </w:r>
      <w:r>
        <w:rPr/>
        <w:t>17.76%，主要系</w:t>
      </w:r>
      <w:r>
        <w:rPr>
          <w:spacing w:val="-51"/>
        </w:rPr>
        <w:t> </w:t>
      </w:r>
      <w:r>
        <w:rPr/>
        <w:t>2011</w:t>
      </w:r>
      <w:r>
        <w:rPr>
          <w:spacing w:val="-54"/>
        </w:rPr>
        <w:t> </w:t>
      </w:r>
      <w:r>
        <w:rPr/>
        <w:t>年</w:t>
      </w:r>
      <w:r>
        <w:rPr>
          <w:spacing w:val="-53"/>
        </w:rPr>
        <w:t> </w:t>
      </w:r>
      <w:r>
        <w:rPr/>
        <w:t>8</w:t>
      </w:r>
      <w:r>
        <w:rPr>
          <w:spacing w:val="-57"/>
        </w:rPr>
        <w:t> </w:t>
      </w:r>
      <w:r>
        <w:rPr/>
        <w:t>月公司公开发行股票，募集资</w:t>
      </w:r>
      <w:r>
        <w:rPr>
          <w:w w:val="99"/>
        </w:rPr>
        <w:t> </w:t>
      </w:r>
      <w:r>
        <w:rPr/>
        <w:t>金导致净资产大幅增加所致。</w:t>
      </w:r>
    </w:p>
    <w:p>
      <w:pPr>
        <w:spacing w:line="240" w:lineRule="auto" w:before="12"/>
        <w:rPr>
          <w:rFonts w:ascii="宋体" w:hAnsi="宋体" w:cs="宋体" w:eastAsia="宋体" w:hint="default"/>
          <w:sz w:val="13"/>
          <w:szCs w:val="13"/>
        </w:rPr>
      </w:pPr>
    </w:p>
    <w:p>
      <w:pPr>
        <w:pStyle w:val="BodyText"/>
        <w:spacing w:line="340" w:lineRule="auto"/>
        <w:ind w:left="252" w:right="0" w:firstLine="422"/>
        <w:jc w:val="left"/>
      </w:pPr>
      <w:r>
        <w:rPr/>
        <w:t>资产负债率的下降及流动比率、速动比率的上升，主要原因是 2011</w:t>
      </w:r>
      <w:r>
        <w:rPr>
          <w:spacing w:val="-59"/>
        </w:rPr>
        <w:t> </w:t>
      </w:r>
      <w:r>
        <w:rPr/>
        <w:t>年度公司上市，募集资金使流动</w:t>
      </w:r>
      <w:r>
        <w:rPr>
          <w:w w:val="99"/>
        </w:rPr>
        <w:t> </w:t>
      </w:r>
      <w:r>
        <w:rPr/>
        <w:t>资产大幅增长所致。</w:t>
      </w:r>
    </w:p>
    <w:p>
      <w:pPr>
        <w:spacing w:line="240" w:lineRule="auto" w:before="12"/>
        <w:rPr>
          <w:rFonts w:ascii="宋体" w:hAnsi="宋体" w:cs="宋体" w:eastAsia="宋体" w:hint="default"/>
          <w:sz w:val="13"/>
          <w:szCs w:val="13"/>
        </w:rPr>
      </w:pPr>
    </w:p>
    <w:p>
      <w:pPr>
        <w:pStyle w:val="BodyText"/>
        <w:spacing w:line="340" w:lineRule="auto"/>
        <w:ind w:left="252" w:right="0" w:firstLine="422"/>
        <w:jc w:val="left"/>
      </w:pPr>
      <w:r>
        <w:rPr/>
        <w:t>存货周转率下降，主要为 2011</w:t>
      </w:r>
      <w:r>
        <w:rPr>
          <w:spacing w:val="-71"/>
        </w:rPr>
        <w:t> </w:t>
      </w:r>
      <w:r>
        <w:rPr/>
        <w:t>年末有一项硬件业务尚未供货完毕未完成安装调试，形成期末发出存</w:t>
      </w:r>
      <w:r>
        <w:rPr>
          <w:w w:val="99"/>
        </w:rPr>
        <w:t> </w:t>
      </w:r>
      <w:r>
        <w:rPr/>
        <w:t>货；一般情况公司除少量周转材料外，库存量极小。</w:t>
      </w:r>
    </w:p>
    <w:p>
      <w:pPr>
        <w:spacing w:line="240" w:lineRule="auto" w:before="12"/>
        <w:rPr>
          <w:rFonts w:ascii="宋体" w:hAnsi="宋体" w:cs="宋体" w:eastAsia="宋体" w:hint="default"/>
          <w:sz w:val="13"/>
          <w:szCs w:val="13"/>
        </w:rPr>
      </w:pPr>
    </w:p>
    <w:p>
      <w:pPr>
        <w:pStyle w:val="BodyText"/>
        <w:spacing w:line="340" w:lineRule="auto"/>
        <w:ind w:left="252" w:right="0" w:firstLine="422"/>
        <w:jc w:val="left"/>
      </w:pPr>
      <w:r>
        <w:rPr/>
        <w:t>应收账款周转次数下降主要为 2011</w:t>
      </w:r>
      <w:r>
        <w:rPr>
          <w:spacing w:val="-72"/>
        </w:rPr>
        <w:t> </w:t>
      </w:r>
      <w:r>
        <w:rPr/>
        <w:t>年末应收账余额较大，公司将加强应收账款管理，提高资产运营</w:t>
      </w:r>
      <w:r>
        <w:rPr>
          <w:w w:val="99"/>
        </w:rPr>
        <w:t> </w:t>
      </w:r>
      <w:r>
        <w:rPr/>
        <w:t>效率。</w:t>
      </w:r>
    </w:p>
    <w:p>
      <w:pPr>
        <w:spacing w:line="403" w:lineRule="auto" w:before="115"/>
        <w:ind w:left="675" w:right="476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（四）公司报告期内无形资产变化情况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公司无形资产主要包括商标、域名、软件著作权等。</w:t>
      </w:r>
    </w:p>
    <w:p>
      <w:pPr>
        <w:pStyle w:val="BodyText"/>
        <w:spacing w:line="340" w:lineRule="auto" w:before="127"/>
        <w:ind w:left="252" w:right="0" w:firstLine="422"/>
        <w:jc w:val="left"/>
      </w:pPr>
      <w:r>
        <w:rPr/>
        <w:t>截至</w:t>
      </w:r>
      <w:r>
        <w:rPr>
          <w:spacing w:val="-58"/>
        </w:rPr>
        <w:t> </w:t>
      </w:r>
      <w:r>
        <w:rPr/>
        <w:t>2011</w:t>
      </w:r>
      <w:r>
        <w:rPr>
          <w:spacing w:val="-57"/>
        </w:rPr>
        <w:t> </w:t>
      </w:r>
      <w:r>
        <w:rPr/>
        <w:t>年</w:t>
      </w:r>
      <w:r>
        <w:rPr>
          <w:spacing w:val="-53"/>
        </w:rPr>
        <w:t> </w:t>
      </w:r>
      <w:r>
        <w:rPr/>
        <w:t>12</w:t>
      </w:r>
      <w:r>
        <w:rPr>
          <w:spacing w:val="-57"/>
        </w:rPr>
        <w:t> </w:t>
      </w:r>
      <w:r>
        <w:rPr/>
        <w:t>月</w:t>
      </w:r>
      <w:r>
        <w:rPr>
          <w:spacing w:val="-53"/>
        </w:rPr>
        <w:t> </w:t>
      </w:r>
      <w:r>
        <w:rPr/>
        <w:t>31</w:t>
      </w:r>
      <w:r>
        <w:rPr>
          <w:spacing w:val="-57"/>
        </w:rPr>
        <w:t> </w:t>
      </w:r>
      <w:r>
        <w:rPr>
          <w:spacing w:val="-5"/>
        </w:rPr>
        <w:t>日，公司无形资产原值为</w:t>
      </w:r>
      <w:r>
        <w:rPr>
          <w:spacing w:val="-53"/>
        </w:rPr>
        <w:t> </w:t>
      </w:r>
      <w:r>
        <w:rPr/>
        <w:t>46.49</w:t>
      </w:r>
      <w:r>
        <w:rPr>
          <w:spacing w:val="-54"/>
        </w:rPr>
        <w:t> </w:t>
      </w:r>
      <w:r>
        <w:rPr>
          <w:spacing w:val="-7"/>
        </w:rPr>
        <w:t>万元，累计摊销为</w:t>
      </w:r>
      <w:r>
        <w:rPr>
          <w:spacing w:val="-56"/>
        </w:rPr>
        <w:t> </w:t>
      </w:r>
      <w:r>
        <w:rPr/>
        <w:t>7.19</w:t>
      </w:r>
      <w:r>
        <w:rPr>
          <w:spacing w:val="-57"/>
        </w:rPr>
        <w:t> </w:t>
      </w:r>
      <w:r>
        <w:rPr>
          <w:spacing w:val="-7"/>
        </w:rPr>
        <w:t>万元，账面价值为</w:t>
      </w:r>
      <w:r>
        <w:rPr>
          <w:spacing w:val="-53"/>
        </w:rPr>
        <w:t> </w:t>
      </w:r>
      <w:r>
        <w:rPr/>
        <w:t>39.30</w:t>
      </w:r>
      <w:r>
        <w:rPr>
          <w:w w:val="99"/>
        </w:rPr>
        <w:t> </w:t>
      </w:r>
      <w:r>
        <w:rPr/>
        <w:t>万元，主要系购入的办公软件和财务软件。</w:t>
      </w:r>
    </w:p>
    <w:p>
      <w:pPr>
        <w:spacing w:line="403" w:lineRule="auto" w:before="115"/>
        <w:ind w:left="675" w:right="56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1、商标</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本公司国内注册商标已注册成功情况如下：</w:t>
      </w:r>
    </w:p>
    <w:p>
      <w:pPr>
        <w:spacing w:line="240" w:lineRule="auto" w:before="12"/>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530"/>
        <w:gridCol w:w="1025"/>
        <w:gridCol w:w="672"/>
        <w:gridCol w:w="1442"/>
        <w:gridCol w:w="4296"/>
        <w:gridCol w:w="1961"/>
      </w:tblGrid>
      <w:tr>
        <w:trPr>
          <w:trHeight w:val="475" w:hRule="exact"/>
        </w:trPr>
        <w:tc>
          <w:tcPr>
            <w:tcW w:w="53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sz w:val="18"/>
                <w:szCs w:val="18"/>
              </w:rPr>
              <w:t>序</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2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06" w:lineRule="exact"/>
              <w:ind w:left="237" w:right="0" w:hanging="46"/>
              <w:jc w:val="left"/>
              <w:rPr>
                <w:rFonts w:ascii="宋体" w:hAnsi="宋体" w:cs="宋体" w:eastAsia="宋体" w:hint="default"/>
                <w:sz w:val="18"/>
                <w:szCs w:val="18"/>
              </w:rPr>
            </w:pPr>
            <w:r>
              <w:rPr>
                <w:rFonts w:ascii="宋体" w:hAnsi="宋体" w:cs="宋体" w:eastAsia="宋体" w:hint="default"/>
                <w:sz w:val="18"/>
                <w:szCs w:val="18"/>
              </w:rPr>
              <w:t>注册号/</w:t>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6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类号</w:t>
            </w:r>
          </w:p>
        </w:tc>
        <w:tc>
          <w:tcPr>
            <w:tcW w:w="144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42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商品/服务</w:t>
            </w:r>
          </w:p>
        </w:tc>
        <w:tc>
          <w:tcPr>
            <w:tcW w:w="19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525" w:right="0"/>
              <w:jc w:val="left"/>
              <w:rPr>
                <w:rFonts w:ascii="宋体" w:hAnsi="宋体" w:cs="宋体" w:eastAsia="宋体" w:hint="default"/>
                <w:sz w:val="18"/>
                <w:szCs w:val="18"/>
              </w:rPr>
            </w:pPr>
            <w:r>
              <w:rPr>
                <w:rFonts w:ascii="宋体" w:hAnsi="宋体" w:cs="宋体" w:eastAsia="宋体" w:hint="default"/>
                <w:sz w:val="18"/>
                <w:szCs w:val="18"/>
              </w:rPr>
              <w:t>注册有效期</w:t>
            </w:r>
          </w:p>
        </w:tc>
      </w:tr>
      <w:tr>
        <w:trPr>
          <w:trHeight w:val="239" w:hRule="exact"/>
        </w:trPr>
        <w:tc>
          <w:tcPr>
            <w:tcW w:w="530"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792" w:lineRule="exact"/>
              <w:ind w:left="194"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664955" cy="50291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664955" cy="502919"/>
                          </a:xfrm>
                          <a:prstGeom prst="rect">
                            <a:avLst/>
                          </a:prstGeom>
                        </pic:spPr>
                      </pic:pic>
                    </a:graphicData>
                  </a:graphic>
                </wp:inline>
              </w:drawing>
            </w:r>
            <w:r>
              <w:rPr>
                <w:rFonts w:ascii="宋体" w:hAnsi="宋体" w:cs="宋体" w:eastAsia="宋体" w:hint="default"/>
                <w:position w:val="-15"/>
                <w:sz w:val="20"/>
                <w:szCs w:val="20"/>
              </w:rPr>
            </w:r>
          </w:p>
        </w:tc>
        <w:tc>
          <w:tcPr>
            <w:tcW w:w="429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计算机编程；计算机软件设计；计算机软件更新；计</w:t>
            </w:r>
          </w:p>
        </w:tc>
        <w:tc>
          <w:tcPr>
            <w:tcW w:w="1961"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92" w:right="0"/>
              <w:jc w:val="left"/>
              <w:rPr>
                <w:rFonts w:ascii="宋体" w:hAnsi="宋体" w:cs="宋体" w:eastAsia="宋体" w:hint="default"/>
                <w:sz w:val="18"/>
                <w:szCs w:val="18"/>
              </w:rPr>
            </w:pPr>
            <w:r>
              <w:rPr>
                <w:rFonts w:ascii="宋体"/>
                <w:sz w:val="18"/>
              </w:rPr>
              <w:t>7214138</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42</w:t>
            </w:r>
          </w:p>
        </w:tc>
        <w:tc>
          <w:tcPr>
            <w:tcW w:w="1442" w:type="dxa"/>
            <w:vMerge/>
            <w:tcBorders>
              <w:left w:val="single" w:sz="4" w:space="0" w:color="000000"/>
              <w:right w:val="single" w:sz="4" w:space="0" w:color="000000"/>
            </w:tcBorders>
          </w:tcPr>
          <w:p>
            <w:pPr/>
          </w:p>
        </w:tc>
        <w:tc>
          <w:tcPr>
            <w:tcW w:w="429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算机软件升级；计算机软件出租；计算机软件维护；</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计算机系统设计；计算机程序复制；把有形的数据和</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37" w:hRule="exact"/>
        </w:trPr>
        <w:tc>
          <w:tcPr>
            <w:tcW w:w="530"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4296"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文件转换成电子媒体；替他人创建和维护网站；计算</w:t>
            </w:r>
          </w:p>
        </w:tc>
        <w:tc>
          <w:tcPr>
            <w:tcW w:w="196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49" w:footer="976" w:top="1460" w:bottom="1160" w:left="880" w:right="740"/>
        </w:sectPr>
      </w:pPr>
    </w:p>
    <w:p>
      <w:pPr>
        <w:spacing w:line="240" w:lineRule="auto" w:before="11"/>
        <w:rPr>
          <w:rFonts w:ascii="宋体" w:hAnsi="宋体" w:cs="宋体" w:eastAsia="宋体" w:hint="default"/>
          <w:sz w:val="2"/>
          <w:szCs w:val="2"/>
        </w:rPr>
      </w:pPr>
      <w:r>
        <w:rPr/>
        <w:pict>
          <v:group style="position:absolute;margin-left:56.639999pt;margin-top:75.120026pt;width:63.15pt;height:12.4pt;mso-position-horizontal-relative:page;mso-position-vertical-relative:page;z-index:-634216"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43" w:type="dxa"/>
        <w:tblLayout w:type="fixed"/>
        <w:tblCellMar>
          <w:top w:w="0" w:type="dxa"/>
          <w:left w:w="0" w:type="dxa"/>
          <w:bottom w:w="0" w:type="dxa"/>
          <w:right w:w="0" w:type="dxa"/>
        </w:tblCellMar>
        <w:tblLook w:val="01E0"/>
      </w:tblPr>
      <w:tblGrid>
        <w:gridCol w:w="528"/>
        <w:gridCol w:w="1027"/>
        <w:gridCol w:w="672"/>
        <w:gridCol w:w="1440"/>
        <w:gridCol w:w="4298"/>
        <w:gridCol w:w="1961"/>
      </w:tblGrid>
      <w:tr>
        <w:trPr>
          <w:trHeight w:val="484" w:hRule="exact"/>
        </w:trPr>
        <w:tc>
          <w:tcPr>
            <w:tcW w:w="52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sz w:val="18"/>
                <w:szCs w:val="18"/>
              </w:rPr>
              <w:t>序</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27"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06" w:lineRule="exact"/>
              <w:ind w:left="240" w:right="0" w:hanging="46"/>
              <w:jc w:val="left"/>
              <w:rPr>
                <w:rFonts w:ascii="宋体" w:hAnsi="宋体" w:cs="宋体" w:eastAsia="宋体" w:hint="default"/>
                <w:sz w:val="18"/>
                <w:szCs w:val="18"/>
              </w:rPr>
            </w:pPr>
            <w:r>
              <w:rPr>
                <w:rFonts w:ascii="宋体" w:hAnsi="宋体" w:cs="宋体" w:eastAsia="宋体" w:hint="default"/>
                <w:sz w:val="18"/>
                <w:szCs w:val="18"/>
              </w:rPr>
              <w:t>注册号/</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672"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类号</w:t>
            </w:r>
          </w:p>
        </w:tc>
        <w:tc>
          <w:tcPr>
            <w:tcW w:w="1440"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429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商品/服务</w:t>
            </w:r>
          </w:p>
        </w:tc>
        <w:tc>
          <w:tcPr>
            <w:tcW w:w="1961"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525" w:right="0"/>
              <w:jc w:val="left"/>
              <w:rPr>
                <w:rFonts w:ascii="宋体" w:hAnsi="宋体" w:cs="宋体" w:eastAsia="宋体" w:hint="default"/>
                <w:sz w:val="18"/>
                <w:szCs w:val="18"/>
              </w:rPr>
            </w:pPr>
            <w:r>
              <w:rPr>
                <w:rFonts w:ascii="宋体" w:hAnsi="宋体" w:cs="宋体" w:eastAsia="宋体" w:hint="default"/>
                <w:sz w:val="18"/>
                <w:szCs w:val="18"/>
              </w:rPr>
              <w:t>注册有效期</w:t>
            </w:r>
          </w:p>
        </w:tc>
      </w:tr>
      <w:tr>
        <w:trPr>
          <w:trHeight w:val="476" w:hRule="exact"/>
        </w:trPr>
        <w:tc>
          <w:tcPr>
            <w:tcW w:w="52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2"/>
                <w:sz w:val="18"/>
                <w:szCs w:val="18"/>
              </w:rPr>
              <w:t>机</w:t>
            </w:r>
            <w:r>
              <w:rPr>
                <w:rFonts w:ascii="宋体" w:hAnsi="宋体" w:cs="宋体" w:eastAsia="宋体" w:hint="default"/>
                <w:sz w:val="18"/>
                <w:szCs w:val="18"/>
              </w:rPr>
              <w:t>程</w:t>
            </w:r>
            <w:r>
              <w:rPr>
                <w:rFonts w:ascii="宋体" w:hAnsi="宋体" w:cs="宋体" w:eastAsia="宋体" w:hint="default"/>
                <w:spacing w:val="2"/>
                <w:sz w:val="18"/>
                <w:szCs w:val="18"/>
              </w:rPr>
              <w:t>序</w:t>
            </w:r>
            <w:r>
              <w:rPr>
                <w:rFonts w:ascii="宋体" w:hAnsi="宋体" w:cs="宋体" w:eastAsia="宋体" w:hint="default"/>
                <w:sz w:val="18"/>
                <w:szCs w:val="18"/>
              </w:rPr>
              <w:t>和</w:t>
            </w:r>
            <w:r>
              <w:rPr>
                <w:rFonts w:ascii="宋体" w:hAnsi="宋体" w:cs="宋体" w:eastAsia="宋体" w:hint="default"/>
                <w:spacing w:val="2"/>
                <w:sz w:val="18"/>
                <w:szCs w:val="18"/>
              </w:rPr>
              <w:t>数</w:t>
            </w:r>
            <w:r>
              <w:rPr>
                <w:rFonts w:ascii="宋体" w:hAnsi="宋体" w:cs="宋体" w:eastAsia="宋体" w:hint="default"/>
                <w:sz w:val="18"/>
                <w:szCs w:val="18"/>
              </w:rPr>
              <w:t>据</w:t>
            </w:r>
            <w:r>
              <w:rPr>
                <w:rFonts w:ascii="宋体" w:hAnsi="宋体" w:cs="宋体" w:eastAsia="宋体" w:hint="default"/>
                <w:spacing w:val="2"/>
                <w:sz w:val="18"/>
                <w:szCs w:val="18"/>
              </w:rPr>
              <w:t>的</w:t>
            </w:r>
            <w:r>
              <w:rPr>
                <w:rFonts w:ascii="宋体" w:hAnsi="宋体" w:cs="宋体" w:eastAsia="宋体" w:hint="default"/>
                <w:sz w:val="18"/>
                <w:szCs w:val="18"/>
              </w:rPr>
              <w:t>转</w:t>
            </w:r>
            <w:r>
              <w:rPr>
                <w:rFonts w:ascii="宋体" w:hAnsi="宋体" w:cs="宋体" w:eastAsia="宋体" w:hint="default"/>
                <w:spacing w:val="2"/>
                <w:sz w:val="18"/>
                <w:szCs w:val="18"/>
              </w:rPr>
              <w:t>换</w:t>
            </w:r>
            <w:r>
              <w:rPr>
                <w:rFonts w:ascii="宋体" w:hAnsi="宋体" w:cs="宋体" w:eastAsia="宋体" w:hint="default"/>
                <w:sz w:val="18"/>
                <w:szCs w:val="18"/>
              </w:rPr>
              <w:t>（</w:t>
            </w:r>
            <w:r>
              <w:rPr>
                <w:rFonts w:ascii="宋体" w:hAnsi="宋体" w:cs="宋体" w:eastAsia="宋体" w:hint="default"/>
                <w:spacing w:val="2"/>
                <w:sz w:val="18"/>
                <w:szCs w:val="18"/>
              </w:rPr>
              <w:t>非</w:t>
            </w:r>
            <w:r>
              <w:rPr>
                <w:rFonts w:ascii="宋体" w:hAnsi="宋体" w:cs="宋体" w:eastAsia="宋体" w:hint="default"/>
                <w:sz w:val="18"/>
                <w:szCs w:val="18"/>
              </w:rPr>
              <w:t>有</w:t>
            </w:r>
            <w:r>
              <w:rPr>
                <w:rFonts w:ascii="宋体" w:hAnsi="宋体" w:cs="宋体" w:eastAsia="宋体" w:hint="default"/>
                <w:spacing w:val="2"/>
                <w:sz w:val="18"/>
                <w:szCs w:val="18"/>
              </w:rPr>
              <w:t>形</w:t>
            </w:r>
            <w:r>
              <w:rPr>
                <w:rFonts w:ascii="宋体" w:hAnsi="宋体" w:cs="宋体" w:eastAsia="宋体" w:hint="default"/>
                <w:sz w:val="18"/>
                <w:szCs w:val="18"/>
              </w:rPr>
              <w:t>转</w:t>
            </w:r>
            <w:r>
              <w:rPr>
                <w:rFonts w:ascii="宋体" w:hAnsi="宋体" w:cs="宋体" w:eastAsia="宋体" w:hint="default"/>
                <w:spacing w:val="4"/>
                <w:sz w:val="18"/>
                <w:szCs w:val="18"/>
              </w:rPr>
              <w:t>换</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计</w:t>
            </w:r>
            <w:r>
              <w:rPr>
                <w:rFonts w:ascii="宋体" w:hAnsi="宋体" w:cs="宋体" w:eastAsia="宋体" w:hint="default"/>
                <w:spacing w:val="2"/>
                <w:sz w:val="18"/>
                <w:szCs w:val="18"/>
              </w:rPr>
              <w:t>算</w:t>
            </w:r>
            <w:r>
              <w:rPr>
                <w:rFonts w:ascii="宋体" w:hAnsi="宋体" w:cs="宋体" w:eastAsia="宋体" w:hint="default"/>
                <w:sz w:val="18"/>
                <w:szCs w:val="18"/>
              </w:rPr>
              <w:t>机</w:t>
            </w:r>
            <w:r>
              <w:rPr>
                <w:rFonts w:ascii="宋体" w:hAnsi="宋体" w:cs="宋体" w:eastAsia="宋体" w:hint="default"/>
                <w:spacing w:val="2"/>
                <w:sz w:val="18"/>
                <w:szCs w:val="18"/>
              </w:rPr>
              <w:t>软</w:t>
            </w:r>
            <w:r>
              <w:rPr>
                <w:rFonts w:ascii="宋体" w:hAnsi="宋体" w:cs="宋体" w:eastAsia="宋体" w:hint="default"/>
                <w:sz w:val="18"/>
                <w:szCs w:val="18"/>
              </w:rPr>
              <w:t>件咨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询；计算机系统分析</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sz w:val="18"/>
              </w:rPr>
              <w:t>7711872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5"/>
                <w:szCs w:val="5"/>
              </w:rPr>
            </w:pPr>
          </w:p>
          <w:p>
            <w:pPr>
              <w:pStyle w:val="TableParagraph"/>
              <w:spacing w:line="803" w:lineRule="exact"/>
              <w:ind w:left="218"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637315" cy="510158"/>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4" cstate="print"/>
                          <a:stretch>
                            <a:fillRect/>
                          </a:stretch>
                        </pic:blipFill>
                        <pic:spPr>
                          <a:xfrm>
                            <a:off x="0" y="0"/>
                            <a:ext cx="637315" cy="510158"/>
                          </a:xfrm>
                          <a:prstGeom prst="rect">
                            <a:avLst/>
                          </a:prstGeom>
                        </pic:spPr>
                      </pic:pic>
                    </a:graphicData>
                  </a:graphic>
                </wp:inline>
              </w:drawing>
            </w:r>
            <w:r>
              <w:rPr>
                <w:rFonts w:ascii="宋体" w:hAnsi="宋体" w:cs="宋体" w:eastAsia="宋体" w:hint="default"/>
                <w:position w:val="-15"/>
                <w:sz w:val="20"/>
                <w:szCs w:val="20"/>
              </w:rPr>
            </w:r>
          </w:p>
        </w:tc>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计算机编程；计算机软件设计；计算机软件升级；计</w:t>
            </w:r>
          </w:p>
          <w:p>
            <w:pPr>
              <w:pStyle w:val="TableParagraph"/>
              <w:spacing w:line="232" w:lineRule="exact" w:before="23"/>
              <w:ind w:left="105" w:right="101"/>
              <w:jc w:val="both"/>
              <w:rPr>
                <w:rFonts w:ascii="宋体" w:hAnsi="宋体" w:cs="宋体" w:eastAsia="宋体" w:hint="default"/>
                <w:sz w:val="18"/>
                <w:szCs w:val="18"/>
              </w:rPr>
            </w:pPr>
            <w:r>
              <w:rPr>
                <w:rFonts w:ascii="宋体" w:hAnsi="宋体" w:cs="宋体" w:eastAsia="宋体" w:hint="default"/>
                <w:w w:val="95"/>
                <w:sz w:val="18"/>
                <w:szCs w:val="18"/>
              </w:rPr>
              <w:t>算机硬件咨询；计算机软件出租；计算机软件维护；</w:t>
            </w:r>
            <w:r>
              <w:rPr>
                <w:rFonts w:ascii="宋体" w:hAnsi="宋体" w:cs="宋体" w:eastAsia="宋体" w:hint="default"/>
                <w:spacing w:val="60"/>
                <w:w w:val="95"/>
                <w:sz w:val="18"/>
                <w:szCs w:val="18"/>
              </w:rPr>
              <w:t> </w:t>
            </w:r>
            <w:r>
              <w:rPr>
                <w:rFonts w:ascii="宋体" w:hAnsi="宋体" w:cs="宋体" w:eastAsia="宋体" w:hint="default"/>
                <w:spacing w:val="60"/>
                <w:w w:val="95"/>
                <w:sz w:val="18"/>
                <w:szCs w:val="18"/>
              </w:rPr>
            </w:r>
            <w:r>
              <w:rPr>
                <w:rFonts w:ascii="宋体" w:hAnsi="宋体" w:cs="宋体" w:eastAsia="宋体" w:hint="default"/>
                <w:spacing w:val="-3"/>
                <w:sz w:val="18"/>
                <w:szCs w:val="18"/>
              </w:rPr>
              <w:t>计算机系统设计；计算机软件的安装；计算机程序和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数据的数据转换（非有形转换）；计算机软件咨询</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34" w:lineRule="exact"/>
              <w:ind w:left="278"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w:t>
            </w:r>
          </w:p>
        </w:tc>
      </w:tr>
      <w:tr>
        <w:trPr>
          <w:trHeight w:val="1176" w:hRule="exact"/>
        </w:trPr>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sz w:val="18"/>
              </w:rPr>
              <w:t>7711873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966" w:lineRule="exact"/>
              <w:ind w:left="237" w:right="0"/>
              <w:jc w:val="left"/>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614951" cy="613409"/>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5" cstate="print"/>
                          <a:stretch>
                            <a:fillRect/>
                          </a:stretch>
                        </pic:blipFill>
                        <pic:spPr>
                          <a:xfrm>
                            <a:off x="0" y="0"/>
                            <a:ext cx="614951" cy="613409"/>
                          </a:xfrm>
                          <a:prstGeom prst="rect">
                            <a:avLst/>
                          </a:prstGeom>
                        </pic:spPr>
                      </pic:pic>
                    </a:graphicData>
                  </a:graphic>
                </wp:inline>
              </w:drawing>
            </w:r>
            <w:r>
              <w:rPr>
                <w:rFonts w:ascii="宋体" w:hAnsi="宋体" w:cs="宋体" w:eastAsia="宋体" w:hint="default"/>
                <w:position w:val="-18"/>
                <w:sz w:val="20"/>
                <w:szCs w:val="20"/>
              </w:rPr>
            </w:r>
          </w:p>
        </w:tc>
        <w:tc>
          <w:tcPr>
            <w:tcW w:w="42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pacing w:val="2"/>
                <w:sz w:val="18"/>
                <w:szCs w:val="18"/>
              </w:rPr>
              <w:t>已</w:t>
            </w:r>
            <w:r>
              <w:rPr>
                <w:rFonts w:ascii="宋体" w:hAnsi="宋体" w:cs="宋体" w:eastAsia="宋体" w:hint="default"/>
                <w:sz w:val="18"/>
                <w:szCs w:val="18"/>
              </w:rPr>
              <w:t>录</w:t>
            </w:r>
            <w:r>
              <w:rPr>
                <w:rFonts w:ascii="宋体" w:hAnsi="宋体" w:cs="宋体" w:eastAsia="宋体" w:hint="default"/>
                <w:spacing w:val="2"/>
                <w:sz w:val="18"/>
                <w:szCs w:val="18"/>
              </w:rPr>
              <w:t>制</w:t>
            </w:r>
            <w:r>
              <w:rPr>
                <w:rFonts w:ascii="宋体" w:hAnsi="宋体" w:cs="宋体" w:eastAsia="宋体" w:hint="default"/>
                <w:sz w:val="18"/>
                <w:szCs w:val="18"/>
              </w:rPr>
              <w:t>的</w:t>
            </w:r>
            <w:r>
              <w:rPr>
                <w:rFonts w:ascii="宋体" w:hAnsi="宋体" w:cs="宋体" w:eastAsia="宋体" w:hint="default"/>
                <w:spacing w:val="2"/>
                <w:sz w:val="18"/>
                <w:szCs w:val="18"/>
              </w:rPr>
              <w:t>计</w:t>
            </w:r>
            <w:r>
              <w:rPr>
                <w:rFonts w:ascii="宋体" w:hAnsi="宋体" w:cs="宋体" w:eastAsia="宋体" w:hint="default"/>
                <w:sz w:val="18"/>
                <w:szCs w:val="18"/>
              </w:rPr>
              <w:t>算</w:t>
            </w:r>
            <w:r>
              <w:rPr>
                <w:rFonts w:ascii="宋体" w:hAnsi="宋体" w:cs="宋体" w:eastAsia="宋体" w:hint="default"/>
                <w:spacing w:val="2"/>
                <w:sz w:val="18"/>
                <w:szCs w:val="18"/>
              </w:rPr>
              <w:t>机</w:t>
            </w:r>
            <w:r>
              <w:rPr>
                <w:rFonts w:ascii="宋体" w:hAnsi="宋体" w:cs="宋体" w:eastAsia="宋体" w:hint="default"/>
                <w:sz w:val="18"/>
                <w:szCs w:val="18"/>
              </w:rPr>
              <w:t>程</w:t>
            </w:r>
            <w:r>
              <w:rPr>
                <w:rFonts w:ascii="宋体" w:hAnsi="宋体" w:cs="宋体" w:eastAsia="宋体" w:hint="default"/>
                <w:spacing w:val="2"/>
                <w:sz w:val="18"/>
                <w:szCs w:val="18"/>
              </w:rPr>
              <w:t>序</w:t>
            </w:r>
            <w:r>
              <w:rPr>
                <w:rFonts w:ascii="宋体" w:hAnsi="宋体" w:cs="宋体" w:eastAsia="宋体" w:hint="default"/>
                <w:sz w:val="18"/>
                <w:szCs w:val="18"/>
              </w:rPr>
              <w:t>（</w:t>
            </w:r>
            <w:r>
              <w:rPr>
                <w:rFonts w:ascii="宋体" w:hAnsi="宋体" w:cs="宋体" w:eastAsia="宋体" w:hint="default"/>
                <w:spacing w:val="2"/>
                <w:sz w:val="18"/>
                <w:szCs w:val="18"/>
              </w:rPr>
              <w:t>程序</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已</w:t>
            </w:r>
            <w:r>
              <w:rPr>
                <w:rFonts w:ascii="宋体" w:hAnsi="宋体" w:cs="宋体" w:eastAsia="宋体" w:hint="default"/>
                <w:spacing w:val="2"/>
                <w:sz w:val="18"/>
                <w:szCs w:val="18"/>
              </w:rPr>
              <w:t>录</w:t>
            </w:r>
            <w:r>
              <w:rPr>
                <w:rFonts w:ascii="宋体" w:hAnsi="宋体" w:cs="宋体" w:eastAsia="宋体" w:hint="default"/>
                <w:sz w:val="18"/>
                <w:szCs w:val="18"/>
              </w:rPr>
              <w:t>制</w:t>
            </w:r>
            <w:r>
              <w:rPr>
                <w:rFonts w:ascii="宋体" w:hAnsi="宋体" w:cs="宋体" w:eastAsia="宋体" w:hint="default"/>
                <w:spacing w:val="2"/>
                <w:sz w:val="18"/>
                <w:szCs w:val="18"/>
              </w:rPr>
              <w:t>的</w:t>
            </w:r>
            <w:r>
              <w:rPr>
                <w:rFonts w:ascii="宋体" w:hAnsi="宋体" w:cs="宋体" w:eastAsia="宋体" w:hint="default"/>
                <w:sz w:val="18"/>
                <w:szCs w:val="18"/>
              </w:rPr>
              <w:t>计</w:t>
            </w:r>
            <w:r>
              <w:rPr>
                <w:rFonts w:ascii="宋体" w:hAnsi="宋体" w:cs="宋体" w:eastAsia="宋体" w:hint="default"/>
                <w:spacing w:val="2"/>
                <w:sz w:val="18"/>
                <w:szCs w:val="18"/>
              </w:rPr>
              <w:t>算</w:t>
            </w:r>
            <w:r>
              <w:rPr>
                <w:rFonts w:ascii="宋体" w:hAnsi="宋体" w:cs="宋体" w:eastAsia="宋体" w:hint="default"/>
                <w:sz w:val="18"/>
                <w:szCs w:val="18"/>
              </w:rPr>
              <w:t>机</w:t>
            </w:r>
            <w:r>
              <w:rPr>
                <w:rFonts w:ascii="宋体" w:hAnsi="宋体" w:cs="宋体" w:eastAsia="宋体" w:hint="default"/>
                <w:spacing w:val="2"/>
                <w:sz w:val="18"/>
                <w:szCs w:val="18"/>
              </w:rPr>
              <w:t>操</w:t>
            </w:r>
            <w:r>
              <w:rPr>
                <w:rFonts w:ascii="宋体" w:hAnsi="宋体" w:cs="宋体" w:eastAsia="宋体" w:hint="default"/>
                <w:sz w:val="18"/>
                <w:szCs w:val="18"/>
              </w:rPr>
              <w:t>作</w:t>
            </w:r>
          </w:p>
          <w:p>
            <w:pPr>
              <w:pStyle w:val="TableParagraph"/>
              <w:spacing w:line="237" w:lineRule="auto"/>
              <w:ind w:left="105" w:right="98"/>
              <w:jc w:val="both"/>
              <w:rPr>
                <w:rFonts w:ascii="宋体" w:hAnsi="宋体" w:cs="宋体" w:eastAsia="宋体" w:hint="default"/>
                <w:sz w:val="18"/>
                <w:szCs w:val="18"/>
              </w:rPr>
            </w:pPr>
            <w:r>
              <w:rPr>
                <w:rFonts w:ascii="宋体" w:hAnsi="宋体" w:cs="宋体" w:eastAsia="宋体" w:hint="default"/>
                <w:spacing w:val="-3"/>
                <w:sz w:val="18"/>
                <w:szCs w:val="18"/>
              </w:rPr>
              <w:t>程序；计算机周边设备；计算机软件（已录制）；计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算机用接口；光学数据介质；光盘；电子出版物（可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1"/>
                <w:sz w:val="18"/>
                <w:szCs w:val="18"/>
              </w:rPr>
              <w:t>下载）；计算机程序（可下载软件）；智能卡（集成电</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路卡）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34" w:lineRule="exact"/>
              <w:ind w:left="278"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w:t>
            </w:r>
          </w:p>
        </w:tc>
      </w:tr>
    </w:tbl>
    <w:p>
      <w:pPr>
        <w:spacing w:line="240" w:lineRule="auto" w:before="4"/>
        <w:rPr>
          <w:rFonts w:ascii="宋体" w:hAnsi="宋体" w:cs="宋体" w:eastAsia="宋体" w:hint="default"/>
          <w:sz w:val="11"/>
          <w:szCs w:val="11"/>
        </w:rPr>
      </w:pPr>
    </w:p>
    <w:p>
      <w:pPr>
        <w:pStyle w:val="Heading4"/>
        <w:spacing w:line="333" w:lineRule="exact"/>
        <w:ind w:left="715" w:right="0"/>
        <w:jc w:val="left"/>
        <w:rPr>
          <w:b w:val="0"/>
          <w:bCs w:val="0"/>
        </w:rPr>
      </w:pPr>
      <w:r>
        <w:rPr/>
        <w:t>2、域名</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BodyText"/>
        <w:spacing w:line="340" w:lineRule="auto" w:before="34"/>
        <w:ind w:left="292" w:right="249" w:firstLine="422"/>
        <w:jc w:val="both"/>
      </w:pPr>
      <w:r>
        <w:rPr>
          <w:spacing w:val="2"/>
          <w:w w:val="99"/>
        </w:rPr>
        <w:t>本</w:t>
      </w:r>
      <w:r>
        <w:rPr>
          <w:w w:val="99"/>
        </w:rPr>
        <w:t>公</w:t>
      </w:r>
      <w:r>
        <w:rPr>
          <w:spacing w:val="2"/>
          <w:w w:val="99"/>
        </w:rPr>
        <w:t>司</w:t>
      </w:r>
      <w:r>
        <w:rPr>
          <w:w w:val="99"/>
        </w:rPr>
        <w:t>在</w:t>
      </w:r>
      <w:r>
        <w:rPr>
          <w:spacing w:val="2"/>
          <w:w w:val="99"/>
        </w:rPr>
        <w:t>中</w:t>
      </w:r>
      <w:r>
        <w:rPr>
          <w:w w:val="99"/>
        </w:rPr>
        <w:t>国</w:t>
      </w:r>
      <w:r>
        <w:rPr>
          <w:spacing w:val="2"/>
          <w:w w:val="99"/>
        </w:rPr>
        <w:t>互</w:t>
      </w:r>
      <w:r>
        <w:rPr>
          <w:w w:val="99"/>
        </w:rPr>
        <w:t>联</w:t>
      </w:r>
      <w:r>
        <w:rPr>
          <w:spacing w:val="2"/>
          <w:w w:val="99"/>
        </w:rPr>
        <w:t>网</w:t>
      </w:r>
      <w:r>
        <w:rPr>
          <w:w w:val="99"/>
        </w:rPr>
        <w:t>络</w:t>
      </w:r>
      <w:r>
        <w:rPr>
          <w:spacing w:val="2"/>
          <w:w w:val="99"/>
        </w:rPr>
        <w:t>信</w:t>
      </w:r>
      <w:r>
        <w:rPr>
          <w:w w:val="99"/>
        </w:rPr>
        <w:t>息</w:t>
      </w:r>
      <w:r>
        <w:rPr>
          <w:spacing w:val="2"/>
          <w:w w:val="99"/>
        </w:rPr>
        <w:t>中</w:t>
      </w:r>
      <w:r>
        <w:rPr>
          <w:w w:val="99"/>
        </w:rPr>
        <w:t>心</w:t>
      </w:r>
      <w:r>
        <w:rPr>
          <w:spacing w:val="2"/>
          <w:w w:val="99"/>
        </w:rPr>
        <w:t>拥</w:t>
      </w:r>
      <w:r>
        <w:rPr>
          <w:spacing w:val="-8"/>
          <w:w w:val="99"/>
        </w:rPr>
        <w:t>有</w:t>
      </w:r>
      <w:r>
        <w:rPr>
          <w:w w:val="99"/>
        </w:rPr>
        <w:t>“</w:t>
      </w:r>
      <w:r>
        <w:rPr>
          <w:spacing w:val="1"/>
          <w:w w:val="99"/>
        </w:rPr>
        <w:t>win</w:t>
      </w:r>
      <w:r>
        <w:rPr>
          <w:spacing w:val="-2"/>
          <w:w w:val="99"/>
        </w:rPr>
        <w:t>n</w:t>
      </w:r>
      <w:r>
        <w:rPr>
          <w:spacing w:val="1"/>
          <w:w w:val="99"/>
        </w:rPr>
        <w:t>in</w:t>
      </w:r>
      <w:r>
        <w:rPr>
          <w:spacing w:val="-2"/>
          <w:w w:val="99"/>
        </w:rPr>
        <w:t>g</w:t>
      </w:r>
      <w:r>
        <w:rPr>
          <w:spacing w:val="1"/>
          <w:w w:val="99"/>
        </w:rPr>
        <w:t>.co</w:t>
      </w:r>
      <w:r>
        <w:rPr>
          <w:spacing w:val="-2"/>
          <w:w w:val="99"/>
        </w:rPr>
        <w:t>m</w:t>
      </w:r>
      <w:r>
        <w:rPr>
          <w:spacing w:val="1"/>
          <w:w w:val="99"/>
        </w:rPr>
        <w:t>.cn</w:t>
      </w:r>
      <w:r>
        <w:rPr>
          <w:spacing w:val="-104"/>
          <w:w w:val="99"/>
        </w:rPr>
        <w:t>”</w:t>
      </w:r>
      <w:r>
        <w:rPr>
          <w:spacing w:val="-111"/>
          <w:w w:val="99"/>
        </w:rPr>
        <w:t>、</w:t>
      </w:r>
      <w:hyperlink r:id="rId16">
        <w:r>
          <w:rPr>
            <w:w w:val="99"/>
          </w:rPr>
          <w:t>“</w:t>
        </w:r>
        <w:r>
          <w:rPr>
            <w:spacing w:val="1"/>
            <w:w w:val="99"/>
          </w:rPr>
          <w:t>wi</w:t>
        </w:r>
        <w:r>
          <w:rPr>
            <w:spacing w:val="-2"/>
            <w:w w:val="99"/>
          </w:rPr>
          <w:t>n</w:t>
        </w:r>
        <w:r>
          <w:rPr>
            <w:spacing w:val="1"/>
            <w:w w:val="99"/>
          </w:rPr>
          <w:t>nin</w:t>
        </w:r>
        <w:r>
          <w:rPr>
            <w:spacing w:val="-2"/>
            <w:w w:val="99"/>
          </w:rPr>
          <w:t>g</w:t>
        </w:r>
        <w:r>
          <w:rPr>
            <w:spacing w:val="1"/>
            <w:w w:val="99"/>
          </w:rPr>
          <w:t>.c</w:t>
        </w:r>
        <w:r>
          <w:rPr>
            <w:spacing w:val="-2"/>
            <w:w w:val="99"/>
          </w:rPr>
          <w:t>n</w:t>
        </w:r>
      </w:hyperlink>
      <w:r>
        <w:rPr>
          <w:spacing w:val="-104"/>
          <w:w w:val="99"/>
        </w:rPr>
        <w:t>”</w:t>
      </w:r>
      <w:r>
        <w:rPr>
          <w:spacing w:val="-111"/>
          <w:w w:val="99"/>
        </w:rPr>
        <w:t>、</w:t>
      </w:r>
      <w:r>
        <w:rPr>
          <w:w w:val="99"/>
        </w:rPr>
        <w:t>“</w:t>
      </w:r>
      <w:r>
        <w:rPr>
          <w:spacing w:val="1"/>
          <w:w w:val="99"/>
        </w:rPr>
        <w:t>win</w:t>
      </w:r>
      <w:r>
        <w:rPr>
          <w:spacing w:val="-2"/>
          <w:w w:val="99"/>
        </w:rPr>
        <w:t>n</w:t>
      </w:r>
      <w:r>
        <w:rPr>
          <w:spacing w:val="1"/>
          <w:w w:val="99"/>
        </w:rPr>
        <w:t>ing</w:t>
      </w:r>
      <w:r>
        <w:rPr>
          <w:spacing w:val="-2"/>
          <w:w w:val="99"/>
        </w:rPr>
        <w:t>o</w:t>
      </w:r>
      <w:r>
        <w:rPr>
          <w:spacing w:val="1"/>
          <w:w w:val="99"/>
        </w:rPr>
        <w:t>nli</w:t>
      </w:r>
      <w:r>
        <w:rPr>
          <w:spacing w:val="-2"/>
          <w:w w:val="99"/>
        </w:rPr>
        <w:t>n</w:t>
      </w:r>
      <w:r>
        <w:rPr>
          <w:spacing w:val="1"/>
          <w:w w:val="99"/>
        </w:rPr>
        <w:t>e.c</w:t>
      </w:r>
      <w:r>
        <w:rPr>
          <w:spacing w:val="-2"/>
          <w:w w:val="99"/>
        </w:rPr>
        <w:t>o</w:t>
      </w:r>
      <w:r>
        <w:rPr>
          <w:spacing w:val="1"/>
          <w:w w:val="99"/>
        </w:rPr>
        <w:t>m.c</w:t>
      </w:r>
      <w:r>
        <w:rPr>
          <w:spacing w:val="-2"/>
          <w:w w:val="99"/>
        </w:rPr>
        <w:t>n</w:t>
      </w:r>
      <w:r>
        <w:rPr>
          <w:spacing w:val="-104"/>
          <w:w w:val="99"/>
        </w:rPr>
        <w:t>”</w:t>
      </w:r>
      <w:r>
        <w:rPr>
          <w:w w:val="49"/>
        </w:rPr>
        <w:t>、</w:t>
      </w:r>
      <w:r>
        <w:rPr>
          <w:w w:val="49"/>
        </w:rPr>
        <w:t> </w:t>
      </w:r>
      <w:r>
        <w:rPr>
          <w:spacing w:val="2"/>
          <w:w w:val="99"/>
        </w:rPr>
        <w:t>“金</w:t>
      </w:r>
      <w:r>
        <w:rPr>
          <w:w w:val="99"/>
        </w:rPr>
        <w:t>仕</w:t>
      </w:r>
      <w:r>
        <w:rPr>
          <w:spacing w:val="2"/>
          <w:w w:val="99"/>
        </w:rPr>
        <w:t>达</w:t>
      </w:r>
      <w:r>
        <w:rPr>
          <w:w w:val="99"/>
        </w:rPr>
        <w:t>卫宁</w:t>
      </w:r>
      <w:r>
        <w:rPr>
          <w:spacing w:val="1"/>
          <w:w w:val="99"/>
        </w:rPr>
        <w:t>.cn</w:t>
      </w:r>
      <w:r>
        <w:rPr>
          <w:spacing w:val="-104"/>
          <w:w w:val="99"/>
        </w:rPr>
        <w:t>”</w:t>
      </w:r>
      <w:r>
        <w:rPr>
          <w:spacing w:val="-130"/>
          <w:w w:val="99"/>
        </w:rPr>
        <w:t>、</w:t>
      </w:r>
      <w:r>
        <w:rPr>
          <w:w w:val="99"/>
        </w:rPr>
        <w:t>“</w:t>
      </w:r>
      <w:r>
        <w:rPr>
          <w:spacing w:val="2"/>
          <w:w w:val="99"/>
        </w:rPr>
        <w:t>卫</w:t>
      </w:r>
      <w:r>
        <w:rPr>
          <w:w w:val="99"/>
        </w:rPr>
        <w:t>宁</w:t>
      </w:r>
      <w:r>
        <w:rPr>
          <w:spacing w:val="2"/>
          <w:w w:val="99"/>
        </w:rPr>
        <w:t>软</w:t>
      </w:r>
      <w:r>
        <w:rPr>
          <w:w w:val="99"/>
        </w:rPr>
        <w:t>件</w:t>
      </w:r>
      <w:r>
        <w:rPr>
          <w:spacing w:val="1"/>
          <w:w w:val="99"/>
        </w:rPr>
        <w:t>.cn</w:t>
      </w:r>
      <w:r>
        <w:rPr>
          <w:spacing w:val="-24"/>
          <w:w w:val="99"/>
        </w:rPr>
        <w:t>”</w:t>
      </w:r>
      <w:r>
        <w:rPr>
          <w:spacing w:val="2"/>
          <w:w w:val="99"/>
        </w:rPr>
        <w:t>五</w:t>
      </w:r>
      <w:r>
        <w:rPr>
          <w:w w:val="99"/>
        </w:rPr>
        <w:t>项</w:t>
      </w:r>
      <w:r>
        <w:rPr>
          <w:spacing w:val="2"/>
          <w:w w:val="99"/>
        </w:rPr>
        <w:t>注</w:t>
      </w:r>
      <w:r>
        <w:rPr>
          <w:w w:val="99"/>
        </w:rPr>
        <w:t>册</w:t>
      </w:r>
      <w:r>
        <w:rPr>
          <w:spacing w:val="2"/>
          <w:w w:val="99"/>
        </w:rPr>
        <w:t>域</w:t>
      </w:r>
      <w:r>
        <w:rPr>
          <w:w w:val="99"/>
        </w:rPr>
        <w:t>名</w:t>
      </w:r>
      <w:r>
        <w:rPr>
          <w:spacing w:val="-24"/>
          <w:w w:val="99"/>
        </w:rPr>
        <w:t>。</w:t>
      </w:r>
      <w:r>
        <w:rPr>
          <w:spacing w:val="2"/>
          <w:w w:val="99"/>
        </w:rPr>
        <w:t>根</w:t>
      </w:r>
      <w:r>
        <w:rPr>
          <w:spacing w:val="-27"/>
          <w:w w:val="99"/>
        </w:rPr>
        <w:t>据</w:t>
      </w:r>
      <w:r>
        <w:rPr>
          <w:spacing w:val="2"/>
          <w:w w:val="99"/>
        </w:rPr>
        <w:t>《中</w:t>
      </w:r>
      <w:r>
        <w:rPr>
          <w:w w:val="99"/>
        </w:rPr>
        <w:t>国</w:t>
      </w:r>
      <w:r>
        <w:rPr>
          <w:spacing w:val="2"/>
          <w:w w:val="99"/>
        </w:rPr>
        <w:t>互</w:t>
      </w:r>
      <w:r>
        <w:rPr>
          <w:w w:val="99"/>
        </w:rPr>
        <w:t>联</w:t>
      </w:r>
      <w:r>
        <w:rPr>
          <w:spacing w:val="2"/>
          <w:w w:val="99"/>
        </w:rPr>
        <w:t>网</w:t>
      </w:r>
      <w:r>
        <w:rPr>
          <w:w w:val="99"/>
        </w:rPr>
        <w:t>络</w:t>
      </w:r>
      <w:r>
        <w:rPr>
          <w:spacing w:val="2"/>
          <w:w w:val="99"/>
        </w:rPr>
        <w:t>域</w:t>
      </w:r>
      <w:r>
        <w:rPr>
          <w:w w:val="99"/>
        </w:rPr>
        <w:t>名</w:t>
      </w:r>
      <w:r>
        <w:rPr>
          <w:spacing w:val="2"/>
          <w:w w:val="99"/>
        </w:rPr>
        <w:t>管</w:t>
      </w:r>
      <w:r>
        <w:rPr>
          <w:w w:val="99"/>
        </w:rPr>
        <w:t>理</w:t>
      </w:r>
      <w:r>
        <w:rPr>
          <w:spacing w:val="2"/>
          <w:w w:val="99"/>
        </w:rPr>
        <w:t>办</w:t>
      </w:r>
      <w:r>
        <w:rPr>
          <w:w w:val="99"/>
        </w:rPr>
        <w:t>法</w:t>
      </w:r>
      <w:r>
        <w:rPr>
          <w:spacing w:val="-24"/>
          <w:w w:val="99"/>
        </w:rPr>
        <w:t>》</w:t>
      </w:r>
      <w:r>
        <w:rPr>
          <w:spacing w:val="2"/>
          <w:w w:val="99"/>
        </w:rPr>
        <w:t>第</w:t>
      </w:r>
      <w:r>
        <w:rPr>
          <w:w w:val="99"/>
        </w:rPr>
        <w:t>二</w:t>
      </w:r>
      <w:r>
        <w:rPr>
          <w:spacing w:val="2"/>
          <w:w w:val="99"/>
        </w:rPr>
        <w:t>十</w:t>
      </w:r>
      <w:r>
        <w:rPr>
          <w:w w:val="99"/>
        </w:rPr>
        <w:t>二</w:t>
      </w:r>
      <w:r>
        <w:rPr>
          <w:spacing w:val="2"/>
          <w:w w:val="99"/>
        </w:rPr>
        <w:t>条</w:t>
      </w:r>
      <w:r>
        <w:rPr>
          <w:w w:val="99"/>
        </w:rPr>
        <w:t>规</w:t>
      </w:r>
      <w:r>
        <w:rPr>
          <w:spacing w:val="2"/>
          <w:w w:val="99"/>
        </w:rPr>
        <w:t>定</w:t>
      </w:r>
      <w:r>
        <w:rPr>
          <w:w w:val="49"/>
        </w:rPr>
        <w:t>：</w:t>
      </w:r>
      <w:r>
        <w:rPr>
          <w:w w:val="49"/>
        </w:rPr>
        <w:t> </w:t>
      </w:r>
      <w:r>
        <w:rPr>
          <w:spacing w:val="2"/>
          <w:w w:val="99"/>
        </w:rPr>
        <w:t>“域</w:t>
      </w:r>
      <w:r>
        <w:rPr>
          <w:w w:val="99"/>
        </w:rPr>
        <w:t>名</w:t>
      </w:r>
      <w:r>
        <w:rPr>
          <w:spacing w:val="2"/>
          <w:w w:val="99"/>
        </w:rPr>
        <w:t>注</w:t>
      </w:r>
      <w:r>
        <w:rPr>
          <w:w w:val="99"/>
        </w:rPr>
        <w:t>册</w:t>
      </w:r>
      <w:r>
        <w:rPr>
          <w:spacing w:val="2"/>
          <w:w w:val="99"/>
        </w:rPr>
        <w:t>完</w:t>
      </w:r>
      <w:r>
        <w:rPr>
          <w:w w:val="99"/>
        </w:rPr>
        <w:t>成</w:t>
      </w:r>
      <w:r>
        <w:rPr>
          <w:spacing w:val="2"/>
          <w:w w:val="99"/>
        </w:rPr>
        <w:t>，</w:t>
      </w:r>
      <w:r>
        <w:rPr>
          <w:w w:val="99"/>
        </w:rPr>
        <w:t>域</w:t>
      </w:r>
      <w:r>
        <w:rPr>
          <w:spacing w:val="2"/>
          <w:w w:val="99"/>
        </w:rPr>
        <w:t>名</w:t>
      </w:r>
      <w:r>
        <w:rPr>
          <w:w w:val="99"/>
        </w:rPr>
        <w:t>注</w:t>
      </w:r>
      <w:r>
        <w:rPr>
          <w:spacing w:val="2"/>
          <w:w w:val="99"/>
        </w:rPr>
        <w:t>册</w:t>
      </w:r>
      <w:r>
        <w:rPr>
          <w:w w:val="99"/>
        </w:rPr>
        <w:t>申</w:t>
      </w:r>
      <w:r>
        <w:rPr>
          <w:spacing w:val="2"/>
          <w:w w:val="99"/>
        </w:rPr>
        <w:t>请</w:t>
      </w:r>
      <w:r>
        <w:rPr>
          <w:w w:val="99"/>
        </w:rPr>
        <w:t>者</w:t>
      </w:r>
      <w:r>
        <w:rPr>
          <w:spacing w:val="2"/>
          <w:w w:val="99"/>
        </w:rPr>
        <w:t>即</w:t>
      </w:r>
      <w:r>
        <w:rPr>
          <w:w w:val="99"/>
        </w:rPr>
        <w:t>成</w:t>
      </w:r>
      <w:r>
        <w:rPr>
          <w:spacing w:val="2"/>
          <w:w w:val="99"/>
        </w:rPr>
        <w:t>为</w:t>
      </w:r>
      <w:r>
        <w:rPr>
          <w:w w:val="99"/>
        </w:rPr>
        <w:t>其</w:t>
      </w:r>
      <w:r>
        <w:rPr>
          <w:spacing w:val="2"/>
          <w:w w:val="99"/>
        </w:rPr>
        <w:t>注</w:t>
      </w:r>
      <w:r>
        <w:rPr>
          <w:w w:val="99"/>
        </w:rPr>
        <w:t>册</w:t>
      </w:r>
      <w:r>
        <w:rPr>
          <w:spacing w:val="2"/>
          <w:w w:val="99"/>
        </w:rPr>
        <w:t>域</w:t>
      </w:r>
      <w:r>
        <w:rPr>
          <w:w w:val="99"/>
        </w:rPr>
        <w:t>名</w:t>
      </w:r>
      <w:r>
        <w:rPr>
          <w:spacing w:val="2"/>
          <w:w w:val="99"/>
        </w:rPr>
        <w:t>的</w:t>
      </w:r>
      <w:r>
        <w:rPr>
          <w:w w:val="99"/>
        </w:rPr>
        <w:t>持</w:t>
      </w:r>
      <w:r>
        <w:rPr>
          <w:spacing w:val="2"/>
          <w:w w:val="99"/>
        </w:rPr>
        <w:t>有</w:t>
      </w:r>
      <w:r>
        <w:rPr>
          <w:w w:val="99"/>
        </w:rPr>
        <w:t>者</w:t>
      </w:r>
      <w:r>
        <w:rPr>
          <w:spacing w:val="-104"/>
          <w:w w:val="99"/>
        </w:rPr>
        <w:t>。</w:t>
      </w:r>
      <w:r>
        <w:rPr>
          <w:w w:val="99"/>
        </w:rPr>
        <w:t>”</w:t>
      </w:r>
      <w:r>
        <w:rPr/>
      </w:r>
    </w:p>
    <w:p>
      <w:pPr>
        <w:pStyle w:val="Heading4"/>
        <w:spacing w:line="240" w:lineRule="auto" w:before="115"/>
        <w:ind w:left="715" w:right="0"/>
        <w:jc w:val="left"/>
        <w:rPr>
          <w:b w:val="0"/>
          <w:bCs w:val="0"/>
        </w:rPr>
      </w:pPr>
      <w:r>
        <w:rPr/>
        <w:t>3、软件著作权</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left="292" w:right="251" w:firstLine="422"/>
        <w:jc w:val="both"/>
      </w:pPr>
      <w:r>
        <w:rPr>
          <w:w w:val="95"/>
        </w:rPr>
        <w:t>报告期内，公司及全资子公司新申请获得了国家版权局登记的 25</w:t>
      </w:r>
      <w:r>
        <w:rPr>
          <w:spacing w:val="81"/>
          <w:w w:val="95"/>
        </w:rPr>
        <w:t> </w:t>
      </w:r>
      <w:r>
        <w:rPr>
          <w:w w:val="95"/>
        </w:rPr>
        <w:t>项软件著作权，均为公司自行使用，</w:t>
      </w:r>
      <w:r>
        <w:rPr>
          <w:w w:val="49"/>
        </w:rPr>
        <w:t> </w:t>
      </w:r>
      <w:r>
        <w:rPr/>
        <w:t>不存在他项权利。具体如下：</w:t>
      </w:r>
    </w:p>
    <w:p>
      <w:pPr>
        <w:spacing w:line="240" w:lineRule="auto" w:before="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88"/>
        <w:gridCol w:w="3398"/>
        <w:gridCol w:w="1668"/>
        <w:gridCol w:w="1476"/>
        <w:gridCol w:w="1488"/>
        <w:gridCol w:w="1308"/>
      </w:tblGrid>
      <w:tr>
        <w:trPr>
          <w:trHeight w:val="463" w:hRule="exact"/>
        </w:trPr>
        <w:tc>
          <w:tcPr>
            <w:tcW w:w="58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2"/>
              <w:ind w:left="1065" w:right="0"/>
              <w:jc w:val="left"/>
              <w:rPr>
                <w:rFonts w:ascii="宋体" w:hAnsi="宋体" w:cs="宋体" w:eastAsia="宋体" w:hint="default"/>
                <w:sz w:val="18"/>
                <w:szCs w:val="18"/>
              </w:rPr>
            </w:pPr>
            <w:r>
              <w:rPr>
                <w:rFonts w:ascii="宋体" w:hAnsi="宋体" w:cs="宋体" w:eastAsia="宋体" w:hint="default"/>
                <w:sz w:val="18"/>
                <w:szCs w:val="18"/>
              </w:rPr>
              <w:t>软件著作权名称</w:t>
            </w:r>
          </w:p>
        </w:tc>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登记证书取得时间</w:t>
            </w:r>
          </w:p>
        </w:tc>
        <w:tc>
          <w:tcPr>
            <w:tcW w:w="147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证书登记号</w:t>
            </w:r>
          </w:p>
        </w:tc>
        <w:tc>
          <w:tcPr>
            <w:tcW w:w="148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著作权取得方式</w:t>
            </w:r>
          </w:p>
        </w:tc>
        <w:tc>
          <w:tcPr>
            <w:tcW w:w="13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首次发表日期</w:t>
            </w:r>
          </w:p>
        </w:tc>
      </w:tr>
      <w:tr>
        <w:trPr>
          <w:trHeight w:val="466"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1</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金仕达卫宁实验室信息管理软件</w:t>
            </w:r>
            <w:r>
              <w:rPr>
                <w:rFonts w:ascii="宋体" w:hAnsi="宋体" w:cs="宋体" w:eastAsia="宋体" w:hint="default"/>
                <w:spacing w:val="-47"/>
                <w:sz w:val="18"/>
                <w:szCs w:val="18"/>
              </w:rPr>
              <w:t> </w:t>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2011-05-10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2011SR026873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2010-01-07</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1"/>
              <w:jc w:val="left"/>
              <w:rPr>
                <w:rFonts w:ascii="宋体" w:hAnsi="宋体" w:cs="宋体" w:eastAsia="宋体" w:hint="default"/>
                <w:sz w:val="18"/>
                <w:szCs w:val="18"/>
              </w:rPr>
            </w:pPr>
            <w:r>
              <w:rPr>
                <w:rFonts w:ascii="宋体" w:hAnsi="宋体" w:cs="宋体" w:eastAsia="宋体" w:hint="default"/>
                <w:spacing w:val="17"/>
                <w:sz w:val="18"/>
                <w:szCs w:val="18"/>
              </w:rPr>
              <w:t>金仕达卫宁医学影像存档与通讯软</w:t>
            </w:r>
            <w:r>
              <w:rPr>
                <w:rFonts w:ascii="宋体" w:hAnsi="宋体" w:cs="宋体" w:eastAsia="宋体" w:hint="default"/>
                <w:spacing w:val="-52"/>
                <w:sz w:val="18"/>
                <w:szCs w:val="18"/>
              </w:rPr>
              <w:t> </w:t>
            </w:r>
            <w:r>
              <w:rPr>
                <w:rFonts w:ascii="宋体" w:hAnsi="宋体" w:cs="宋体" w:eastAsia="宋体" w:hint="default"/>
                <w:sz w:val="18"/>
                <w:szCs w:val="18"/>
              </w:rPr>
              <w:t>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2011-05-10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2011SR026875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2010-03-11</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金仕达卫宁电子病历软件</w:t>
            </w:r>
            <w:r>
              <w:rPr>
                <w:rFonts w:ascii="宋体" w:hAnsi="宋体" w:cs="宋体" w:eastAsia="宋体" w:hint="default"/>
                <w:spacing w:val="-47"/>
                <w:sz w:val="18"/>
                <w:szCs w:val="18"/>
              </w:rPr>
              <w:t> </w:t>
            </w:r>
            <w:r>
              <w:rPr>
                <w:rFonts w:ascii="宋体" w:hAnsi="宋体" w:cs="宋体" w:eastAsia="宋体" w:hint="default"/>
                <w:sz w:val="18"/>
                <w:szCs w:val="18"/>
              </w:rPr>
              <w:t>V4.0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2011-05-10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2011SR027157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2010-05-07</w:t>
            </w:r>
          </w:p>
        </w:tc>
      </w:tr>
      <w:tr>
        <w:trPr>
          <w:trHeight w:val="466"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4</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金仕达卫宁区域卫生信息平台软件</w:t>
            </w:r>
            <w:r>
              <w:rPr>
                <w:rFonts w:ascii="宋体" w:hAnsi="宋体" w:cs="宋体" w:eastAsia="宋体" w:hint="default"/>
                <w:spacing w:val="-47"/>
                <w:sz w:val="18"/>
                <w:szCs w:val="18"/>
              </w:rPr>
              <w:t> </w:t>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2011-05-30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2011SR032819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2011-05-11</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5</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7"/>
              <w:jc w:val="left"/>
              <w:rPr>
                <w:rFonts w:ascii="宋体" w:hAnsi="宋体" w:cs="宋体" w:eastAsia="宋体" w:hint="default"/>
                <w:sz w:val="18"/>
                <w:szCs w:val="18"/>
              </w:rPr>
            </w:pPr>
            <w:r>
              <w:rPr>
                <w:rFonts w:ascii="宋体" w:hAnsi="宋体" w:cs="宋体" w:eastAsia="宋体" w:hint="default"/>
                <w:spacing w:val="6"/>
                <w:sz w:val="18"/>
                <w:szCs w:val="18"/>
              </w:rPr>
              <w:t>金仕达卫宁新型农村合作医疗信息系统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应用软件</w:t>
            </w:r>
            <w:r>
              <w:rPr>
                <w:rFonts w:ascii="宋体" w:hAnsi="宋体" w:cs="宋体" w:eastAsia="宋体" w:hint="default"/>
                <w:spacing w:val="-47"/>
                <w:sz w:val="18"/>
                <w:szCs w:val="18"/>
              </w:rPr>
              <w:t> </w:t>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2011-05-30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2011SR032821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2010-08-09</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6</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1"/>
              <w:jc w:val="left"/>
              <w:rPr>
                <w:rFonts w:ascii="宋体" w:hAnsi="宋体" w:cs="宋体" w:eastAsia="宋体" w:hint="default"/>
                <w:sz w:val="18"/>
                <w:szCs w:val="18"/>
              </w:rPr>
            </w:pPr>
            <w:r>
              <w:rPr>
                <w:rFonts w:ascii="宋体" w:hAnsi="宋体" w:cs="宋体" w:eastAsia="宋体" w:hint="default"/>
                <w:spacing w:val="6"/>
                <w:sz w:val="18"/>
                <w:szCs w:val="18"/>
              </w:rPr>
              <w:t>金仕达卫宁社区卫生信息系统应用软件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2011-05-30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2011SR032823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2010-06-11</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7</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1"/>
              <w:jc w:val="left"/>
              <w:rPr>
                <w:rFonts w:ascii="宋体" w:hAnsi="宋体" w:cs="宋体" w:eastAsia="宋体" w:hint="default"/>
                <w:sz w:val="18"/>
                <w:szCs w:val="18"/>
              </w:rPr>
            </w:pPr>
            <w:r>
              <w:rPr>
                <w:rFonts w:ascii="宋体" w:hAnsi="宋体" w:cs="宋体" w:eastAsia="宋体" w:hint="default"/>
                <w:spacing w:val="6"/>
                <w:sz w:val="18"/>
                <w:szCs w:val="18"/>
              </w:rPr>
              <w:t>金仕达卫宁农村卫生信息系统应用软件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2011-05-30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2011SR032902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2010-07-09</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8</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金仕达卫宁超声信息管理软件</w:t>
            </w:r>
            <w:r>
              <w:rPr>
                <w:rFonts w:ascii="宋体" w:hAnsi="宋体" w:cs="宋体" w:eastAsia="宋体" w:hint="default"/>
                <w:spacing w:val="-47"/>
                <w:sz w:val="18"/>
                <w:szCs w:val="18"/>
              </w:rPr>
              <w:t> </w:t>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2011-10-19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2011SR074708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2010-09-17</w:t>
            </w:r>
          </w:p>
        </w:tc>
      </w:tr>
      <w:tr>
        <w:trPr>
          <w:trHeight w:val="466"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9</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金仕达卫宁病理信息管理软件</w:t>
            </w:r>
            <w:r>
              <w:rPr>
                <w:rFonts w:ascii="宋体" w:hAnsi="宋体" w:cs="宋体" w:eastAsia="宋体" w:hint="default"/>
                <w:spacing w:val="-47"/>
                <w:sz w:val="18"/>
                <w:szCs w:val="18"/>
              </w:rPr>
              <w:t> </w:t>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2011-10-19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2011SR074710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2010-11-12</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10</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金仕达卫宁内镜信息管理软件</w:t>
            </w:r>
            <w:r>
              <w:rPr>
                <w:rFonts w:ascii="宋体" w:hAnsi="宋体" w:cs="宋体" w:eastAsia="宋体" w:hint="default"/>
                <w:spacing w:val="-47"/>
                <w:sz w:val="18"/>
                <w:szCs w:val="18"/>
              </w:rPr>
              <w:t> </w:t>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2011-10-19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2011SR074711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2010-10-27</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11</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金仕达卫宁放射信息管理软件</w:t>
            </w:r>
            <w:r>
              <w:rPr>
                <w:rFonts w:ascii="宋体" w:hAnsi="宋体" w:cs="宋体" w:eastAsia="宋体" w:hint="default"/>
                <w:spacing w:val="-47"/>
                <w:sz w:val="18"/>
                <w:szCs w:val="18"/>
              </w:rPr>
              <w:t> </w:t>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2011-10-19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2011SR074712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2010-08-17</w:t>
            </w:r>
          </w:p>
        </w:tc>
      </w:tr>
    </w:tbl>
    <w:p>
      <w:pPr>
        <w:spacing w:after="0" w:line="240" w:lineRule="auto"/>
        <w:jc w:val="center"/>
        <w:rPr>
          <w:rFonts w:ascii="宋体" w:hAnsi="宋体" w:cs="宋体" w:eastAsia="宋体" w:hint="default"/>
          <w:sz w:val="18"/>
          <w:szCs w:val="18"/>
        </w:rPr>
        <w:sectPr>
          <w:pgSz w:w="11910" w:h="16840"/>
          <w:pgMar w:header="849" w:footer="976" w:top="1460" w:bottom="1160" w:left="840" w:right="880"/>
        </w:sectPr>
      </w:pPr>
    </w:p>
    <w:p>
      <w:pPr>
        <w:spacing w:line="240" w:lineRule="auto" w:before="0"/>
        <w:rPr>
          <w:rFonts w:ascii="宋体" w:hAnsi="宋体" w:cs="宋体" w:eastAsia="宋体" w:hint="default"/>
          <w:sz w:val="20"/>
          <w:szCs w:val="20"/>
        </w:rPr>
      </w:pPr>
      <w:r>
        <w:rPr/>
        <w:pict>
          <v:group style="position:absolute;margin-left:56.639999pt;margin-top:75.120026pt;width:63.15pt;height:12.4pt;mso-position-horizontal-relative:page;mso-position-vertical-relative:page;z-index:1624"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333" w:lineRule="exact"/>
        <w:ind w:left="715" w:right="0"/>
        <w:jc w:val="left"/>
        <w:rPr>
          <w:b w:val="0"/>
          <w:bCs w:val="0"/>
        </w:rPr>
      </w:pPr>
      <w:r>
        <w:rPr/>
        <w:pict>
          <v:shape style="position:absolute;margin-left:47.399998pt;margin-top:-487.028137pt;width:497.05pt;height:479.6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8"/>
                    <w:gridCol w:w="3398"/>
                    <w:gridCol w:w="1668"/>
                    <w:gridCol w:w="1476"/>
                    <w:gridCol w:w="1488"/>
                    <w:gridCol w:w="1308"/>
                  </w:tblGrid>
                  <w:tr>
                    <w:trPr>
                      <w:trHeight w:val="472" w:hRule="exact"/>
                    </w:trPr>
                    <w:tc>
                      <w:tcPr>
                        <w:tcW w:w="58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9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0"/>
                          <w:ind w:left="1065" w:right="0"/>
                          <w:jc w:val="left"/>
                          <w:rPr>
                            <w:rFonts w:ascii="宋体" w:hAnsi="宋体" w:cs="宋体" w:eastAsia="宋体" w:hint="default"/>
                            <w:sz w:val="18"/>
                            <w:szCs w:val="18"/>
                          </w:rPr>
                        </w:pPr>
                        <w:r>
                          <w:rPr>
                            <w:rFonts w:ascii="宋体" w:hAnsi="宋体" w:cs="宋体" w:eastAsia="宋体" w:hint="default"/>
                            <w:sz w:val="18"/>
                            <w:szCs w:val="18"/>
                          </w:rPr>
                          <w:t>软件著作权名称</w:t>
                        </w:r>
                      </w:p>
                    </w:tc>
                    <w:tc>
                      <w:tcPr>
                        <w:tcW w:w="166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登记证书取得时间</w:t>
                        </w:r>
                      </w:p>
                    </w:tc>
                    <w:tc>
                      <w:tcPr>
                        <w:tcW w:w="1476"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证书登记号</w:t>
                        </w:r>
                      </w:p>
                    </w:tc>
                    <w:tc>
                      <w:tcPr>
                        <w:tcW w:w="148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著作权取得方式</w:t>
                        </w:r>
                      </w:p>
                    </w:tc>
                    <w:tc>
                      <w:tcPr>
                        <w:tcW w:w="130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首次发表日期</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12</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1"/>
                          <w:jc w:val="left"/>
                          <w:rPr>
                            <w:rFonts w:ascii="宋体" w:hAnsi="宋体" w:cs="宋体" w:eastAsia="宋体" w:hint="default"/>
                            <w:sz w:val="18"/>
                            <w:szCs w:val="18"/>
                          </w:rPr>
                        </w:pPr>
                        <w:r>
                          <w:rPr>
                            <w:rFonts w:ascii="宋体" w:hAnsi="宋体" w:cs="宋体" w:eastAsia="宋体" w:hint="default"/>
                            <w:spacing w:val="6"/>
                            <w:sz w:val="18"/>
                            <w:szCs w:val="18"/>
                          </w:rPr>
                          <w:t>金仕达卫宁抗菌药物管理系统应用软件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V1.0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2011-12-07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2011SR091472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2011-06-18</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13</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金仕达卫宁临床路径软件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2011-12-07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2011SR091476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2010-08-17</w:t>
                        </w:r>
                      </w:p>
                    </w:tc>
                  </w:tr>
                  <w:tr>
                    <w:trPr>
                      <w:trHeight w:val="792"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14</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51"/>
                          <w:ind w:left="105" w:right="107"/>
                          <w:jc w:val="left"/>
                          <w:rPr>
                            <w:rFonts w:ascii="宋体" w:hAnsi="宋体" w:cs="宋体" w:eastAsia="宋体" w:hint="default"/>
                            <w:sz w:val="18"/>
                            <w:szCs w:val="18"/>
                          </w:rPr>
                        </w:pPr>
                        <w:r>
                          <w:rPr>
                            <w:rFonts w:ascii="宋体" w:hAnsi="宋体" w:cs="宋体" w:eastAsia="宋体" w:hint="default"/>
                            <w:spacing w:val="6"/>
                            <w:sz w:val="18"/>
                            <w:szCs w:val="18"/>
                          </w:rPr>
                          <w:t>金仕达卫宁影像后处理及辅助诊断系统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应用软件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2011-12-13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2011SR094310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2011-05-17</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15</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9"/>
                          <w:ind w:left="105" w:right="107"/>
                          <w:jc w:val="left"/>
                          <w:rPr>
                            <w:rFonts w:ascii="宋体" w:hAnsi="宋体" w:cs="宋体" w:eastAsia="宋体" w:hint="default"/>
                            <w:sz w:val="18"/>
                            <w:szCs w:val="18"/>
                          </w:rPr>
                        </w:pPr>
                        <w:r>
                          <w:rPr>
                            <w:rFonts w:ascii="宋体" w:hAnsi="宋体" w:cs="宋体" w:eastAsia="宋体" w:hint="default"/>
                            <w:spacing w:val="6"/>
                            <w:sz w:val="18"/>
                            <w:szCs w:val="18"/>
                          </w:rPr>
                          <w:t>金仕达卫宁跨机构文档共享系统应用软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件</w:t>
                        </w:r>
                        <w:r>
                          <w:rPr>
                            <w:rFonts w:ascii="宋体" w:hAnsi="宋体" w:cs="宋体" w:eastAsia="宋体" w:hint="default"/>
                            <w:spacing w:val="-47"/>
                            <w:sz w:val="18"/>
                            <w:szCs w:val="18"/>
                          </w:rPr>
                          <w:t> </w:t>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2011-12-30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2011SR103648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2011-07-16</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16</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7"/>
                          <w:jc w:val="left"/>
                          <w:rPr>
                            <w:rFonts w:ascii="宋体" w:hAnsi="宋体" w:cs="宋体" w:eastAsia="宋体" w:hint="default"/>
                            <w:sz w:val="18"/>
                            <w:szCs w:val="18"/>
                          </w:rPr>
                        </w:pPr>
                        <w:r>
                          <w:rPr>
                            <w:rFonts w:ascii="宋体" w:hAnsi="宋体" w:cs="宋体" w:eastAsia="宋体" w:hint="default"/>
                            <w:spacing w:val="6"/>
                            <w:sz w:val="18"/>
                            <w:szCs w:val="18"/>
                          </w:rPr>
                          <w:t>金仕达卫宁区域卫生决策分析系统应用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软件</w:t>
                        </w:r>
                        <w:r>
                          <w:rPr>
                            <w:rFonts w:ascii="宋体" w:hAnsi="宋体" w:cs="宋体" w:eastAsia="宋体" w:hint="default"/>
                            <w:spacing w:val="-47"/>
                            <w:sz w:val="18"/>
                            <w:szCs w:val="18"/>
                          </w:rPr>
                          <w:t> </w:t>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2011-12-30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2011SR103649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2010-12-17</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17</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1"/>
                          <w:jc w:val="left"/>
                          <w:rPr>
                            <w:rFonts w:ascii="宋体" w:hAnsi="宋体" w:cs="宋体" w:eastAsia="宋体" w:hint="default"/>
                            <w:sz w:val="18"/>
                            <w:szCs w:val="18"/>
                          </w:rPr>
                        </w:pPr>
                        <w:r>
                          <w:rPr>
                            <w:rFonts w:ascii="宋体" w:hAnsi="宋体" w:cs="宋体" w:eastAsia="宋体" w:hint="default"/>
                            <w:spacing w:val="6"/>
                            <w:sz w:val="18"/>
                            <w:szCs w:val="18"/>
                          </w:rPr>
                          <w:t>金仕达卫宁区域卫生信息集成总线软件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2011-12-30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2011SR103650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2010-08-17</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18</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51"/>
                          <w:ind w:left="105" w:right="101"/>
                          <w:jc w:val="left"/>
                          <w:rPr>
                            <w:rFonts w:ascii="宋体" w:hAnsi="宋体" w:cs="宋体" w:eastAsia="宋体" w:hint="default"/>
                            <w:sz w:val="18"/>
                            <w:szCs w:val="18"/>
                          </w:rPr>
                        </w:pPr>
                        <w:r>
                          <w:rPr>
                            <w:rFonts w:ascii="宋体" w:hAnsi="宋体" w:cs="宋体" w:eastAsia="宋体" w:hint="default"/>
                            <w:spacing w:val="6"/>
                            <w:sz w:val="18"/>
                            <w:szCs w:val="18"/>
                          </w:rPr>
                          <w:t>金仕达卫宁区域医疗协同系统应用软件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2011-12-30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2011SR103651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2011-04-27</w:t>
                        </w:r>
                      </w:p>
                    </w:tc>
                  </w:tr>
                  <w:tr>
                    <w:trPr>
                      <w:trHeight w:val="466"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19</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w:t>
                        </w:r>
                        <w:r>
                          <w:rPr>
                            <w:rFonts w:ascii="宋体" w:hAnsi="宋体" w:cs="宋体" w:eastAsia="宋体" w:hint="default"/>
                            <w:spacing w:val="-48"/>
                            <w:sz w:val="18"/>
                            <w:szCs w:val="18"/>
                          </w:rPr>
                          <w:t> </w:t>
                        </w:r>
                        <w:r>
                          <w:rPr>
                            <w:rFonts w:ascii="宋体" w:hAnsi="宋体" w:cs="宋体" w:eastAsia="宋体" w:hint="default"/>
                            <w:sz w:val="18"/>
                            <w:szCs w:val="18"/>
                          </w:rPr>
                          <w:t>HL7</w:t>
                        </w:r>
                        <w:r>
                          <w:rPr>
                            <w:rFonts w:ascii="宋体" w:hAnsi="宋体" w:cs="宋体" w:eastAsia="宋体" w:hint="default"/>
                            <w:spacing w:val="-45"/>
                            <w:sz w:val="18"/>
                            <w:szCs w:val="18"/>
                          </w:rPr>
                          <w:t> </w:t>
                        </w:r>
                        <w:r>
                          <w:rPr>
                            <w:rFonts w:ascii="宋体" w:hAnsi="宋体" w:cs="宋体" w:eastAsia="宋体" w:hint="default"/>
                            <w:sz w:val="18"/>
                            <w:szCs w:val="18"/>
                          </w:rPr>
                          <w:t>引擎系统应用软件</w:t>
                        </w:r>
                        <w:r>
                          <w:rPr>
                            <w:rFonts w:ascii="宋体" w:hAnsi="宋体" w:cs="宋体" w:eastAsia="宋体" w:hint="default"/>
                            <w:spacing w:val="-48"/>
                            <w:sz w:val="18"/>
                            <w:szCs w:val="18"/>
                          </w:rPr>
                          <w:t> </w:t>
                        </w:r>
                        <w:r>
                          <w:rPr>
                            <w:rFonts w:ascii="宋体" w:hAnsi="宋体" w:cs="宋体" w:eastAsia="宋体" w:hint="default"/>
                            <w:sz w:val="18"/>
                            <w:szCs w:val="18"/>
                          </w:rPr>
                          <w:t>V4.5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2011-12-30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2011SR103652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2011-10-17</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20</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金仕达卫宁医院信息管理软件</w:t>
                        </w:r>
                        <w:r>
                          <w:rPr>
                            <w:rFonts w:ascii="宋体" w:hAnsi="宋体" w:cs="宋体" w:eastAsia="宋体" w:hint="default"/>
                            <w:spacing w:val="-48"/>
                            <w:sz w:val="18"/>
                            <w:szCs w:val="18"/>
                          </w:rPr>
                          <w:t> </w:t>
                        </w:r>
                        <w:r>
                          <w:rPr>
                            <w:rFonts w:ascii="宋体" w:hAnsi="宋体" w:cs="宋体" w:eastAsia="宋体" w:hint="default"/>
                            <w:sz w:val="18"/>
                            <w:szCs w:val="18"/>
                          </w:rPr>
                          <w:t>V4.5.1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2011-04-29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sz w:val="18"/>
                          </w:rPr>
                          <w:t>2011SR024783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2010-11-30</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21</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金仕达卫宁电子病历系统应用软件</w:t>
                        </w:r>
                        <w:r>
                          <w:rPr>
                            <w:rFonts w:ascii="宋体" w:hAnsi="宋体" w:cs="宋体" w:eastAsia="宋体" w:hint="default"/>
                            <w:spacing w:val="-47"/>
                            <w:sz w:val="18"/>
                            <w:szCs w:val="18"/>
                          </w:rPr>
                          <w:t> </w:t>
                        </w:r>
                        <w:r>
                          <w:rPr>
                            <w:rFonts w:ascii="宋体" w:hAnsi="宋体" w:cs="宋体" w:eastAsia="宋体" w:hint="default"/>
                            <w:sz w:val="18"/>
                            <w:szCs w:val="18"/>
                          </w:rPr>
                          <w:t>V4.0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2011-06-17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2011SR038341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2010-12-12</w:t>
                        </w:r>
                      </w:p>
                    </w:tc>
                  </w:tr>
                  <w:tr>
                    <w:trPr>
                      <w:trHeight w:val="466"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22</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金仕达卫宁区域医疗卫生信息软件</w:t>
                        </w:r>
                        <w:r>
                          <w:rPr>
                            <w:rFonts w:ascii="宋体" w:hAnsi="宋体" w:cs="宋体" w:eastAsia="宋体" w:hint="default"/>
                            <w:spacing w:val="-62"/>
                            <w:sz w:val="18"/>
                            <w:szCs w:val="18"/>
                          </w:rPr>
                          <w:t> </w:t>
                        </w:r>
                        <w:r>
                          <w:rPr>
                            <w:rFonts w:ascii="宋体" w:hAnsi="宋体" w:cs="宋体" w:eastAsia="宋体" w:hint="default"/>
                            <w:sz w:val="18"/>
                            <w:szCs w:val="18"/>
                          </w:rPr>
                          <w:t>V5.00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2011-06-21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2011SR039313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2011-01-05</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23</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9"/>
                          <w:ind w:left="105" w:right="101"/>
                          <w:jc w:val="left"/>
                          <w:rPr>
                            <w:rFonts w:ascii="宋体" w:hAnsi="宋体" w:cs="宋体" w:eastAsia="宋体" w:hint="default"/>
                            <w:sz w:val="18"/>
                            <w:szCs w:val="18"/>
                          </w:rPr>
                        </w:pPr>
                        <w:r>
                          <w:rPr>
                            <w:rFonts w:ascii="宋体" w:hAnsi="宋体" w:cs="宋体" w:eastAsia="宋体" w:hint="default"/>
                            <w:spacing w:val="17"/>
                            <w:sz w:val="18"/>
                            <w:szCs w:val="18"/>
                          </w:rPr>
                          <w:t>金仕达卫宁医学影像存储与传输软</w:t>
                        </w:r>
                        <w:r>
                          <w:rPr>
                            <w:rFonts w:ascii="宋体" w:hAnsi="宋体" w:cs="宋体" w:eastAsia="宋体" w:hint="default"/>
                            <w:spacing w:val="-52"/>
                            <w:sz w:val="18"/>
                            <w:szCs w:val="18"/>
                          </w:rPr>
                          <w:t> </w:t>
                        </w:r>
                        <w:r>
                          <w:rPr>
                            <w:rFonts w:ascii="宋体" w:hAnsi="宋体" w:cs="宋体" w:eastAsia="宋体" w:hint="default"/>
                            <w:sz w:val="18"/>
                            <w:szCs w:val="18"/>
                          </w:rPr>
                          <w:t>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2011-06-21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2011SR039468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2011-01-05</w:t>
                        </w:r>
                      </w:p>
                    </w:tc>
                  </w:tr>
                  <w:tr>
                    <w:trPr>
                      <w:trHeight w:val="790"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24</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49"/>
                          <w:ind w:left="105" w:right="101"/>
                          <w:jc w:val="left"/>
                          <w:rPr>
                            <w:rFonts w:ascii="宋体" w:hAnsi="宋体" w:cs="宋体" w:eastAsia="宋体" w:hint="default"/>
                            <w:sz w:val="18"/>
                            <w:szCs w:val="18"/>
                          </w:rPr>
                        </w:pPr>
                        <w:r>
                          <w:rPr>
                            <w:rFonts w:ascii="宋体" w:hAnsi="宋体" w:cs="宋体" w:eastAsia="宋体" w:hint="default"/>
                            <w:spacing w:val="17"/>
                            <w:sz w:val="18"/>
                            <w:szCs w:val="18"/>
                          </w:rPr>
                          <w:t>金仕达卫宁医学实验室信息管理软</w:t>
                        </w:r>
                        <w:r>
                          <w:rPr>
                            <w:rFonts w:ascii="宋体" w:hAnsi="宋体" w:cs="宋体" w:eastAsia="宋体" w:hint="default"/>
                            <w:spacing w:val="-52"/>
                            <w:sz w:val="18"/>
                            <w:szCs w:val="18"/>
                          </w:rPr>
                          <w:t> </w:t>
                        </w:r>
                        <w:r>
                          <w:rPr>
                            <w:rFonts w:ascii="宋体" w:hAnsi="宋体" w:cs="宋体" w:eastAsia="宋体" w:hint="default"/>
                            <w:sz w:val="18"/>
                            <w:szCs w:val="18"/>
                          </w:rPr>
                          <w:t>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V5.0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2011-06-30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2011SR041665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2010-12-16</w:t>
                        </w:r>
                      </w:p>
                    </w:tc>
                  </w:tr>
                  <w:tr>
                    <w:trPr>
                      <w:trHeight w:val="4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25</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金仕达卫宁无线诊疗与护理软件</w:t>
                        </w:r>
                        <w:r>
                          <w:rPr>
                            <w:rFonts w:ascii="宋体" w:hAnsi="宋体" w:cs="宋体" w:eastAsia="宋体" w:hint="default"/>
                            <w:spacing w:val="-47"/>
                            <w:sz w:val="18"/>
                            <w:szCs w:val="18"/>
                          </w:rPr>
                          <w:t> </w:t>
                        </w:r>
                        <w:r>
                          <w:rPr>
                            <w:rFonts w:ascii="宋体" w:hAnsi="宋体" w:cs="宋体" w:eastAsia="宋体" w:hint="default"/>
                            <w:sz w:val="18"/>
                            <w:szCs w:val="18"/>
                          </w:rPr>
                          <w:t>V4.0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2011-07-01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18"/>
                            <w:szCs w:val="18"/>
                          </w:rPr>
                        </w:pPr>
                        <w:r>
                          <w:rPr>
                            <w:rFonts w:ascii="宋体"/>
                            <w:sz w:val="18"/>
                          </w:rPr>
                          <w:t>2011SR042146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2011-03-01</w:t>
                        </w:r>
                      </w:p>
                    </w:tc>
                  </w:tr>
                </w:tbl>
                <w:p>
                  <w:pPr/>
                </w:p>
              </w:txbxContent>
            </v:textbox>
            <w10:wrap type="none"/>
          </v:shape>
        </w:pict>
      </w:r>
      <w:r>
        <w:rPr/>
        <w:t>（五）报告期内公司核心竞争能力的变化情况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left="292" w:right="0" w:firstLine="422"/>
        <w:jc w:val="left"/>
      </w:pPr>
      <w:r>
        <w:rPr>
          <w:w w:val="95"/>
        </w:rPr>
        <w:t>公司的核心竞争能力包括领先的行业地位和提供整体解决方案的能力、丰富的技术积累和复合型人才</w:t>
      </w:r>
      <w:r>
        <w:rPr>
          <w:spacing w:val="-94"/>
          <w:w w:val="95"/>
        </w:rPr>
        <w:t> </w:t>
      </w:r>
      <w:r>
        <w:rPr>
          <w:spacing w:val="-94"/>
          <w:w w:val="95"/>
        </w:rPr>
      </w:r>
      <w:r>
        <w:rPr/>
        <w:t>储备优势、持续的创新能力、先进的研发模式和理念、专业的营销能力和高效的服务体系等方面。</w:t>
      </w:r>
    </w:p>
    <w:p>
      <w:pPr>
        <w:spacing w:line="240" w:lineRule="auto" w:before="12"/>
        <w:rPr>
          <w:rFonts w:ascii="宋体" w:hAnsi="宋体" w:cs="宋体" w:eastAsia="宋体" w:hint="default"/>
          <w:sz w:val="13"/>
          <w:szCs w:val="13"/>
        </w:rPr>
      </w:pPr>
    </w:p>
    <w:p>
      <w:pPr>
        <w:pStyle w:val="BodyText"/>
        <w:spacing w:line="340" w:lineRule="auto"/>
        <w:ind w:left="292" w:right="0" w:firstLine="422"/>
        <w:jc w:val="left"/>
      </w:pPr>
      <w:r>
        <w:rPr>
          <w:w w:val="95"/>
        </w:rPr>
        <w:t>报告期内，随着公司成功上市，公司的这些核心竞争能力得到进一步加强，核心技术人员保持稳定，</w:t>
      </w:r>
      <w:r>
        <w:rPr>
          <w:spacing w:val="-95"/>
          <w:w w:val="95"/>
        </w:rPr>
        <w:t> </w:t>
      </w:r>
      <w:r>
        <w:rPr>
          <w:spacing w:val="-95"/>
          <w:w w:val="95"/>
        </w:rPr>
      </w:r>
      <w:r>
        <w:rPr/>
        <w:t>技术开发能力进一步增强，在市场、技术、研发、人力资源等方面拥有较强的竞争优势。</w:t>
      </w:r>
    </w:p>
    <w:p>
      <w:pPr>
        <w:pStyle w:val="Heading4"/>
        <w:spacing w:line="360" w:lineRule="auto" w:before="115"/>
        <w:ind w:left="715" w:right="4648"/>
        <w:jc w:val="left"/>
        <w:rPr>
          <w:b w:val="0"/>
          <w:bCs w:val="0"/>
        </w:rPr>
      </w:pPr>
      <w:r>
        <w:rPr/>
        <w:t>（六）公司研发投入情况</w:t>
      </w:r>
      <w:r>
        <w:rPr>
          <w:w w:val="99"/>
        </w:rPr>
        <w:t> </w:t>
      </w:r>
      <w:r>
        <w:rPr>
          <w:w w:val="95"/>
        </w:rPr>
        <w:t>1、研发支出相关的会计处理</w:t>
      </w:r>
      <w:r>
        <w:rPr>
          <w:b w:val="0"/>
          <w:bCs w:val="0"/>
        </w:rPr>
      </w:r>
    </w:p>
    <w:p>
      <w:pPr>
        <w:pStyle w:val="BodyText"/>
        <w:spacing w:line="240" w:lineRule="auto" w:before="106"/>
        <w:ind w:left="715" w:right="0"/>
        <w:jc w:val="left"/>
      </w:pPr>
      <w:r>
        <w:rPr/>
        <w:t>报告期内，公司未区分研究支出与开发支出，研究开发支出全部予以当期费用化。</w:t>
      </w:r>
    </w:p>
    <w:p>
      <w:pPr>
        <w:spacing w:after="0" w:line="240" w:lineRule="auto"/>
        <w:jc w:val="left"/>
        <w:sectPr>
          <w:pgSz w:w="11910" w:h="16840"/>
          <w:pgMar w:header="849" w:footer="976" w:top="1520" w:bottom="1160" w:left="840" w:right="900"/>
        </w:sectPr>
      </w:pPr>
    </w:p>
    <w:p>
      <w:pPr>
        <w:spacing w:line="240" w:lineRule="auto" w:before="0"/>
        <w:rPr>
          <w:rFonts w:ascii="宋体" w:hAnsi="宋体" w:cs="宋体" w:eastAsia="宋体" w:hint="default"/>
          <w:sz w:val="2"/>
          <w:szCs w:val="2"/>
        </w:rPr>
      </w:pPr>
    </w:p>
    <w:p>
      <w:pPr>
        <w:spacing w:line="326" w:lineRule="exact"/>
        <w:ind w:left="22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line="327" w:lineRule="exact" w:before="0"/>
                        <w:ind w:left="42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2、最近 3</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年研发费用的投入情况</w:t>
                      </w:r>
                      <w:r>
                        <w:rPr>
                          <w:rFonts w:ascii="Microsoft JhengHei" w:hAnsi="Microsoft JhengHei" w:cs="Microsoft JhengHei" w:eastAsia="Microsoft JhengHei"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2988"/>
        <w:gridCol w:w="2340"/>
        <w:gridCol w:w="2160"/>
        <w:gridCol w:w="2340"/>
      </w:tblGrid>
      <w:tr>
        <w:trPr>
          <w:trHeight w:val="322" w:hRule="exact"/>
        </w:trPr>
        <w:tc>
          <w:tcPr>
            <w:tcW w:w="298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w:t>
            </w:r>
          </w:p>
        </w:tc>
        <w:tc>
          <w:tcPr>
            <w:tcW w:w="23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研发经费（万元）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1,900.89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1,090.28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847.86</w:t>
            </w:r>
          </w:p>
        </w:tc>
      </w:tr>
      <w:tr>
        <w:trPr>
          <w:trHeight w:val="40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主营业务收入（万元）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16,991.90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12,022.96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11,340.78</w:t>
            </w:r>
          </w:p>
        </w:tc>
      </w:tr>
      <w:tr>
        <w:trPr>
          <w:trHeight w:val="398"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11.19%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9.07%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7.48%</w:t>
            </w:r>
          </w:p>
        </w:tc>
      </w:tr>
    </w:tbl>
    <w:p>
      <w:pPr>
        <w:spacing w:line="240" w:lineRule="auto" w:before="4"/>
        <w:rPr>
          <w:rFonts w:ascii="宋体" w:hAnsi="宋体" w:cs="宋体" w:eastAsia="宋体" w:hint="default"/>
          <w:sz w:val="11"/>
          <w:szCs w:val="11"/>
        </w:rPr>
      </w:pPr>
    </w:p>
    <w:p>
      <w:pPr>
        <w:pStyle w:val="Heading4"/>
        <w:spacing w:line="333" w:lineRule="exact"/>
        <w:ind w:left="655" w:right="187"/>
        <w:jc w:val="left"/>
        <w:rPr>
          <w:b w:val="0"/>
          <w:bCs w:val="0"/>
        </w:rPr>
      </w:pPr>
      <w:r>
        <w:rPr/>
        <w:t>3、研发团队的变化情况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ind w:left="655" w:right="187"/>
        <w:jc w:val="left"/>
      </w:pPr>
      <w:r>
        <w:rPr>
          <w:spacing w:val="3"/>
        </w:rPr>
        <w:t>报告期末，公司研究开发人员由</w:t>
      </w:r>
      <w:r>
        <w:rPr>
          <w:spacing w:val="-54"/>
        </w:rPr>
        <w:t> </w:t>
      </w:r>
      <w:r>
        <w:rPr/>
        <w:t>2010</w:t>
      </w:r>
      <w:r>
        <w:rPr>
          <w:spacing w:val="-53"/>
        </w:rPr>
        <w:t> </w:t>
      </w:r>
      <w:r>
        <w:rPr>
          <w:spacing w:val="2"/>
        </w:rPr>
        <w:t>年末的</w:t>
      </w:r>
      <w:r>
        <w:rPr>
          <w:spacing w:val="-52"/>
        </w:rPr>
        <w:t> </w:t>
      </w:r>
      <w:r>
        <w:rPr/>
        <w:t>92</w:t>
      </w:r>
      <w:r>
        <w:rPr>
          <w:spacing w:val="-53"/>
        </w:rPr>
        <w:t> </w:t>
      </w:r>
      <w:r>
        <w:rPr>
          <w:spacing w:val="3"/>
        </w:rPr>
        <w:t>人增长为</w:t>
      </w:r>
      <w:r>
        <w:rPr>
          <w:spacing w:val="-52"/>
        </w:rPr>
        <w:t> </w:t>
      </w:r>
      <w:r>
        <w:rPr/>
        <w:t>140</w:t>
      </w:r>
      <w:r>
        <w:rPr>
          <w:spacing w:val="-55"/>
        </w:rPr>
        <w:t> </w:t>
      </w:r>
      <w:r>
        <w:rPr>
          <w:spacing w:val="3"/>
        </w:rPr>
        <w:t>人，项目实施和二次开发人员由</w:t>
      </w:r>
      <w:r>
        <w:rPr>
          <w:spacing w:val="-50"/>
        </w:rPr>
        <w:t> </w:t>
      </w:r>
      <w:r>
        <w:rPr/>
        <w:t>2010</w:t>
      </w:r>
    </w:p>
    <w:p>
      <w:pPr>
        <w:pStyle w:val="BodyText"/>
        <w:spacing w:line="410" w:lineRule="auto" w:before="116"/>
        <w:ind w:left="655" w:right="187" w:hanging="423"/>
        <w:jc w:val="left"/>
      </w:pPr>
      <w:r>
        <w:rPr/>
        <w:t>年末的</w:t>
      </w:r>
      <w:r>
        <w:rPr>
          <w:spacing w:val="-53"/>
        </w:rPr>
        <w:t> </w:t>
      </w:r>
      <w:r>
        <w:rPr/>
        <w:t>240</w:t>
      </w:r>
      <w:r>
        <w:rPr>
          <w:spacing w:val="-57"/>
        </w:rPr>
        <w:t> </w:t>
      </w:r>
      <w:r>
        <w:rPr/>
        <w:t>人增长为</w:t>
      </w:r>
      <w:r>
        <w:rPr>
          <w:spacing w:val="-56"/>
        </w:rPr>
        <w:t> </w:t>
      </w:r>
      <w:r>
        <w:rPr/>
        <w:t>284</w:t>
      </w:r>
      <w:r>
        <w:rPr>
          <w:spacing w:val="-57"/>
        </w:rPr>
        <w:t> </w:t>
      </w:r>
      <w:r>
        <w:rPr/>
        <w:t>人，使得公司的新产品研究开发能力和项目产品二次开发能力得到进一步增强。</w:t>
      </w:r>
      <w:r>
        <w:rPr>
          <w:w w:val="99"/>
        </w:rPr>
        <w:t> </w:t>
      </w:r>
      <w:r>
        <w:rPr>
          <w:rFonts w:ascii="Microsoft JhengHei" w:hAnsi="Microsoft JhengHei" w:cs="Microsoft JhengHei" w:eastAsia="Microsoft JhengHei" w:hint="default"/>
          <w:b/>
          <w:bCs/>
        </w:rPr>
        <w:t>4、正在从事的研发项目情况</w:t>
      </w:r>
      <w:r>
        <w:rPr>
          <w:rFonts w:ascii="Microsoft JhengHei" w:hAnsi="Microsoft JhengHei" w:cs="Microsoft JhengHei" w:eastAsia="Microsoft JhengHei" w:hint="default"/>
          <w:b/>
          <w:bCs/>
          <w:w w:val="99"/>
        </w:rPr>
        <w:t> </w:t>
      </w:r>
      <w:r>
        <w:rPr>
          <w:w w:val="95"/>
        </w:rPr>
        <w:t>公司不断加大研发投入，努力提高、完善现有产品的各项技术、功能，同时针对市场需求，不断推出</w:t>
      </w:r>
      <w:r>
        <w:rPr/>
      </w:r>
    </w:p>
    <w:p>
      <w:pPr>
        <w:pStyle w:val="BodyText"/>
        <w:spacing w:line="240" w:lineRule="exact"/>
        <w:ind w:left="655" w:right="187" w:hanging="423"/>
        <w:jc w:val="left"/>
      </w:pPr>
      <w:r>
        <w:rPr/>
        <w:t>新的技术和产品，以保持市场的领先优势。</w:t>
      </w:r>
    </w:p>
    <w:p>
      <w:pPr>
        <w:spacing w:line="240" w:lineRule="auto" w:before="11"/>
        <w:rPr>
          <w:rFonts w:ascii="宋体" w:hAnsi="宋体" w:cs="宋体" w:eastAsia="宋体" w:hint="default"/>
          <w:sz w:val="20"/>
          <w:szCs w:val="20"/>
        </w:rPr>
      </w:pPr>
    </w:p>
    <w:p>
      <w:pPr>
        <w:pStyle w:val="BodyText"/>
        <w:spacing w:line="240" w:lineRule="auto"/>
        <w:ind w:left="655" w:right="187"/>
        <w:jc w:val="left"/>
      </w:pPr>
      <w:r>
        <w:rPr/>
        <w:t>报告期内公司正在研发的项目有：</w:t>
      </w:r>
    </w:p>
    <w:p>
      <w:pPr>
        <w:spacing w:line="240" w:lineRule="auto" w:before="11"/>
        <w:rPr>
          <w:rFonts w:ascii="宋体" w:hAnsi="宋体" w:cs="宋体" w:eastAsia="宋体" w:hint="default"/>
          <w:sz w:val="18"/>
          <w:szCs w:val="18"/>
        </w:rPr>
      </w:pPr>
    </w:p>
    <w:tbl>
      <w:tblPr>
        <w:tblW w:w="0" w:type="auto"/>
        <w:jc w:val="left"/>
        <w:tblInd w:w="223" w:type="dxa"/>
        <w:tblLayout w:type="fixed"/>
        <w:tblCellMar>
          <w:top w:w="0" w:type="dxa"/>
          <w:left w:w="0" w:type="dxa"/>
          <w:bottom w:w="0" w:type="dxa"/>
          <w:right w:w="0" w:type="dxa"/>
        </w:tblCellMar>
        <w:tblLook w:val="01E0"/>
      </w:tblPr>
      <w:tblGrid>
        <w:gridCol w:w="602"/>
        <w:gridCol w:w="946"/>
        <w:gridCol w:w="2105"/>
        <w:gridCol w:w="6067"/>
      </w:tblGrid>
      <w:tr>
        <w:trPr>
          <w:trHeight w:val="331" w:hRule="exact"/>
        </w:trPr>
        <w:tc>
          <w:tcPr>
            <w:tcW w:w="602"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6"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所属产品</w:t>
            </w:r>
          </w:p>
        </w:tc>
        <w:tc>
          <w:tcPr>
            <w:tcW w:w="2105"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6067"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目前所处阶段</w:t>
            </w:r>
          </w:p>
        </w:tc>
      </w:tr>
      <w:tr>
        <w:trPr>
          <w:trHeight w:val="400" w:hRule="exact"/>
        </w:trPr>
        <w:tc>
          <w:tcPr>
            <w:tcW w:w="602" w:type="dxa"/>
            <w:tcBorders>
              <w:top w:val="single" w:sz="8" w:space="0" w:color="000000"/>
              <w:left w:val="single" w:sz="8" w:space="0" w:color="000000"/>
              <w:bottom w:val="nil" w:sz="6" w:space="0" w:color="auto"/>
              <w:right w:val="single" w:sz="8" w:space="0" w:color="000000"/>
            </w:tcBorders>
          </w:tcPr>
          <w:p>
            <w:pP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64</w:t>
            </w:r>
            <w:r>
              <w:rPr>
                <w:rFonts w:ascii="宋体" w:hAnsi="宋体" w:cs="宋体" w:eastAsia="宋体" w:hint="default"/>
                <w:spacing w:val="-48"/>
                <w:sz w:val="18"/>
                <w:szCs w:val="18"/>
              </w:rPr>
              <w:t> </w:t>
            </w:r>
            <w:r>
              <w:rPr>
                <w:rFonts w:ascii="宋体" w:hAnsi="宋体" w:cs="宋体" w:eastAsia="宋体" w:hint="default"/>
                <w:sz w:val="18"/>
                <w:szCs w:val="18"/>
              </w:rPr>
              <w:t>位</w:t>
            </w:r>
            <w:r>
              <w:rPr>
                <w:rFonts w:ascii="宋体" w:hAnsi="宋体" w:cs="宋体" w:eastAsia="宋体" w:hint="default"/>
                <w:spacing w:val="-47"/>
                <w:sz w:val="18"/>
                <w:szCs w:val="18"/>
              </w:rPr>
              <w:t> </w:t>
            </w:r>
            <w:r>
              <w:rPr>
                <w:rFonts w:ascii="宋体" w:hAnsi="宋体" w:cs="宋体" w:eastAsia="宋体" w:hint="default"/>
                <w:sz w:val="18"/>
                <w:szCs w:val="18"/>
              </w:rPr>
              <w:t>TView</w:t>
            </w:r>
            <w:r>
              <w:rPr>
                <w:rFonts w:ascii="宋体" w:hAnsi="宋体" w:cs="宋体" w:eastAsia="宋体" w:hint="default"/>
                <w:spacing w:val="-48"/>
                <w:sz w:val="18"/>
                <w:szCs w:val="18"/>
              </w:rPr>
              <w:t> </w:t>
            </w:r>
            <w:r>
              <w:rPr>
                <w:rFonts w:ascii="宋体" w:hAnsi="宋体" w:cs="宋体" w:eastAsia="宋体" w:hint="default"/>
                <w:spacing w:val="-6"/>
                <w:sz w:val="18"/>
                <w:szCs w:val="18"/>
              </w:rPr>
              <w:t>开发、TView</w:t>
            </w: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年度开发完成</w:t>
            </w:r>
            <w:r>
              <w:rPr>
                <w:rFonts w:ascii="宋体" w:hAnsi="宋体" w:cs="宋体" w:eastAsia="宋体" w:hint="default"/>
                <w:spacing w:val="-45"/>
                <w:sz w:val="18"/>
                <w:szCs w:val="18"/>
              </w:rPr>
              <w:t> </w:t>
            </w:r>
            <w:r>
              <w:rPr>
                <w:rFonts w:ascii="宋体" w:hAnsi="宋体" w:cs="宋体" w:eastAsia="宋体" w:hint="default"/>
                <w:spacing w:val="1"/>
                <w:sz w:val="18"/>
                <w:szCs w:val="18"/>
              </w:rPr>
              <w:t>6</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位</w:t>
            </w:r>
            <w:r>
              <w:rPr>
                <w:rFonts w:ascii="宋体" w:hAnsi="宋体" w:cs="宋体" w:eastAsia="宋体" w:hint="default"/>
                <w:spacing w:val="-42"/>
                <w:sz w:val="18"/>
                <w:szCs w:val="18"/>
              </w:rPr>
              <w:t> </w:t>
            </w:r>
            <w:r>
              <w:rPr>
                <w:rFonts w:ascii="宋体" w:hAnsi="宋体" w:cs="宋体" w:eastAsia="宋体" w:hint="default"/>
                <w:spacing w:val="1"/>
                <w:sz w:val="18"/>
                <w:szCs w:val="18"/>
              </w:rPr>
              <w:t>T</w:t>
            </w:r>
            <w:r>
              <w:rPr>
                <w:rFonts w:ascii="宋体" w:hAnsi="宋体" w:cs="宋体" w:eastAsia="宋体" w:hint="default"/>
                <w:spacing w:val="-2"/>
                <w:sz w:val="18"/>
                <w:szCs w:val="18"/>
              </w:rPr>
              <w:t>V</w:t>
            </w:r>
            <w:r>
              <w:rPr>
                <w:rFonts w:ascii="宋体" w:hAnsi="宋体" w:cs="宋体" w:eastAsia="宋体" w:hint="default"/>
                <w:spacing w:val="1"/>
                <w:sz w:val="18"/>
                <w:szCs w:val="18"/>
              </w:rPr>
              <w:t>i</w:t>
            </w:r>
            <w:r>
              <w:rPr>
                <w:rFonts w:ascii="宋体" w:hAnsi="宋体" w:cs="宋体" w:eastAsia="宋体" w:hint="default"/>
                <w:spacing w:val="-2"/>
                <w:sz w:val="18"/>
                <w:szCs w:val="18"/>
              </w:rPr>
              <w:t>ew</w:t>
            </w:r>
            <w:r>
              <w:rPr>
                <w:rFonts w:ascii="宋体" w:hAnsi="宋体" w:cs="宋体" w:eastAsia="宋体" w:hint="default"/>
                <w:spacing w:val="-77"/>
                <w:sz w:val="18"/>
                <w:szCs w:val="18"/>
              </w:rPr>
              <w:t>、</w:t>
            </w:r>
            <w:r>
              <w:rPr>
                <w:rFonts w:ascii="宋体" w:hAnsi="宋体" w:cs="宋体" w:eastAsia="宋体" w:hint="default"/>
                <w:spacing w:val="1"/>
                <w:sz w:val="18"/>
                <w:szCs w:val="18"/>
              </w:rPr>
              <w:t>W</w:t>
            </w:r>
            <w:r>
              <w:rPr>
                <w:rFonts w:ascii="宋体" w:hAnsi="宋体" w:cs="宋体" w:eastAsia="宋体" w:hint="default"/>
                <w:spacing w:val="-2"/>
                <w:sz w:val="18"/>
                <w:szCs w:val="18"/>
              </w:rPr>
              <w:t>e</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pacing w:val="1"/>
                <w:sz w:val="18"/>
                <w:szCs w:val="18"/>
              </w:rPr>
              <w:t>V</w:t>
            </w:r>
            <w:r>
              <w:rPr>
                <w:rFonts w:ascii="宋体" w:hAnsi="宋体" w:cs="宋体" w:eastAsia="宋体" w:hint="default"/>
                <w:spacing w:val="-2"/>
                <w:sz w:val="18"/>
                <w:szCs w:val="18"/>
              </w:rPr>
              <w:t>i</w:t>
            </w:r>
            <w:r>
              <w:rPr>
                <w:rFonts w:ascii="宋体" w:hAnsi="宋体" w:cs="宋体" w:eastAsia="宋体" w:hint="default"/>
                <w:spacing w:val="1"/>
                <w:sz w:val="18"/>
                <w:szCs w:val="18"/>
              </w:rPr>
              <w:t>e</w:t>
            </w:r>
            <w:r>
              <w:rPr>
                <w:rFonts w:ascii="宋体" w:hAnsi="宋体" w:cs="宋体" w:eastAsia="宋体" w:hint="default"/>
                <w:spacing w:val="-2"/>
                <w:sz w:val="18"/>
                <w:szCs w:val="18"/>
              </w:rPr>
              <w:t>w</w:t>
            </w:r>
            <w:r>
              <w:rPr>
                <w:rFonts w:ascii="宋体" w:hAnsi="宋体" w:cs="宋体" w:eastAsia="宋体" w:hint="default"/>
                <w:spacing w:val="-80"/>
                <w:sz w:val="18"/>
                <w:szCs w:val="18"/>
              </w:rPr>
              <w:t>、</w:t>
            </w:r>
            <w:r>
              <w:rPr>
                <w:rFonts w:ascii="宋体" w:hAnsi="宋体" w:cs="宋体" w:eastAsia="宋体" w:hint="default"/>
                <w:spacing w:val="1"/>
                <w:sz w:val="18"/>
                <w:szCs w:val="18"/>
              </w:rPr>
              <w:t>M</w:t>
            </w:r>
            <w:r>
              <w:rPr>
                <w:rFonts w:ascii="宋体" w:hAnsi="宋体" w:cs="宋体" w:eastAsia="宋体" w:hint="default"/>
                <w:spacing w:val="-2"/>
                <w:sz w:val="18"/>
                <w:szCs w:val="18"/>
              </w:rPr>
              <w:t>I</w:t>
            </w:r>
            <w:r>
              <w:rPr>
                <w:rFonts w:ascii="宋体" w:hAnsi="宋体" w:cs="宋体" w:eastAsia="宋体" w:hint="default"/>
                <w:spacing w:val="1"/>
                <w:sz w:val="18"/>
                <w:szCs w:val="18"/>
              </w:rPr>
              <w:t>P</w:t>
            </w:r>
            <w:r>
              <w:rPr>
                <w:rFonts w:ascii="宋体" w:hAnsi="宋体" w:cs="宋体" w:eastAsia="宋体" w:hint="default"/>
                <w:spacing w:val="-80"/>
                <w:sz w:val="18"/>
                <w:szCs w:val="18"/>
              </w:rPr>
              <w:t>、</w:t>
            </w:r>
            <w:r>
              <w:rPr>
                <w:rFonts w:ascii="宋体" w:hAnsi="宋体" w:cs="宋体" w:eastAsia="宋体" w:hint="default"/>
                <w:sz w:val="18"/>
                <w:szCs w:val="18"/>
              </w:rPr>
              <w:t>电子胶片与按需打</w:t>
            </w:r>
            <w:r>
              <w:rPr>
                <w:rFonts w:ascii="宋体" w:hAnsi="宋体" w:cs="宋体" w:eastAsia="宋体" w:hint="default"/>
                <w:spacing w:val="2"/>
                <w:sz w:val="18"/>
                <w:szCs w:val="18"/>
              </w:rPr>
              <w:t>印</w:t>
            </w:r>
            <w:r>
              <w:rPr>
                <w:rFonts w:ascii="宋体" w:hAnsi="宋体" w:cs="宋体" w:eastAsia="宋体" w:hint="default"/>
                <w:spacing w:val="-80"/>
                <w:sz w:val="18"/>
                <w:szCs w:val="18"/>
              </w:rPr>
              <w:t>、</w:t>
            </w:r>
            <w:r>
              <w:rPr>
                <w:rFonts w:ascii="宋体" w:hAnsi="宋体" w:cs="宋体" w:eastAsia="宋体" w:hint="default"/>
                <w:spacing w:val="1"/>
                <w:sz w:val="18"/>
                <w:szCs w:val="18"/>
              </w:rPr>
              <w:t>T</w:t>
            </w:r>
            <w:r>
              <w:rPr>
                <w:rFonts w:ascii="宋体" w:hAnsi="宋体" w:cs="宋体" w:eastAsia="宋体" w:hint="default"/>
                <w:spacing w:val="-2"/>
                <w:sz w:val="18"/>
                <w:szCs w:val="18"/>
              </w:rPr>
              <w:t>V</w:t>
            </w:r>
            <w:r>
              <w:rPr>
                <w:rFonts w:ascii="宋体" w:hAnsi="宋体" w:cs="宋体" w:eastAsia="宋体" w:hint="default"/>
                <w:spacing w:val="1"/>
                <w:sz w:val="18"/>
                <w:szCs w:val="18"/>
              </w:rPr>
              <w:t>i</w:t>
            </w:r>
            <w:r>
              <w:rPr>
                <w:rFonts w:ascii="宋体" w:hAnsi="宋体" w:cs="宋体" w:eastAsia="宋体" w:hint="default"/>
                <w:spacing w:val="-2"/>
                <w:sz w:val="18"/>
                <w:szCs w:val="18"/>
              </w:rPr>
              <w:t>e</w:t>
            </w:r>
            <w:r>
              <w:rPr>
                <w:rFonts w:ascii="宋体" w:hAnsi="宋体" w:cs="宋体" w:eastAsia="宋体" w:hint="default"/>
                <w:sz w:val="18"/>
                <w:szCs w:val="18"/>
              </w:rPr>
              <w:t>w</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57"/>
                <w:sz w:val="18"/>
                <w:szCs w:val="18"/>
              </w:rPr>
              <w:t> </w:t>
            </w:r>
            <w:r>
              <w:rPr>
                <w:rFonts w:ascii="宋体" w:hAnsi="宋体" w:cs="宋体" w:eastAsia="宋体" w:hint="default"/>
                <w:sz w:val="18"/>
                <w:szCs w:val="18"/>
              </w:rPr>
              <w:t>加</w:t>
            </w:r>
            <w:r>
              <w:rPr>
                <w:rFonts w:ascii="宋体" w:hAnsi="宋体" w:cs="宋体" w:eastAsia="宋体" w:hint="default"/>
                <w:spacing w:val="-57"/>
                <w:sz w:val="18"/>
                <w:szCs w:val="18"/>
              </w:rPr>
              <w:t> </w:t>
            </w:r>
            <w:r>
              <w:rPr>
                <w:rFonts w:ascii="宋体" w:hAnsi="宋体" w:cs="宋体" w:eastAsia="宋体" w:hint="default"/>
                <w:sz w:val="18"/>
                <w:szCs w:val="18"/>
              </w:rPr>
              <w:t>对</w:t>
            </w:r>
            <w:r>
              <w:rPr>
                <w:rFonts w:ascii="宋体" w:hAnsi="宋体" w:cs="宋体" w:eastAsia="宋体" w:hint="default"/>
                <w:spacing w:val="-57"/>
                <w:sz w:val="18"/>
                <w:szCs w:val="18"/>
              </w:rPr>
              <w:t> </w:t>
            </w:r>
            <w:r>
              <w:rPr>
                <w:rFonts w:ascii="宋体" w:hAnsi="宋体" w:cs="宋体" w:eastAsia="宋体" w:hint="default"/>
                <w:sz w:val="18"/>
                <w:szCs w:val="18"/>
              </w:rPr>
              <w:t>悬</w:t>
            </w:r>
            <w:r>
              <w:rPr>
                <w:rFonts w:ascii="宋体" w:hAnsi="宋体" w:cs="宋体" w:eastAsia="宋体" w:hint="default"/>
                <w:spacing w:val="-57"/>
                <w:sz w:val="18"/>
                <w:szCs w:val="18"/>
              </w:rPr>
              <w:t> </w:t>
            </w:r>
            <w:r>
              <w:rPr>
                <w:rFonts w:ascii="宋体" w:hAnsi="宋体" w:cs="宋体" w:eastAsia="宋体" w:hint="default"/>
                <w:sz w:val="18"/>
                <w:szCs w:val="18"/>
              </w:rPr>
              <w:t>挂</w:t>
            </w:r>
            <w:r>
              <w:rPr>
                <w:rFonts w:ascii="宋体" w:hAnsi="宋体" w:cs="宋体" w:eastAsia="宋体" w:hint="default"/>
                <w:spacing w:val="-57"/>
                <w:sz w:val="18"/>
                <w:szCs w:val="18"/>
              </w:rPr>
              <w:t> </w:t>
            </w:r>
            <w:r>
              <w:rPr>
                <w:rFonts w:ascii="宋体" w:hAnsi="宋体" w:cs="宋体" w:eastAsia="宋体" w:hint="default"/>
                <w:sz w:val="18"/>
                <w:szCs w:val="18"/>
              </w:rPr>
              <w:t>协</w:t>
            </w:r>
            <w:r>
              <w:rPr>
                <w:rFonts w:ascii="宋体" w:hAnsi="宋体" w:cs="宋体" w:eastAsia="宋体" w:hint="default"/>
                <w:spacing w:val="-57"/>
                <w:sz w:val="18"/>
                <w:szCs w:val="18"/>
              </w:rPr>
              <w:t> </w:t>
            </w:r>
            <w:r>
              <w:rPr>
                <w:rFonts w:ascii="宋体" w:hAnsi="宋体" w:cs="宋体" w:eastAsia="宋体" w:hint="default"/>
                <w:sz w:val="18"/>
                <w:szCs w:val="18"/>
              </w:rPr>
              <w:t>议</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支</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悬挂协议、Query</w:t>
            </w:r>
            <w:r>
              <w:rPr>
                <w:rFonts w:ascii="宋体" w:hAnsi="宋体" w:cs="宋体" w:eastAsia="宋体" w:hint="default"/>
                <w:spacing w:val="-2"/>
                <w:sz w:val="18"/>
                <w:szCs w:val="18"/>
              </w:rPr>
              <w:t> </w:t>
            </w:r>
            <w:r>
              <w:rPr>
                <w:rFonts w:ascii="宋体" w:hAnsi="宋体" w:cs="宋体" w:eastAsia="宋体" w:hint="default"/>
                <w:sz w:val="18"/>
                <w:szCs w:val="18"/>
              </w:rPr>
              <w:t>Retrieve</w:t>
            </w:r>
            <w:r>
              <w:rPr>
                <w:rFonts w:ascii="宋体" w:hAnsi="宋体" w:cs="宋体" w:eastAsia="宋体" w:hint="default"/>
                <w:spacing w:val="-2"/>
                <w:sz w:val="18"/>
                <w:szCs w:val="18"/>
              </w:rPr>
              <w:t> </w:t>
            </w:r>
            <w:r>
              <w:rPr>
                <w:rFonts w:ascii="宋体" w:hAnsi="宋体" w:cs="宋体" w:eastAsia="宋体" w:hint="default"/>
                <w:sz w:val="18"/>
                <w:szCs w:val="18"/>
              </w:rPr>
              <w:t>Linux</w:t>
            </w:r>
            <w:r>
              <w:rPr>
                <w:rFonts w:ascii="宋体" w:hAnsi="宋体" w:cs="宋体" w:eastAsia="宋体" w:hint="default"/>
                <w:spacing w:val="-47"/>
                <w:sz w:val="18"/>
                <w:szCs w:val="18"/>
              </w:rPr>
              <w:t> </w:t>
            </w:r>
            <w:r>
              <w:rPr>
                <w:rFonts w:ascii="宋体" w:hAnsi="宋体" w:cs="宋体" w:eastAsia="宋体" w:hint="default"/>
                <w:sz w:val="18"/>
                <w:szCs w:val="18"/>
              </w:rPr>
              <w:t>版本、PACS</w:t>
            </w:r>
            <w:r>
              <w:rPr>
                <w:rFonts w:ascii="宋体" w:hAnsi="宋体" w:cs="宋体" w:eastAsia="宋体" w:hint="default"/>
                <w:spacing w:val="-47"/>
                <w:sz w:val="18"/>
                <w:szCs w:val="18"/>
              </w:rPr>
              <w:t> </w:t>
            </w:r>
            <w:r>
              <w:rPr>
                <w:rFonts w:ascii="宋体" w:hAnsi="宋体" w:cs="宋体" w:eastAsia="宋体" w:hint="default"/>
                <w:sz w:val="18"/>
                <w:szCs w:val="18"/>
              </w:rPr>
              <w:t>存储特性基于</w:t>
            </w:r>
            <w:r>
              <w:rPr>
                <w:rFonts w:ascii="宋体" w:hAnsi="宋体" w:cs="宋体" w:eastAsia="宋体" w:hint="default"/>
                <w:spacing w:val="-46"/>
                <w:sz w:val="18"/>
                <w:szCs w:val="18"/>
              </w:rPr>
              <w:t> </w:t>
            </w:r>
            <w:r>
              <w:rPr>
                <w:rFonts w:ascii="宋体" w:hAnsi="宋体" w:cs="宋体" w:eastAsia="宋体" w:hint="default"/>
                <w:sz w:val="18"/>
                <w:szCs w:val="18"/>
              </w:rPr>
              <w:t>Linux</w:t>
            </w:r>
            <w:r>
              <w:rPr>
                <w:rFonts w:ascii="宋体" w:hAnsi="宋体" w:cs="宋体" w:eastAsia="宋体" w:hint="default"/>
                <w:spacing w:val="-47"/>
                <w:sz w:val="18"/>
                <w:szCs w:val="18"/>
              </w:rPr>
              <w:t> </w:t>
            </w:r>
            <w:r>
              <w:rPr>
                <w:rFonts w:ascii="宋体" w:hAnsi="宋体" w:cs="宋体" w:eastAsia="宋体" w:hint="default"/>
                <w:sz w:val="18"/>
                <w:szCs w:val="18"/>
              </w:rPr>
              <w:t>改造和</w:t>
            </w:r>
          </w:p>
        </w:tc>
      </w:tr>
      <w:tr>
        <w:trPr>
          <w:trHeight w:val="23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持 、 Query</w:t>
            </w:r>
            <w:r>
              <w:rPr>
                <w:rFonts w:ascii="宋体" w:hAnsi="宋体" w:cs="宋体" w:eastAsia="宋体" w:hint="default"/>
                <w:spacing w:val="80"/>
                <w:sz w:val="18"/>
                <w:szCs w:val="18"/>
              </w:rPr>
              <w:t> </w:t>
            </w:r>
            <w:r>
              <w:rPr>
                <w:rFonts w:ascii="宋体" w:hAnsi="宋体" w:cs="宋体" w:eastAsia="宋体" w:hint="default"/>
                <w:sz w:val="18"/>
                <w:szCs w:val="18"/>
              </w:rPr>
              <w:t>Retrieve</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完善</w:t>
            </w:r>
            <w:r>
              <w:rPr>
                <w:rFonts w:ascii="宋体" w:hAnsi="宋体" w:cs="宋体" w:eastAsia="宋体" w:hint="default"/>
                <w:spacing w:val="-42"/>
                <w:sz w:val="18"/>
                <w:szCs w:val="18"/>
              </w:rPr>
              <w:t> </w:t>
            </w:r>
            <w:r>
              <w:rPr>
                <w:rFonts w:ascii="宋体" w:hAnsi="宋体" w:cs="宋体" w:eastAsia="宋体" w:hint="default"/>
                <w:sz w:val="18"/>
                <w:szCs w:val="18"/>
              </w:rPr>
              <w:t>DICOM</w:t>
            </w:r>
            <w:r>
              <w:rPr>
                <w:rFonts w:ascii="宋体" w:hAnsi="宋体" w:cs="宋体" w:eastAsia="宋体" w:hint="default"/>
                <w:spacing w:val="-43"/>
                <w:sz w:val="18"/>
                <w:szCs w:val="18"/>
              </w:rPr>
              <w:t> </w:t>
            </w:r>
            <w:r>
              <w:rPr>
                <w:rFonts w:ascii="宋体" w:hAnsi="宋体" w:cs="宋体" w:eastAsia="宋体" w:hint="default"/>
                <w:spacing w:val="-11"/>
                <w:sz w:val="18"/>
                <w:szCs w:val="18"/>
              </w:rPr>
              <w:t>功能、对</w:t>
            </w:r>
            <w:r>
              <w:rPr>
                <w:rFonts w:ascii="宋体" w:hAnsi="宋体" w:cs="宋体" w:eastAsia="宋体" w:hint="default"/>
                <w:spacing w:val="-42"/>
                <w:sz w:val="18"/>
                <w:szCs w:val="18"/>
              </w:rPr>
              <w:t> </w:t>
            </w:r>
            <w:r>
              <w:rPr>
                <w:rFonts w:ascii="宋体" w:hAnsi="宋体" w:cs="宋体" w:eastAsia="宋体" w:hint="default"/>
                <w:sz w:val="18"/>
                <w:szCs w:val="18"/>
              </w:rPr>
              <w:t>DICOM</w:t>
            </w:r>
            <w:r>
              <w:rPr>
                <w:rFonts w:ascii="宋体" w:hAnsi="宋体" w:cs="宋体" w:eastAsia="宋体" w:hint="default"/>
                <w:spacing w:val="-43"/>
                <w:sz w:val="18"/>
                <w:szCs w:val="18"/>
              </w:rPr>
              <w:t> </w:t>
            </w:r>
            <w:r>
              <w:rPr>
                <w:rFonts w:ascii="宋体" w:hAnsi="宋体" w:cs="宋体" w:eastAsia="宋体" w:hint="default"/>
                <w:spacing w:val="-3"/>
                <w:sz w:val="18"/>
                <w:szCs w:val="18"/>
              </w:rPr>
              <w:t>影像中的数据进行灰度分析和密度分析、三维工</w:t>
            </w:r>
          </w:p>
        </w:tc>
      </w:tr>
      <w:tr>
        <w:trPr>
          <w:trHeight w:val="23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Linux </w:t>
            </w:r>
            <w:r>
              <w:rPr>
                <w:rFonts w:ascii="宋体" w:hAnsi="宋体" w:cs="宋体" w:eastAsia="宋体" w:hint="default"/>
                <w:spacing w:val="11"/>
                <w:sz w:val="18"/>
                <w:szCs w:val="18"/>
              </w:rPr>
              <w:t>版本、重构</w:t>
            </w:r>
            <w:r>
              <w:rPr>
                <w:rFonts w:ascii="宋体" w:hAnsi="宋体" w:cs="宋体" w:eastAsia="宋体" w:hint="default"/>
                <w:spacing w:val="-64"/>
                <w:sz w:val="18"/>
                <w:szCs w:val="18"/>
              </w:rPr>
              <w:t> </w:t>
            </w:r>
            <w:r>
              <w:rPr>
                <w:rFonts w:ascii="宋体" w:hAnsi="宋体" w:cs="宋体" w:eastAsia="宋体" w:hint="default"/>
                <w:sz w:val="18"/>
                <w:szCs w:val="18"/>
              </w:rPr>
              <w:t>PACS</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作站对</w:t>
            </w:r>
            <w:r>
              <w:rPr>
                <w:rFonts w:ascii="宋体" w:hAnsi="宋体" w:cs="宋体" w:eastAsia="宋体" w:hint="default"/>
                <w:spacing w:val="-69"/>
                <w:sz w:val="18"/>
                <w:szCs w:val="18"/>
              </w:rPr>
              <w:t> </w:t>
            </w:r>
            <w:r>
              <w:rPr>
                <w:rFonts w:ascii="宋体" w:hAnsi="宋体" w:cs="宋体" w:eastAsia="宋体" w:hint="default"/>
                <w:sz w:val="18"/>
                <w:szCs w:val="18"/>
              </w:rPr>
              <w:t>CT</w:t>
            </w:r>
            <w:r>
              <w:rPr>
                <w:rFonts w:ascii="宋体" w:hAnsi="宋体" w:cs="宋体" w:eastAsia="宋体" w:hint="default"/>
                <w:spacing w:val="-70"/>
                <w:sz w:val="18"/>
                <w:szCs w:val="18"/>
              </w:rPr>
              <w:t> </w:t>
            </w:r>
            <w:r>
              <w:rPr>
                <w:rFonts w:ascii="宋体" w:hAnsi="宋体" w:cs="宋体" w:eastAsia="宋体" w:hint="default"/>
                <w:sz w:val="18"/>
                <w:szCs w:val="18"/>
              </w:rPr>
              <w:t>图像的选中序列进行</w:t>
            </w:r>
            <w:r>
              <w:rPr>
                <w:rFonts w:ascii="宋体" w:hAnsi="宋体" w:cs="宋体" w:eastAsia="宋体" w:hint="default"/>
                <w:spacing w:val="-70"/>
                <w:sz w:val="18"/>
                <w:szCs w:val="18"/>
              </w:rPr>
              <w:t> </w:t>
            </w:r>
            <w:r>
              <w:rPr>
                <w:rFonts w:ascii="宋体" w:hAnsi="宋体" w:cs="宋体" w:eastAsia="宋体" w:hint="default"/>
                <w:sz w:val="18"/>
                <w:szCs w:val="18"/>
              </w:rPr>
              <w:t>MPR，MIP，MinMIP</w:t>
            </w:r>
            <w:r>
              <w:rPr>
                <w:rFonts w:ascii="宋体" w:hAnsi="宋体" w:cs="宋体" w:eastAsia="宋体" w:hint="default"/>
                <w:spacing w:val="-70"/>
                <w:sz w:val="18"/>
                <w:szCs w:val="18"/>
              </w:rPr>
              <w:t> </w:t>
            </w:r>
            <w:r>
              <w:rPr>
                <w:rFonts w:ascii="宋体" w:hAnsi="宋体" w:cs="宋体" w:eastAsia="宋体" w:hint="default"/>
                <w:sz w:val="18"/>
                <w:szCs w:val="18"/>
              </w:rPr>
              <w:t>操作、旋转操作、直线、</w:t>
            </w:r>
          </w:p>
        </w:tc>
      </w:tr>
      <w:tr>
        <w:trPr>
          <w:trHeight w:val="934"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40" w:lineRule="auto" w:before="88"/>
              <w:ind w:right="20"/>
              <w:jc w:val="center"/>
              <w:rPr>
                <w:rFonts w:ascii="宋体" w:hAnsi="宋体" w:cs="宋体" w:eastAsia="宋体" w:hint="default"/>
                <w:sz w:val="18"/>
                <w:szCs w:val="18"/>
              </w:rPr>
            </w:pPr>
            <w:r>
              <w:rPr>
                <w:rFonts w:ascii="宋体"/>
                <w:sz w:val="18"/>
              </w:rPr>
              <w:t>PACS</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医技信息</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2"/>
                <w:sz w:val="18"/>
                <w:szCs w:val="18"/>
              </w:rPr>
              <w:t>存储特性、PACS</w:t>
            </w:r>
            <w:r>
              <w:rPr>
                <w:rFonts w:ascii="宋体" w:hAnsi="宋体" w:cs="宋体" w:eastAsia="宋体" w:hint="default"/>
                <w:spacing w:val="-36"/>
                <w:sz w:val="18"/>
                <w:szCs w:val="18"/>
              </w:rPr>
              <w:t> </w:t>
            </w:r>
            <w:r>
              <w:rPr>
                <w:rFonts w:ascii="宋体" w:hAnsi="宋体" w:cs="宋体" w:eastAsia="宋体" w:hint="default"/>
                <w:spacing w:val="2"/>
                <w:sz w:val="18"/>
                <w:szCs w:val="18"/>
              </w:rPr>
              <w:t>产品大</w:t>
            </w:r>
          </w:p>
          <w:p>
            <w:pPr>
              <w:pStyle w:val="TableParagraph"/>
              <w:spacing w:line="232" w:lineRule="exact" w:before="24"/>
              <w:ind w:left="100" w:right="96"/>
              <w:jc w:val="both"/>
              <w:rPr>
                <w:rFonts w:ascii="宋体" w:hAnsi="宋体" w:cs="宋体" w:eastAsia="宋体" w:hint="default"/>
                <w:sz w:val="18"/>
                <w:szCs w:val="18"/>
              </w:rPr>
            </w:pPr>
            <w:r>
              <w:rPr>
                <w:rFonts w:ascii="宋体" w:hAnsi="宋体" w:cs="宋体" w:eastAsia="宋体" w:hint="default"/>
                <w:spacing w:val="8"/>
                <w:sz w:val="18"/>
                <w:szCs w:val="18"/>
              </w:rPr>
              <w:t>升级，进一步实现远程</w:t>
            </w:r>
            <w:r>
              <w:rPr>
                <w:rFonts w:ascii="宋体" w:hAnsi="宋体" w:cs="宋体" w:eastAsia="宋体" w:hint="default"/>
                <w:sz w:val="18"/>
                <w:szCs w:val="18"/>
              </w:rPr>
              <w:t> </w:t>
            </w:r>
            <w:r>
              <w:rPr>
                <w:rFonts w:ascii="宋体" w:hAnsi="宋体" w:cs="宋体" w:eastAsia="宋体" w:hint="default"/>
                <w:spacing w:val="8"/>
                <w:sz w:val="18"/>
                <w:szCs w:val="18"/>
              </w:rPr>
              <w:t>会诊、远程协作功能，</w:t>
            </w:r>
            <w:r>
              <w:rPr>
                <w:rFonts w:ascii="宋体" w:hAnsi="宋体" w:cs="宋体" w:eastAsia="宋体" w:hint="default"/>
                <w:sz w:val="18"/>
                <w:szCs w:val="18"/>
              </w:rPr>
              <w:t> 完</w:t>
            </w:r>
            <w:r>
              <w:rPr>
                <w:rFonts w:ascii="宋体" w:hAnsi="宋体" w:cs="宋体" w:eastAsia="宋体" w:hint="default"/>
                <w:spacing w:val="-64"/>
                <w:sz w:val="18"/>
                <w:szCs w:val="18"/>
              </w:rPr>
              <w:t> </w:t>
            </w:r>
            <w:r>
              <w:rPr>
                <w:rFonts w:ascii="宋体" w:hAnsi="宋体" w:cs="宋体" w:eastAsia="宋体" w:hint="default"/>
                <w:sz w:val="18"/>
                <w:szCs w:val="18"/>
              </w:rPr>
              <w:t>善</w:t>
            </w:r>
            <w:r>
              <w:rPr>
                <w:rFonts w:ascii="宋体" w:hAnsi="宋体" w:cs="宋体" w:eastAsia="宋体" w:hint="default"/>
                <w:spacing w:val="-66"/>
                <w:sz w:val="18"/>
                <w:szCs w:val="18"/>
              </w:rPr>
              <w:t> </w:t>
            </w:r>
            <w:r>
              <w:rPr>
                <w:rFonts w:ascii="宋体" w:hAnsi="宋体" w:cs="宋体" w:eastAsia="宋体" w:hint="default"/>
                <w:sz w:val="18"/>
                <w:szCs w:val="18"/>
              </w:rPr>
              <w:t>影</w:t>
            </w:r>
            <w:r>
              <w:rPr>
                <w:rFonts w:ascii="宋体" w:hAnsi="宋体" w:cs="宋体" w:eastAsia="宋体" w:hint="default"/>
                <w:spacing w:val="-66"/>
                <w:sz w:val="18"/>
                <w:szCs w:val="18"/>
              </w:rPr>
              <w:t> </w:t>
            </w:r>
            <w:r>
              <w:rPr>
                <w:rFonts w:ascii="宋体" w:hAnsi="宋体" w:cs="宋体" w:eastAsia="宋体" w:hint="default"/>
                <w:sz w:val="18"/>
                <w:szCs w:val="18"/>
              </w:rPr>
              <w:t>像</w:t>
            </w:r>
            <w:r>
              <w:rPr>
                <w:rFonts w:ascii="宋体" w:hAnsi="宋体" w:cs="宋体" w:eastAsia="宋体" w:hint="default"/>
                <w:spacing w:val="-66"/>
                <w:sz w:val="18"/>
                <w:szCs w:val="18"/>
              </w:rPr>
              <w:t> </w:t>
            </w:r>
            <w:r>
              <w:rPr>
                <w:rFonts w:ascii="宋体" w:hAnsi="宋体" w:cs="宋体" w:eastAsia="宋体" w:hint="default"/>
                <w:sz w:val="18"/>
                <w:szCs w:val="18"/>
              </w:rPr>
              <w:t>中</w:t>
            </w:r>
            <w:r>
              <w:rPr>
                <w:rFonts w:ascii="宋体" w:hAnsi="宋体" w:cs="宋体" w:eastAsia="宋体" w:hint="default"/>
                <w:spacing w:val="-66"/>
                <w:sz w:val="18"/>
                <w:szCs w:val="18"/>
              </w:rPr>
              <w:t> </w:t>
            </w:r>
            <w:r>
              <w:rPr>
                <w:rFonts w:ascii="宋体" w:hAnsi="宋体" w:cs="宋体" w:eastAsia="宋体" w:hint="default"/>
                <w:sz w:val="18"/>
                <w:szCs w:val="18"/>
              </w:rPr>
              <w:t>心</w:t>
            </w:r>
            <w:r>
              <w:rPr>
                <w:rFonts w:ascii="宋体" w:hAnsi="宋体" w:cs="宋体" w:eastAsia="宋体" w:hint="default"/>
                <w:spacing w:val="-16"/>
                <w:sz w:val="18"/>
                <w:szCs w:val="18"/>
              </w:rPr>
              <w:t> </w:t>
            </w:r>
            <w:r>
              <w:rPr>
                <w:rFonts w:ascii="宋体" w:hAnsi="宋体" w:cs="宋体" w:eastAsia="宋体" w:hint="default"/>
                <w:sz w:val="18"/>
                <w:szCs w:val="18"/>
              </w:rPr>
              <w:t>PACS</w:t>
            </w:r>
            <w:r>
              <w:rPr>
                <w:rFonts w:ascii="宋体" w:hAnsi="宋体" w:cs="宋体" w:eastAsia="宋体" w:hint="default"/>
                <w:spacing w:val="-22"/>
                <w:sz w:val="18"/>
                <w:szCs w:val="18"/>
              </w:rPr>
              <w:t> </w:t>
            </w:r>
            <w:r>
              <w:rPr>
                <w:rFonts w:ascii="宋体" w:hAnsi="宋体" w:cs="宋体" w:eastAsia="宋体" w:hint="default"/>
                <w:sz w:val="18"/>
                <w:szCs w:val="18"/>
              </w:rPr>
              <w:t>功</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ROI</w:t>
            </w:r>
            <w:r>
              <w:rPr>
                <w:rFonts w:ascii="宋体" w:hAnsi="宋体" w:cs="宋体" w:eastAsia="宋体" w:hint="default"/>
                <w:spacing w:val="-47"/>
                <w:sz w:val="18"/>
                <w:szCs w:val="18"/>
              </w:rPr>
              <w:t> </w:t>
            </w:r>
            <w:r>
              <w:rPr>
                <w:rFonts w:ascii="宋体" w:hAnsi="宋体" w:cs="宋体" w:eastAsia="宋体" w:hint="default"/>
                <w:sz w:val="18"/>
                <w:szCs w:val="18"/>
              </w:rPr>
              <w:t>的测量、序列保存功能。</w:t>
            </w:r>
          </w:p>
          <w:p>
            <w:pPr>
              <w:pStyle w:val="TableParagraph"/>
              <w:spacing w:line="240" w:lineRule="auto" w:before="10"/>
              <w:ind w:right="0"/>
              <w:jc w:val="left"/>
              <w:rPr>
                <w:rFonts w:ascii="宋体" w:hAnsi="宋体" w:cs="宋体" w:eastAsia="宋体" w:hint="default"/>
                <w:sz w:val="13"/>
                <w:szCs w:val="13"/>
              </w:rPr>
            </w:pPr>
          </w:p>
          <w:p>
            <w:pPr>
              <w:pStyle w:val="TableParagraph"/>
              <w:spacing w:line="232" w:lineRule="exact"/>
              <w:ind w:left="98" w:right="7"/>
              <w:jc w:val="left"/>
              <w:rPr>
                <w:rFonts w:ascii="宋体" w:hAnsi="宋体" w:cs="宋体" w:eastAsia="宋体" w:hint="default"/>
                <w:sz w:val="18"/>
                <w:szCs w:val="18"/>
              </w:rPr>
            </w:pPr>
            <w:r>
              <w:rPr>
                <w:rFonts w:ascii="宋体" w:hAnsi="宋体" w:cs="宋体" w:eastAsia="宋体" w:hint="default"/>
                <w:sz w:val="18"/>
                <w:szCs w:val="18"/>
              </w:rPr>
              <w:t>目前正在研发进一步完善</w:t>
            </w:r>
            <w:r>
              <w:rPr>
                <w:rFonts w:ascii="宋体" w:hAnsi="宋体" w:cs="宋体" w:eastAsia="宋体" w:hint="default"/>
                <w:spacing w:val="-46"/>
                <w:sz w:val="18"/>
                <w:szCs w:val="18"/>
              </w:rPr>
              <w:t> </w:t>
            </w:r>
            <w:r>
              <w:rPr>
                <w:rFonts w:ascii="宋体" w:hAnsi="宋体" w:cs="宋体" w:eastAsia="宋体" w:hint="default"/>
                <w:sz w:val="18"/>
                <w:szCs w:val="18"/>
              </w:rPr>
              <w:t>MPR、MIP</w:t>
            </w:r>
            <w:r>
              <w:rPr>
                <w:rFonts w:ascii="宋体" w:hAnsi="宋体" w:cs="宋体" w:eastAsia="宋体" w:hint="default"/>
                <w:spacing w:val="-45"/>
                <w:sz w:val="18"/>
                <w:szCs w:val="18"/>
              </w:rPr>
              <w:t> </w:t>
            </w:r>
            <w:r>
              <w:rPr>
                <w:rFonts w:ascii="宋体" w:hAnsi="宋体" w:cs="宋体" w:eastAsia="宋体" w:hint="default"/>
                <w:sz w:val="18"/>
                <w:szCs w:val="18"/>
              </w:rPr>
              <w:t>功能、三维影像重建；影像远程会诊功</w:t>
            </w:r>
            <w:r>
              <w:rPr>
                <w:rFonts w:ascii="宋体" w:hAnsi="宋体" w:cs="宋体" w:eastAsia="宋体" w:hint="default"/>
                <w:sz w:val="18"/>
                <w:szCs w:val="18"/>
              </w:rPr>
              <w:t> 能，实现远程协同阅片，为远程会诊提供影像同步处理、同步显示等功能；</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能，真正实现区域影像</w:t>
            </w:r>
          </w:p>
        </w:tc>
        <w:tc>
          <w:tcPr>
            <w:tcW w:w="6067" w:type="dxa"/>
            <w:tcBorders>
              <w:top w:val="nil" w:sz="6" w:space="0" w:color="auto"/>
              <w:left w:val="single" w:sz="8" w:space="0" w:color="000000"/>
              <w:bottom w:val="nil" w:sz="6" w:space="0" w:color="auto"/>
              <w:right w:val="single" w:sz="8" w:space="0" w:color="000000"/>
            </w:tcBorders>
          </w:tcPr>
          <w:p>
            <w:pPr/>
          </w:p>
        </w:tc>
      </w:tr>
      <w:tr>
        <w:trPr>
          <w:trHeight w:val="243" w:hRule="exact"/>
        </w:trPr>
        <w:tc>
          <w:tcPr>
            <w:tcW w:w="602" w:type="dxa"/>
            <w:tcBorders>
              <w:top w:val="nil" w:sz="6" w:space="0" w:color="auto"/>
              <w:left w:val="single" w:sz="8" w:space="0" w:color="000000"/>
              <w:bottom w:val="single" w:sz="8" w:space="0" w:color="000000"/>
              <w:right w:val="single" w:sz="8" w:space="0" w:color="000000"/>
            </w:tcBorders>
          </w:tcPr>
          <w:p>
            <w:pPr/>
          </w:p>
        </w:tc>
        <w:tc>
          <w:tcPr>
            <w:tcW w:w="946" w:type="dxa"/>
            <w:tcBorders>
              <w:top w:val="nil" w:sz="6" w:space="0" w:color="auto"/>
              <w:left w:val="single" w:sz="8" w:space="0" w:color="000000"/>
              <w:bottom w:val="single" w:sz="8" w:space="0" w:color="000000"/>
              <w:right w:val="single" w:sz="8" w:space="0" w:color="000000"/>
            </w:tcBorders>
          </w:tcPr>
          <w:p>
            <w:pPr/>
          </w:p>
        </w:tc>
        <w:tc>
          <w:tcPr>
            <w:tcW w:w="2105"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医疗。</w:t>
            </w:r>
          </w:p>
        </w:tc>
        <w:tc>
          <w:tcPr>
            <w:tcW w:w="6067" w:type="dxa"/>
            <w:tcBorders>
              <w:top w:val="nil" w:sz="6" w:space="0" w:color="auto"/>
              <w:left w:val="single" w:sz="8" w:space="0" w:color="000000"/>
              <w:bottom w:val="single" w:sz="8" w:space="0" w:color="000000"/>
              <w:right w:val="single" w:sz="8" w:space="0" w:color="000000"/>
            </w:tcBorders>
          </w:tcPr>
          <w:p>
            <w:pPr/>
          </w:p>
        </w:tc>
      </w:tr>
      <w:tr>
        <w:trPr>
          <w:trHeight w:val="400" w:hRule="exact"/>
        </w:trPr>
        <w:tc>
          <w:tcPr>
            <w:tcW w:w="602" w:type="dxa"/>
            <w:tcBorders>
              <w:top w:val="single" w:sz="8" w:space="0" w:color="000000"/>
              <w:left w:val="single" w:sz="8" w:space="0" w:color="000000"/>
              <w:bottom w:val="nil" w:sz="6" w:space="0" w:color="auto"/>
              <w:right w:val="single" w:sz="8" w:space="0" w:color="000000"/>
            </w:tcBorders>
          </w:tcPr>
          <w:p>
            <w:pP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17"/>
                <w:sz w:val="18"/>
                <w:szCs w:val="18"/>
              </w:rPr>
              <w:t> </w:t>
            </w:r>
            <w:r>
              <w:rPr>
                <w:rFonts w:ascii="宋体" w:hAnsi="宋体" w:cs="宋体" w:eastAsia="宋体" w:hint="default"/>
                <w:sz w:val="18"/>
                <w:szCs w:val="18"/>
              </w:rPr>
              <w:t>年度完成实验室全过程质量控制系统、血库管理系统、微生物系统、</w:t>
            </w:r>
          </w:p>
        </w:tc>
      </w:tr>
      <w:tr>
        <w:trPr>
          <w:trHeight w:val="1573" w:hRule="exact"/>
        </w:trPr>
        <w:tc>
          <w:tcPr>
            <w:tcW w:w="602"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center"/>
              <w:rPr>
                <w:rFonts w:ascii="宋体" w:hAnsi="宋体" w:cs="宋体" w:eastAsia="宋体" w:hint="default"/>
                <w:sz w:val="18"/>
                <w:szCs w:val="18"/>
              </w:rPr>
            </w:pPr>
            <w:r>
              <w:rPr>
                <w:rFonts w:ascii="宋体"/>
                <w:sz w:val="18"/>
              </w:rPr>
              <w:t>LMIS</w:t>
            </w:r>
          </w:p>
        </w:tc>
        <w:tc>
          <w:tcPr>
            <w:tcW w:w="94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z w:val="18"/>
                <w:szCs w:val="18"/>
              </w:rPr>
              <w:t>医技信息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w:t>
            </w:r>
          </w:p>
        </w:tc>
        <w:tc>
          <w:tcPr>
            <w:tcW w:w="2105" w:type="dxa"/>
            <w:tcBorders>
              <w:top w:val="nil" w:sz="6" w:space="0" w:color="auto"/>
              <w:left w:val="single" w:sz="8" w:space="0" w:color="000000"/>
              <w:bottom w:val="single" w:sz="8" w:space="0" w:color="000000"/>
              <w:right w:val="single" w:sz="8" w:space="0" w:color="000000"/>
            </w:tcBorders>
          </w:tcPr>
          <w:p>
            <w:pPr>
              <w:pStyle w:val="TableParagraph"/>
              <w:spacing w:line="237" w:lineRule="auto" w:before="54"/>
              <w:ind w:left="100" w:right="96"/>
              <w:jc w:val="both"/>
              <w:rPr>
                <w:rFonts w:ascii="宋体" w:hAnsi="宋体" w:cs="宋体" w:eastAsia="宋体" w:hint="default"/>
                <w:sz w:val="18"/>
                <w:szCs w:val="18"/>
              </w:rPr>
            </w:pPr>
            <w:r>
              <w:rPr>
                <w:rFonts w:ascii="宋体" w:hAnsi="宋体" w:cs="宋体" w:eastAsia="宋体" w:hint="default"/>
                <w:sz w:val="18"/>
                <w:szCs w:val="18"/>
              </w:rPr>
              <w:t>完善完成基于</w:t>
            </w:r>
            <w:r>
              <w:rPr>
                <w:rFonts w:ascii="宋体" w:hAnsi="宋体" w:cs="宋体" w:eastAsia="宋体" w:hint="default"/>
                <w:spacing w:val="-48"/>
                <w:sz w:val="18"/>
                <w:szCs w:val="18"/>
              </w:rPr>
              <w:t> </w:t>
            </w:r>
            <w:r>
              <w:rPr>
                <w:rFonts w:ascii="宋体" w:hAnsi="宋体" w:cs="宋体" w:eastAsia="宋体" w:hint="default"/>
                <w:sz w:val="18"/>
                <w:szCs w:val="18"/>
              </w:rPr>
              <w:t>SaaS</w:t>
            </w:r>
            <w:r>
              <w:rPr>
                <w:rFonts w:ascii="宋体" w:hAnsi="宋体" w:cs="宋体" w:eastAsia="宋体" w:hint="default"/>
                <w:spacing w:val="-49"/>
                <w:sz w:val="18"/>
                <w:szCs w:val="18"/>
              </w:rPr>
              <w:t> </w:t>
            </w:r>
            <w:r>
              <w:rPr>
                <w:rFonts w:ascii="宋体" w:hAnsi="宋体" w:cs="宋体" w:eastAsia="宋体" w:hint="default"/>
                <w:sz w:val="18"/>
                <w:szCs w:val="18"/>
              </w:rPr>
              <w:t>模式</w:t>
            </w:r>
            <w:r>
              <w:rPr>
                <w:rFonts w:ascii="宋体" w:hAnsi="宋体" w:cs="宋体" w:eastAsia="宋体" w:hint="default"/>
                <w:sz w:val="18"/>
                <w:szCs w:val="18"/>
              </w:rPr>
              <w:t> </w:t>
            </w:r>
            <w:r>
              <w:rPr>
                <w:rFonts w:ascii="宋体" w:hAnsi="宋体" w:cs="宋体" w:eastAsia="宋体" w:hint="default"/>
                <w:spacing w:val="7"/>
                <w:sz w:val="18"/>
                <w:szCs w:val="18"/>
              </w:rPr>
              <w:t>的区域</w:t>
            </w:r>
            <w:r>
              <w:rPr>
                <w:rFonts w:ascii="宋体" w:hAnsi="宋体" w:cs="宋体" w:eastAsia="宋体" w:hint="default"/>
                <w:spacing w:val="-35"/>
                <w:sz w:val="18"/>
                <w:szCs w:val="18"/>
              </w:rPr>
              <w:t> </w:t>
            </w:r>
            <w:r>
              <w:rPr>
                <w:rFonts w:ascii="宋体" w:hAnsi="宋体" w:cs="宋体" w:eastAsia="宋体" w:hint="default"/>
                <w:sz w:val="18"/>
                <w:szCs w:val="18"/>
              </w:rPr>
              <w:t>LIS</w:t>
            </w:r>
            <w:r>
              <w:rPr>
                <w:rFonts w:ascii="宋体" w:hAnsi="宋体" w:cs="宋体" w:eastAsia="宋体" w:hint="default"/>
                <w:spacing w:val="-34"/>
                <w:sz w:val="18"/>
                <w:szCs w:val="18"/>
              </w:rPr>
              <w:t> </w:t>
            </w:r>
            <w:r>
              <w:rPr>
                <w:rFonts w:ascii="宋体" w:hAnsi="宋体" w:cs="宋体" w:eastAsia="宋体" w:hint="default"/>
                <w:spacing w:val="8"/>
                <w:sz w:val="18"/>
                <w:szCs w:val="18"/>
              </w:rPr>
              <w:t>系统、实现</w:t>
            </w:r>
            <w:r>
              <w:rPr>
                <w:rFonts w:ascii="宋体" w:hAnsi="宋体" w:cs="宋体" w:eastAsia="宋体" w:hint="default"/>
                <w:sz w:val="18"/>
                <w:szCs w:val="18"/>
              </w:rPr>
              <w:t> </w:t>
            </w:r>
            <w:r>
              <w:rPr>
                <w:rFonts w:ascii="宋体" w:hAnsi="宋体" w:cs="宋体" w:eastAsia="宋体" w:hint="default"/>
                <w:spacing w:val="8"/>
                <w:sz w:val="18"/>
                <w:szCs w:val="18"/>
              </w:rPr>
              <w:t>区域内的标本流转、质</w:t>
            </w:r>
            <w:r>
              <w:rPr>
                <w:rFonts w:ascii="宋体" w:hAnsi="宋体" w:cs="宋体" w:eastAsia="宋体" w:hint="default"/>
                <w:sz w:val="18"/>
                <w:szCs w:val="18"/>
              </w:rPr>
              <w:t> </w:t>
            </w:r>
            <w:r>
              <w:rPr>
                <w:rFonts w:ascii="宋体" w:hAnsi="宋体" w:cs="宋体" w:eastAsia="宋体" w:hint="default"/>
                <w:spacing w:val="8"/>
                <w:sz w:val="18"/>
                <w:szCs w:val="18"/>
              </w:rPr>
              <w:t>量控制、报告共享、结</w:t>
            </w:r>
            <w:r>
              <w:rPr>
                <w:rFonts w:ascii="宋体" w:hAnsi="宋体" w:cs="宋体" w:eastAsia="宋体" w:hint="default"/>
                <w:sz w:val="18"/>
                <w:szCs w:val="18"/>
              </w:rPr>
              <w:t> 果互认。</w:t>
            </w:r>
          </w:p>
        </w:tc>
        <w:tc>
          <w:tcPr>
            <w:tcW w:w="6067"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主任管理系统中的</w:t>
            </w:r>
            <w:r>
              <w:rPr>
                <w:rFonts w:ascii="宋体" w:hAnsi="宋体" w:cs="宋体" w:eastAsia="宋体" w:hint="default"/>
                <w:spacing w:val="-33"/>
                <w:sz w:val="18"/>
                <w:szCs w:val="18"/>
              </w:rPr>
              <w:t> </w:t>
            </w:r>
            <w:r>
              <w:rPr>
                <w:rFonts w:ascii="宋体" w:hAnsi="宋体" w:cs="宋体" w:eastAsia="宋体" w:hint="default"/>
                <w:sz w:val="18"/>
                <w:szCs w:val="18"/>
              </w:rPr>
              <w:t>SOP</w:t>
            </w:r>
            <w:r>
              <w:rPr>
                <w:rFonts w:ascii="宋体" w:hAnsi="宋体" w:cs="宋体" w:eastAsia="宋体" w:hint="default"/>
                <w:spacing w:val="-35"/>
                <w:sz w:val="18"/>
                <w:szCs w:val="18"/>
              </w:rPr>
              <w:t> </w:t>
            </w:r>
            <w:r>
              <w:rPr>
                <w:rFonts w:ascii="宋体" w:hAnsi="宋体" w:cs="宋体" w:eastAsia="宋体" w:hint="default"/>
                <w:sz w:val="18"/>
                <w:szCs w:val="18"/>
              </w:rPr>
              <w:t>标准化实验过程管理、SaaS</w:t>
            </w:r>
            <w:r>
              <w:rPr>
                <w:rFonts w:ascii="宋体" w:hAnsi="宋体" w:cs="宋体" w:eastAsia="宋体" w:hint="default"/>
                <w:spacing w:val="-35"/>
                <w:sz w:val="18"/>
                <w:szCs w:val="18"/>
              </w:rPr>
              <w:t> </w:t>
            </w:r>
            <w:r>
              <w:rPr>
                <w:rFonts w:ascii="宋体" w:hAnsi="宋体" w:cs="宋体" w:eastAsia="宋体" w:hint="default"/>
                <w:sz w:val="18"/>
                <w:szCs w:val="18"/>
              </w:rPr>
              <w:t>模式的实验室设备联机</w:t>
            </w:r>
          </w:p>
          <w:p>
            <w:pPr>
              <w:pStyle w:val="TableParagraph"/>
              <w:spacing w:line="234" w:lineRule="exact"/>
              <w:ind w:left="98" w:right="0"/>
              <w:jc w:val="both"/>
              <w:rPr>
                <w:rFonts w:ascii="宋体" w:hAnsi="宋体" w:cs="宋体" w:eastAsia="宋体" w:hint="default"/>
                <w:sz w:val="18"/>
                <w:szCs w:val="18"/>
              </w:rPr>
            </w:pPr>
            <w:r>
              <w:rPr>
                <w:rFonts w:ascii="宋体" w:hAnsi="宋体" w:cs="宋体" w:eastAsia="宋体" w:hint="default"/>
                <w:sz w:val="18"/>
                <w:szCs w:val="18"/>
              </w:rPr>
              <w:t>系统、SaaS</w:t>
            </w:r>
            <w:r>
              <w:rPr>
                <w:rFonts w:ascii="宋体" w:hAnsi="宋体" w:cs="宋体" w:eastAsia="宋体" w:hint="default"/>
                <w:spacing w:val="-47"/>
                <w:sz w:val="18"/>
                <w:szCs w:val="18"/>
              </w:rPr>
              <w:t> </w:t>
            </w:r>
            <w:r>
              <w:rPr>
                <w:rFonts w:ascii="宋体" w:hAnsi="宋体" w:cs="宋体" w:eastAsia="宋体" w:hint="default"/>
                <w:sz w:val="18"/>
                <w:szCs w:val="18"/>
              </w:rPr>
              <w:t>模式的区域</w:t>
            </w:r>
            <w:r>
              <w:rPr>
                <w:rFonts w:ascii="宋体" w:hAnsi="宋体" w:cs="宋体" w:eastAsia="宋体" w:hint="default"/>
                <w:spacing w:val="-46"/>
                <w:sz w:val="18"/>
                <w:szCs w:val="18"/>
              </w:rPr>
              <w:t> </w:t>
            </w:r>
            <w:r>
              <w:rPr>
                <w:rFonts w:ascii="宋体" w:hAnsi="宋体" w:cs="宋体" w:eastAsia="宋体" w:hint="default"/>
                <w:sz w:val="18"/>
                <w:szCs w:val="18"/>
              </w:rPr>
              <w:t>LIS</w:t>
            </w:r>
            <w:r>
              <w:rPr>
                <w:rFonts w:ascii="宋体" w:hAnsi="宋体" w:cs="宋体" w:eastAsia="宋体" w:hint="default"/>
                <w:spacing w:val="-47"/>
                <w:sz w:val="18"/>
                <w:szCs w:val="18"/>
              </w:rPr>
              <w:t> </w:t>
            </w:r>
            <w:r>
              <w:rPr>
                <w:rFonts w:ascii="宋体" w:hAnsi="宋体" w:cs="宋体" w:eastAsia="宋体" w:hint="default"/>
                <w:sz w:val="18"/>
                <w:szCs w:val="18"/>
              </w:rPr>
              <w:t>一期开发、LIS</w:t>
            </w:r>
            <w:r>
              <w:rPr>
                <w:rFonts w:ascii="宋体" w:hAnsi="宋体" w:cs="宋体" w:eastAsia="宋体" w:hint="default"/>
                <w:spacing w:val="-47"/>
                <w:sz w:val="18"/>
                <w:szCs w:val="18"/>
              </w:rPr>
              <w:t> </w:t>
            </w:r>
            <w:r>
              <w:rPr>
                <w:rFonts w:ascii="宋体" w:hAnsi="宋体" w:cs="宋体" w:eastAsia="宋体" w:hint="default"/>
                <w:sz w:val="18"/>
                <w:szCs w:val="18"/>
              </w:rPr>
              <w:t>检验报告数字签名应用。</w:t>
            </w:r>
          </w:p>
          <w:p>
            <w:pPr>
              <w:pStyle w:val="TableParagraph"/>
              <w:spacing w:line="240" w:lineRule="auto" w:before="10"/>
              <w:ind w:right="0"/>
              <w:jc w:val="left"/>
              <w:rPr>
                <w:rFonts w:ascii="宋体" w:hAnsi="宋体" w:cs="宋体" w:eastAsia="宋体" w:hint="default"/>
                <w:sz w:val="13"/>
                <w:szCs w:val="13"/>
              </w:rPr>
            </w:pPr>
          </w:p>
          <w:p>
            <w:pPr>
              <w:pStyle w:val="TableParagraph"/>
              <w:spacing w:line="232" w:lineRule="exact"/>
              <w:ind w:left="98" w:right="95"/>
              <w:jc w:val="both"/>
              <w:rPr>
                <w:rFonts w:ascii="宋体" w:hAnsi="宋体" w:cs="宋体" w:eastAsia="宋体" w:hint="default"/>
                <w:sz w:val="18"/>
                <w:szCs w:val="18"/>
              </w:rPr>
            </w:pPr>
            <w:r>
              <w:rPr>
                <w:rFonts w:ascii="宋体" w:hAnsi="宋体" w:cs="宋体" w:eastAsia="宋体" w:hint="default"/>
                <w:sz w:val="18"/>
                <w:szCs w:val="18"/>
              </w:rPr>
              <w:t>目前正在研发基于</w:t>
            </w:r>
            <w:r>
              <w:rPr>
                <w:rFonts w:ascii="宋体" w:hAnsi="宋体" w:cs="宋体" w:eastAsia="宋体" w:hint="default"/>
                <w:spacing w:val="-46"/>
                <w:sz w:val="18"/>
                <w:szCs w:val="18"/>
              </w:rPr>
              <w:t> </w:t>
            </w:r>
            <w:r>
              <w:rPr>
                <w:rFonts w:ascii="宋体" w:hAnsi="宋体" w:cs="宋体" w:eastAsia="宋体" w:hint="default"/>
                <w:sz w:val="18"/>
                <w:szCs w:val="18"/>
              </w:rPr>
              <w:t>SaaS</w:t>
            </w:r>
            <w:r>
              <w:rPr>
                <w:rFonts w:ascii="宋体" w:hAnsi="宋体" w:cs="宋体" w:eastAsia="宋体" w:hint="default"/>
                <w:spacing w:val="-45"/>
                <w:sz w:val="18"/>
                <w:szCs w:val="18"/>
              </w:rPr>
              <w:t> </w:t>
            </w:r>
            <w:r>
              <w:rPr>
                <w:rFonts w:ascii="宋体" w:hAnsi="宋体" w:cs="宋体" w:eastAsia="宋体" w:hint="default"/>
                <w:sz w:val="18"/>
                <w:szCs w:val="18"/>
              </w:rPr>
              <w:t>模式的区域</w:t>
            </w:r>
            <w:r>
              <w:rPr>
                <w:rFonts w:ascii="宋体" w:hAnsi="宋体" w:cs="宋体" w:eastAsia="宋体" w:hint="default"/>
                <w:spacing w:val="-48"/>
                <w:sz w:val="18"/>
                <w:szCs w:val="18"/>
              </w:rPr>
              <w:t> </w:t>
            </w:r>
            <w:r>
              <w:rPr>
                <w:rFonts w:ascii="宋体" w:hAnsi="宋体" w:cs="宋体" w:eastAsia="宋体" w:hint="default"/>
                <w:sz w:val="18"/>
                <w:szCs w:val="18"/>
              </w:rPr>
              <w:t>LIS</w:t>
            </w:r>
            <w:r>
              <w:rPr>
                <w:rFonts w:ascii="宋体" w:hAnsi="宋体" w:cs="宋体" w:eastAsia="宋体" w:hint="default"/>
                <w:spacing w:val="-45"/>
                <w:sz w:val="18"/>
                <w:szCs w:val="18"/>
              </w:rPr>
              <w:t> </w:t>
            </w:r>
            <w:r>
              <w:rPr>
                <w:rFonts w:ascii="宋体" w:hAnsi="宋体" w:cs="宋体" w:eastAsia="宋体" w:hint="default"/>
                <w:sz w:val="18"/>
                <w:szCs w:val="18"/>
              </w:rPr>
              <w:t>二期开发，内容包括开发室内质控</w:t>
            </w:r>
            <w:r>
              <w:rPr>
                <w:rFonts w:ascii="宋体" w:hAnsi="宋体" w:cs="宋体" w:eastAsia="宋体" w:hint="default"/>
                <w:sz w:val="18"/>
                <w:szCs w:val="18"/>
              </w:rPr>
              <w:t> </w:t>
            </w:r>
            <w:r>
              <w:rPr>
                <w:rFonts w:ascii="宋体" w:hAnsi="宋体" w:cs="宋体" w:eastAsia="宋体" w:hint="default"/>
                <w:spacing w:val="-3"/>
                <w:sz w:val="18"/>
                <w:szCs w:val="18"/>
              </w:rPr>
              <w:t>子系统、常规检验、门诊住院标本采集中的查询统计功能、检验报告查询台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子系统等。</w:t>
            </w:r>
          </w:p>
        </w:tc>
      </w:tr>
      <w:tr>
        <w:trPr>
          <w:trHeight w:val="423" w:hRule="exact"/>
        </w:trPr>
        <w:tc>
          <w:tcPr>
            <w:tcW w:w="602" w:type="dxa"/>
            <w:tcBorders>
              <w:top w:val="single" w:sz="8" w:space="0" w:color="000000"/>
              <w:left w:val="single" w:sz="8" w:space="0" w:color="000000"/>
              <w:bottom w:val="nil" w:sz="6" w:space="0" w:color="auto"/>
              <w:right w:val="single" w:sz="8" w:space="0" w:color="000000"/>
            </w:tcBorders>
          </w:tcPr>
          <w:p>
            <w:pP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2"/>
              <w:ind w:left="100" w:right="0"/>
              <w:jc w:val="left"/>
              <w:rPr>
                <w:rFonts w:ascii="宋体" w:hAnsi="宋体" w:cs="宋体" w:eastAsia="宋体" w:hint="default"/>
                <w:sz w:val="22"/>
                <w:szCs w:val="22"/>
              </w:rPr>
            </w:pPr>
            <w:r>
              <w:rPr>
                <w:rFonts w:ascii="宋体" w:hAnsi="宋体" w:cs="宋体" w:eastAsia="宋体" w:hint="default"/>
                <w:w w:val="100"/>
                <w:sz w:val="22"/>
                <w:szCs w:val="22"/>
              </w:rPr>
              <w:t>基于知识库检</w:t>
            </w:r>
            <w:r>
              <w:rPr>
                <w:rFonts w:ascii="宋体" w:hAnsi="宋体" w:cs="宋体" w:eastAsia="宋体" w:hint="default"/>
                <w:spacing w:val="-8"/>
                <w:w w:val="100"/>
                <w:sz w:val="22"/>
                <w:szCs w:val="22"/>
              </w:rPr>
              <w:t>索</w:t>
            </w:r>
            <w:r>
              <w:rPr>
                <w:rFonts w:ascii="宋体" w:hAnsi="宋体" w:cs="宋体" w:eastAsia="宋体" w:hint="default"/>
                <w:spacing w:val="-94"/>
                <w:w w:val="100"/>
                <w:sz w:val="22"/>
                <w:szCs w:val="22"/>
              </w:rPr>
              <w:t>、</w:t>
            </w:r>
            <w:r>
              <w:rPr>
                <w:rFonts w:ascii="宋体" w:hAnsi="宋体" w:cs="宋体" w:eastAsia="宋体" w:hint="default"/>
                <w:w w:val="100"/>
                <w:sz w:val="22"/>
                <w:szCs w:val="22"/>
              </w:rPr>
              <w:t>智</w:t>
            </w: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17"/>
                <w:sz w:val="18"/>
                <w:szCs w:val="18"/>
              </w:rPr>
              <w:t> </w:t>
            </w:r>
            <w:r>
              <w:rPr>
                <w:rFonts w:ascii="宋体" w:hAnsi="宋体" w:cs="宋体" w:eastAsia="宋体" w:hint="default"/>
                <w:sz w:val="18"/>
                <w:szCs w:val="18"/>
              </w:rPr>
              <w:t>年度完成影像科研教学管理系统、全院检查安排调度平台、检查结果</w:t>
            </w:r>
          </w:p>
        </w:tc>
      </w:tr>
      <w:tr>
        <w:trPr>
          <w:trHeight w:val="90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86" w:lineRule="exact" w:before="20"/>
              <w:ind w:left="100" w:right="95"/>
              <w:jc w:val="both"/>
              <w:rPr>
                <w:rFonts w:ascii="宋体" w:hAnsi="宋体" w:cs="宋体" w:eastAsia="宋体" w:hint="default"/>
                <w:sz w:val="22"/>
                <w:szCs w:val="22"/>
              </w:rPr>
            </w:pPr>
            <w:r>
              <w:rPr>
                <w:rFonts w:ascii="宋体" w:hAnsi="宋体" w:cs="宋体" w:eastAsia="宋体" w:hint="default"/>
                <w:spacing w:val="-11"/>
                <w:w w:val="100"/>
                <w:sz w:val="22"/>
                <w:szCs w:val="22"/>
              </w:rPr>
              <w:t>能诊断提示、所见即</w:t>
            </w:r>
            <w:r>
              <w:rPr>
                <w:rFonts w:ascii="宋体" w:hAnsi="宋体" w:cs="宋体" w:eastAsia="宋体" w:hint="default"/>
                <w:w w:val="100"/>
                <w:sz w:val="22"/>
                <w:szCs w:val="22"/>
              </w:rPr>
              <w:t> </w:t>
            </w:r>
            <w:r>
              <w:rPr>
                <w:rFonts w:ascii="宋体" w:hAnsi="宋体" w:cs="宋体" w:eastAsia="宋体" w:hint="default"/>
                <w:spacing w:val="13"/>
                <w:sz w:val="22"/>
                <w:szCs w:val="22"/>
              </w:rPr>
              <w:t>所得图文报告混排</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pacing w:val="13"/>
                <w:sz w:val="22"/>
                <w:szCs w:val="22"/>
              </w:rPr>
              <w:t>等核心功能的全新</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182" w:lineRule="exact"/>
              <w:ind w:left="98" w:right="0"/>
              <w:jc w:val="both"/>
              <w:rPr>
                <w:rFonts w:ascii="宋体" w:hAnsi="宋体" w:cs="宋体" w:eastAsia="宋体" w:hint="default"/>
                <w:sz w:val="18"/>
                <w:szCs w:val="18"/>
              </w:rPr>
            </w:pPr>
            <w:r>
              <w:rPr>
                <w:rFonts w:ascii="宋体" w:hAnsi="宋体" w:cs="宋体" w:eastAsia="宋体" w:hint="default"/>
                <w:spacing w:val="-3"/>
                <w:sz w:val="18"/>
                <w:szCs w:val="18"/>
              </w:rPr>
              <w:t>发布平台、自助报告打印系统、基于知识库检索、智能诊断提示、所见即所</w:t>
            </w:r>
          </w:p>
          <w:p>
            <w:pPr>
              <w:pStyle w:val="TableParagraph"/>
              <w:spacing w:line="232" w:lineRule="auto" w:before="5"/>
              <w:ind w:left="98" w:right="89"/>
              <w:jc w:val="both"/>
              <w:rPr>
                <w:rFonts w:ascii="宋体" w:hAnsi="宋体" w:cs="宋体" w:eastAsia="宋体" w:hint="default"/>
                <w:sz w:val="18"/>
                <w:szCs w:val="18"/>
              </w:rPr>
            </w:pPr>
            <w:r>
              <w:rPr>
                <w:rFonts w:ascii="宋体" w:hAnsi="宋体" w:cs="宋体" w:eastAsia="宋体" w:hint="default"/>
                <w:spacing w:val="3"/>
                <w:sz w:val="18"/>
                <w:szCs w:val="18"/>
              </w:rPr>
              <w:t>得图文报告混排等核心功能的全新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MIIS6.0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可行性研究、以及难度技术攻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关，开发完成基于知识库检索、智能诊断提示、所见即所得图文报告混排等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核心功能的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MIIS6.0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系统的基础版本。</w:t>
            </w:r>
          </w:p>
        </w:tc>
      </w:tr>
      <w:tr>
        <w:trPr>
          <w:trHeight w:val="967"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40" w:lineRule="auto" w:before="107"/>
              <w:ind w:right="20"/>
              <w:jc w:val="center"/>
              <w:rPr>
                <w:rFonts w:ascii="宋体" w:hAnsi="宋体" w:cs="宋体" w:eastAsia="宋体" w:hint="default"/>
                <w:sz w:val="18"/>
                <w:szCs w:val="18"/>
              </w:rPr>
            </w:pPr>
            <w:r>
              <w:rPr>
                <w:rFonts w:ascii="宋体"/>
                <w:sz w:val="18"/>
              </w:rPr>
              <w:t>MIIS</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232" w:lineRule="exact" w:before="16"/>
              <w:ind w:left="98" w:right="98"/>
              <w:jc w:val="left"/>
              <w:rPr>
                <w:rFonts w:ascii="宋体" w:hAnsi="宋体" w:cs="宋体" w:eastAsia="宋体" w:hint="default"/>
                <w:sz w:val="18"/>
                <w:szCs w:val="18"/>
              </w:rPr>
            </w:pPr>
            <w:r>
              <w:rPr>
                <w:rFonts w:ascii="宋体" w:hAnsi="宋体" w:cs="宋体" w:eastAsia="宋体" w:hint="default"/>
                <w:sz w:val="18"/>
                <w:szCs w:val="18"/>
              </w:rPr>
              <w:t>医技信息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4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z w:val="22"/>
                <w:szCs w:val="22"/>
              </w:rPr>
              <w:t>MIIS6.0</w:t>
            </w:r>
            <w:r>
              <w:rPr>
                <w:rFonts w:ascii="Times New Roman" w:hAnsi="Times New Roman" w:cs="Times New Roman" w:eastAsia="Times New Roman" w:hint="default"/>
                <w:spacing w:val="11"/>
                <w:sz w:val="22"/>
                <w:szCs w:val="22"/>
              </w:rPr>
              <w:t> </w:t>
            </w:r>
            <w:r>
              <w:rPr>
                <w:rFonts w:ascii="宋体" w:hAnsi="宋体" w:cs="宋体" w:eastAsia="宋体" w:hint="default"/>
                <w:spacing w:val="4"/>
                <w:sz w:val="22"/>
                <w:szCs w:val="22"/>
              </w:rPr>
              <w:t>系统改造</w:t>
            </w:r>
            <w:r>
              <w:rPr>
                <w:rFonts w:ascii="宋体" w:hAnsi="宋体" w:cs="宋体" w:eastAsia="宋体" w:hint="default"/>
                <w:spacing w:val="4"/>
                <w:sz w:val="18"/>
                <w:szCs w:val="18"/>
              </w:rPr>
              <w:t>，</w:t>
            </w: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pacing w:val="8"/>
                <w:sz w:val="18"/>
                <w:szCs w:val="18"/>
              </w:rPr>
              <w:t>主要包括超声、放射、</w:t>
            </w:r>
            <w:r>
              <w:rPr>
                <w:rFonts w:ascii="宋体" w:hAnsi="宋体" w:cs="宋体" w:eastAsia="宋体" w:hint="default"/>
                <w:sz w:val="18"/>
                <w:szCs w:val="18"/>
              </w:rPr>
              <w:t> </w:t>
            </w:r>
            <w:r>
              <w:rPr>
                <w:rFonts w:ascii="宋体" w:hAnsi="宋体" w:cs="宋体" w:eastAsia="宋体" w:hint="default"/>
                <w:spacing w:val="8"/>
                <w:sz w:val="18"/>
                <w:szCs w:val="18"/>
              </w:rPr>
              <w:t>内镜、病理、核医学等</w:t>
            </w:r>
            <w:r>
              <w:rPr>
                <w:rFonts w:ascii="宋体" w:hAnsi="宋体" w:cs="宋体" w:eastAsia="宋体" w:hint="default"/>
                <w:sz w:val="18"/>
                <w:szCs w:val="18"/>
              </w:rPr>
              <w:t> </w:t>
            </w:r>
            <w:r>
              <w:rPr>
                <w:rFonts w:ascii="宋体" w:hAnsi="宋体" w:cs="宋体" w:eastAsia="宋体" w:hint="default"/>
                <w:spacing w:val="8"/>
                <w:sz w:val="18"/>
                <w:szCs w:val="18"/>
              </w:rPr>
              <w:t>子系统的升级改造；开</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32" w:lineRule="auto" w:before="139"/>
              <w:ind w:left="98" w:right="96"/>
              <w:jc w:val="both"/>
              <w:rPr>
                <w:rFonts w:ascii="宋体" w:hAnsi="宋体" w:cs="宋体" w:eastAsia="宋体" w:hint="default"/>
                <w:sz w:val="18"/>
                <w:szCs w:val="18"/>
              </w:rPr>
            </w:pPr>
            <w:r>
              <w:rPr>
                <w:rFonts w:ascii="宋体" w:hAnsi="宋体" w:cs="宋体" w:eastAsia="宋体" w:hint="default"/>
                <w:spacing w:val="-3"/>
                <w:sz w:val="18"/>
                <w:szCs w:val="18"/>
              </w:rPr>
              <w:t>目前正在研发目前正在研发基于知识库检索、智能诊断提示、所见即所得图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文报告混排等核心功能的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MIIS6.0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系统改进和完善、基于</w:t>
            </w:r>
            <w:r>
              <w:rPr>
                <w:rFonts w:ascii="宋体" w:hAnsi="宋体" w:cs="宋体" w:eastAsia="宋体" w:hint="default"/>
                <w:spacing w:val="-45"/>
                <w:sz w:val="18"/>
                <w:szCs w:val="18"/>
              </w:rPr>
              <w:t> </w:t>
            </w:r>
            <w:r>
              <w:rPr>
                <w:rFonts w:ascii="宋体" w:hAnsi="宋体" w:cs="宋体" w:eastAsia="宋体" w:hint="default"/>
                <w:sz w:val="18"/>
                <w:szCs w:val="18"/>
              </w:rPr>
              <w:t>SaaS</w:t>
            </w:r>
            <w:r>
              <w:rPr>
                <w:rFonts w:ascii="宋体" w:hAnsi="宋体" w:cs="宋体" w:eastAsia="宋体" w:hint="default"/>
                <w:spacing w:val="-46"/>
                <w:sz w:val="18"/>
                <w:szCs w:val="18"/>
              </w:rPr>
              <w:t> </w:t>
            </w:r>
            <w:r>
              <w:rPr>
                <w:rFonts w:ascii="宋体" w:hAnsi="宋体" w:cs="宋体" w:eastAsia="宋体" w:hint="default"/>
                <w:sz w:val="18"/>
                <w:szCs w:val="18"/>
              </w:rPr>
              <w:t>模式的区域</w:t>
            </w:r>
            <w:r>
              <w:rPr>
                <w:rFonts w:ascii="宋体" w:hAnsi="宋体" w:cs="宋体" w:eastAsia="宋体" w:hint="default"/>
                <w:sz w:val="18"/>
                <w:szCs w:val="18"/>
              </w:rPr>
              <w:t> RIS</w:t>
            </w:r>
            <w:r>
              <w:rPr>
                <w:rFonts w:ascii="宋体" w:hAnsi="宋体" w:cs="宋体" w:eastAsia="宋体" w:hint="default"/>
                <w:spacing w:val="-47"/>
                <w:sz w:val="18"/>
                <w:szCs w:val="18"/>
              </w:rPr>
              <w:t> </w:t>
            </w:r>
            <w:r>
              <w:rPr>
                <w:rFonts w:ascii="宋体" w:hAnsi="宋体" w:cs="宋体" w:eastAsia="宋体" w:hint="default"/>
                <w:sz w:val="18"/>
                <w:szCs w:val="18"/>
              </w:rPr>
              <w:t>一期开发，内容包括超声、内镜、放射子系统的检查报告功能应用。</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12"/>
                <w:sz w:val="18"/>
                <w:szCs w:val="18"/>
              </w:rPr>
              <w:t> </w:t>
            </w:r>
            <w:r>
              <w:rPr>
                <w:rFonts w:ascii="宋体" w:hAnsi="宋体" w:cs="宋体" w:eastAsia="宋体" w:hint="default"/>
                <w:sz w:val="18"/>
                <w:szCs w:val="18"/>
              </w:rPr>
              <w:t>SaaS</w:t>
            </w:r>
            <w:r>
              <w:rPr>
                <w:rFonts w:ascii="宋体" w:hAnsi="宋体" w:cs="宋体" w:eastAsia="宋体" w:hint="default"/>
                <w:spacing w:val="15"/>
                <w:sz w:val="18"/>
                <w:szCs w:val="18"/>
              </w:rPr>
              <w:t> </w:t>
            </w:r>
            <w:r>
              <w:rPr>
                <w:rFonts w:ascii="宋体" w:hAnsi="宋体" w:cs="宋体" w:eastAsia="宋体" w:hint="default"/>
                <w:sz w:val="18"/>
                <w:szCs w:val="18"/>
              </w:rPr>
              <w:t>模</w:t>
            </w:r>
            <w:r>
              <w:rPr>
                <w:rFonts w:ascii="宋体" w:hAnsi="宋体" w:cs="宋体" w:eastAsia="宋体" w:hint="default"/>
                <w:spacing w:val="-31"/>
                <w:sz w:val="18"/>
                <w:szCs w:val="18"/>
              </w:rPr>
              <w:t> </w:t>
            </w:r>
            <w:r>
              <w:rPr>
                <w:rFonts w:ascii="宋体" w:hAnsi="宋体" w:cs="宋体" w:eastAsia="宋体" w:hint="default"/>
                <w:sz w:val="18"/>
                <w:szCs w:val="18"/>
              </w:rPr>
              <w:t>式</w:t>
            </w:r>
            <w:r>
              <w:rPr>
                <w:rFonts w:ascii="宋体" w:hAnsi="宋体" w:cs="宋体" w:eastAsia="宋体" w:hint="default"/>
                <w:spacing w:val="-34"/>
                <w:sz w:val="18"/>
                <w:szCs w:val="18"/>
              </w:rPr>
              <w:t> </w:t>
            </w:r>
            <w:r>
              <w:rPr>
                <w:rFonts w:ascii="宋体" w:hAnsi="宋体" w:cs="宋体" w:eastAsia="宋体" w:hint="default"/>
                <w:sz w:val="18"/>
                <w:szCs w:val="18"/>
              </w:rPr>
              <w:t>的</w:t>
            </w:r>
            <w:r>
              <w:rPr>
                <w:rFonts w:ascii="宋体" w:hAnsi="宋体" w:cs="宋体" w:eastAsia="宋体" w:hint="default"/>
                <w:spacing w:val="-31"/>
                <w:sz w:val="18"/>
                <w:szCs w:val="18"/>
              </w:rPr>
              <w:t> </w:t>
            </w:r>
            <w:r>
              <w:rPr>
                <w:rFonts w:ascii="宋体" w:hAnsi="宋体" w:cs="宋体" w:eastAsia="宋体" w:hint="default"/>
                <w:sz w:val="18"/>
                <w:szCs w:val="18"/>
              </w:rPr>
              <w:t>区</w:t>
            </w:r>
            <w:r>
              <w:rPr>
                <w:rFonts w:ascii="宋体" w:hAnsi="宋体" w:cs="宋体" w:eastAsia="宋体" w:hint="default"/>
                <w:spacing w:val="-31"/>
                <w:sz w:val="18"/>
                <w:szCs w:val="18"/>
              </w:rPr>
              <w:t> </w:t>
            </w:r>
            <w:r>
              <w:rPr>
                <w:rFonts w:ascii="宋体" w:hAnsi="宋体" w:cs="宋体" w:eastAsia="宋体" w:hint="default"/>
                <w:sz w:val="18"/>
                <w:szCs w:val="18"/>
              </w:rPr>
              <w:t>域</w:t>
            </w:r>
          </w:p>
        </w:tc>
        <w:tc>
          <w:tcPr>
            <w:tcW w:w="6067" w:type="dxa"/>
            <w:tcBorders>
              <w:top w:val="nil" w:sz="6" w:space="0" w:color="auto"/>
              <w:left w:val="single" w:sz="8" w:space="0" w:color="000000"/>
              <w:bottom w:val="nil" w:sz="6" w:space="0" w:color="auto"/>
              <w:right w:val="single" w:sz="8" w:space="0" w:color="000000"/>
            </w:tcBorders>
          </w:tcPr>
          <w:p>
            <w:pP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MIIS，实现各种检查报</w:t>
            </w:r>
          </w:p>
        </w:tc>
        <w:tc>
          <w:tcPr>
            <w:tcW w:w="6067" w:type="dxa"/>
            <w:tcBorders>
              <w:top w:val="nil" w:sz="6" w:space="0" w:color="auto"/>
              <w:left w:val="single" w:sz="8" w:space="0" w:color="000000"/>
              <w:bottom w:val="nil" w:sz="6" w:space="0" w:color="auto"/>
              <w:right w:val="single" w:sz="8" w:space="0" w:color="000000"/>
            </w:tcBorders>
          </w:tcPr>
          <w:p>
            <w:pPr/>
          </w:p>
        </w:tc>
      </w:tr>
      <w:tr>
        <w:trPr>
          <w:trHeight w:val="243" w:hRule="exact"/>
        </w:trPr>
        <w:tc>
          <w:tcPr>
            <w:tcW w:w="602" w:type="dxa"/>
            <w:tcBorders>
              <w:top w:val="nil" w:sz="6" w:space="0" w:color="auto"/>
              <w:left w:val="single" w:sz="8" w:space="0" w:color="000000"/>
              <w:bottom w:val="single" w:sz="8" w:space="0" w:color="000000"/>
              <w:right w:val="single" w:sz="8" w:space="0" w:color="000000"/>
            </w:tcBorders>
          </w:tcPr>
          <w:p>
            <w:pPr/>
          </w:p>
        </w:tc>
        <w:tc>
          <w:tcPr>
            <w:tcW w:w="946" w:type="dxa"/>
            <w:tcBorders>
              <w:top w:val="nil" w:sz="6" w:space="0" w:color="auto"/>
              <w:left w:val="single" w:sz="8" w:space="0" w:color="000000"/>
              <w:bottom w:val="single" w:sz="8" w:space="0" w:color="000000"/>
              <w:right w:val="single" w:sz="8" w:space="0" w:color="000000"/>
            </w:tcBorders>
          </w:tcPr>
          <w:p>
            <w:pPr/>
          </w:p>
        </w:tc>
        <w:tc>
          <w:tcPr>
            <w:tcW w:w="2105"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告的常用功能</w:t>
            </w:r>
          </w:p>
        </w:tc>
        <w:tc>
          <w:tcPr>
            <w:tcW w:w="6067" w:type="dxa"/>
            <w:tcBorders>
              <w:top w:val="nil" w:sz="6" w:space="0" w:color="auto"/>
              <w:left w:val="single" w:sz="8" w:space="0" w:color="000000"/>
              <w:bottom w:val="single" w:sz="8" w:space="0" w:color="000000"/>
              <w:right w:val="single" w:sz="8" w:space="0" w:color="000000"/>
            </w:tcBorders>
          </w:tcPr>
          <w:p>
            <w:pPr/>
          </w:p>
        </w:tc>
      </w:tr>
    </w:tbl>
    <w:p>
      <w:pPr>
        <w:spacing w:after="0"/>
        <w:sectPr>
          <w:pgSz w:w="11910" w:h="16840"/>
          <w:pgMar w:header="849" w:footer="976" w:top="1460" w:bottom="1160" w:left="900" w:right="920"/>
        </w:sectPr>
      </w:pPr>
    </w:p>
    <w:p>
      <w:pPr>
        <w:spacing w:line="240" w:lineRule="auto" w:before="5"/>
        <w:rPr>
          <w:rFonts w:ascii="Times New Roman" w:hAnsi="Times New Roman" w:cs="Times New Roman" w:eastAsia="Times New Roman" w:hint="default"/>
          <w:sz w:val="17"/>
          <w:szCs w:val="17"/>
        </w:rPr>
      </w:pPr>
      <w:r>
        <w:rPr/>
        <w:pict>
          <v:group style="position:absolute;margin-left:56.639999pt;margin-top:75.120026pt;width:63.15pt;height:12.4pt;mso-position-horizontal-relative:page;mso-position-vertical-relative:page;z-index:1720"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r>
        <w:rPr/>
        <w:pict>
          <v:shape style="position:absolute;margin-left:56.16pt;margin-top:75.720024pt;width:487.45pt;height:686.0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2"/>
                    <w:gridCol w:w="946"/>
                    <w:gridCol w:w="2105"/>
                    <w:gridCol w:w="6067"/>
                  </w:tblGrid>
                  <w:tr>
                    <w:trPr>
                      <w:trHeight w:val="340" w:hRule="exact"/>
                    </w:trPr>
                    <w:tc>
                      <w:tcPr>
                        <w:tcW w:w="602"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6"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所属产品</w:t>
                        </w:r>
                      </w:p>
                    </w:tc>
                    <w:tc>
                      <w:tcPr>
                        <w:tcW w:w="2105"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6067"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目前所处阶段</w:t>
                        </w:r>
                      </w:p>
                    </w:tc>
                  </w:tr>
                  <w:tr>
                    <w:trPr>
                      <w:trHeight w:val="400" w:hRule="exact"/>
                    </w:trPr>
                    <w:tc>
                      <w:tcPr>
                        <w:tcW w:w="602" w:type="dxa"/>
                        <w:tcBorders>
                          <w:top w:val="single" w:sz="8" w:space="0" w:color="000000"/>
                          <w:left w:val="single" w:sz="8" w:space="0" w:color="000000"/>
                          <w:bottom w:val="nil" w:sz="6" w:space="0" w:color="auto"/>
                          <w:right w:val="single" w:sz="8" w:space="0" w:color="000000"/>
                        </w:tcBorders>
                      </w:tcPr>
                      <w:p>
                        <w:pP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2010-2011</w:t>
                        </w:r>
                        <w:r>
                          <w:rPr>
                            <w:rFonts w:ascii="宋体" w:hAnsi="宋体" w:cs="宋体" w:eastAsia="宋体" w:hint="default"/>
                            <w:spacing w:val="-38"/>
                            <w:sz w:val="18"/>
                            <w:szCs w:val="18"/>
                          </w:rPr>
                          <w:t> </w:t>
                        </w:r>
                        <w:r>
                          <w:rPr>
                            <w:rFonts w:ascii="宋体" w:hAnsi="宋体" w:cs="宋体" w:eastAsia="宋体" w:hint="default"/>
                            <w:sz w:val="18"/>
                            <w:szCs w:val="18"/>
                          </w:rPr>
                          <w:t>年度主要完成：体检管理系统</w:t>
                        </w:r>
                        <w:r>
                          <w:rPr>
                            <w:rFonts w:ascii="宋体" w:hAnsi="宋体" w:cs="宋体" w:eastAsia="宋体" w:hint="default"/>
                            <w:spacing w:val="-28"/>
                            <w:sz w:val="18"/>
                            <w:szCs w:val="18"/>
                          </w:rPr>
                          <w:t> </w:t>
                        </w:r>
                        <w:r>
                          <w:rPr>
                            <w:rFonts w:ascii="宋体" w:hAnsi="宋体" w:cs="宋体" w:eastAsia="宋体" w:hint="default"/>
                            <w:sz w:val="18"/>
                            <w:szCs w:val="18"/>
                          </w:rPr>
                          <w:t>5.0、护理病历管理系统</w:t>
                        </w:r>
                        <w:r>
                          <w:rPr>
                            <w:rFonts w:ascii="宋体" w:hAnsi="宋体" w:cs="宋体" w:eastAsia="宋体" w:hint="default"/>
                            <w:spacing w:val="-34"/>
                            <w:sz w:val="18"/>
                            <w:szCs w:val="18"/>
                          </w:rPr>
                          <w:t> </w:t>
                        </w:r>
                        <w:r>
                          <w:rPr>
                            <w:rFonts w:ascii="宋体" w:hAnsi="宋体" w:cs="宋体" w:eastAsia="宋体" w:hint="default"/>
                            <w:sz w:val="18"/>
                            <w:szCs w:val="18"/>
                          </w:rPr>
                          <w:t>5.0、护</w:t>
                        </w:r>
                      </w:p>
                    </w:tc>
                  </w:tr>
                  <w:tr>
                    <w:trPr>
                      <w:trHeight w:val="21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理病历质控管理系统</w:t>
                        </w:r>
                        <w:r>
                          <w:rPr>
                            <w:rFonts w:ascii="宋体" w:hAnsi="宋体" w:cs="宋体" w:eastAsia="宋体" w:hint="default"/>
                            <w:spacing w:val="-48"/>
                            <w:sz w:val="18"/>
                            <w:szCs w:val="18"/>
                          </w:rPr>
                          <w:t> </w:t>
                        </w:r>
                        <w:r>
                          <w:rPr>
                            <w:rFonts w:ascii="宋体" w:hAnsi="宋体" w:cs="宋体" w:eastAsia="宋体" w:hint="default"/>
                            <w:spacing w:val="-3"/>
                            <w:sz w:val="18"/>
                            <w:szCs w:val="18"/>
                          </w:rPr>
                          <w:t>5.0、BI</w:t>
                        </w:r>
                        <w:r>
                          <w:rPr>
                            <w:rFonts w:ascii="宋体" w:hAnsi="宋体" w:cs="宋体" w:eastAsia="宋体" w:hint="default"/>
                            <w:spacing w:val="-51"/>
                            <w:sz w:val="18"/>
                            <w:szCs w:val="18"/>
                          </w:rPr>
                          <w:t> </w:t>
                        </w:r>
                        <w:r>
                          <w:rPr>
                            <w:rFonts w:ascii="宋体" w:hAnsi="宋体" w:cs="宋体" w:eastAsia="宋体" w:hint="default"/>
                            <w:sz w:val="18"/>
                            <w:szCs w:val="18"/>
                          </w:rPr>
                          <w:t>系统初步开发、抗菌素管理系统</w:t>
                        </w:r>
                        <w:r>
                          <w:rPr>
                            <w:rFonts w:ascii="宋体" w:hAnsi="宋体" w:cs="宋体" w:eastAsia="宋体" w:hint="default"/>
                            <w:spacing w:val="-45"/>
                            <w:sz w:val="18"/>
                            <w:szCs w:val="18"/>
                          </w:rPr>
                          <w:t> </w:t>
                        </w:r>
                        <w:r>
                          <w:rPr>
                            <w:rFonts w:ascii="宋体" w:hAnsi="宋体" w:cs="宋体" w:eastAsia="宋体" w:hint="default"/>
                            <w:spacing w:val="-3"/>
                            <w:sz w:val="18"/>
                            <w:szCs w:val="18"/>
                          </w:rPr>
                          <w:t>5.0、自助机</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187" w:lineRule="exact"/>
                          <w:ind w:left="4" w:right="0"/>
                          <w:jc w:val="center"/>
                          <w:rPr>
                            <w:rFonts w:ascii="宋体" w:hAnsi="宋体" w:cs="宋体" w:eastAsia="宋体" w:hint="default"/>
                            <w:sz w:val="18"/>
                            <w:szCs w:val="18"/>
                          </w:rPr>
                        </w:pPr>
                        <w:r>
                          <w:rPr>
                            <w:rFonts w:ascii="宋体" w:hAnsi="宋体" w:cs="宋体" w:eastAsia="宋体" w:hint="default"/>
                            <w:sz w:val="18"/>
                            <w:szCs w:val="18"/>
                          </w:rPr>
                          <w:t>医</w:t>
                        </w:r>
                        <w:r>
                          <w:rPr>
                            <w:rFonts w:ascii="宋体" w:hAnsi="宋体" w:cs="宋体" w:eastAsia="宋体" w:hint="default"/>
                            <w:spacing w:val="-64"/>
                            <w:sz w:val="18"/>
                            <w:szCs w:val="18"/>
                          </w:rPr>
                          <w:t> </w:t>
                        </w:r>
                        <w:r>
                          <w:rPr>
                            <w:rFonts w:ascii="宋体" w:hAnsi="宋体" w:cs="宋体" w:eastAsia="宋体" w:hint="default"/>
                            <w:sz w:val="18"/>
                            <w:szCs w:val="18"/>
                          </w:rPr>
                          <w:t>院</w:t>
                        </w: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187" w:lineRule="exact"/>
                          <w:ind w:left="100" w:right="0"/>
                          <w:jc w:val="left"/>
                          <w:rPr>
                            <w:rFonts w:ascii="宋体" w:hAnsi="宋体" w:cs="宋体" w:eastAsia="宋体" w:hint="default"/>
                            <w:sz w:val="18"/>
                            <w:szCs w:val="18"/>
                          </w:rPr>
                        </w:pPr>
                        <w:r>
                          <w:rPr>
                            <w:rFonts w:ascii="宋体" w:hAnsi="宋体" w:cs="宋体" w:eastAsia="宋体" w:hint="default"/>
                            <w:sz w:val="18"/>
                            <w:szCs w:val="18"/>
                          </w:rPr>
                          <w:t>完</w:t>
                        </w:r>
                        <w:r>
                          <w:rPr>
                            <w:rFonts w:ascii="宋体" w:hAnsi="宋体" w:cs="宋体" w:eastAsia="宋体" w:hint="default"/>
                            <w:spacing w:val="-59"/>
                            <w:sz w:val="18"/>
                            <w:szCs w:val="18"/>
                          </w:rPr>
                          <w:t> </w:t>
                        </w:r>
                        <w:r>
                          <w:rPr>
                            <w:rFonts w:ascii="宋体" w:hAnsi="宋体" w:cs="宋体" w:eastAsia="宋体" w:hint="default"/>
                            <w:sz w:val="18"/>
                            <w:szCs w:val="18"/>
                          </w:rPr>
                          <w:t>善</w:t>
                        </w:r>
                        <w:r>
                          <w:rPr>
                            <w:rFonts w:ascii="宋体" w:hAnsi="宋体" w:cs="宋体" w:eastAsia="宋体" w:hint="default"/>
                            <w:spacing w:val="-59"/>
                            <w:sz w:val="18"/>
                            <w:szCs w:val="18"/>
                          </w:rPr>
                          <w:t> </w:t>
                        </w:r>
                        <w:r>
                          <w:rPr>
                            <w:rFonts w:ascii="宋体" w:hAnsi="宋体" w:cs="宋体" w:eastAsia="宋体" w:hint="default"/>
                            <w:sz w:val="18"/>
                            <w:szCs w:val="18"/>
                          </w:rPr>
                          <w:t>完</w:t>
                        </w:r>
                        <w:r>
                          <w:rPr>
                            <w:rFonts w:ascii="宋体" w:hAnsi="宋体" w:cs="宋体" w:eastAsia="宋体" w:hint="default"/>
                            <w:spacing w:val="-59"/>
                            <w:sz w:val="18"/>
                            <w:szCs w:val="18"/>
                          </w:rPr>
                          <w:t> </w:t>
                        </w:r>
                        <w:r>
                          <w:rPr>
                            <w:rFonts w:ascii="宋体" w:hAnsi="宋体" w:cs="宋体" w:eastAsia="宋体" w:hint="default"/>
                            <w:sz w:val="18"/>
                            <w:szCs w:val="18"/>
                          </w:rPr>
                          <w:t>成</w:t>
                        </w:r>
                        <w:r>
                          <w:rPr>
                            <w:rFonts w:ascii="宋体" w:hAnsi="宋体" w:cs="宋体" w:eastAsia="宋体" w:hint="default"/>
                            <w:spacing w:val="-59"/>
                            <w:sz w:val="18"/>
                            <w:szCs w:val="18"/>
                          </w:rPr>
                          <w:t> </w:t>
                        </w:r>
                        <w:r>
                          <w:rPr>
                            <w:rFonts w:ascii="宋体" w:hAnsi="宋体" w:cs="宋体" w:eastAsia="宋体" w:hint="default"/>
                            <w:sz w:val="18"/>
                            <w:szCs w:val="18"/>
                          </w:rPr>
                          <w:t>.Net</w:t>
                        </w:r>
                        <w:r>
                          <w:rPr>
                            <w:rFonts w:ascii="宋体" w:hAnsi="宋体" w:cs="宋体" w:eastAsia="宋体" w:hint="default"/>
                            <w:spacing w:val="-15"/>
                            <w:sz w:val="18"/>
                            <w:szCs w:val="18"/>
                          </w:rPr>
                          <w:t> </w:t>
                        </w:r>
                        <w:r>
                          <w:rPr>
                            <w:rFonts w:ascii="宋体" w:hAnsi="宋体" w:cs="宋体" w:eastAsia="宋体" w:hint="default"/>
                            <w:sz w:val="18"/>
                            <w:szCs w:val="18"/>
                          </w:rPr>
                          <w:t>程</w:t>
                        </w:r>
                        <w:r>
                          <w:rPr>
                            <w:rFonts w:ascii="宋体" w:hAnsi="宋体" w:cs="宋体" w:eastAsia="宋体" w:hint="default"/>
                            <w:spacing w:val="-59"/>
                            <w:sz w:val="18"/>
                            <w:szCs w:val="18"/>
                          </w:rPr>
                          <w:t> </w:t>
                        </w:r>
                        <w:r>
                          <w:rPr>
                            <w:rFonts w:ascii="宋体" w:hAnsi="宋体" w:cs="宋体" w:eastAsia="宋体" w:hint="default"/>
                            <w:sz w:val="18"/>
                            <w:szCs w:val="18"/>
                          </w:rPr>
                          <w:t>序</w:t>
                        </w:r>
                        <w:r>
                          <w:rPr>
                            <w:rFonts w:ascii="宋体" w:hAnsi="宋体" w:cs="宋体" w:eastAsia="宋体" w:hint="default"/>
                            <w:spacing w:val="-59"/>
                            <w:sz w:val="18"/>
                            <w:szCs w:val="18"/>
                          </w:rPr>
                          <w:t> </w:t>
                        </w:r>
                        <w:r>
                          <w:rPr>
                            <w:rFonts w:ascii="宋体" w:hAnsi="宋体" w:cs="宋体" w:eastAsia="宋体" w:hint="default"/>
                            <w:sz w:val="18"/>
                            <w:szCs w:val="18"/>
                          </w:rPr>
                          <w:t>改</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26" w:lineRule="exact"/>
                          <w:ind w:left="98" w:right="0"/>
                          <w:jc w:val="left"/>
                          <w:rPr>
                            <w:rFonts w:ascii="宋体" w:hAnsi="宋体" w:cs="宋体" w:eastAsia="宋体" w:hint="default"/>
                            <w:sz w:val="18"/>
                            <w:szCs w:val="18"/>
                          </w:rPr>
                        </w:pPr>
                        <w:r>
                          <w:rPr>
                            <w:rFonts w:ascii="宋体" w:hAnsi="宋体" w:cs="宋体" w:eastAsia="宋体" w:hint="default"/>
                            <w:sz w:val="18"/>
                            <w:szCs w:val="18"/>
                          </w:rPr>
                          <w:t>系统改造、结构化电子病案管理系统、结构化电子病历质控管理系统等。</w:t>
                        </w:r>
                      </w:p>
                    </w:tc>
                  </w:tr>
                  <w:tr>
                    <w:trPr>
                      <w:trHeight w:val="196"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187" w:lineRule="exact"/>
                          <w:ind w:left="4" w:right="0"/>
                          <w:jc w:val="center"/>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64"/>
                            <w:sz w:val="18"/>
                            <w:szCs w:val="18"/>
                          </w:rPr>
                          <w:t> </w:t>
                        </w:r>
                        <w:r>
                          <w:rPr>
                            <w:rFonts w:ascii="宋体" w:hAnsi="宋体" w:cs="宋体" w:eastAsia="宋体" w:hint="default"/>
                            <w:sz w:val="18"/>
                            <w:szCs w:val="18"/>
                          </w:rPr>
                          <w:t>息</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187" w:lineRule="exact"/>
                          <w:ind w:left="98" w:right="0"/>
                          <w:jc w:val="left"/>
                          <w:rPr>
                            <w:rFonts w:ascii="宋体" w:hAnsi="宋体" w:cs="宋体" w:eastAsia="宋体" w:hint="default"/>
                            <w:sz w:val="18"/>
                            <w:szCs w:val="18"/>
                          </w:rPr>
                        </w:pPr>
                        <w:r>
                          <w:rPr>
                            <w:rFonts w:ascii="宋体" w:hAnsi="宋体" w:cs="宋体" w:eastAsia="宋体" w:hint="default"/>
                            <w:sz w:val="18"/>
                            <w:szCs w:val="18"/>
                          </w:rPr>
                          <w:t>医院信息</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187" w:lineRule="exact"/>
                          <w:ind w:left="100" w:right="0"/>
                          <w:jc w:val="left"/>
                          <w:rPr>
                            <w:rFonts w:ascii="宋体" w:hAnsi="宋体" w:cs="宋体" w:eastAsia="宋体" w:hint="default"/>
                            <w:sz w:val="18"/>
                            <w:szCs w:val="18"/>
                          </w:rPr>
                        </w:pPr>
                        <w:r>
                          <w:rPr>
                            <w:rFonts w:ascii="宋体" w:hAnsi="宋体" w:cs="宋体" w:eastAsia="宋体" w:hint="default"/>
                            <w:w w:val="95"/>
                            <w:sz w:val="18"/>
                            <w:szCs w:val="18"/>
                          </w:rPr>
                          <w:t>造、临床医疗产品组合、</w:t>
                        </w:r>
                        <w:r>
                          <w:rPr>
                            <w:rFonts w:ascii="宋体" w:hAnsi="宋体" w:cs="宋体" w:eastAsia="宋体" w:hint="default"/>
                            <w:sz w:val="18"/>
                            <w:szCs w:val="18"/>
                          </w:rPr>
                        </w:r>
                      </w:p>
                    </w:tc>
                    <w:tc>
                      <w:tcPr>
                        <w:tcW w:w="6067" w:type="dxa"/>
                        <w:tcBorders>
                          <w:top w:val="nil" w:sz="6" w:space="0" w:color="auto"/>
                          <w:left w:val="single" w:sz="8" w:space="0" w:color="000000"/>
                          <w:bottom w:val="nil" w:sz="6" w:space="0" w:color="auto"/>
                          <w:right w:val="single" w:sz="8" w:space="0" w:color="000000"/>
                        </w:tcBorders>
                      </w:tcPr>
                      <w:p>
                        <w:pPr/>
                      </w:p>
                    </w:tc>
                  </w:tr>
                  <w:tr>
                    <w:trPr>
                      <w:trHeight w:val="234"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64"/>
                            <w:sz w:val="18"/>
                            <w:szCs w:val="18"/>
                          </w:rPr>
                          <w:t> </w:t>
                        </w:r>
                        <w:r>
                          <w:rPr>
                            <w:rFonts w:ascii="宋体" w:hAnsi="宋体" w:cs="宋体" w:eastAsia="宋体" w:hint="default"/>
                            <w:sz w:val="18"/>
                            <w:szCs w:val="18"/>
                          </w:rPr>
                          <w:t>理</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集成平台与临床数据中</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188" w:lineRule="exact"/>
                          <w:ind w:left="98" w:right="0"/>
                          <w:jc w:val="left"/>
                          <w:rPr>
                            <w:rFonts w:ascii="宋体" w:hAnsi="宋体" w:cs="宋体" w:eastAsia="宋体" w:hint="default"/>
                            <w:sz w:val="18"/>
                            <w:szCs w:val="18"/>
                          </w:rPr>
                        </w:pPr>
                        <w:r>
                          <w:rPr>
                            <w:rFonts w:ascii="宋体" w:hAnsi="宋体" w:cs="宋体" w:eastAsia="宋体" w:hint="default"/>
                            <w:w w:val="95"/>
                            <w:sz w:val="18"/>
                            <w:szCs w:val="18"/>
                          </w:rPr>
                          <w:t>目前正在研发：1、临床产品线整合和提升，包括：住院医生工作站、EMR、</w:t>
                        </w:r>
                        <w:r>
                          <w:rPr>
                            <w:rFonts w:ascii="宋体" w:hAnsi="宋体" w:cs="宋体" w:eastAsia="宋体" w:hint="default"/>
                            <w:sz w:val="18"/>
                            <w:szCs w:val="18"/>
                          </w:rPr>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26" w:lineRule="exact"/>
                          <w:ind w:right="19"/>
                          <w:jc w:val="center"/>
                          <w:rPr>
                            <w:rFonts w:ascii="宋体" w:hAnsi="宋体" w:cs="宋体" w:eastAsia="宋体" w:hint="default"/>
                            <w:sz w:val="18"/>
                            <w:szCs w:val="18"/>
                          </w:rPr>
                        </w:pPr>
                        <w:r>
                          <w:rPr>
                            <w:rFonts w:ascii="宋体" w:hAnsi="宋体" w:cs="宋体" w:eastAsia="宋体" w:hint="default"/>
                            <w:sz w:val="18"/>
                            <w:szCs w:val="18"/>
                          </w:rPr>
                          <w:t>系统</w:t>
                        </w: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心产品组合。</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187" w:lineRule="exact"/>
                          <w:ind w:left="98" w:right="0"/>
                          <w:jc w:val="left"/>
                          <w:rPr>
                            <w:rFonts w:ascii="宋体" w:hAnsi="宋体" w:cs="宋体" w:eastAsia="宋体" w:hint="default"/>
                            <w:sz w:val="18"/>
                            <w:szCs w:val="18"/>
                          </w:rPr>
                        </w:pPr>
                        <w:r>
                          <w:rPr>
                            <w:rFonts w:ascii="宋体" w:hAnsi="宋体" w:cs="宋体" w:eastAsia="宋体" w:hint="default"/>
                            <w:sz w:val="18"/>
                            <w:szCs w:val="18"/>
                          </w:rPr>
                          <w:t>CP、电子医嘱、申请单、数字签名、质控管理、院感管理等；2、集成平台</w:t>
                        </w:r>
                      </w:p>
                    </w:tc>
                  </w:tr>
                  <w:tr>
                    <w:trPr>
                      <w:trHeight w:val="21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187" w:lineRule="exact"/>
                          <w:ind w:left="98" w:right="0"/>
                          <w:jc w:val="left"/>
                          <w:rPr>
                            <w:rFonts w:ascii="宋体" w:hAnsi="宋体" w:cs="宋体" w:eastAsia="宋体" w:hint="default"/>
                            <w:sz w:val="18"/>
                            <w:szCs w:val="18"/>
                          </w:rPr>
                        </w:pPr>
                        <w:r>
                          <w:rPr>
                            <w:rFonts w:ascii="宋体" w:hAnsi="宋体" w:cs="宋体" w:eastAsia="宋体" w:hint="default"/>
                            <w:w w:val="95"/>
                            <w:sz w:val="18"/>
                            <w:szCs w:val="18"/>
                          </w:rPr>
                          <w:t>和临床数据中心，包括：EMPI、CDR/Portal、标准数据集、数据交换平台、</w:t>
                        </w:r>
                        <w:r>
                          <w:rPr>
                            <w:rFonts w:ascii="宋体" w:hAnsi="宋体" w:cs="宋体" w:eastAsia="宋体" w:hint="default"/>
                            <w:sz w:val="18"/>
                            <w:szCs w:val="18"/>
                          </w:rPr>
                        </w:r>
                      </w:p>
                    </w:tc>
                  </w:tr>
                  <w:tr>
                    <w:trPr>
                      <w:trHeight w:val="243" w:hRule="exact"/>
                    </w:trPr>
                    <w:tc>
                      <w:tcPr>
                        <w:tcW w:w="602" w:type="dxa"/>
                        <w:tcBorders>
                          <w:top w:val="nil" w:sz="6" w:space="0" w:color="auto"/>
                          <w:left w:val="single" w:sz="8" w:space="0" w:color="000000"/>
                          <w:bottom w:val="single" w:sz="8" w:space="0" w:color="000000"/>
                          <w:right w:val="single" w:sz="8" w:space="0" w:color="000000"/>
                        </w:tcBorders>
                      </w:tcPr>
                      <w:p>
                        <w:pPr/>
                      </w:p>
                    </w:tc>
                    <w:tc>
                      <w:tcPr>
                        <w:tcW w:w="946" w:type="dxa"/>
                        <w:tcBorders>
                          <w:top w:val="nil" w:sz="6" w:space="0" w:color="auto"/>
                          <w:left w:val="single" w:sz="8" w:space="0" w:color="000000"/>
                          <w:bottom w:val="single" w:sz="8" w:space="0" w:color="000000"/>
                          <w:right w:val="single" w:sz="8" w:space="0" w:color="000000"/>
                        </w:tcBorders>
                      </w:tcPr>
                      <w:p>
                        <w:pPr/>
                      </w:p>
                    </w:tc>
                    <w:tc>
                      <w:tcPr>
                        <w:tcW w:w="2105" w:type="dxa"/>
                        <w:tcBorders>
                          <w:top w:val="nil" w:sz="6" w:space="0" w:color="auto"/>
                          <w:left w:val="single" w:sz="8" w:space="0" w:color="000000"/>
                          <w:bottom w:val="single" w:sz="8" w:space="0" w:color="000000"/>
                          <w:right w:val="single" w:sz="8" w:space="0" w:color="000000"/>
                        </w:tcBorders>
                      </w:tcPr>
                      <w:p>
                        <w:pPr/>
                      </w:p>
                    </w:tc>
                    <w:tc>
                      <w:tcPr>
                        <w:tcW w:w="6067"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业务系统接口、BI</w:t>
                        </w:r>
                        <w:r>
                          <w:rPr>
                            <w:rFonts w:ascii="宋体" w:hAnsi="宋体" w:cs="宋体" w:eastAsia="宋体" w:hint="default"/>
                            <w:spacing w:val="-45"/>
                            <w:sz w:val="18"/>
                            <w:szCs w:val="18"/>
                          </w:rPr>
                          <w:t> </w:t>
                        </w:r>
                        <w:r>
                          <w:rPr>
                            <w:rFonts w:ascii="宋体" w:hAnsi="宋体" w:cs="宋体" w:eastAsia="宋体" w:hint="default"/>
                            <w:sz w:val="18"/>
                            <w:szCs w:val="18"/>
                          </w:rPr>
                          <w:t>等。</w:t>
                        </w:r>
                      </w:p>
                    </w:tc>
                  </w:tr>
                  <w:tr>
                    <w:trPr>
                      <w:trHeight w:val="400" w:hRule="exact"/>
                    </w:trPr>
                    <w:tc>
                      <w:tcPr>
                        <w:tcW w:w="602" w:type="dxa"/>
                        <w:tcBorders>
                          <w:top w:val="single" w:sz="8" w:space="0" w:color="000000"/>
                          <w:left w:val="single" w:sz="8" w:space="0" w:color="000000"/>
                          <w:bottom w:val="nil" w:sz="6" w:space="0" w:color="auto"/>
                          <w:right w:val="single" w:sz="8" w:space="0" w:color="000000"/>
                        </w:tcBorders>
                      </w:tcPr>
                      <w:p>
                        <w:pP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pacing w:val="8"/>
                            <w:sz w:val="18"/>
                            <w:szCs w:val="18"/>
                          </w:rPr>
                          <w:t>系统通过整合医院、区</w:t>
                        </w: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2010-2011</w:t>
                        </w:r>
                        <w:r>
                          <w:rPr>
                            <w:rFonts w:ascii="宋体" w:hAnsi="宋体" w:cs="宋体" w:eastAsia="宋体" w:hint="default"/>
                            <w:spacing w:val="-14"/>
                            <w:sz w:val="18"/>
                            <w:szCs w:val="18"/>
                          </w:rPr>
                          <w:t> </w:t>
                        </w:r>
                        <w:r>
                          <w:rPr>
                            <w:rFonts w:ascii="宋体" w:hAnsi="宋体" w:cs="宋体" w:eastAsia="宋体" w:hint="default"/>
                            <w:sz w:val="18"/>
                            <w:szCs w:val="18"/>
                          </w:rPr>
                          <w:t>年度实现移动医生站(平板电脑)，移动护士站(PDA)，营养膳食</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域医疗原有无线应用，</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移动点餐系统，门诊输液管理系统，短信应用平台。</w:t>
                        </w:r>
                      </w:p>
                    </w:tc>
                  </w:tr>
                  <w:tr>
                    <w:trPr>
                      <w:trHeight w:val="1878" w:hRule="exact"/>
                    </w:trPr>
                    <w:tc>
                      <w:tcPr>
                        <w:tcW w:w="6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37" w:lineRule="auto"/>
                          <w:ind w:left="100" w:right="95"/>
                          <w:jc w:val="both"/>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z w:val="18"/>
                            <w:szCs w:val="18"/>
                          </w:rPr>
                          <w:t> 医</w:t>
                        </w:r>
                        <w:r>
                          <w:rPr>
                            <w:rFonts w:ascii="宋体" w:hAnsi="宋体" w:cs="宋体" w:eastAsia="宋体" w:hint="default"/>
                            <w:spacing w:val="-64"/>
                            <w:sz w:val="18"/>
                            <w:szCs w:val="18"/>
                          </w:rPr>
                          <w:t> </w:t>
                        </w:r>
                        <w:r>
                          <w:rPr>
                            <w:rFonts w:ascii="宋体" w:hAnsi="宋体" w:cs="宋体" w:eastAsia="宋体" w:hint="default"/>
                            <w:sz w:val="18"/>
                            <w:szCs w:val="18"/>
                          </w:rPr>
                          <w:t>疗</w:t>
                        </w:r>
                        <w:r>
                          <w:rPr>
                            <w:rFonts w:ascii="宋体" w:hAnsi="宋体" w:cs="宋体" w:eastAsia="宋体" w:hint="default"/>
                            <w:sz w:val="18"/>
                            <w:szCs w:val="18"/>
                          </w:rPr>
                          <w:t> 信</w:t>
                        </w:r>
                        <w:r>
                          <w:rPr>
                            <w:rFonts w:ascii="宋体" w:hAnsi="宋体" w:cs="宋体" w:eastAsia="宋体" w:hint="default"/>
                            <w:spacing w:val="-64"/>
                            <w:sz w:val="18"/>
                            <w:szCs w:val="18"/>
                          </w:rPr>
                          <w:t> </w:t>
                        </w:r>
                        <w:r>
                          <w:rPr>
                            <w:rFonts w:ascii="宋体" w:hAnsi="宋体" w:cs="宋体" w:eastAsia="宋体" w:hint="default"/>
                            <w:sz w:val="18"/>
                            <w:szCs w:val="18"/>
                          </w:rPr>
                          <w:t>息</w:t>
                        </w:r>
                        <w:r>
                          <w:rPr>
                            <w:rFonts w:ascii="宋体" w:hAnsi="宋体" w:cs="宋体" w:eastAsia="宋体" w:hint="default"/>
                            <w:sz w:val="18"/>
                            <w:szCs w:val="18"/>
                          </w:rPr>
                          <w:t> 系统</w:t>
                        </w:r>
                      </w:p>
                    </w:tc>
                    <w:tc>
                      <w:tcPr>
                        <w:tcW w:w="94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z w:val="18"/>
                            <w:szCs w:val="18"/>
                          </w:rPr>
                          <w:t>无线应用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w:t>
                        </w:r>
                      </w:p>
                    </w:tc>
                    <w:tc>
                      <w:tcPr>
                        <w:tcW w:w="2105"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6"/>
                            <w:sz w:val="18"/>
                            <w:szCs w:val="18"/>
                          </w:rPr>
                          <w:t>利用 </w:t>
                        </w:r>
                        <w:r>
                          <w:rPr>
                            <w:rFonts w:ascii="宋体" w:hAnsi="宋体" w:cs="宋体" w:eastAsia="宋体" w:hint="default"/>
                            <w:spacing w:val="4"/>
                            <w:sz w:val="18"/>
                            <w:szCs w:val="18"/>
                          </w:rPr>
                          <w:t>WLAN、WAP、3G</w:t>
                        </w:r>
                        <w:r>
                          <w:rPr>
                            <w:rFonts w:ascii="宋体" w:hAnsi="宋体" w:cs="宋体" w:eastAsia="宋体" w:hint="default"/>
                            <w:spacing w:val="-70"/>
                            <w:sz w:val="18"/>
                            <w:szCs w:val="18"/>
                          </w:rPr>
                          <w:t> </w:t>
                        </w:r>
                        <w:r>
                          <w:rPr>
                            <w:rFonts w:ascii="宋体" w:hAnsi="宋体" w:cs="宋体" w:eastAsia="宋体" w:hint="default"/>
                            <w:sz w:val="18"/>
                            <w:szCs w:val="18"/>
                          </w:rPr>
                          <w:t>等</w:t>
                        </w:r>
                      </w:p>
                      <w:p>
                        <w:pPr>
                          <w:pStyle w:val="TableParagraph"/>
                          <w:spacing w:line="237" w:lineRule="auto" w:before="2"/>
                          <w:ind w:left="100" w:right="95"/>
                          <w:jc w:val="both"/>
                          <w:rPr>
                            <w:rFonts w:ascii="宋体" w:hAnsi="宋体" w:cs="宋体" w:eastAsia="宋体" w:hint="default"/>
                            <w:sz w:val="18"/>
                            <w:szCs w:val="18"/>
                          </w:rPr>
                        </w:pPr>
                        <w:r>
                          <w:rPr>
                            <w:rFonts w:ascii="宋体" w:hAnsi="宋体" w:cs="宋体" w:eastAsia="宋体" w:hint="default"/>
                            <w:w w:val="95"/>
                            <w:sz w:val="18"/>
                            <w:szCs w:val="18"/>
                          </w:rPr>
                          <w:t>无线网络实现“医务通”</w:t>
                        </w:r>
                        <w:r>
                          <w:rPr>
                            <w:rFonts w:ascii="宋体" w:hAnsi="宋体" w:cs="宋体" w:eastAsia="宋体" w:hint="default"/>
                            <w:spacing w:val="-80"/>
                            <w:w w:val="95"/>
                            <w:sz w:val="18"/>
                            <w:szCs w:val="18"/>
                          </w:rPr>
                          <w:t> </w:t>
                        </w:r>
                        <w:r>
                          <w:rPr>
                            <w:rFonts w:ascii="宋体" w:hAnsi="宋体" w:cs="宋体" w:eastAsia="宋体" w:hint="default"/>
                            <w:spacing w:val="-80"/>
                            <w:w w:val="95"/>
                            <w:sz w:val="18"/>
                            <w:szCs w:val="18"/>
                          </w:rPr>
                        </w:r>
                        <w:r>
                          <w:rPr>
                            <w:rFonts w:ascii="宋体" w:hAnsi="宋体" w:cs="宋体" w:eastAsia="宋体" w:hint="default"/>
                            <w:spacing w:val="8"/>
                            <w:sz w:val="18"/>
                            <w:szCs w:val="18"/>
                          </w:rPr>
                          <w:t>的信息化应用，全面实</w:t>
                        </w:r>
                        <w:r>
                          <w:rPr>
                            <w:rFonts w:ascii="宋体" w:hAnsi="宋体" w:cs="宋体" w:eastAsia="宋体" w:hint="default"/>
                            <w:sz w:val="18"/>
                            <w:szCs w:val="18"/>
                          </w:rPr>
                          <w:t> 现</w:t>
                        </w:r>
                        <w:r>
                          <w:rPr>
                            <w:rFonts w:ascii="宋体" w:hAnsi="宋体" w:cs="宋体" w:eastAsia="宋体" w:hint="default"/>
                            <w:spacing w:val="-46"/>
                            <w:sz w:val="18"/>
                            <w:szCs w:val="18"/>
                          </w:rPr>
                          <w:t> </w:t>
                        </w:r>
                        <w:r>
                          <w:rPr>
                            <w:rFonts w:ascii="宋体" w:hAnsi="宋体" w:cs="宋体" w:eastAsia="宋体" w:hint="default"/>
                            <w:sz w:val="18"/>
                            <w:szCs w:val="18"/>
                          </w:rPr>
                          <w:t>在</w:t>
                        </w:r>
                        <w:r>
                          <w:rPr>
                            <w:rFonts w:ascii="宋体" w:hAnsi="宋体" w:cs="宋体" w:eastAsia="宋体" w:hint="default"/>
                            <w:spacing w:val="-6"/>
                            <w:sz w:val="18"/>
                            <w:szCs w:val="18"/>
                          </w:rPr>
                          <w:t> </w:t>
                        </w:r>
                        <w:r>
                          <w:rPr>
                            <w:rFonts w:ascii="宋体" w:hAnsi="宋体" w:cs="宋体" w:eastAsia="宋体" w:hint="default"/>
                            <w:sz w:val="18"/>
                            <w:szCs w:val="18"/>
                          </w:rPr>
                          <w:t>IOS</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Android</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z w:val="18"/>
                            <w:szCs w:val="18"/>
                          </w:rPr>
                          <w:t> Windows</w:t>
                        </w:r>
                        <w:r>
                          <w:rPr>
                            <w:rFonts w:ascii="宋体" w:hAnsi="宋体" w:cs="宋体" w:eastAsia="宋体" w:hint="default"/>
                            <w:spacing w:val="-48"/>
                            <w:sz w:val="18"/>
                            <w:szCs w:val="18"/>
                          </w:rPr>
                          <w:t> </w:t>
                        </w:r>
                        <w:r>
                          <w:rPr>
                            <w:rFonts w:ascii="宋体" w:hAnsi="宋体" w:cs="宋体" w:eastAsia="宋体" w:hint="default"/>
                            <w:sz w:val="18"/>
                            <w:szCs w:val="18"/>
                          </w:rPr>
                          <w:t>Phone</w:t>
                        </w:r>
                        <w:r>
                          <w:rPr>
                            <w:rFonts w:ascii="宋体" w:hAnsi="宋体" w:cs="宋体" w:eastAsia="宋体" w:hint="default"/>
                            <w:spacing w:val="-50"/>
                            <w:sz w:val="18"/>
                            <w:szCs w:val="18"/>
                          </w:rPr>
                          <w:t> </w:t>
                        </w:r>
                        <w:r>
                          <w:rPr>
                            <w:rFonts w:ascii="宋体" w:hAnsi="宋体" w:cs="宋体" w:eastAsia="宋体" w:hint="default"/>
                            <w:sz w:val="18"/>
                            <w:szCs w:val="18"/>
                          </w:rPr>
                          <w:t>等不同平</w:t>
                        </w:r>
                        <w:r>
                          <w:rPr>
                            <w:rFonts w:ascii="宋体" w:hAnsi="宋体" w:cs="宋体" w:eastAsia="宋体" w:hint="default"/>
                            <w:sz w:val="18"/>
                            <w:szCs w:val="18"/>
                          </w:rPr>
                          <w:t> </w:t>
                        </w:r>
                        <w:r>
                          <w:rPr>
                            <w:rFonts w:ascii="宋体" w:hAnsi="宋体" w:cs="宋体" w:eastAsia="宋体" w:hint="default"/>
                            <w:spacing w:val="8"/>
                            <w:sz w:val="18"/>
                            <w:szCs w:val="18"/>
                          </w:rPr>
                          <w:t>台的包括平板电脑、手</w:t>
                        </w:r>
                        <w:r>
                          <w:rPr>
                            <w:rFonts w:ascii="宋体" w:hAnsi="宋体" w:cs="宋体" w:eastAsia="宋体" w:hint="default"/>
                            <w:sz w:val="18"/>
                            <w:szCs w:val="18"/>
                          </w:rPr>
                          <w:t> </w:t>
                        </w:r>
                        <w:r>
                          <w:rPr>
                            <w:rFonts w:ascii="宋体" w:hAnsi="宋体" w:cs="宋体" w:eastAsia="宋体" w:hint="default"/>
                            <w:spacing w:val="8"/>
                            <w:sz w:val="18"/>
                            <w:szCs w:val="18"/>
                          </w:rPr>
                          <w:t>机等终端的移动医疗系</w:t>
                        </w:r>
                        <w:r>
                          <w:rPr>
                            <w:rFonts w:ascii="宋体" w:hAnsi="宋体" w:cs="宋体" w:eastAsia="宋体" w:hint="default"/>
                            <w:sz w:val="18"/>
                            <w:szCs w:val="18"/>
                          </w:rPr>
                          <w:t> 统</w:t>
                        </w:r>
                      </w:p>
                    </w:tc>
                    <w:tc>
                      <w:tcPr>
                        <w:tcW w:w="6067" w:type="dxa"/>
                        <w:tcBorders>
                          <w:top w:val="nil" w:sz="6" w:space="0" w:color="auto"/>
                          <w:left w:val="single" w:sz="8" w:space="0" w:color="000000"/>
                          <w:bottom w:val="single" w:sz="8" w:space="0" w:color="000000"/>
                          <w:right w:val="single" w:sz="8" w:space="0" w:color="000000"/>
                        </w:tcBorders>
                      </w:tcPr>
                      <w:p>
                        <w:pPr>
                          <w:pStyle w:val="TableParagraph"/>
                          <w:spacing w:line="237" w:lineRule="auto" w:before="129"/>
                          <w:ind w:left="98" w:right="95"/>
                          <w:jc w:val="both"/>
                          <w:rPr>
                            <w:rFonts w:ascii="宋体" w:hAnsi="宋体" w:cs="宋体" w:eastAsia="宋体" w:hint="default"/>
                            <w:sz w:val="18"/>
                            <w:szCs w:val="18"/>
                          </w:rPr>
                        </w:pPr>
                        <w:r>
                          <w:rPr>
                            <w:rFonts w:ascii="宋体" w:hAnsi="宋体" w:cs="宋体" w:eastAsia="宋体" w:hint="default"/>
                            <w:spacing w:val="-3"/>
                            <w:sz w:val="18"/>
                            <w:szCs w:val="18"/>
                          </w:rPr>
                          <w:t>目前正在研发：移动护理的安卓平台版本，在可操作性，界面友好性方面有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w w:val="95"/>
                            <w:sz w:val="18"/>
                            <w:szCs w:val="18"/>
                          </w:rPr>
                          <w:t>所改善，在护理路径、消息提醒、绩效考核等功能创新方面有所突破和扩展； </w:t>
                        </w:r>
                        <w:r>
                          <w:rPr>
                            <w:rFonts w:ascii="宋体" w:hAnsi="宋体" w:cs="宋体" w:eastAsia="宋体" w:hint="default"/>
                            <w:spacing w:val="-3"/>
                            <w:w w:val="95"/>
                            <w:sz w:val="18"/>
                            <w:szCs w:val="18"/>
                          </w:rPr>
                          <w:t> </w:t>
                        </w:r>
                        <w:r>
                          <w:rPr>
                            <w:rFonts w:ascii="宋体" w:hAnsi="宋体" w:cs="宋体" w:eastAsia="宋体" w:hint="default"/>
                            <w:spacing w:val="-3"/>
                            <w:w w:val="95"/>
                            <w:sz w:val="18"/>
                            <w:szCs w:val="18"/>
                          </w:rPr>
                        </w:r>
                        <w:r>
                          <w:rPr>
                            <w:rFonts w:ascii="宋体" w:hAnsi="宋体" w:cs="宋体" w:eastAsia="宋体" w:hint="default"/>
                            <w:sz w:val="18"/>
                            <w:szCs w:val="18"/>
                          </w:rPr>
                          <w:t>iPad</w:t>
                        </w:r>
                        <w:r>
                          <w:rPr>
                            <w:rFonts w:ascii="宋体" w:hAnsi="宋体" w:cs="宋体" w:eastAsia="宋体" w:hint="default"/>
                            <w:spacing w:val="-75"/>
                            <w:sz w:val="18"/>
                            <w:szCs w:val="18"/>
                          </w:rPr>
                          <w:t> </w:t>
                        </w:r>
                        <w:r>
                          <w:rPr>
                            <w:rFonts w:ascii="宋体" w:hAnsi="宋体" w:cs="宋体" w:eastAsia="宋体" w:hint="default"/>
                            <w:sz w:val="18"/>
                            <w:szCs w:val="18"/>
                          </w:rPr>
                          <w:t>移动医生站(临床路径功能整合)，功能上包括临床路径执行(医嘱、申</w:t>
                        </w:r>
                        <w:r>
                          <w:rPr>
                            <w:rFonts w:ascii="宋体" w:hAnsi="宋体" w:cs="宋体" w:eastAsia="宋体" w:hint="default"/>
                            <w:sz w:val="18"/>
                            <w:szCs w:val="18"/>
                          </w:rPr>
                          <w:t> 请单等功能)，图表、医嘱与检验检查关联，Web</w:t>
                        </w:r>
                        <w:r>
                          <w:rPr>
                            <w:rFonts w:ascii="宋体" w:hAnsi="宋体" w:cs="宋体" w:eastAsia="宋体" w:hint="default"/>
                            <w:spacing w:val="-25"/>
                            <w:sz w:val="18"/>
                            <w:szCs w:val="18"/>
                          </w:rPr>
                          <w:t> </w:t>
                        </w:r>
                        <w:r>
                          <w:rPr>
                            <w:rFonts w:ascii="宋体" w:hAnsi="宋体" w:cs="宋体" w:eastAsia="宋体" w:hint="default"/>
                            <w:sz w:val="18"/>
                            <w:szCs w:val="18"/>
                          </w:rPr>
                          <w:t>申请单，结构化电子病历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接口，合理用药模块，抗菌素使用审批；营养点餐系统的整合及扩展；</w:t>
                        </w:r>
                        <w:r>
                          <w:rPr>
                            <w:rFonts w:ascii="宋体" w:hAnsi="宋体" w:cs="宋体" w:eastAsia="宋体" w:hint="default"/>
                            <w:spacing w:val="-48"/>
                            <w:sz w:val="18"/>
                            <w:szCs w:val="18"/>
                          </w:rPr>
                          <w:t> </w:t>
                        </w:r>
                        <w:r>
                          <w:rPr>
                            <w:rFonts w:ascii="宋体" w:hAnsi="宋体" w:cs="宋体" w:eastAsia="宋体" w:hint="default"/>
                            <w:sz w:val="18"/>
                            <w:szCs w:val="18"/>
                          </w:rPr>
                          <w:t>3G</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移动助手，LIS</w:t>
                        </w:r>
                        <w:r>
                          <w:rPr>
                            <w:rFonts w:ascii="宋体" w:hAnsi="宋体" w:cs="宋体" w:eastAsia="宋体" w:hint="default"/>
                            <w:spacing w:val="-75"/>
                            <w:sz w:val="18"/>
                            <w:szCs w:val="18"/>
                          </w:rPr>
                          <w:t> </w:t>
                        </w:r>
                        <w:r>
                          <w:rPr>
                            <w:rFonts w:ascii="宋体" w:hAnsi="宋体" w:cs="宋体" w:eastAsia="宋体" w:hint="default"/>
                            <w:sz w:val="18"/>
                            <w:szCs w:val="18"/>
                          </w:rPr>
                          <w:t>危机值，院长综合查询数据，医嘱及费用信息，及时就诊情</w:t>
                        </w:r>
                        <w:r>
                          <w:rPr>
                            <w:rFonts w:ascii="宋体" w:hAnsi="宋体" w:cs="宋体" w:eastAsia="宋体" w:hint="default"/>
                            <w:sz w:val="18"/>
                            <w:szCs w:val="18"/>
                          </w:rPr>
                          <w:t> 况，综合数据分析及生成。</w:t>
                        </w:r>
                      </w:p>
                    </w:tc>
                  </w:tr>
                  <w:tr>
                    <w:trPr>
                      <w:trHeight w:val="400" w:hRule="exact"/>
                    </w:trPr>
                    <w:tc>
                      <w:tcPr>
                        <w:tcW w:w="602" w:type="dxa"/>
                        <w:tcBorders>
                          <w:top w:val="single" w:sz="8" w:space="0" w:color="000000"/>
                          <w:left w:val="single" w:sz="8" w:space="0" w:color="000000"/>
                          <w:bottom w:val="nil" w:sz="6" w:space="0" w:color="auto"/>
                          <w:right w:val="single" w:sz="8" w:space="0" w:color="000000"/>
                        </w:tcBorders>
                      </w:tcPr>
                      <w:p>
                        <w:pP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2010-2011</w:t>
                        </w:r>
                        <w:r>
                          <w:rPr>
                            <w:rFonts w:ascii="宋体" w:hAnsi="宋体" w:cs="宋体" w:eastAsia="宋体" w:hint="default"/>
                            <w:spacing w:val="-21"/>
                            <w:sz w:val="18"/>
                            <w:szCs w:val="18"/>
                          </w:rPr>
                          <w:t> </w:t>
                        </w:r>
                        <w:r>
                          <w:rPr>
                            <w:rFonts w:ascii="宋体" w:hAnsi="宋体" w:cs="宋体" w:eastAsia="宋体" w:hint="default"/>
                            <w:spacing w:val="3"/>
                            <w:sz w:val="18"/>
                            <w:szCs w:val="18"/>
                          </w:rPr>
                          <w:t>年度根据国家卫生部发布的信息化标准结合多个项目的实施情</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况要求完成村卫生室诊疗管理系统、乡镇卫生院/社区卫生服务中心诊疗管</w:t>
                        </w:r>
                      </w:p>
                    </w:tc>
                  </w:tr>
                  <w:tr>
                    <w:trPr>
                      <w:trHeight w:val="23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3"/>
                            <w:sz w:val="18"/>
                            <w:szCs w:val="18"/>
                          </w:rPr>
                          <w:t>理系统开发。实现区域卫生信息平台的产品化实施。完成区域卫生综合管理</w:t>
                        </w:r>
                      </w:p>
                    </w:tc>
                  </w:tr>
                  <w:tr>
                    <w:trPr>
                      <w:trHeight w:val="312"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平台的开发。</w:t>
                        </w:r>
                      </w:p>
                    </w:tc>
                  </w:tr>
                  <w:tr>
                    <w:trPr>
                      <w:trHeight w:val="388"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pacing w:val="8"/>
                            <w:sz w:val="18"/>
                            <w:szCs w:val="18"/>
                          </w:rPr>
                          <w:t>完善完成村卫生室诊疗</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目前正在研发：</w:t>
                        </w:r>
                      </w:p>
                    </w:tc>
                  </w:tr>
                  <w:tr>
                    <w:trPr>
                      <w:trHeight w:val="1324"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域</w:t>
                        </w:r>
                      </w:p>
                      <w:p>
                        <w:pPr>
                          <w:pStyle w:val="TableParagraph"/>
                          <w:spacing w:line="232" w:lineRule="exact" w:before="23"/>
                          <w:ind w:left="100" w:right="95"/>
                          <w:jc w:val="both"/>
                          <w:rPr>
                            <w:rFonts w:ascii="宋体" w:hAnsi="宋体" w:cs="宋体" w:eastAsia="宋体" w:hint="default"/>
                            <w:sz w:val="18"/>
                            <w:szCs w:val="18"/>
                          </w:rPr>
                        </w:pPr>
                        <w:r>
                          <w:rPr>
                            <w:rFonts w:ascii="宋体" w:hAnsi="宋体" w:cs="宋体" w:eastAsia="宋体" w:hint="default"/>
                            <w:sz w:val="18"/>
                            <w:szCs w:val="18"/>
                          </w:rPr>
                          <w:t>诊</w:t>
                        </w:r>
                        <w:r>
                          <w:rPr>
                            <w:rFonts w:ascii="宋体" w:hAnsi="宋体" w:cs="宋体" w:eastAsia="宋体" w:hint="default"/>
                            <w:spacing w:val="-64"/>
                            <w:sz w:val="18"/>
                            <w:szCs w:val="18"/>
                          </w:rPr>
                          <w:t> </w:t>
                        </w:r>
                        <w:r>
                          <w:rPr>
                            <w:rFonts w:ascii="宋体" w:hAnsi="宋体" w:cs="宋体" w:eastAsia="宋体" w:hint="default"/>
                            <w:sz w:val="18"/>
                            <w:szCs w:val="18"/>
                          </w:rPr>
                          <w:t>疗</w:t>
                        </w:r>
                        <w:r>
                          <w:rPr>
                            <w:rFonts w:ascii="宋体" w:hAnsi="宋体" w:cs="宋体" w:eastAsia="宋体" w:hint="default"/>
                            <w:sz w:val="18"/>
                            <w:szCs w:val="18"/>
                          </w:rPr>
                          <w:t> 信</w:t>
                        </w:r>
                        <w:r>
                          <w:rPr>
                            <w:rFonts w:ascii="宋体" w:hAnsi="宋体" w:cs="宋体" w:eastAsia="宋体" w:hint="default"/>
                            <w:spacing w:val="-64"/>
                            <w:sz w:val="18"/>
                            <w:szCs w:val="18"/>
                          </w:rPr>
                          <w:t> </w:t>
                        </w:r>
                        <w:r>
                          <w:rPr>
                            <w:rFonts w:ascii="宋体" w:hAnsi="宋体" w:cs="宋体" w:eastAsia="宋体" w:hint="default"/>
                            <w:sz w:val="18"/>
                            <w:szCs w:val="18"/>
                          </w:rPr>
                          <w:t>息</w:t>
                        </w:r>
                        <w:r>
                          <w:rPr>
                            <w:rFonts w:ascii="宋体" w:hAnsi="宋体" w:cs="宋体" w:eastAsia="宋体" w:hint="default"/>
                            <w:sz w:val="18"/>
                            <w:szCs w:val="18"/>
                          </w:rPr>
                          <w:t> 系统</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232" w:lineRule="exact" w:before="113"/>
                          <w:ind w:left="98" w:right="98"/>
                          <w:jc w:val="both"/>
                          <w:rPr>
                            <w:rFonts w:ascii="宋体" w:hAnsi="宋体" w:cs="宋体" w:eastAsia="宋体" w:hint="default"/>
                            <w:sz w:val="18"/>
                            <w:szCs w:val="18"/>
                          </w:rPr>
                        </w:pPr>
                        <w:r>
                          <w:rPr>
                            <w:rFonts w:ascii="宋体" w:hAnsi="宋体" w:cs="宋体" w:eastAsia="宋体" w:hint="default"/>
                            <w:sz w:val="18"/>
                            <w:szCs w:val="18"/>
                          </w:rPr>
                          <w:t>公共卫生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管理系统、乡镇卫生院/</w:t>
                        </w: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pacing w:val="8"/>
                            <w:sz w:val="18"/>
                            <w:szCs w:val="18"/>
                          </w:rPr>
                          <w:t>社区卫生服务中心诊疗</w:t>
                        </w:r>
                        <w:r>
                          <w:rPr>
                            <w:rFonts w:ascii="宋体" w:hAnsi="宋体" w:cs="宋体" w:eastAsia="宋体" w:hint="default"/>
                            <w:sz w:val="18"/>
                            <w:szCs w:val="18"/>
                          </w:rPr>
                          <w:t> </w:t>
                        </w:r>
                        <w:r>
                          <w:rPr>
                            <w:rFonts w:ascii="宋体" w:hAnsi="宋体" w:cs="宋体" w:eastAsia="宋体" w:hint="default"/>
                            <w:spacing w:val="8"/>
                            <w:sz w:val="18"/>
                            <w:szCs w:val="18"/>
                          </w:rPr>
                          <w:t>管理系统、区域诊疗信</w:t>
                        </w:r>
                        <w:r>
                          <w:rPr>
                            <w:rFonts w:ascii="宋体" w:hAnsi="宋体" w:cs="宋体" w:eastAsia="宋体" w:hint="default"/>
                            <w:sz w:val="18"/>
                            <w:szCs w:val="18"/>
                          </w:rPr>
                          <w:t> </w:t>
                        </w:r>
                        <w:r>
                          <w:rPr>
                            <w:rFonts w:ascii="宋体" w:hAnsi="宋体" w:cs="宋体" w:eastAsia="宋体" w:hint="default"/>
                            <w:spacing w:val="8"/>
                            <w:sz w:val="18"/>
                            <w:szCs w:val="18"/>
                          </w:rPr>
                          <w:t>息共享、诊疗信息监管</w:t>
                        </w:r>
                        <w:r>
                          <w:rPr>
                            <w:rFonts w:ascii="宋体" w:hAnsi="宋体" w:cs="宋体" w:eastAsia="宋体" w:hint="default"/>
                            <w:sz w:val="18"/>
                            <w:szCs w:val="18"/>
                          </w:rPr>
                          <w:t> 分析系统</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37" w:lineRule="auto" w:before="52"/>
                          <w:ind w:left="98" w:right="95"/>
                          <w:jc w:val="both"/>
                          <w:rPr>
                            <w:rFonts w:ascii="宋体" w:hAnsi="宋体" w:cs="宋体" w:eastAsia="宋体" w:hint="default"/>
                            <w:sz w:val="18"/>
                            <w:szCs w:val="18"/>
                          </w:rPr>
                        </w:pPr>
                        <w:r>
                          <w:rPr>
                            <w:rFonts w:ascii="宋体" w:hAnsi="宋体" w:cs="宋体" w:eastAsia="宋体" w:hint="default"/>
                            <w:sz w:val="18"/>
                            <w:szCs w:val="18"/>
                          </w:rPr>
                          <w:t>1、将区域诊疗信息系统和社区卫生服务信息系统整合形成高度产品化的基 </w:t>
                        </w:r>
                        <w:r>
                          <w:rPr>
                            <w:rFonts w:ascii="宋体" w:hAnsi="宋体" w:cs="宋体" w:eastAsia="宋体" w:hint="default"/>
                            <w:spacing w:val="-3"/>
                            <w:sz w:val="18"/>
                            <w:szCs w:val="18"/>
                          </w:rPr>
                          <w:t>层医疗卫生机构管理信息系统，系统基于居民电子健康档案、电子病历、门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诊统筹管理的基层医疗卫生信息化体系基本架构，完全覆盖基本药物供应使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用、居民健康管理、基本医疗服务、绩效考核功能，并且集成了全科医生工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作站，实现基本医疗和公共卫生服务的无缝融合；</w:t>
                        </w:r>
                      </w:p>
                    </w:tc>
                  </w:tr>
                  <w:tr>
                    <w:trPr>
                      <w:trHeight w:val="312"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2、在现有区域卫生信息平台“一卡通”的基础上，根据国家《居民健康卡</w:t>
                        </w:r>
                      </w:p>
                    </w:tc>
                  </w:tr>
                  <w:tr>
                    <w:trPr>
                      <w:trHeight w:val="23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技术规范</w:t>
                        </w:r>
                        <w:r>
                          <w:rPr>
                            <w:rFonts w:ascii="宋体" w:hAnsi="宋体" w:cs="宋体" w:eastAsia="宋体" w:hint="default"/>
                            <w:spacing w:val="-89"/>
                            <w:sz w:val="18"/>
                            <w:szCs w:val="18"/>
                          </w:rPr>
                          <w:t>》</w:t>
                        </w:r>
                        <w:r>
                          <w:rPr>
                            <w:rFonts w:ascii="宋体" w:hAnsi="宋体" w:cs="宋体" w:eastAsia="宋体" w:hint="default"/>
                            <w:sz w:val="18"/>
                            <w:szCs w:val="18"/>
                          </w:rPr>
                          <w:t>，实现“一卡通”系统向符合国家标准的“居民健康卡”的全面</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3"/>
                            <w:sz w:val="18"/>
                            <w:szCs w:val="18"/>
                          </w:rPr>
                          <w:t>升级，完成在医疗卫生服务活动中身份识别和健康信息存储要求，实现跨地</w:t>
                        </w:r>
                      </w:p>
                    </w:tc>
                  </w:tr>
                  <w:tr>
                    <w:trPr>
                      <w:trHeight w:val="243" w:hRule="exact"/>
                    </w:trPr>
                    <w:tc>
                      <w:tcPr>
                        <w:tcW w:w="602" w:type="dxa"/>
                        <w:tcBorders>
                          <w:top w:val="nil" w:sz="6" w:space="0" w:color="auto"/>
                          <w:left w:val="single" w:sz="8" w:space="0" w:color="000000"/>
                          <w:bottom w:val="single" w:sz="8" w:space="0" w:color="000000"/>
                          <w:right w:val="single" w:sz="8" w:space="0" w:color="000000"/>
                        </w:tcBorders>
                      </w:tcPr>
                      <w:p>
                        <w:pPr/>
                      </w:p>
                    </w:tc>
                    <w:tc>
                      <w:tcPr>
                        <w:tcW w:w="946" w:type="dxa"/>
                        <w:tcBorders>
                          <w:top w:val="nil" w:sz="6" w:space="0" w:color="auto"/>
                          <w:left w:val="single" w:sz="8" w:space="0" w:color="000000"/>
                          <w:bottom w:val="single" w:sz="8" w:space="0" w:color="000000"/>
                          <w:right w:val="single" w:sz="8" w:space="0" w:color="000000"/>
                        </w:tcBorders>
                      </w:tcPr>
                      <w:p>
                        <w:pPr/>
                      </w:p>
                    </w:tc>
                    <w:tc>
                      <w:tcPr>
                        <w:tcW w:w="2105" w:type="dxa"/>
                        <w:tcBorders>
                          <w:top w:val="nil" w:sz="6" w:space="0" w:color="auto"/>
                          <w:left w:val="single" w:sz="8" w:space="0" w:color="000000"/>
                          <w:bottom w:val="single" w:sz="8" w:space="0" w:color="000000"/>
                          <w:right w:val="single" w:sz="8" w:space="0" w:color="000000"/>
                        </w:tcBorders>
                      </w:tcPr>
                      <w:p>
                        <w:pPr/>
                      </w:p>
                    </w:tc>
                    <w:tc>
                      <w:tcPr>
                        <w:tcW w:w="6067"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区和跨机构就医、数据交换共享和医疗费用的实时结算。</w:t>
                        </w:r>
                      </w:p>
                    </w:tc>
                  </w:tr>
                  <w:tr>
                    <w:trPr>
                      <w:trHeight w:val="400" w:hRule="exact"/>
                    </w:trPr>
                    <w:tc>
                      <w:tcPr>
                        <w:tcW w:w="602" w:type="dxa"/>
                        <w:tcBorders>
                          <w:top w:val="single" w:sz="8" w:space="0" w:color="000000"/>
                          <w:left w:val="single" w:sz="8" w:space="0" w:color="000000"/>
                          <w:bottom w:val="nil" w:sz="6" w:space="0" w:color="auto"/>
                          <w:right w:val="single" w:sz="8" w:space="0" w:color="000000"/>
                        </w:tcBorders>
                      </w:tcPr>
                      <w:p>
                        <w:pP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pacing w:val="-1"/>
                            <w:sz w:val="18"/>
                            <w:szCs w:val="18"/>
                          </w:rPr>
                          <w:t>2010-2011</w:t>
                        </w:r>
                        <w:r>
                          <w:rPr>
                            <w:rFonts w:ascii="宋体" w:hAnsi="宋体" w:cs="宋体" w:eastAsia="宋体" w:hint="default"/>
                            <w:spacing w:val="-27"/>
                            <w:sz w:val="18"/>
                            <w:szCs w:val="18"/>
                          </w:rPr>
                          <w:t> </w:t>
                        </w:r>
                        <w:r>
                          <w:rPr>
                            <w:rFonts w:ascii="宋体" w:hAnsi="宋体" w:cs="宋体" w:eastAsia="宋体" w:hint="default"/>
                            <w:spacing w:val="-2"/>
                            <w:sz w:val="18"/>
                            <w:szCs w:val="18"/>
                          </w:rPr>
                          <w:t>年度完善完成区县业务管理系统、区县合作实时结算平台、区县</w:t>
                        </w:r>
                      </w:p>
                    </w:tc>
                  </w:tr>
                  <w:tr>
                    <w:trPr>
                      <w:trHeight w:val="778"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32" w:lineRule="exact" w:before="74"/>
                          <w:ind w:left="100" w:right="96"/>
                          <w:jc w:val="both"/>
                          <w:rPr>
                            <w:rFonts w:ascii="宋体" w:hAnsi="宋体" w:cs="宋体" w:eastAsia="宋体" w:hint="default"/>
                            <w:sz w:val="18"/>
                            <w:szCs w:val="18"/>
                          </w:rPr>
                        </w:pPr>
                        <w:r>
                          <w:rPr>
                            <w:rFonts w:ascii="宋体" w:hAnsi="宋体" w:cs="宋体" w:eastAsia="宋体" w:hint="default"/>
                            <w:spacing w:val="8"/>
                            <w:sz w:val="18"/>
                            <w:szCs w:val="18"/>
                          </w:rPr>
                          <w:t>完善完成区县业务管理</w:t>
                        </w:r>
                        <w:r>
                          <w:rPr>
                            <w:rFonts w:ascii="宋体" w:hAnsi="宋体" w:cs="宋体" w:eastAsia="宋体" w:hint="default"/>
                            <w:sz w:val="18"/>
                            <w:szCs w:val="18"/>
                          </w:rPr>
                          <w:t> </w:t>
                        </w:r>
                        <w:r>
                          <w:rPr>
                            <w:rFonts w:ascii="宋体" w:hAnsi="宋体" w:cs="宋体" w:eastAsia="宋体" w:hint="default"/>
                            <w:spacing w:val="8"/>
                            <w:sz w:val="18"/>
                            <w:szCs w:val="18"/>
                          </w:rPr>
                          <w:t>系统、区县合作实时结</w:t>
                        </w:r>
                        <w:r>
                          <w:rPr>
                            <w:rFonts w:ascii="宋体" w:hAnsi="宋体" w:cs="宋体" w:eastAsia="宋体" w:hint="default"/>
                            <w:sz w:val="18"/>
                            <w:szCs w:val="18"/>
                          </w:rPr>
                          <w:t> </w:t>
                        </w:r>
                        <w:r>
                          <w:rPr>
                            <w:rFonts w:ascii="宋体" w:hAnsi="宋体" w:cs="宋体" w:eastAsia="宋体" w:hint="default"/>
                            <w:spacing w:val="8"/>
                            <w:sz w:val="18"/>
                            <w:szCs w:val="18"/>
                          </w:rPr>
                          <w:t>算平台、区县合作医疗</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合作医疗业务监管平台、省市数据处理与交换平台、省市统计报表系统</w:t>
                        </w:r>
                        <w:r>
                          <w:rPr>
                            <w:rFonts w:ascii="宋体" w:hAnsi="宋体" w:cs="宋体" w:eastAsia="宋体" w:hint="default"/>
                            <w:spacing w:val="-87"/>
                            <w:sz w:val="18"/>
                            <w:szCs w:val="18"/>
                          </w:rPr>
                          <w:t>、</w:t>
                        </w:r>
                        <w:r>
                          <w:rPr>
                            <w:rFonts w:ascii="宋体" w:hAnsi="宋体" w:cs="宋体" w:eastAsia="宋体" w:hint="default"/>
                            <w:sz w:val="18"/>
                            <w:szCs w:val="18"/>
                          </w:rPr>
                          <w:t>省</w:t>
                        </w:r>
                      </w:p>
                      <w:p>
                        <w:pPr>
                          <w:pStyle w:val="TableParagraph"/>
                          <w:spacing w:line="240" w:lineRule="auto"/>
                          <w:ind w:left="98" w:right="95"/>
                          <w:jc w:val="left"/>
                          <w:rPr>
                            <w:rFonts w:ascii="宋体" w:hAnsi="宋体" w:cs="宋体" w:eastAsia="宋体" w:hint="default"/>
                            <w:sz w:val="18"/>
                            <w:szCs w:val="18"/>
                          </w:rPr>
                        </w:pPr>
                        <w:r>
                          <w:rPr>
                            <w:rFonts w:ascii="宋体" w:hAnsi="宋体" w:cs="宋体" w:eastAsia="宋体" w:hint="default"/>
                            <w:spacing w:val="-3"/>
                            <w:sz w:val="18"/>
                            <w:szCs w:val="18"/>
                          </w:rPr>
                          <w:t>市会计报表系统、省市业务监测系统、省市基金监管系统、省市转诊管理平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台、省市分析评价系统、省市门户网站。</w:t>
                        </w:r>
                      </w:p>
                    </w:tc>
                  </w:tr>
                  <w:tr>
                    <w:trPr>
                      <w:trHeight w:val="1168"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型</w:t>
                        </w:r>
                      </w:p>
                      <w:p>
                        <w:pPr>
                          <w:pStyle w:val="TableParagraph"/>
                          <w:spacing w:line="232" w:lineRule="exact" w:before="23"/>
                          <w:ind w:left="100" w:right="95"/>
                          <w:jc w:val="both"/>
                          <w:rPr>
                            <w:rFonts w:ascii="宋体" w:hAnsi="宋体" w:cs="宋体" w:eastAsia="宋体" w:hint="default"/>
                            <w:sz w:val="18"/>
                            <w:szCs w:val="18"/>
                          </w:rPr>
                        </w:pPr>
                        <w:r>
                          <w:rPr>
                            <w:rFonts w:ascii="宋体" w:hAnsi="宋体" w:cs="宋体" w:eastAsia="宋体" w:hint="default"/>
                            <w:sz w:val="18"/>
                            <w:szCs w:val="18"/>
                          </w:rPr>
                          <w:t>农</w:t>
                        </w:r>
                        <w:r>
                          <w:rPr>
                            <w:rFonts w:ascii="宋体" w:hAnsi="宋体" w:cs="宋体" w:eastAsia="宋体" w:hint="default"/>
                            <w:spacing w:val="-64"/>
                            <w:sz w:val="18"/>
                            <w:szCs w:val="18"/>
                          </w:rPr>
                          <w:t> </w:t>
                        </w:r>
                        <w:r>
                          <w:rPr>
                            <w:rFonts w:ascii="宋体" w:hAnsi="宋体" w:cs="宋体" w:eastAsia="宋体" w:hint="default"/>
                            <w:sz w:val="18"/>
                            <w:szCs w:val="18"/>
                          </w:rPr>
                          <w:t>村</w:t>
                        </w:r>
                        <w:r>
                          <w:rPr>
                            <w:rFonts w:ascii="宋体" w:hAnsi="宋体" w:cs="宋体" w:eastAsia="宋体" w:hint="default"/>
                            <w:sz w:val="18"/>
                            <w:szCs w:val="18"/>
                          </w:rPr>
                          <w:t> 合</w:t>
                        </w:r>
                        <w:r>
                          <w:rPr>
                            <w:rFonts w:ascii="宋体" w:hAnsi="宋体" w:cs="宋体" w:eastAsia="宋体" w:hint="default"/>
                            <w:spacing w:val="-64"/>
                            <w:sz w:val="18"/>
                            <w:szCs w:val="18"/>
                          </w:rPr>
                          <w:t> </w:t>
                        </w:r>
                        <w:r>
                          <w:rPr>
                            <w:rFonts w:ascii="宋体" w:hAnsi="宋体" w:cs="宋体" w:eastAsia="宋体" w:hint="default"/>
                            <w:sz w:val="18"/>
                            <w:szCs w:val="18"/>
                          </w:rPr>
                          <w:t>作</w:t>
                        </w:r>
                        <w:r>
                          <w:rPr>
                            <w:rFonts w:ascii="宋体" w:hAnsi="宋体" w:cs="宋体" w:eastAsia="宋体" w:hint="default"/>
                            <w:sz w:val="18"/>
                            <w:szCs w:val="18"/>
                          </w:rPr>
                          <w:t> 医</w:t>
                        </w:r>
                        <w:r>
                          <w:rPr>
                            <w:rFonts w:ascii="宋体" w:hAnsi="宋体" w:cs="宋体" w:eastAsia="宋体" w:hint="default"/>
                            <w:spacing w:val="-64"/>
                            <w:sz w:val="18"/>
                            <w:szCs w:val="18"/>
                          </w:rPr>
                          <w:t> </w:t>
                        </w:r>
                        <w:r>
                          <w:rPr>
                            <w:rFonts w:ascii="宋体" w:hAnsi="宋体" w:cs="宋体" w:eastAsia="宋体" w:hint="default"/>
                            <w:sz w:val="18"/>
                            <w:szCs w:val="18"/>
                          </w:rPr>
                          <w:t>疗</w:t>
                        </w:r>
                        <w:r>
                          <w:rPr>
                            <w:rFonts w:ascii="宋体" w:hAnsi="宋体" w:cs="宋体" w:eastAsia="宋体" w:hint="default"/>
                            <w:sz w:val="18"/>
                            <w:szCs w:val="18"/>
                          </w:rPr>
                          <w:t> 信</w:t>
                        </w:r>
                        <w:r>
                          <w:rPr>
                            <w:rFonts w:ascii="宋体" w:hAnsi="宋体" w:cs="宋体" w:eastAsia="宋体" w:hint="default"/>
                            <w:spacing w:val="-64"/>
                            <w:sz w:val="18"/>
                            <w:szCs w:val="18"/>
                          </w:rPr>
                          <w:t> </w:t>
                        </w:r>
                        <w:r>
                          <w:rPr>
                            <w:rFonts w:ascii="宋体" w:hAnsi="宋体" w:cs="宋体" w:eastAsia="宋体" w:hint="default"/>
                            <w:sz w:val="18"/>
                            <w:szCs w:val="18"/>
                          </w:rPr>
                          <w:t>息</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1"/>
                          <w:ind w:left="98" w:right="98"/>
                          <w:jc w:val="both"/>
                          <w:rPr>
                            <w:rFonts w:ascii="宋体" w:hAnsi="宋体" w:cs="宋体" w:eastAsia="宋体" w:hint="default"/>
                            <w:sz w:val="18"/>
                            <w:szCs w:val="18"/>
                          </w:rPr>
                        </w:pPr>
                        <w:r>
                          <w:rPr>
                            <w:rFonts w:ascii="宋体" w:hAnsi="宋体" w:cs="宋体" w:eastAsia="宋体" w:hint="default"/>
                            <w:sz w:val="18"/>
                            <w:szCs w:val="18"/>
                          </w:rPr>
                          <w:t>公共卫生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8"/>
                            <w:sz w:val="18"/>
                            <w:szCs w:val="18"/>
                          </w:rPr>
                          <w:t>业务监管平台、省市数</w:t>
                        </w: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pacing w:val="8"/>
                            <w:sz w:val="18"/>
                            <w:szCs w:val="18"/>
                          </w:rPr>
                          <w:t>据处理与交换平台、省</w:t>
                        </w:r>
                        <w:r>
                          <w:rPr>
                            <w:rFonts w:ascii="宋体" w:hAnsi="宋体" w:cs="宋体" w:eastAsia="宋体" w:hint="default"/>
                            <w:sz w:val="18"/>
                            <w:szCs w:val="18"/>
                          </w:rPr>
                          <w:t> </w:t>
                        </w:r>
                        <w:r>
                          <w:rPr>
                            <w:rFonts w:ascii="宋体" w:hAnsi="宋体" w:cs="宋体" w:eastAsia="宋体" w:hint="default"/>
                            <w:spacing w:val="8"/>
                            <w:sz w:val="18"/>
                            <w:szCs w:val="18"/>
                          </w:rPr>
                          <w:t>市统计报表系统、省市</w:t>
                        </w:r>
                        <w:r>
                          <w:rPr>
                            <w:rFonts w:ascii="宋体" w:hAnsi="宋体" w:cs="宋体" w:eastAsia="宋体" w:hint="default"/>
                            <w:sz w:val="18"/>
                            <w:szCs w:val="18"/>
                          </w:rPr>
                          <w:t> </w:t>
                        </w:r>
                        <w:r>
                          <w:rPr>
                            <w:rFonts w:ascii="宋体" w:hAnsi="宋体" w:cs="宋体" w:eastAsia="宋体" w:hint="default"/>
                            <w:spacing w:val="8"/>
                            <w:sz w:val="18"/>
                            <w:szCs w:val="18"/>
                          </w:rPr>
                          <w:t>会计报表系统、省市业</w:t>
                        </w:r>
                        <w:r>
                          <w:rPr>
                            <w:rFonts w:ascii="宋体" w:hAnsi="宋体" w:cs="宋体" w:eastAsia="宋体" w:hint="default"/>
                            <w:sz w:val="18"/>
                            <w:szCs w:val="18"/>
                          </w:rPr>
                          <w:t> </w:t>
                        </w:r>
                        <w:r>
                          <w:rPr>
                            <w:rFonts w:ascii="宋体" w:hAnsi="宋体" w:cs="宋体" w:eastAsia="宋体" w:hint="default"/>
                            <w:spacing w:val="8"/>
                            <w:sz w:val="18"/>
                            <w:szCs w:val="18"/>
                          </w:rPr>
                          <w:t>务监测系统、省市基金</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37" w:lineRule="auto" w:before="52"/>
                          <w:ind w:left="98" w:right="95"/>
                          <w:jc w:val="both"/>
                          <w:rPr>
                            <w:rFonts w:ascii="宋体" w:hAnsi="宋体" w:cs="宋体" w:eastAsia="宋体" w:hint="default"/>
                            <w:sz w:val="18"/>
                            <w:szCs w:val="18"/>
                          </w:rPr>
                        </w:pPr>
                        <w:r>
                          <w:rPr>
                            <w:rFonts w:ascii="宋体" w:hAnsi="宋体" w:cs="宋体" w:eastAsia="宋体" w:hint="default"/>
                            <w:sz w:val="18"/>
                            <w:szCs w:val="18"/>
                          </w:rPr>
                          <w:t>根据《卫生部办公厅关于印发</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年基于电子健康档案、电子病历、门诊</w:t>
                        </w:r>
                        <w:r>
                          <w:rPr>
                            <w:rFonts w:ascii="宋体" w:hAnsi="宋体" w:cs="宋体" w:eastAsia="宋体" w:hint="default"/>
                            <w:sz w:val="18"/>
                            <w:szCs w:val="18"/>
                          </w:rPr>
                          <w:t> </w:t>
                        </w:r>
                        <w:r>
                          <w:rPr>
                            <w:rFonts w:ascii="宋体" w:hAnsi="宋体" w:cs="宋体" w:eastAsia="宋体" w:hint="default"/>
                            <w:spacing w:val="-3"/>
                            <w:sz w:val="18"/>
                            <w:szCs w:val="18"/>
                          </w:rPr>
                          <w:t>统筹管理的基层医疗卫生信息系统试点管理项目管理方案的通知》要求完成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新农合门诊统筹即时结报、异地结报及新农合基金监管系统的设计开发。实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现基于社保卡的农合“一卡通”。</w:t>
                        </w:r>
                      </w:p>
                    </w:tc>
                  </w:tr>
                  <w:tr>
                    <w:trPr>
                      <w:trHeight w:val="234"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08" w:lineRule="exact"/>
                          <w:ind w:right="19"/>
                          <w:jc w:val="center"/>
                          <w:rPr>
                            <w:rFonts w:ascii="宋体" w:hAnsi="宋体" w:cs="宋体" w:eastAsia="宋体" w:hint="default"/>
                            <w:sz w:val="18"/>
                            <w:szCs w:val="18"/>
                          </w:rPr>
                        </w:pPr>
                        <w:r>
                          <w:rPr>
                            <w:rFonts w:ascii="宋体" w:hAnsi="宋体" w:cs="宋体" w:eastAsia="宋体" w:hint="default"/>
                            <w:sz w:val="18"/>
                            <w:szCs w:val="18"/>
                          </w:rPr>
                          <w:t>系统</w:t>
                        </w: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监管系统、省市转诊管</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完成医保产品的模型开发，实现民政实时救助系统的实现。</w:t>
                        </w:r>
                      </w:p>
                    </w:tc>
                  </w:tr>
                  <w:tr>
                    <w:trPr>
                      <w:trHeight w:val="466"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理平台、省市分析评价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系统、省市门户网站、</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40" w:lineRule="auto" w:before="127"/>
                          <w:ind w:left="98" w:right="0"/>
                          <w:jc w:val="left"/>
                          <w:rPr>
                            <w:rFonts w:ascii="宋体" w:hAnsi="宋体" w:cs="宋体" w:eastAsia="宋体" w:hint="default"/>
                            <w:sz w:val="18"/>
                            <w:szCs w:val="18"/>
                          </w:rPr>
                        </w:pPr>
                        <w:r>
                          <w:rPr>
                            <w:rFonts w:ascii="宋体" w:hAnsi="宋体" w:cs="宋体" w:eastAsia="宋体" w:hint="default"/>
                            <w:sz w:val="18"/>
                            <w:szCs w:val="18"/>
                          </w:rPr>
                          <w:t>目前正在研发：</w:t>
                        </w:r>
                      </w:p>
                    </w:tc>
                  </w:tr>
                  <w:tr>
                    <w:trPr>
                      <w:trHeight w:val="314" w:hRule="exact"/>
                    </w:trPr>
                    <w:tc>
                      <w:tcPr>
                        <w:tcW w:w="602" w:type="dxa"/>
                        <w:tcBorders>
                          <w:top w:val="nil" w:sz="6" w:space="0" w:color="auto"/>
                          <w:left w:val="single" w:sz="8" w:space="0" w:color="000000"/>
                          <w:bottom w:val="nil" w:sz="6" w:space="0" w:color="auto"/>
                          <w:right w:val="single" w:sz="8" w:space="0" w:color="000000"/>
                        </w:tcBorders>
                      </w:tcPr>
                      <w:p>
                        <w:pPr/>
                      </w:p>
                    </w:tc>
                    <w:tc>
                      <w:tcPr>
                        <w:tcW w:w="946" w:type="dxa"/>
                        <w:tcBorders>
                          <w:top w:val="nil" w:sz="6" w:space="0" w:color="auto"/>
                          <w:left w:val="single" w:sz="8" w:space="0" w:color="000000"/>
                          <w:bottom w:val="nil" w:sz="6" w:space="0" w:color="auto"/>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医保产品开发</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省市外定点医疗机构住院即时结报</w:t>
                        </w:r>
                        <w:r>
                          <w:rPr>
                            <w:rFonts w:ascii="宋体" w:hAnsi="宋体" w:cs="宋体" w:eastAsia="宋体" w:hint="default"/>
                            <w:spacing w:val="-89"/>
                            <w:sz w:val="18"/>
                            <w:szCs w:val="18"/>
                          </w:rPr>
                          <w:t>、</w:t>
                        </w:r>
                        <w:r>
                          <w:rPr>
                            <w:rFonts w:ascii="宋体" w:hAnsi="宋体" w:cs="宋体" w:eastAsia="宋体" w:hint="default"/>
                            <w:sz w:val="18"/>
                            <w:szCs w:val="18"/>
                          </w:rPr>
                          <w:t>基于家庭责任医师制度门诊总额预付</w:t>
                        </w:r>
                        <w:r>
                          <w:rPr>
                            <w:rFonts w:ascii="宋体" w:hAnsi="宋体" w:cs="宋体" w:eastAsia="宋体" w:hint="default"/>
                            <w:spacing w:val="1"/>
                            <w:sz w:val="18"/>
                            <w:szCs w:val="18"/>
                          </w:rPr>
                          <w:t> </w:t>
                        </w:r>
                        <w:r>
                          <w:rPr>
                            <w:rFonts w:ascii="宋体" w:hAnsi="宋体" w:cs="宋体" w:eastAsia="宋体" w:hint="default"/>
                            <w:w w:val="50"/>
                            <w:sz w:val="18"/>
                            <w:szCs w:val="18"/>
                          </w:rPr>
                          <w:t>、</w:t>
                        </w:r>
                        <w:r>
                          <w:rPr>
                            <w:rFonts w:ascii="宋体" w:hAnsi="宋体" w:cs="宋体" w:eastAsia="宋体" w:hint="default"/>
                            <w:sz w:val="18"/>
                            <w:szCs w:val="18"/>
                          </w:rPr>
                        </w:r>
                      </w:p>
                    </w:tc>
                  </w:tr>
                  <w:tr>
                    <w:trPr>
                      <w:trHeight w:val="242" w:hRule="exact"/>
                    </w:trPr>
                    <w:tc>
                      <w:tcPr>
                        <w:tcW w:w="602" w:type="dxa"/>
                        <w:tcBorders>
                          <w:top w:val="nil" w:sz="6" w:space="0" w:color="auto"/>
                          <w:left w:val="single" w:sz="8" w:space="0" w:color="000000"/>
                          <w:bottom w:val="single" w:sz="8" w:space="0" w:color="000000"/>
                          <w:right w:val="single" w:sz="8" w:space="0" w:color="000000"/>
                        </w:tcBorders>
                      </w:tcPr>
                      <w:p>
                        <w:pPr/>
                      </w:p>
                    </w:tc>
                    <w:tc>
                      <w:tcPr>
                        <w:tcW w:w="946" w:type="dxa"/>
                        <w:tcBorders>
                          <w:top w:val="nil" w:sz="6" w:space="0" w:color="auto"/>
                          <w:left w:val="single" w:sz="8" w:space="0" w:color="000000"/>
                          <w:bottom w:val="single" w:sz="8" w:space="0" w:color="000000"/>
                          <w:right w:val="single" w:sz="8" w:space="0" w:color="000000"/>
                        </w:tcBorders>
                      </w:tcPr>
                      <w:p>
                        <w:pPr/>
                      </w:p>
                    </w:tc>
                    <w:tc>
                      <w:tcPr>
                        <w:tcW w:w="2105" w:type="dxa"/>
                        <w:tcBorders>
                          <w:top w:val="nil" w:sz="6" w:space="0" w:color="auto"/>
                          <w:left w:val="single" w:sz="8" w:space="0" w:color="000000"/>
                          <w:bottom w:val="single" w:sz="8" w:space="0" w:color="000000"/>
                          <w:right w:val="single" w:sz="8" w:space="0" w:color="000000"/>
                        </w:tcBorders>
                      </w:tcPr>
                      <w:p>
                        <w:pPr/>
                      </w:p>
                    </w:tc>
                    <w:tc>
                      <w:tcPr>
                        <w:tcW w:w="6067"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住院单病种付费系统研发。</w:t>
                        </w:r>
                      </w:p>
                    </w:tc>
                  </w:tr>
                  <w:tr>
                    <w:trPr>
                      <w:trHeight w:val="401" w:hRule="exact"/>
                    </w:trPr>
                    <w:tc>
                      <w:tcPr>
                        <w:tcW w:w="60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9"/>
                          <w:ind w:left="4" w:right="0"/>
                          <w:jc w:val="center"/>
                          <w:rPr>
                            <w:rFonts w:ascii="宋体" w:hAnsi="宋体" w:cs="宋体" w:eastAsia="宋体" w:hint="default"/>
                            <w:sz w:val="18"/>
                            <w:szCs w:val="18"/>
                          </w:rPr>
                        </w:pPr>
                        <w:r>
                          <w:rPr>
                            <w:rFonts w:ascii="宋体" w:hAnsi="宋体" w:cs="宋体" w:eastAsia="宋体" w:hint="default"/>
                            <w:sz w:val="18"/>
                            <w:szCs w:val="18"/>
                          </w:rPr>
                          <w:t>社</w:t>
                        </w:r>
                        <w:r>
                          <w:rPr>
                            <w:rFonts w:ascii="宋体" w:hAnsi="宋体" w:cs="宋体" w:eastAsia="宋体" w:hint="default"/>
                            <w:spacing w:val="-64"/>
                            <w:sz w:val="18"/>
                            <w:szCs w:val="18"/>
                          </w:rPr>
                          <w:t> </w:t>
                        </w:r>
                        <w:r>
                          <w:rPr>
                            <w:rFonts w:ascii="宋体" w:hAnsi="宋体" w:cs="宋体" w:eastAsia="宋体" w:hint="default"/>
                            <w:sz w:val="18"/>
                            <w:szCs w:val="18"/>
                          </w:rPr>
                          <w:t>区</w:t>
                        </w:r>
                      </w:p>
                    </w:tc>
                    <w:tc>
                      <w:tcPr>
                        <w:tcW w:w="946" w:type="dxa"/>
                        <w:tcBorders>
                          <w:top w:val="single" w:sz="8" w:space="0" w:color="000000"/>
                          <w:left w:val="single" w:sz="8" w:space="0" w:color="000000"/>
                          <w:bottom w:val="nil" w:sz="6" w:space="0" w:color="auto"/>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9"/>
                          <w:ind w:left="100" w:right="0"/>
                          <w:jc w:val="left"/>
                          <w:rPr>
                            <w:rFonts w:ascii="宋体" w:hAnsi="宋体" w:cs="宋体" w:eastAsia="宋体" w:hint="default"/>
                            <w:sz w:val="18"/>
                            <w:szCs w:val="18"/>
                          </w:rPr>
                        </w:pPr>
                        <w:r>
                          <w:rPr>
                            <w:rFonts w:ascii="宋体" w:hAnsi="宋体" w:cs="宋体" w:eastAsia="宋体" w:hint="default"/>
                            <w:spacing w:val="8"/>
                            <w:sz w:val="18"/>
                            <w:szCs w:val="18"/>
                          </w:rPr>
                          <w:t>完善完成社区卫生服务</w:t>
                        </w: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9"/>
                          <w:ind w:left="98"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年度根据《国家基本公共卫生服务规范</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年版</w:t>
                        </w:r>
                        <w:r>
                          <w:rPr>
                            <w:rFonts w:ascii="宋体" w:hAnsi="宋体" w:cs="宋体" w:eastAsia="宋体" w:hint="default"/>
                            <w:spacing w:val="-92"/>
                            <w:sz w:val="18"/>
                            <w:szCs w:val="18"/>
                          </w:rPr>
                          <w:t>）</w:t>
                        </w:r>
                        <w:r>
                          <w:rPr>
                            <w:rFonts w:ascii="宋体" w:hAnsi="宋体" w:cs="宋体" w:eastAsia="宋体" w:hint="default"/>
                            <w:sz w:val="18"/>
                            <w:szCs w:val="18"/>
                          </w:rPr>
                          <w:t>》要求完善</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卫</w:t>
                        </w:r>
                        <w:r>
                          <w:rPr>
                            <w:rFonts w:ascii="宋体" w:hAnsi="宋体" w:cs="宋体" w:eastAsia="宋体" w:hint="default"/>
                            <w:spacing w:val="-64"/>
                            <w:sz w:val="18"/>
                            <w:szCs w:val="18"/>
                          </w:rPr>
                          <w:t> </w:t>
                        </w:r>
                        <w:r>
                          <w:rPr>
                            <w:rFonts w:ascii="宋体" w:hAnsi="宋体" w:cs="宋体" w:eastAsia="宋体" w:hint="default"/>
                            <w:sz w:val="18"/>
                            <w:szCs w:val="18"/>
                          </w:rPr>
                          <w:t>生</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公共卫生</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业务管理系统、社区卫</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完成社区卫生服务业务管理系统</w:t>
                        </w:r>
                        <w:r>
                          <w:rPr>
                            <w:rFonts w:ascii="宋体" w:hAnsi="宋体" w:cs="宋体" w:eastAsia="宋体" w:hint="default"/>
                            <w:spacing w:val="-89"/>
                            <w:sz w:val="18"/>
                            <w:szCs w:val="18"/>
                          </w:rPr>
                          <w:t>。</w:t>
                        </w:r>
                        <w:r>
                          <w:rPr>
                            <w:rFonts w:ascii="宋体" w:hAnsi="宋体" w:cs="宋体" w:eastAsia="宋体" w:hint="default"/>
                            <w:sz w:val="18"/>
                            <w:szCs w:val="18"/>
                          </w:rPr>
                          <w:t>完成基于机构的社区卫生绩效考核和社区</w:t>
                        </w:r>
                      </w:p>
                    </w:tc>
                  </w:tr>
                  <w:tr>
                    <w:trPr>
                      <w:trHeight w:val="233" w:hRule="exact"/>
                    </w:trPr>
                    <w:tc>
                      <w:tcPr>
                        <w:tcW w:w="602"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946"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信息管理</w:t>
                        </w:r>
                      </w:p>
                    </w:tc>
                    <w:tc>
                      <w:tcPr>
                        <w:tcW w:w="2105"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生绩效考核、社区卫生</w:t>
                        </w: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卫生服务监管分析系统。开发基于</w:t>
                        </w:r>
                        <w:r>
                          <w:rPr>
                            <w:rFonts w:ascii="宋体" w:hAnsi="宋体" w:cs="宋体" w:eastAsia="宋体" w:hint="default"/>
                            <w:spacing w:val="-45"/>
                            <w:sz w:val="18"/>
                            <w:szCs w:val="18"/>
                          </w:rPr>
                          <w:t> </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的社区公共卫生上门服务系统。</w:t>
                        </w:r>
                      </w:p>
                    </w:tc>
                  </w:tr>
                  <w:tr>
                    <w:trPr>
                      <w:trHeight w:val="498" w:hRule="exact"/>
                    </w:trPr>
                    <w:tc>
                      <w:tcPr>
                        <w:tcW w:w="602"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64"/>
                            <w:sz w:val="18"/>
                            <w:szCs w:val="18"/>
                          </w:rPr>
                          <w:t> </w:t>
                        </w:r>
                        <w:r>
                          <w:rPr>
                            <w:rFonts w:ascii="宋体" w:hAnsi="宋体" w:cs="宋体" w:eastAsia="宋体" w:hint="default"/>
                            <w:sz w:val="18"/>
                            <w:szCs w:val="18"/>
                          </w:rPr>
                          <w:t>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946"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2105"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监管分析系统、区域社</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宋体" w:hAnsi="宋体" w:cs="宋体" w:eastAsia="宋体" w:hint="default"/>
                            <w:sz w:val="18"/>
                            <w:szCs w:val="18"/>
                          </w:rPr>
                          <w:t>3G</w:t>
                        </w:r>
                        <w:r>
                          <w:rPr>
                            <w:rFonts w:ascii="宋体" w:hAnsi="宋体" w:cs="宋体" w:eastAsia="宋体" w:hint="default"/>
                            <w:spacing w:val="-47"/>
                            <w:sz w:val="18"/>
                            <w:szCs w:val="18"/>
                          </w:rPr>
                          <w:t> </w:t>
                        </w:r>
                        <w:r>
                          <w:rPr>
                            <w:rFonts w:ascii="宋体" w:hAnsi="宋体" w:cs="宋体" w:eastAsia="宋体" w:hint="default"/>
                            <w:sz w:val="18"/>
                            <w:szCs w:val="18"/>
                          </w:rPr>
                          <w:t>功能，与区域平台</w:t>
                        </w:r>
                      </w:p>
                    </w:tc>
                    <w:tc>
                      <w:tcPr>
                        <w:tcW w:w="60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7"/>
                          <w:ind w:left="98" w:right="0"/>
                          <w:jc w:val="left"/>
                          <w:rPr>
                            <w:rFonts w:ascii="宋体" w:hAnsi="宋体" w:cs="宋体" w:eastAsia="宋体" w:hint="default"/>
                            <w:sz w:val="18"/>
                            <w:szCs w:val="18"/>
                          </w:rPr>
                        </w:pPr>
                        <w:r>
                          <w:rPr>
                            <w:rFonts w:ascii="宋体" w:hAnsi="宋体" w:cs="宋体" w:eastAsia="宋体" w:hint="default"/>
                            <w:sz w:val="18"/>
                            <w:szCs w:val="18"/>
                          </w:rPr>
                          <w:t>目前正在研发：</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49" w:footer="976" w:top="1540" w:bottom="1160" w:left="1020" w:right="920"/>
        </w:sectPr>
      </w:pPr>
    </w:p>
    <w:p>
      <w:pPr>
        <w:spacing w:line="240" w:lineRule="auto" w:before="2"/>
        <w:rPr>
          <w:rFonts w:ascii="Times New Roman" w:hAnsi="Times New Roman" w:cs="Times New Roman" w:eastAsia="Times New Roman" w:hint="default"/>
          <w:sz w:val="3"/>
          <w:szCs w:val="3"/>
        </w:rPr>
      </w:pPr>
    </w:p>
    <w:tbl>
      <w:tblPr>
        <w:tblW w:w="0" w:type="auto"/>
        <w:jc w:val="left"/>
        <w:tblInd w:w="223" w:type="dxa"/>
        <w:tblLayout w:type="fixed"/>
        <w:tblCellMar>
          <w:top w:w="0" w:type="dxa"/>
          <w:left w:w="0" w:type="dxa"/>
          <w:bottom w:w="0" w:type="dxa"/>
          <w:right w:w="0" w:type="dxa"/>
        </w:tblCellMar>
        <w:tblLook w:val="01E0"/>
      </w:tblPr>
      <w:tblGrid>
        <w:gridCol w:w="602"/>
        <w:gridCol w:w="946"/>
        <w:gridCol w:w="2105"/>
        <w:gridCol w:w="6067"/>
      </w:tblGrid>
      <w:tr>
        <w:trPr>
          <w:trHeight w:val="340" w:hRule="exact"/>
        </w:trPr>
        <w:tc>
          <w:tcPr>
            <w:tcW w:w="602"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46"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所属产品</w:t>
            </w:r>
          </w:p>
        </w:tc>
        <w:tc>
          <w:tcPr>
            <w:tcW w:w="2105"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6067" w:type="dxa"/>
            <w:tcBorders>
              <w:top w:val="single" w:sz="14"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目前所处阶段</w:t>
            </w:r>
          </w:p>
        </w:tc>
      </w:tr>
      <w:tr>
        <w:trPr>
          <w:trHeight w:val="400" w:hRule="exact"/>
        </w:trPr>
        <w:tc>
          <w:tcPr>
            <w:tcW w:w="602" w:type="dxa"/>
            <w:vMerge w:val="restart"/>
            <w:tcBorders>
              <w:top w:val="single" w:sz="8" w:space="0" w:color="000000"/>
              <w:left w:val="single" w:sz="8" w:space="0" w:color="000000"/>
              <w:right w:val="single" w:sz="8" w:space="0" w:color="000000"/>
            </w:tcBorders>
          </w:tcPr>
          <w:p>
            <w:pPr/>
          </w:p>
        </w:tc>
        <w:tc>
          <w:tcPr>
            <w:tcW w:w="946" w:type="dxa"/>
            <w:vMerge w:val="restart"/>
            <w:tcBorders>
              <w:top w:val="single" w:sz="8" w:space="0" w:color="000000"/>
              <w:left w:val="single" w:sz="8" w:space="0" w:color="000000"/>
              <w:right w:val="single" w:sz="8" w:space="0" w:color="000000"/>
            </w:tcBorders>
          </w:tcPr>
          <w:p>
            <w:pPr/>
          </w:p>
        </w:tc>
        <w:tc>
          <w:tcPr>
            <w:tcW w:w="2105" w:type="dxa"/>
            <w:tcBorders>
              <w:top w:val="single" w:sz="8" w:space="0" w:color="000000"/>
              <w:left w:val="single" w:sz="8" w:space="0" w:color="000000"/>
              <w:bottom w:val="nil" w:sz="6" w:space="0" w:color="auto"/>
              <w:right w:val="single" w:sz="8"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的对接</w:t>
            </w:r>
          </w:p>
        </w:tc>
        <w:tc>
          <w:tcPr>
            <w:tcW w:w="60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w w:val="95"/>
                <w:sz w:val="18"/>
                <w:szCs w:val="18"/>
              </w:rPr>
              <w:t>1、在基于  SaaS</w:t>
            </w:r>
            <w:r>
              <w:rPr>
                <w:rFonts w:ascii="宋体" w:hAnsi="宋体" w:cs="宋体" w:eastAsia="宋体" w:hint="default"/>
                <w:spacing w:val="34"/>
                <w:w w:val="95"/>
                <w:sz w:val="18"/>
                <w:szCs w:val="18"/>
              </w:rPr>
              <w:t> </w:t>
            </w:r>
            <w:r>
              <w:rPr>
                <w:rFonts w:ascii="宋体" w:hAnsi="宋体" w:cs="宋体" w:eastAsia="宋体" w:hint="default"/>
                <w:w w:val="95"/>
                <w:sz w:val="18"/>
                <w:szCs w:val="18"/>
              </w:rPr>
              <w:t>模式的中小医院信息系统的基础上，结合“云计算”技术，</w:t>
            </w:r>
            <w:r>
              <w:rPr>
                <w:rFonts w:ascii="宋体" w:hAnsi="宋体" w:cs="宋体" w:eastAsia="宋体" w:hint="default"/>
                <w:sz w:val="18"/>
                <w:szCs w:val="18"/>
              </w:rPr>
            </w:r>
          </w:p>
        </w:tc>
      </w:tr>
      <w:tr>
        <w:trPr>
          <w:trHeight w:val="233" w:hRule="exact"/>
        </w:trPr>
        <w:tc>
          <w:tcPr>
            <w:tcW w:w="602" w:type="dxa"/>
            <w:vMerge/>
            <w:tcBorders>
              <w:left w:val="single" w:sz="8" w:space="0" w:color="000000"/>
              <w:right w:val="single" w:sz="8" w:space="0" w:color="000000"/>
            </w:tcBorders>
          </w:tcPr>
          <w:p>
            <w:pPr/>
          </w:p>
        </w:tc>
        <w:tc>
          <w:tcPr>
            <w:tcW w:w="946" w:type="dxa"/>
            <w:vMerge/>
            <w:tcBorders>
              <w:left w:val="single" w:sz="8" w:space="0" w:color="000000"/>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实现区域卫生信息平台以及基层医疗卫生机构管理信息系统的“云计算</w:t>
            </w:r>
            <w:r>
              <w:rPr>
                <w:rFonts w:ascii="宋体" w:hAnsi="宋体" w:cs="宋体" w:eastAsia="宋体" w:hint="default"/>
                <w:spacing w:val="-87"/>
                <w:sz w:val="18"/>
                <w:szCs w:val="18"/>
              </w:rPr>
              <w:t>”</w:t>
            </w:r>
            <w:r>
              <w:rPr>
                <w:rFonts w:ascii="宋体" w:hAnsi="宋体" w:cs="宋体" w:eastAsia="宋体" w:hint="default"/>
                <w:sz w:val="18"/>
                <w:szCs w:val="18"/>
              </w:rPr>
              <w:t>架</w:t>
            </w:r>
          </w:p>
        </w:tc>
      </w:tr>
      <w:tr>
        <w:trPr>
          <w:trHeight w:val="312" w:hRule="exact"/>
        </w:trPr>
        <w:tc>
          <w:tcPr>
            <w:tcW w:w="602" w:type="dxa"/>
            <w:vMerge/>
            <w:tcBorders>
              <w:left w:val="single" w:sz="8" w:space="0" w:color="000000"/>
              <w:right w:val="single" w:sz="8" w:space="0" w:color="000000"/>
            </w:tcBorders>
          </w:tcPr>
          <w:p>
            <w:pPr/>
          </w:p>
        </w:tc>
        <w:tc>
          <w:tcPr>
            <w:tcW w:w="946" w:type="dxa"/>
            <w:vMerge/>
            <w:tcBorders>
              <w:left w:val="single" w:sz="8" w:space="0" w:color="000000"/>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构，形成基于“云计算”的“医疗云”平台；</w:t>
            </w:r>
          </w:p>
        </w:tc>
      </w:tr>
      <w:tr>
        <w:trPr>
          <w:trHeight w:val="312" w:hRule="exact"/>
        </w:trPr>
        <w:tc>
          <w:tcPr>
            <w:tcW w:w="602" w:type="dxa"/>
            <w:vMerge/>
            <w:tcBorders>
              <w:left w:val="single" w:sz="8" w:space="0" w:color="000000"/>
              <w:right w:val="single" w:sz="8" w:space="0" w:color="000000"/>
            </w:tcBorders>
          </w:tcPr>
          <w:p>
            <w:pPr/>
          </w:p>
        </w:tc>
        <w:tc>
          <w:tcPr>
            <w:tcW w:w="946" w:type="dxa"/>
            <w:vMerge/>
            <w:tcBorders>
              <w:left w:val="single" w:sz="8" w:space="0" w:color="000000"/>
              <w:right w:val="single" w:sz="8" w:space="0" w:color="000000"/>
            </w:tcBorders>
          </w:tcPr>
          <w:p>
            <w:pPr/>
          </w:p>
        </w:tc>
        <w:tc>
          <w:tcPr>
            <w:tcW w:w="2105" w:type="dxa"/>
            <w:tcBorders>
              <w:top w:val="nil" w:sz="6" w:space="0" w:color="auto"/>
              <w:left w:val="single" w:sz="8" w:space="0" w:color="000000"/>
              <w:bottom w:val="nil" w:sz="6" w:space="0" w:color="auto"/>
              <w:right w:val="single" w:sz="8" w:space="0" w:color="000000"/>
            </w:tcBorders>
          </w:tcPr>
          <w:p>
            <w:pPr/>
          </w:p>
        </w:tc>
        <w:tc>
          <w:tcPr>
            <w:tcW w:w="6067" w:type="dxa"/>
            <w:tcBorders>
              <w:top w:val="nil" w:sz="6" w:space="0" w:color="auto"/>
              <w:left w:val="single" w:sz="8" w:space="0" w:color="000000"/>
              <w:bottom w:val="nil" w:sz="6" w:space="0" w:color="auto"/>
              <w:right w:val="single" w:sz="8"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2、扩展现有家庭签约医生服务信息系统，开发适用</w:t>
            </w:r>
            <w:r>
              <w:rPr>
                <w:rFonts w:ascii="宋体" w:hAnsi="宋体" w:cs="宋体" w:eastAsia="宋体" w:hint="default"/>
                <w:spacing w:val="-46"/>
                <w:sz w:val="18"/>
                <w:szCs w:val="18"/>
              </w:rPr>
              <w:t> </w:t>
            </w:r>
            <w:r>
              <w:rPr>
                <w:rFonts w:ascii="宋体" w:hAnsi="宋体" w:cs="宋体" w:eastAsia="宋体" w:hint="default"/>
                <w:sz w:val="18"/>
                <w:szCs w:val="18"/>
              </w:rPr>
              <w:t>iOS</w:t>
            </w:r>
            <w:r>
              <w:rPr>
                <w:rFonts w:ascii="宋体" w:hAnsi="宋体" w:cs="宋体" w:eastAsia="宋体" w:hint="default"/>
                <w:spacing w:val="-47"/>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Android</w:t>
            </w:r>
            <w:r>
              <w:rPr>
                <w:rFonts w:ascii="宋体" w:hAnsi="宋体" w:cs="宋体" w:eastAsia="宋体" w:hint="default"/>
                <w:spacing w:val="-47"/>
                <w:sz w:val="18"/>
                <w:szCs w:val="18"/>
              </w:rPr>
              <w:t> </w:t>
            </w:r>
            <w:r>
              <w:rPr>
                <w:rFonts w:ascii="宋体" w:hAnsi="宋体" w:cs="宋体" w:eastAsia="宋体" w:hint="default"/>
                <w:sz w:val="18"/>
                <w:szCs w:val="18"/>
              </w:rPr>
              <w:t>操作系</w:t>
            </w:r>
          </w:p>
        </w:tc>
      </w:tr>
      <w:tr>
        <w:trPr>
          <w:trHeight w:val="243" w:hRule="exact"/>
        </w:trPr>
        <w:tc>
          <w:tcPr>
            <w:tcW w:w="602" w:type="dxa"/>
            <w:vMerge/>
            <w:tcBorders>
              <w:left w:val="single" w:sz="8" w:space="0" w:color="000000"/>
              <w:bottom w:val="single" w:sz="8" w:space="0" w:color="000000"/>
              <w:right w:val="single" w:sz="8" w:space="0" w:color="000000"/>
            </w:tcBorders>
          </w:tcPr>
          <w:p>
            <w:pPr/>
          </w:p>
        </w:tc>
        <w:tc>
          <w:tcPr>
            <w:tcW w:w="946" w:type="dxa"/>
            <w:vMerge/>
            <w:tcBorders>
              <w:left w:val="single" w:sz="8" w:space="0" w:color="000000"/>
              <w:bottom w:val="single" w:sz="8" w:space="0" w:color="000000"/>
              <w:right w:val="single" w:sz="8" w:space="0" w:color="000000"/>
            </w:tcBorders>
          </w:tcPr>
          <w:p>
            <w:pPr/>
          </w:p>
        </w:tc>
        <w:tc>
          <w:tcPr>
            <w:tcW w:w="2105" w:type="dxa"/>
            <w:tcBorders>
              <w:top w:val="nil" w:sz="6" w:space="0" w:color="auto"/>
              <w:left w:val="single" w:sz="8" w:space="0" w:color="000000"/>
              <w:bottom w:val="single" w:sz="8" w:space="0" w:color="000000"/>
              <w:right w:val="single" w:sz="8" w:space="0" w:color="000000"/>
            </w:tcBorders>
          </w:tcPr>
          <w:p>
            <w:pPr/>
          </w:p>
        </w:tc>
        <w:tc>
          <w:tcPr>
            <w:tcW w:w="6067"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统</w:t>
            </w:r>
            <w:r>
              <w:rPr>
                <w:rFonts w:ascii="宋体" w:hAnsi="宋体" w:cs="宋体" w:eastAsia="宋体" w:hint="default"/>
                <w:spacing w:val="-46"/>
                <w:sz w:val="18"/>
                <w:szCs w:val="18"/>
              </w:rPr>
              <w:t> </w:t>
            </w:r>
            <w:r>
              <w:rPr>
                <w:rFonts w:ascii="宋体" w:hAnsi="宋体" w:cs="宋体" w:eastAsia="宋体" w:hint="default"/>
                <w:sz w:val="18"/>
                <w:szCs w:val="18"/>
              </w:rPr>
              <w:t>PDA</w:t>
            </w:r>
            <w:r>
              <w:rPr>
                <w:rFonts w:ascii="宋体" w:hAnsi="宋体" w:cs="宋体" w:eastAsia="宋体" w:hint="default"/>
                <w:spacing w:val="-47"/>
                <w:sz w:val="18"/>
                <w:szCs w:val="18"/>
              </w:rPr>
              <w:t> </w:t>
            </w:r>
            <w:r>
              <w:rPr>
                <w:rFonts w:ascii="宋体" w:hAnsi="宋体" w:cs="宋体" w:eastAsia="宋体" w:hint="default"/>
                <w:sz w:val="18"/>
                <w:szCs w:val="18"/>
              </w:rPr>
              <w:t>的家庭签约医生服务移动医生工作者站。</w:t>
            </w:r>
          </w:p>
        </w:tc>
      </w:tr>
    </w:tbl>
    <w:p>
      <w:pPr>
        <w:spacing w:line="240" w:lineRule="auto" w:before="7"/>
        <w:rPr>
          <w:rFonts w:ascii="Times New Roman" w:hAnsi="Times New Roman" w:cs="Times New Roman" w:eastAsia="Times New Roman" w:hint="default"/>
          <w:sz w:val="12"/>
          <w:szCs w:val="12"/>
        </w:rPr>
      </w:pPr>
    </w:p>
    <w:p>
      <w:pPr>
        <w:pStyle w:val="BodyText"/>
        <w:spacing w:line="340" w:lineRule="auto" w:before="34"/>
        <w:ind w:left="232" w:right="0" w:firstLine="422"/>
        <w:jc w:val="left"/>
      </w:pPr>
      <w:r>
        <w:rPr/>
        <w:pict>
          <v:group style="position:absolute;margin-left:56.639999pt;margin-top:-101.236313pt;width:63.15pt;height:12.4pt;mso-position-horizontal-relative:page;mso-position-vertical-relative:paragraph;z-index:-634048" coordorigin="1133,-2025" coordsize="1263,248">
            <v:shape style="position:absolute;left:1135;top:-2025;width:797;height:144" type="#_x0000_t75" stroked="false">
              <v:imagedata r:id="rId8" o:title=""/>
            </v:shape>
            <v:shape style="position:absolute;left:1966;top:-2025;width:430;height:101" type="#_x0000_t75" stroked="false">
              <v:imagedata r:id="rId9" o:title=""/>
            </v:shape>
            <v:group style="position:absolute;left:1133;top:-1871;width:1251;height:94" coordorigin="1133,-1871" coordsize="1251,94">
              <v:shape style="position:absolute;left:1133;top:-1871;width:1251;height:94" coordorigin="1133,-1871" coordsize="1251,94" path="m1133,-1778l1227,-1792,1312,-1804,1407,-1815,1511,-1825,1646,-1836,1819,-1847,2383,-1871,1133,-1778xe" filled="true" fillcolor="#074278" stroked="false">
                <v:path arrowok="t"/>
                <v:fill type="solid"/>
              </v:shape>
            </v:group>
            <w10:wrap type="none"/>
          </v:group>
        </w:pict>
      </w:r>
      <w:r>
        <w:rPr>
          <w:w w:val="95"/>
        </w:rPr>
        <w:t>除上述研发项目外，在做好提高、完善现有产品的各项技术和功能的同时，目前正在进行的前瞻性研</w:t>
      </w:r>
      <w:r>
        <w:rPr>
          <w:spacing w:val="-95"/>
          <w:w w:val="95"/>
        </w:rPr>
        <w:t> </w:t>
      </w:r>
      <w:r>
        <w:rPr>
          <w:spacing w:val="-95"/>
          <w:w w:val="95"/>
        </w:rPr>
      </w:r>
      <w:r>
        <w:rPr/>
        <w:t>发项目主要包括：</w:t>
      </w:r>
    </w:p>
    <w:p>
      <w:pPr>
        <w:spacing w:line="240" w:lineRule="auto" w:before="1"/>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1577"/>
        <w:gridCol w:w="8170"/>
      </w:tblGrid>
      <w:tr>
        <w:trPr>
          <w:trHeight w:val="521" w:hRule="exact"/>
        </w:trPr>
        <w:tc>
          <w:tcPr>
            <w:tcW w:w="1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9"/>
              <w:ind w:left="42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17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项目研发目标</w:t>
            </w:r>
          </w:p>
        </w:tc>
      </w:tr>
      <w:tr>
        <w:trPr>
          <w:trHeight w:val="317" w:hRule="exact"/>
        </w:trPr>
        <w:tc>
          <w:tcPr>
            <w:tcW w:w="1577" w:type="dxa"/>
            <w:tcBorders>
              <w:top w:val="single" w:sz="4" w:space="0" w:color="000000"/>
              <w:left w:val="single" w:sz="4" w:space="0" w:color="000000"/>
              <w:bottom w:val="nil" w:sz="6" w:space="0" w:color="auto"/>
              <w:right w:val="single" w:sz="4" w:space="0" w:color="000000"/>
            </w:tcBorders>
          </w:tcPr>
          <w:p>
            <w:pPr/>
          </w:p>
        </w:tc>
        <w:tc>
          <w:tcPr>
            <w:tcW w:w="81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“Big</w:t>
            </w:r>
            <w:r>
              <w:rPr>
                <w:rFonts w:ascii="宋体" w:hAnsi="宋体" w:cs="宋体" w:eastAsia="宋体" w:hint="default"/>
                <w:spacing w:val="-1"/>
                <w:sz w:val="18"/>
                <w:szCs w:val="18"/>
              </w:rPr>
              <w:t> </w:t>
            </w:r>
            <w:r>
              <w:rPr>
                <w:rFonts w:ascii="宋体" w:hAnsi="宋体" w:cs="宋体" w:eastAsia="宋体" w:hint="default"/>
                <w:sz w:val="18"/>
                <w:szCs w:val="18"/>
              </w:rPr>
              <w:t>data”即大数据，具有数据量大、数据类型多、蕴含巨大价值、要求实时性强，而医疗行业特</w:t>
            </w:r>
          </w:p>
        </w:tc>
      </w:tr>
      <w:tr>
        <w:trPr>
          <w:trHeight w:val="312" w:hRule="exact"/>
        </w:trPr>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13"/>
                <w:sz w:val="18"/>
                <w:szCs w:val="18"/>
              </w:rPr>
              <w:t>大数据处理系统</w:t>
            </w:r>
          </w:p>
        </w:tc>
        <w:tc>
          <w:tcPr>
            <w:tcW w:w="8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别是大型三级医院、区域医疗的数据中心，完全符合上述特征，是典型的大数据中心，对这些大数据</w:t>
            </w:r>
          </w:p>
        </w:tc>
      </w:tr>
      <w:tr>
        <w:trPr>
          <w:trHeight w:val="312" w:hRule="exact"/>
        </w:trPr>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8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的深入挖掘、分析和利用，具有很大的医学意义和社会意义，公司将持续加强大数据处理系统相关产</w:t>
            </w:r>
          </w:p>
        </w:tc>
      </w:tr>
      <w:tr>
        <w:trPr>
          <w:trHeight w:val="317" w:hRule="exact"/>
        </w:trPr>
        <w:tc>
          <w:tcPr>
            <w:tcW w:w="1577" w:type="dxa"/>
            <w:tcBorders>
              <w:top w:val="nil" w:sz="6" w:space="0" w:color="auto"/>
              <w:left w:val="single" w:sz="4" w:space="0" w:color="000000"/>
              <w:bottom w:val="single" w:sz="4" w:space="0" w:color="000000"/>
              <w:right w:val="single" w:sz="4" w:space="0" w:color="000000"/>
            </w:tcBorders>
          </w:tcPr>
          <w:p>
            <w:pPr/>
          </w:p>
        </w:tc>
        <w:tc>
          <w:tcPr>
            <w:tcW w:w="81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品系列的研发、分析处理系统。</w:t>
            </w:r>
          </w:p>
        </w:tc>
      </w:tr>
    </w:tbl>
    <w:p>
      <w:pPr>
        <w:spacing w:line="240" w:lineRule="auto" w:before="1"/>
        <w:rPr>
          <w:rFonts w:ascii="宋体" w:hAnsi="宋体" w:cs="宋体" w:eastAsia="宋体" w:hint="default"/>
          <w:sz w:val="11"/>
          <w:szCs w:val="11"/>
        </w:rPr>
      </w:pPr>
    </w:p>
    <w:p>
      <w:pPr>
        <w:pStyle w:val="Heading4"/>
        <w:spacing w:line="333" w:lineRule="exact"/>
        <w:ind w:left="655" w:right="0"/>
        <w:jc w:val="left"/>
        <w:rPr>
          <w:b w:val="0"/>
          <w:bCs w:val="0"/>
        </w:rPr>
      </w:pPr>
      <w:r>
        <w:rPr/>
        <w:t>（七）报告期公司现金流量变动情况</w:t>
      </w:r>
      <w:r>
        <w:rPr>
          <w:b w:val="0"/>
          <w:bCs w:val="0"/>
        </w:rPr>
      </w:r>
    </w:p>
    <w:p>
      <w:pPr>
        <w:spacing w:line="240" w:lineRule="auto" w:before="1"/>
        <w:rPr>
          <w:rFonts w:ascii="Microsoft JhengHei" w:hAnsi="Microsoft JhengHei" w:cs="Microsoft JhengHei" w:eastAsia="Microsoft JhengHei" w:hint="default"/>
          <w:b/>
          <w:bCs/>
          <w:sz w:val="11"/>
          <w:szCs w:val="11"/>
        </w:rPr>
      </w:pPr>
    </w:p>
    <w:p>
      <w:pPr>
        <w:pStyle w:val="BodyText"/>
        <w:spacing w:line="240" w:lineRule="auto" w:before="34"/>
        <w:ind w:left="0" w:right="211"/>
        <w:jc w:val="right"/>
      </w:pPr>
      <w:r>
        <w:rPr>
          <w:w w:val="95"/>
        </w:rPr>
        <w:t>单位：元</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08"/>
        <w:gridCol w:w="2160"/>
        <w:gridCol w:w="1980"/>
        <w:gridCol w:w="1946"/>
      </w:tblGrid>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94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195,523,036.05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159,935,267.51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22.25%</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190,924,420.23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121,866,900.89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56.67%</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4,598,615.82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38,068,366.62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-87.92%</w:t>
            </w:r>
          </w:p>
        </w:tc>
      </w:tr>
      <w:tr>
        <w:trPr>
          <w:trHeight w:val="41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10,135,356.16</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100.00%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23,791,439.93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2,509,615.41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848.01%</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-13,656,083.77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-2,509,615.41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pacing w:val="-1"/>
                <w:sz w:val="18"/>
              </w:rPr>
              <w:t>-444.15%</w:t>
            </w:r>
          </w:p>
        </w:tc>
      </w:tr>
      <w:tr>
        <w:trPr>
          <w:trHeight w:val="41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347,693,750.00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-100.00%</w:t>
            </w:r>
          </w:p>
        </w:tc>
      </w:tr>
      <w:tr>
        <w:trPr>
          <w:trHeight w:val="41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7,164,430.00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20,100,000.00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-64.36%</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340,529,320.00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-20,100,000.00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pacing w:val="-1"/>
                <w:sz w:val="18"/>
              </w:rPr>
              <w:t>1794.18%</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四、现金及现金等价物净增加额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331,471,852.05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15,458,751.21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2044.23%</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73,786,787.82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58,328,036.61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26.50%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五、期末现金及现金等价物余额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405,258,639.87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73,786,787.82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449.23%</w:t>
            </w:r>
          </w:p>
        </w:tc>
      </w:tr>
    </w:tbl>
    <w:p>
      <w:pPr>
        <w:spacing w:line="240" w:lineRule="auto" w:before="1"/>
        <w:rPr>
          <w:rFonts w:ascii="宋体" w:hAnsi="宋体" w:cs="宋体" w:eastAsia="宋体" w:hint="default"/>
          <w:sz w:val="11"/>
          <w:szCs w:val="11"/>
        </w:rPr>
      </w:pPr>
    </w:p>
    <w:p>
      <w:pPr>
        <w:pStyle w:val="BodyText"/>
        <w:spacing w:line="340" w:lineRule="auto" w:before="34"/>
        <w:ind w:left="232" w:right="229" w:firstLine="422"/>
        <w:jc w:val="both"/>
      </w:pPr>
      <w:r>
        <w:rPr>
          <w:w w:val="95"/>
        </w:rPr>
        <w:t>报告期内，经营活动现金流量净额同比大幅下降，主要因为公司客户以公立医疗卫生机构为主，受财</w:t>
      </w:r>
      <w:r>
        <w:rPr>
          <w:spacing w:val="-92"/>
          <w:w w:val="95"/>
        </w:rPr>
        <w:t> </w:t>
      </w:r>
      <w:r>
        <w:rPr>
          <w:spacing w:val="-92"/>
          <w:w w:val="95"/>
        </w:rPr>
      </w:r>
      <w:r>
        <w:rPr>
          <w:w w:val="95"/>
        </w:rPr>
        <w:t>政资金拨付流程影响，2011 年度客户回款率较上年度有所下降，但成本费用、税费等付现率较高，现金支</w:t>
      </w:r>
      <w:r>
        <w:rPr>
          <w:spacing w:val="50"/>
          <w:w w:val="95"/>
        </w:rPr>
        <w:t> </w:t>
      </w:r>
      <w:r>
        <w:rPr>
          <w:spacing w:val="50"/>
          <w:w w:val="95"/>
        </w:rPr>
      </w:r>
      <w:r>
        <w:rPr/>
        <w:t>出同比仍大幅增长。2011</w:t>
      </w:r>
      <w:r>
        <w:rPr>
          <w:spacing w:val="-88"/>
        </w:rPr>
        <w:t> </w:t>
      </w:r>
      <w:r>
        <w:rPr/>
        <w:t>年度销售商品、提供劳务收到的现金同比增加</w:t>
      </w:r>
      <w:r>
        <w:rPr>
          <w:spacing w:val="-87"/>
        </w:rPr>
        <w:t> </w:t>
      </w:r>
      <w:r>
        <w:rPr/>
        <w:t>19,754,980.78</w:t>
      </w:r>
      <w:r>
        <w:rPr>
          <w:spacing w:val="-87"/>
        </w:rPr>
        <w:t> </w:t>
      </w:r>
      <w:r>
        <w:rPr/>
        <w:t>元，增幅</w:t>
      </w:r>
      <w:r>
        <w:rPr>
          <w:spacing w:val="-88"/>
        </w:rPr>
        <w:t> </w:t>
      </w:r>
      <w:r>
        <w:rPr/>
        <w:t>14.13%，</w:t>
      </w:r>
    </w:p>
    <w:p>
      <w:pPr>
        <w:spacing w:after="0" w:line="340" w:lineRule="auto"/>
        <w:jc w:val="both"/>
        <w:sectPr>
          <w:pgSz w:w="11910" w:h="16840"/>
          <w:pgMar w:header="849" w:footer="976" w:top="1460" w:bottom="1160" w:left="900" w:right="900"/>
        </w:sectPr>
      </w:pPr>
    </w:p>
    <w:p>
      <w:pPr>
        <w:spacing w:line="240" w:lineRule="auto" w:before="0"/>
        <w:rPr>
          <w:rFonts w:ascii="宋体" w:hAnsi="宋体" w:cs="宋体" w:eastAsia="宋体" w:hint="default"/>
          <w:sz w:val="2"/>
          <w:szCs w:val="2"/>
        </w:rPr>
      </w:pPr>
    </w:p>
    <w:p>
      <w:pPr>
        <w:spacing w:line="326" w:lineRule="exact"/>
        <w:ind w:left="22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小于收入增幅；收到的税费返还因部分</w:t>
                      </w:r>
                      <w:r>
                        <w:rPr>
                          <w:rFonts w:ascii="宋体" w:hAnsi="宋体" w:cs="宋体" w:eastAsia="宋体" w:hint="default"/>
                          <w:spacing w:val="-59"/>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年度已审批完成增值税即征即退税款实际延迟至</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left="232" w:right="0"/>
        <w:jc w:val="both"/>
      </w:pPr>
      <w:r>
        <w:rPr/>
        <w:t>退回，因此报告期实际收到的税费返还较上期减少 4,065,044.45</w:t>
      </w:r>
      <w:r>
        <w:rPr>
          <w:spacing w:val="-57"/>
        </w:rPr>
        <w:t> </w:t>
      </w:r>
      <w:r>
        <w:rPr/>
        <w:t>元；收到其他与经营活动有关的现金同</w:t>
      </w:r>
    </w:p>
    <w:p>
      <w:pPr>
        <w:pStyle w:val="BodyText"/>
        <w:spacing w:line="340" w:lineRule="auto" w:before="116"/>
        <w:ind w:left="232" w:right="110"/>
        <w:jc w:val="both"/>
      </w:pPr>
      <w:r>
        <w:rPr/>
        <w:t>比增加</w:t>
      </w:r>
      <w:r>
        <w:rPr>
          <w:spacing w:val="-66"/>
        </w:rPr>
        <w:t> </w:t>
      </w:r>
      <w:r>
        <w:rPr/>
        <w:t>19,897,832.21</w:t>
      </w:r>
      <w:r>
        <w:rPr>
          <w:spacing w:val="-66"/>
        </w:rPr>
        <w:t> </w:t>
      </w:r>
      <w:r>
        <w:rPr/>
        <w:t>元，主要是因为业务规模扩大，员工备用金收支、履约保证金收支同比有较快增加</w:t>
      </w:r>
      <w:r>
        <w:rPr>
          <w:w w:val="99"/>
        </w:rPr>
        <w:t> </w:t>
      </w:r>
      <w:r>
        <w:rPr/>
        <w:t>所致。以上影响使得经营活动现金流入同比增加</w:t>
      </w:r>
      <w:r>
        <w:rPr>
          <w:spacing w:val="-72"/>
        </w:rPr>
        <w:t> </w:t>
      </w:r>
      <w:r>
        <w:rPr/>
        <w:t>35,587,768.54</w:t>
      </w:r>
      <w:r>
        <w:rPr>
          <w:spacing w:val="-70"/>
        </w:rPr>
        <w:t> </w:t>
      </w:r>
      <w:r>
        <w:rPr>
          <w:spacing w:val="-6"/>
        </w:rPr>
        <w:t>元，增长</w:t>
      </w:r>
      <w:r>
        <w:rPr>
          <w:spacing w:val="-72"/>
        </w:rPr>
        <w:t> </w:t>
      </w:r>
      <w:r>
        <w:rPr/>
        <w:t>22.25%。而经营活动现金流出项</w:t>
      </w:r>
      <w:r>
        <w:rPr>
          <w:w w:val="99"/>
        </w:rPr>
        <w:t> </w:t>
      </w:r>
      <w:r>
        <w:rPr/>
        <w:t>目因成本费用、税费等付现比较高，现金流出同比增加</w:t>
      </w:r>
      <w:r>
        <w:rPr>
          <w:spacing w:val="-72"/>
        </w:rPr>
        <w:t> </w:t>
      </w:r>
      <w:r>
        <w:rPr/>
        <w:t>69,057,519.34</w:t>
      </w:r>
      <w:r>
        <w:rPr>
          <w:spacing w:val="-75"/>
        </w:rPr>
        <w:t> </w:t>
      </w:r>
      <w:r>
        <w:rPr>
          <w:spacing w:val="-4"/>
        </w:rPr>
        <w:t>元，增长</w:t>
      </w:r>
      <w:r>
        <w:rPr>
          <w:spacing w:val="-74"/>
        </w:rPr>
        <w:t> </w:t>
      </w:r>
      <w:r>
        <w:rPr/>
        <w:t>56.67%。现金流入增幅小</w:t>
      </w:r>
      <w:r>
        <w:rPr>
          <w:w w:val="99"/>
        </w:rPr>
        <w:t> </w:t>
      </w:r>
      <w:r>
        <w:rPr/>
        <w:t>于现金流出增幅，导致经营活动现金流量净额同比大幅下降。</w:t>
      </w:r>
    </w:p>
    <w:p>
      <w:pPr>
        <w:spacing w:line="240" w:lineRule="auto" w:before="1"/>
        <w:rPr>
          <w:rFonts w:ascii="宋体" w:hAnsi="宋体" w:cs="宋体" w:eastAsia="宋体" w:hint="default"/>
          <w:sz w:val="14"/>
          <w:szCs w:val="14"/>
        </w:rPr>
      </w:pPr>
    </w:p>
    <w:p>
      <w:pPr>
        <w:pStyle w:val="BodyText"/>
        <w:spacing w:line="338" w:lineRule="auto"/>
        <w:ind w:left="232" w:right="110" w:firstLine="422"/>
        <w:jc w:val="both"/>
      </w:pPr>
      <w:r>
        <w:rPr>
          <w:w w:val="95"/>
        </w:rPr>
        <w:t>投资活动现金流量同比大幅变动主要因为募投项目固定资产投入加大，2011</w:t>
      </w:r>
      <w:r>
        <w:rPr>
          <w:spacing w:val="61"/>
          <w:w w:val="95"/>
        </w:rPr>
        <w:t> </w:t>
      </w:r>
      <w:r>
        <w:rPr>
          <w:spacing w:val="-3"/>
          <w:w w:val="95"/>
        </w:rPr>
        <w:t>年度购建固定资产、无形</w:t>
      </w:r>
      <w:r>
        <w:rPr>
          <w:w w:val="99"/>
        </w:rPr>
        <w:t> </w:t>
      </w:r>
      <w:r>
        <w:rPr/>
        <w:t>资产和其他长期资产支付的现金达</w:t>
      </w:r>
      <w:r>
        <w:rPr>
          <w:spacing w:val="-55"/>
        </w:rPr>
        <w:t> </w:t>
      </w:r>
      <w:r>
        <w:rPr/>
        <w:t>13,791,439.93</w:t>
      </w:r>
      <w:r>
        <w:rPr>
          <w:spacing w:val="-56"/>
        </w:rPr>
        <w:t> </w:t>
      </w:r>
      <w:r>
        <w:rPr/>
        <w:t>元，同比增加</w:t>
      </w:r>
      <w:r>
        <w:rPr>
          <w:spacing w:val="-57"/>
        </w:rPr>
        <w:t> </w:t>
      </w:r>
      <w:r>
        <w:rPr/>
        <w:t>11,281,824.52</w:t>
      </w:r>
      <w:r>
        <w:rPr>
          <w:spacing w:val="-56"/>
        </w:rPr>
        <w:t> </w:t>
      </w:r>
      <w:r>
        <w:rPr/>
        <w:t>元，增长</w:t>
      </w:r>
      <w:r>
        <w:rPr>
          <w:spacing w:val="-57"/>
        </w:rPr>
        <w:t> </w:t>
      </w:r>
      <w:r>
        <w:rPr/>
        <w:t>449.54%，另外</w:t>
      </w:r>
    </w:p>
    <w:p>
      <w:pPr>
        <w:pStyle w:val="BodyText"/>
        <w:spacing w:line="340" w:lineRule="auto" w:before="30"/>
        <w:ind w:left="232" w:right="112"/>
        <w:jc w:val="both"/>
      </w:pPr>
      <w:r>
        <w:rPr>
          <w:w w:val="99"/>
        </w:rPr>
        <w:t>2011</w:t>
      </w:r>
      <w:r>
        <w:rPr>
          <w:spacing w:val="-48"/>
          <w:w w:val="99"/>
        </w:rPr>
        <w:t> </w:t>
      </w:r>
      <w:r>
        <w:rPr>
          <w:spacing w:val="1"/>
          <w:w w:val="99"/>
        </w:rPr>
        <w:t>年公司为提高资金收益，利用自有资金购买了一笔银行理财产品</w:t>
      </w:r>
      <w:r>
        <w:rPr>
          <w:spacing w:val="-29"/>
          <w:w w:val="99"/>
        </w:rPr>
        <w:t> </w:t>
      </w:r>
      <w:r>
        <w:rPr>
          <w:w w:val="99"/>
        </w:rPr>
        <w:t>1,000</w:t>
      </w:r>
      <w:r>
        <w:rPr>
          <w:spacing w:val="-48"/>
          <w:w w:val="99"/>
        </w:rPr>
        <w:t> </w:t>
      </w:r>
      <w:r>
        <w:rPr>
          <w:spacing w:val="-7"/>
          <w:w w:val="99"/>
        </w:rPr>
        <w:t>万元（期末已收回），对投资</w:t>
      </w:r>
      <w:r>
        <w:rPr>
          <w:w w:val="99"/>
        </w:rPr>
        <w:t> </w:t>
      </w:r>
      <w:r>
        <w:rPr/>
        <w:t>活动现金流量的收支也有较大影响。</w:t>
      </w:r>
    </w:p>
    <w:p>
      <w:pPr>
        <w:spacing w:line="240" w:lineRule="auto" w:before="12"/>
        <w:rPr>
          <w:rFonts w:ascii="宋体" w:hAnsi="宋体" w:cs="宋体" w:eastAsia="宋体" w:hint="default"/>
          <w:sz w:val="13"/>
          <w:szCs w:val="13"/>
        </w:rPr>
      </w:pPr>
    </w:p>
    <w:p>
      <w:pPr>
        <w:pStyle w:val="BodyText"/>
        <w:spacing w:line="340" w:lineRule="auto"/>
        <w:ind w:left="232" w:right="112" w:firstLine="422"/>
        <w:jc w:val="both"/>
      </w:pPr>
      <w:r>
        <w:rPr/>
        <w:t>筹资活动现金流量变动较大主要是报告期筹资活动现金流为 2011</w:t>
      </w:r>
      <w:r>
        <w:rPr>
          <w:spacing w:val="-60"/>
        </w:rPr>
        <w:t> </w:t>
      </w:r>
      <w:r>
        <w:rPr/>
        <w:t>年公司上市募集资金相关的现金流</w:t>
      </w:r>
      <w:r>
        <w:rPr>
          <w:w w:val="99"/>
        </w:rPr>
        <w:t> </w:t>
      </w:r>
      <w:r>
        <w:rPr/>
        <w:t>量，流入为募集资金，流出为募集资金相关发行费用，</w:t>
      </w:r>
      <w:r>
        <w:rPr>
          <w:spacing w:val="-87"/>
        </w:rPr>
        <w:t> </w:t>
      </w:r>
      <w:r>
        <w:rPr/>
        <w:t>2010</w:t>
      </w:r>
      <w:r>
        <w:rPr>
          <w:spacing w:val="-57"/>
        </w:rPr>
        <w:t> </w:t>
      </w:r>
      <w:r>
        <w:rPr/>
        <w:t>年度筹资现金流主要为当期分配股利</w:t>
      </w:r>
      <w:r>
        <w:rPr>
          <w:spacing w:val="-44"/>
        </w:rPr>
        <w:t> </w:t>
      </w:r>
      <w:r>
        <w:rPr/>
        <w:t>2000</w:t>
      </w:r>
      <w:r>
        <w:rPr>
          <w:spacing w:val="-57"/>
        </w:rPr>
        <w:t> </w:t>
      </w:r>
      <w:r>
        <w:rPr/>
        <w:t>万</w:t>
      </w:r>
      <w:r>
        <w:rPr>
          <w:w w:val="99"/>
        </w:rPr>
        <w:t> </w:t>
      </w:r>
      <w:r>
        <w:rPr/>
        <w:t>元，2011</w:t>
      </w:r>
      <w:r>
        <w:rPr>
          <w:spacing w:val="-62"/>
        </w:rPr>
        <w:t> </w:t>
      </w:r>
      <w:r>
        <w:rPr/>
        <w:t>年度无分配股利情况，现金流量性质不同，金额也差异较大。</w:t>
      </w:r>
    </w:p>
    <w:p>
      <w:pPr>
        <w:spacing w:line="400" w:lineRule="auto" w:before="117"/>
        <w:ind w:left="65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（八）公司主要子公司、参股公司的经营情况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5"/>
          <w:w w:val="99"/>
          <w:sz w:val="21"/>
          <w:szCs w:val="21"/>
        </w:rPr>
        <w:t>报告期内，公司共有两家全资子公司上海金仕达卫宁信息技术有限公司（“卫宁信息”）和江苏金仕达</w:t>
      </w:r>
      <w:r>
        <w:rPr>
          <w:rFonts w:ascii="宋体" w:hAnsi="宋体" w:cs="宋体" w:eastAsia="宋体" w:hint="default"/>
          <w:spacing w:val="-5"/>
          <w:sz w:val="21"/>
          <w:szCs w:val="21"/>
        </w:rPr>
      </w:r>
    </w:p>
    <w:p>
      <w:pPr>
        <w:pStyle w:val="BodyText"/>
        <w:spacing w:line="248" w:lineRule="exact"/>
        <w:ind w:left="232" w:right="0"/>
        <w:jc w:val="both"/>
      </w:pPr>
      <w:r>
        <w:rPr>
          <w:spacing w:val="2"/>
          <w:w w:val="99"/>
        </w:rPr>
        <w:t>卫</w:t>
      </w:r>
      <w:r>
        <w:rPr>
          <w:w w:val="99"/>
        </w:rPr>
        <w:t>宁</w:t>
      </w:r>
      <w:r>
        <w:rPr>
          <w:spacing w:val="2"/>
          <w:w w:val="99"/>
        </w:rPr>
        <w:t>软</w:t>
      </w:r>
      <w:r>
        <w:rPr>
          <w:w w:val="99"/>
        </w:rPr>
        <w:t>件</w:t>
      </w:r>
      <w:r>
        <w:rPr>
          <w:spacing w:val="2"/>
          <w:w w:val="99"/>
        </w:rPr>
        <w:t>有</w:t>
      </w:r>
      <w:r>
        <w:rPr>
          <w:w w:val="99"/>
        </w:rPr>
        <w:t>限</w:t>
      </w:r>
      <w:r>
        <w:rPr>
          <w:spacing w:val="2"/>
          <w:w w:val="99"/>
        </w:rPr>
        <w:t>公</w:t>
      </w:r>
      <w:r>
        <w:rPr>
          <w:w w:val="99"/>
        </w:rPr>
        <w:t>司</w:t>
      </w:r>
      <w:r>
        <w:rPr>
          <w:spacing w:val="-104"/>
          <w:w w:val="99"/>
        </w:rPr>
        <w:t>（</w:t>
      </w:r>
      <w:r>
        <w:rPr>
          <w:spacing w:val="2"/>
          <w:w w:val="99"/>
        </w:rPr>
        <w:t>“江</w:t>
      </w:r>
      <w:r>
        <w:rPr>
          <w:w w:val="99"/>
        </w:rPr>
        <w:t>苏</w:t>
      </w:r>
      <w:r>
        <w:rPr>
          <w:spacing w:val="2"/>
          <w:w w:val="99"/>
        </w:rPr>
        <w:t>卫</w:t>
      </w:r>
      <w:r>
        <w:rPr>
          <w:w w:val="99"/>
        </w:rPr>
        <w:t>宁</w:t>
      </w:r>
      <w:r>
        <w:rPr>
          <w:spacing w:val="-106"/>
          <w:w w:val="99"/>
        </w:rPr>
        <w:t>”</w:t>
      </w:r>
      <w:r>
        <w:rPr>
          <w:spacing w:val="-104"/>
          <w:w w:val="99"/>
        </w:rPr>
        <w:t>）</w:t>
      </w:r>
      <w:r>
        <w:rPr>
          <w:spacing w:val="2"/>
          <w:w w:val="99"/>
        </w:rPr>
        <w:t>，</w:t>
      </w:r>
      <w:r>
        <w:rPr>
          <w:w w:val="99"/>
        </w:rPr>
        <w:t>无</w:t>
      </w:r>
      <w:r>
        <w:rPr>
          <w:spacing w:val="2"/>
          <w:w w:val="99"/>
        </w:rPr>
        <w:t>参</w:t>
      </w:r>
      <w:r>
        <w:rPr>
          <w:w w:val="99"/>
        </w:rPr>
        <w:t>股</w:t>
      </w:r>
      <w:r>
        <w:rPr>
          <w:spacing w:val="2"/>
          <w:w w:val="99"/>
        </w:rPr>
        <w:t>公</w:t>
      </w:r>
      <w:r>
        <w:rPr>
          <w:w w:val="99"/>
        </w:rPr>
        <w:t>司。</w:t>
      </w:r>
      <w:r>
        <w:rPr/>
      </w:r>
    </w:p>
    <w:p>
      <w:pPr>
        <w:spacing w:line="240" w:lineRule="auto" w:before="11"/>
        <w:rPr>
          <w:rFonts w:ascii="宋体" w:hAnsi="宋体" w:cs="宋体" w:eastAsia="宋体" w:hint="default"/>
          <w:sz w:val="20"/>
          <w:szCs w:val="20"/>
        </w:rPr>
      </w:pPr>
    </w:p>
    <w:p>
      <w:pPr>
        <w:spacing w:line="417" w:lineRule="auto" w:before="0"/>
        <w:ind w:left="655" w:right="6791"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两家全资子公司情况如下：</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1、卫宁信息</w:t>
      </w:r>
      <w:r>
        <w:rPr>
          <w:rFonts w:ascii="Microsoft JhengHei" w:hAnsi="Microsoft JhengHei" w:cs="Microsoft JhengHei" w:eastAsia="Microsoft JhengHei" w:hint="default"/>
          <w:sz w:val="21"/>
          <w:szCs w:val="21"/>
        </w:rPr>
      </w:r>
    </w:p>
    <w:p>
      <w:pPr>
        <w:pStyle w:val="BodyText"/>
        <w:spacing w:line="240" w:lineRule="auto" w:before="42"/>
        <w:ind w:left="655" w:right="0"/>
        <w:jc w:val="left"/>
      </w:pPr>
      <w:r>
        <w:rPr/>
        <w:t>卫宁信息成立于</w:t>
      </w:r>
      <w:r>
        <w:rPr>
          <w:spacing w:val="-45"/>
        </w:rPr>
        <w:t> </w:t>
      </w:r>
      <w:r>
        <w:rPr/>
        <w:t>2007</w:t>
      </w:r>
      <w:r>
        <w:rPr>
          <w:spacing w:val="-51"/>
        </w:rPr>
        <w:t> </w:t>
      </w:r>
      <w:r>
        <w:rPr/>
        <w:t>年</w:t>
      </w:r>
      <w:r>
        <w:rPr>
          <w:spacing w:val="-50"/>
        </w:rPr>
        <w:t> </w:t>
      </w:r>
      <w:r>
        <w:rPr/>
        <w:t>10</w:t>
      </w:r>
      <w:r>
        <w:rPr>
          <w:spacing w:val="-49"/>
        </w:rPr>
        <w:t> </w:t>
      </w:r>
      <w:r>
        <w:rPr/>
        <w:t>月</w:t>
      </w:r>
      <w:r>
        <w:rPr>
          <w:spacing w:val="-50"/>
        </w:rPr>
        <w:t> </w:t>
      </w:r>
      <w:r>
        <w:rPr/>
        <w:t>17</w:t>
      </w:r>
      <w:r>
        <w:rPr>
          <w:spacing w:val="-51"/>
        </w:rPr>
        <w:t> </w:t>
      </w:r>
      <w:r>
        <w:rPr>
          <w:spacing w:val="2"/>
        </w:rPr>
        <w:t>日，注册资本及实收资本均为人民币</w:t>
      </w:r>
      <w:r>
        <w:rPr>
          <w:spacing w:val="-45"/>
        </w:rPr>
        <w:t> </w:t>
      </w:r>
      <w:r>
        <w:rPr/>
        <w:t>100</w:t>
      </w:r>
      <w:r>
        <w:rPr>
          <w:spacing w:val="-51"/>
        </w:rPr>
        <w:t> </w:t>
      </w:r>
      <w:r>
        <w:rPr/>
        <w:t>万元，企业法人营业执照</w:t>
      </w:r>
    </w:p>
    <w:p>
      <w:pPr>
        <w:pStyle w:val="BodyText"/>
        <w:spacing w:line="340" w:lineRule="auto" w:before="116"/>
        <w:ind w:left="232" w:right="112"/>
        <w:jc w:val="both"/>
      </w:pPr>
      <w:r>
        <w:rPr/>
        <w:t>注册号为</w:t>
      </w:r>
      <w:r>
        <w:rPr>
          <w:spacing w:val="-51"/>
        </w:rPr>
        <w:t> </w:t>
      </w:r>
      <w:r>
        <w:rPr/>
        <w:t>310109000471145，住所为上海市武进路</w:t>
      </w:r>
      <w:r>
        <w:rPr>
          <w:spacing w:val="-50"/>
        </w:rPr>
        <w:t> </w:t>
      </w:r>
      <w:r>
        <w:rPr/>
        <w:t>289</w:t>
      </w:r>
      <w:r>
        <w:rPr>
          <w:spacing w:val="-52"/>
        </w:rPr>
        <w:t> </w:t>
      </w:r>
      <w:r>
        <w:rPr/>
        <w:t>号</w:t>
      </w:r>
      <w:r>
        <w:rPr>
          <w:spacing w:val="-54"/>
        </w:rPr>
        <w:t> </w:t>
      </w:r>
      <w:r>
        <w:rPr/>
        <w:t>412</w:t>
      </w:r>
      <w:r>
        <w:rPr>
          <w:spacing w:val="-52"/>
        </w:rPr>
        <w:t> </w:t>
      </w:r>
      <w:r>
        <w:rPr/>
        <w:t>室，公司类型为一人有限责任公司（法人独</w:t>
      </w:r>
      <w:r>
        <w:rPr>
          <w:w w:val="99"/>
        </w:rPr>
        <w:t> </w:t>
      </w:r>
      <w:r>
        <w:rPr>
          <w:spacing w:val="-4"/>
          <w:w w:val="99"/>
        </w:rPr>
        <w:t>资），经营范围为计算机软硬件技术专业领域的“四技”服务，销售计算机及配件。（涉及行政许可的，凭</w:t>
      </w:r>
      <w:r>
        <w:rPr>
          <w:w w:val="99"/>
        </w:rPr>
        <w:t> </w:t>
      </w:r>
      <w:r>
        <w:rPr>
          <w:spacing w:val="-15"/>
          <w:w w:val="99"/>
        </w:rPr>
        <w:t>许可证经营）。</w:t>
      </w:r>
      <w:r>
        <w:rPr>
          <w:spacing w:val="-15"/>
        </w:rPr>
      </w:r>
    </w:p>
    <w:p>
      <w:pPr>
        <w:spacing w:line="240" w:lineRule="auto" w:before="12"/>
        <w:rPr>
          <w:rFonts w:ascii="宋体" w:hAnsi="宋体" w:cs="宋体" w:eastAsia="宋体" w:hint="default"/>
          <w:sz w:val="13"/>
          <w:szCs w:val="13"/>
        </w:rPr>
      </w:pPr>
    </w:p>
    <w:p>
      <w:pPr>
        <w:pStyle w:val="BodyText"/>
        <w:spacing w:line="240" w:lineRule="auto"/>
        <w:ind w:left="655" w:right="0"/>
        <w:jc w:val="left"/>
      </w:pPr>
      <w:r>
        <w:rPr/>
        <w:t>卫宁信息的财务数据如下：</w:t>
      </w:r>
    </w:p>
    <w:p>
      <w:pPr>
        <w:spacing w:line="240" w:lineRule="auto" w:before="11"/>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440"/>
        <w:gridCol w:w="1512"/>
        <w:gridCol w:w="1495"/>
        <w:gridCol w:w="1843"/>
        <w:gridCol w:w="3118"/>
      </w:tblGrid>
      <w:tr>
        <w:trPr>
          <w:trHeight w:val="413" w:hRule="exact"/>
        </w:trPr>
        <w:tc>
          <w:tcPr>
            <w:tcW w:w="144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95"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w:t>
            </w:r>
          </w:p>
        </w:tc>
        <w:tc>
          <w:tcPr>
            <w:tcW w:w="1843"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同比增减比例</w:t>
            </w:r>
          </w:p>
        </w:tc>
        <w:tc>
          <w:tcPr>
            <w:tcW w:w="3118"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年度公司合并报表的比例</w:t>
            </w:r>
          </w:p>
        </w:tc>
      </w:tr>
      <w:tr>
        <w:trPr>
          <w:trHeight w:val="410" w:hRule="exac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3,857,087.30</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5,513,394.26</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-30.04%</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0.74%</w:t>
            </w:r>
          </w:p>
        </w:tc>
      </w:tr>
      <w:tr>
        <w:trPr>
          <w:trHeight w:val="413" w:hRule="exac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2,394,152.48</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1,967,963.33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21.66%</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0.50%</w:t>
            </w:r>
          </w:p>
        </w:tc>
      </w:tr>
      <w:tr>
        <w:trPr>
          <w:trHeight w:val="413" w:hRule="exac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净利润（元）</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426,189.15</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508,397.46</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-16.17%</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0.96%</w:t>
            </w:r>
          </w:p>
        </w:tc>
      </w:tr>
    </w:tbl>
    <w:p>
      <w:pPr>
        <w:spacing w:line="240" w:lineRule="auto" w:before="4"/>
        <w:rPr>
          <w:rFonts w:ascii="宋体" w:hAnsi="宋体" w:cs="宋体" w:eastAsia="宋体" w:hint="default"/>
          <w:sz w:val="11"/>
          <w:szCs w:val="11"/>
        </w:rPr>
      </w:pPr>
    </w:p>
    <w:p>
      <w:pPr>
        <w:pStyle w:val="BodyText"/>
        <w:spacing w:line="417" w:lineRule="auto" w:before="34"/>
        <w:ind w:left="655" w:right="3851"/>
        <w:jc w:val="left"/>
        <w:rPr>
          <w:rFonts w:ascii="Microsoft JhengHei" w:hAnsi="Microsoft JhengHei" w:cs="Microsoft JhengHei" w:eastAsia="Microsoft JhengHei" w:hint="default"/>
        </w:rPr>
      </w:pPr>
      <w:r>
        <w:rPr/>
        <w:t>报告期内，卫宁信息的净利润对公司合并报表的影响较小。</w:t>
      </w:r>
      <w:r>
        <w:rPr>
          <w:w w:val="99"/>
        </w:rPr>
        <w:t> </w:t>
      </w:r>
      <w:r>
        <w:rPr>
          <w:rFonts w:ascii="Microsoft JhengHei" w:hAnsi="Microsoft JhengHei" w:cs="Microsoft JhengHei" w:eastAsia="Microsoft JhengHei" w:hint="default"/>
          <w:b/>
          <w:bCs/>
        </w:rPr>
        <w:t>2、江苏卫宁</w:t>
      </w:r>
      <w:r>
        <w:rPr>
          <w:rFonts w:ascii="Microsoft JhengHei" w:hAnsi="Microsoft JhengHei" w:cs="Microsoft JhengHei" w:eastAsia="Microsoft JhengHei" w:hint="default"/>
        </w:rPr>
      </w:r>
    </w:p>
    <w:p>
      <w:pPr>
        <w:pStyle w:val="BodyText"/>
        <w:spacing w:line="240" w:lineRule="auto" w:before="39"/>
        <w:ind w:left="655" w:right="0"/>
        <w:jc w:val="left"/>
      </w:pPr>
      <w:r>
        <w:rPr/>
        <w:t>江苏卫宁成立于</w:t>
      </w:r>
      <w:r>
        <w:rPr>
          <w:spacing w:val="-46"/>
        </w:rPr>
        <w:t> </w:t>
      </w:r>
      <w:r>
        <w:rPr/>
        <w:t>2010</w:t>
      </w:r>
      <w:r>
        <w:rPr>
          <w:spacing w:val="-52"/>
        </w:rPr>
        <w:t> </w:t>
      </w:r>
      <w:r>
        <w:rPr/>
        <w:t>年</w:t>
      </w:r>
      <w:r>
        <w:rPr>
          <w:spacing w:val="-51"/>
        </w:rPr>
        <w:t> </w:t>
      </w:r>
      <w:r>
        <w:rPr/>
        <w:t>7</w:t>
      </w:r>
      <w:r>
        <w:rPr>
          <w:spacing w:val="-50"/>
        </w:rPr>
        <w:t> </w:t>
      </w:r>
      <w:r>
        <w:rPr/>
        <w:t>月</w:t>
      </w:r>
      <w:r>
        <w:rPr>
          <w:spacing w:val="-51"/>
        </w:rPr>
        <w:t> </w:t>
      </w:r>
      <w:r>
        <w:rPr/>
        <w:t>2</w:t>
      </w:r>
      <w:r>
        <w:rPr>
          <w:spacing w:val="-50"/>
        </w:rPr>
        <w:t> </w:t>
      </w:r>
      <w:r>
        <w:rPr>
          <w:spacing w:val="2"/>
        </w:rPr>
        <w:t>日，注册资本及实收资本均为人民币</w:t>
      </w:r>
      <w:r>
        <w:rPr>
          <w:spacing w:val="-49"/>
        </w:rPr>
        <w:t> </w:t>
      </w:r>
      <w:r>
        <w:rPr/>
        <w:t>1,000</w:t>
      </w:r>
      <w:r>
        <w:rPr>
          <w:spacing w:val="-50"/>
        </w:rPr>
        <w:t> </w:t>
      </w:r>
      <w:r>
        <w:rPr/>
        <w:t>万元，企业法人营业执照</w:t>
      </w:r>
    </w:p>
    <w:p>
      <w:pPr>
        <w:spacing w:after="0" w:line="240" w:lineRule="auto"/>
        <w:jc w:val="left"/>
        <w:sectPr>
          <w:pgSz w:w="11910" w:h="16840"/>
          <w:pgMar w:header="849" w:footer="976" w:top="1460" w:bottom="1160" w:left="900" w:right="1020"/>
        </w:sectPr>
      </w:pPr>
    </w:p>
    <w:p>
      <w:pPr>
        <w:spacing w:line="240" w:lineRule="auto" w:before="0"/>
        <w:rPr>
          <w:rFonts w:ascii="宋体" w:hAnsi="宋体" w:cs="宋体" w:eastAsia="宋体" w:hint="default"/>
          <w:sz w:val="2"/>
          <w:szCs w:val="2"/>
        </w:rPr>
      </w:pPr>
    </w:p>
    <w:p>
      <w:pPr>
        <w:spacing w:line="326" w:lineRule="exact"/>
        <w:ind w:left="22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w w:val="95"/>
                          <w:sz w:val="21"/>
                          <w:szCs w:val="21"/>
                        </w:rPr>
                        <w:t>注册号为 320407000140589，住所为常州市新北区太湖东路 9-2 号 24</w:t>
                      </w:r>
                      <w:r>
                        <w:rPr>
                          <w:rFonts w:ascii="宋体" w:hAnsi="宋体" w:cs="宋体" w:eastAsia="宋体" w:hint="default"/>
                          <w:spacing w:val="85"/>
                          <w:w w:val="95"/>
                          <w:sz w:val="21"/>
                          <w:szCs w:val="21"/>
                        </w:rPr>
                        <w:t> </w:t>
                      </w:r>
                      <w:r>
                        <w:rPr>
                          <w:rFonts w:ascii="宋体" w:hAnsi="宋体" w:cs="宋体" w:eastAsia="宋体" w:hint="default"/>
                          <w:spacing w:val="-8"/>
                          <w:w w:val="95"/>
                          <w:sz w:val="21"/>
                          <w:szCs w:val="21"/>
                        </w:rPr>
                        <w:t>楼，公司类型为有限公司（法人独资）</w:t>
                      </w:r>
                      <w:r>
                        <w:rPr>
                          <w:rFonts w:ascii="宋体" w:hAnsi="宋体" w:cs="宋体" w:eastAsia="宋体" w:hint="default"/>
                          <w:spacing w:val="-8"/>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left="232" w:right="0"/>
        <w:jc w:val="left"/>
      </w:pPr>
      <w:r>
        <w:rPr>
          <w:w w:val="95"/>
        </w:rPr>
        <w:t>内资，经营范围为计算机软件的技术开发、设计和制作、技术咨询和技术服务及计算机配件的销售；计算</w:t>
      </w:r>
      <w:r>
        <w:rPr>
          <w:spacing w:val="54"/>
          <w:w w:val="95"/>
        </w:rPr>
        <w:t> </w:t>
      </w:r>
      <w:r>
        <w:rPr>
          <w:spacing w:val="54"/>
          <w:w w:val="95"/>
        </w:rPr>
      </w:r>
      <w:r>
        <w:rPr/>
        <w:t>机网络信息系统集成的维护。</w:t>
      </w:r>
    </w:p>
    <w:p>
      <w:pPr>
        <w:spacing w:line="240" w:lineRule="auto" w:before="1"/>
        <w:rPr>
          <w:rFonts w:ascii="宋体" w:hAnsi="宋体" w:cs="宋体" w:eastAsia="宋体" w:hint="default"/>
          <w:sz w:val="14"/>
          <w:szCs w:val="14"/>
        </w:rPr>
      </w:pPr>
    </w:p>
    <w:p>
      <w:pPr>
        <w:pStyle w:val="BodyText"/>
        <w:spacing w:line="240" w:lineRule="auto"/>
        <w:ind w:left="655" w:right="0"/>
        <w:jc w:val="left"/>
      </w:pPr>
      <w:r>
        <w:rPr/>
        <w:t>江苏卫宁的财务数据如下：</w:t>
      </w:r>
    </w:p>
    <w:p>
      <w:pPr>
        <w:spacing w:line="240" w:lineRule="auto" w:before="11"/>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440"/>
        <w:gridCol w:w="1512"/>
        <w:gridCol w:w="1495"/>
        <w:gridCol w:w="1843"/>
        <w:gridCol w:w="3118"/>
      </w:tblGrid>
      <w:tr>
        <w:trPr>
          <w:trHeight w:val="410" w:hRule="exact"/>
        </w:trPr>
        <w:tc>
          <w:tcPr>
            <w:tcW w:w="144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95"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年度</w:t>
            </w:r>
          </w:p>
        </w:tc>
        <w:tc>
          <w:tcPr>
            <w:tcW w:w="1843"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同比增减比例</w:t>
            </w:r>
          </w:p>
        </w:tc>
        <w:tc>
          <w:tcPr>
            <w:tcW w:w="3118"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年度公司合并报表的比例</w:t>
            </w:r>
          </w:p>
        </w:tc>
      </w:tr>
      <w:tr>
        <w:trPr>
          <w:trHeight w:val="413" w:hRule="exac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8,962,469.28</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9,323,360.46</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-3.87%</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1.72%</w:t>
            </w:r>
          </w:p>
        </w:tc>
      </w:tr>
      <w:tr>
        <w:trPr>
          <w:trHeight w:val="413" w:hRule="exac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6,208,722.05</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8,852,951.82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-29.86%</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1.30%</w:t>
            </w:r>
          </w:p>
        </w:tc>
      </w:tr>
      <w:tr>
        <w:trPr>
          <w:trHeight w:val="410" w:hRule="exac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净利润（元）</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-2,644,229.77</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-1,147,048.18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-130.52%</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spacing w:val="-1"/>
                <w:sz w:val="18"/>
              </w:rPr>
              <w:t>-5.97%</w:t>
            </w:r>
          </w:p>
        </w:tc>
      </w:tr>
    </w:tbl>
    <w:p>
      <w:pPr>
        <w:spacing w:line="240" w:lineRule="auto" w:before="4"/>
        <w:rPr>
          <w:rFonts w:ascii="宋体" w:hAnsi="宋体" w:cs="宋体" w:eastAsia="宋体" w:hint="default"/>
          <w:sz w:val="11"/>
          <w:szCs w:val="11"/>
        </w:rPr>
      </w:pPr>
    </w:p>
    <w:p>
      <w:pPr>
        <w:pStyle w:val="BodyText"/>
        <w:spacing w:line="240" w:lineRule="auto" w:before="34"/>
        <w:ind w:left="655" w:right="0"/>
        <w:jc w:val="left"/>
      </w:pPr>
      <w:r>
        <w:rPr/>
        <w:t>报告期内，江苏卫宁的净利润对公司合并报表的影响较小。</w:t>
      </w:r>
    </w:p>
    <w:p>
      <w:pPr>
        <w:spacing w:line="240" w:lineRule="auto" w:before="9"/>
        <w:rPr>
          <w:rFonts w:ascii="宋体" w:hAnsi="宋体" w:cs="宋体" w:eastAsia="宋体" w:hint="default"/>
          <w:sz w:val="15"/>
          <w:szCs w:val="15"/>
        </w:rPr>
      </w:pPr>
    </w:p>
    <w:p>
      <w:pPr>
        <w:spacing w:line="400" w:lineRule="auto" w:before="0"/>
        <w:ind w:left="655" w:right="511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（九）公司控制的特殊目的主体情况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报告期内，公司不存在控制的特殊目的主体。</w:t>
      </w:r>
    </w:p>
    <w:p>
      <w:pPr>
        <w:pStyle w:val="Heading4"/>
        <w:spacing w:line="240" w:lineRule="auto" w:before="65"/>
        <w:ind w:left="232" w:right="0"/>
        <w:jc w:val="left"/>
        <w:rPr>
          <w:b w:val="0"/>
          <w:bCs w:val="0"/>
        </w:rPr>
      </w:pPr>
      <w:r>
        <w:rPr/>
        <w:t>二、对公司未来发展的展望</w:t>
      </w:r>
      <w:r>
        <w:rPr>
          <w:b w:val="0"/>
          <w:bCs w:val="0"/>
        </w:rPr>
      </w:r>
    </w:p>
    <w:p>
      <w:pPr>
        <w:pStyle w:val="Heading4"/>
        <w:spacing w:line="357" w:lineRule="auto" w:before="179"/>
        <w:ind w:left="655" w:right="6371"/>
        <w:jc w:val="left"/>
        <w:rPr>
          <w:b w:val="0"/>
          <w:bCs w:val="0"/>
        </w:rPr>
      </w:pPr>
      <w:r>
        <w:rPr/>
        <w:t>（一）公司所处行业的发展前景</w:t>
      </w:r>
      <w:r>
        <w:rPr>
          <w:w w:val="99"/>
        </w:rPr>
        <w:t> </w:t>
      </w:r>
      <w:r>
        <w:rPr/>
        <w:t>1、政策背景</w:t>
      </w:r>
      <w:r>
        <w:rPr>
          <w:b w:val="0"/>
          <w:bCs w:val="0"/>
        </w:rPr>
      </w:r>
    </w:p>
    <w:p>
      <w:pPr>
        <w:pStyle w:val="BodyText"/>
        <w:spacing w:line="340" w:lineRule="auto" w:before="111"/>
        <w:ind w:left="232" w:right="110" w:firstLine="422"/>
        <w:jc w:val="both"/>
      </w:pPr>
      <w:r>
        <w:rPr>
          <w:w w:val="99"/>
        </w:rPr>
        <w:t>中共中央、国务院于 2009</w:t>
      </w:r>
      <w:r>
        <w:rPr>
          <w:spacing w:val="-74"/>
          <w:w w:val="99"/>
        </w:rPr>
        <w:t> </w:t>
      </w:r>
      <w:r>
        <w:rPr>
          <w:spacing w:val="-6"/>
          <w:w w:val="99"/>
        </w:rPr>
        <w:t>年正式发布了《关于深化医药卫生体制改革的意见》（2009-2020），在此基</w:t>
      </w:r>
      <w:r>
        <w:rPr>
          <w:w w:val="99"/>
        </w:rPr>
        <w:t> </w:t>
      </w:r>
      <w:r>
        <w:rPr>
          <w:spacing w:val="-6"/>
          <w:w w:val="99"/>
        </w:rPr>
        <w:t>础上国务院陆续发布了《关于公立医院改革试点的指导意见》（2010-2011）、《医药卫生体制五项重点改革</w:t>
      </w:r>
      <w:r>
        <w:rPr>
          <w:spacing w:val="-83"/>
          <w:w w:val="99"/>
        </w:rPr>
        <w:t> </w:t>
      </w:r>
      <w:r>
        <w:rPr>
          <w:spacing w:val="-83"/>
          <w:w w:val="99"/>
        </w:rPr>
      </w:r>
      <w:r>
        <w:rPr>
          <w:w w:val="99"/>
        </w:rPr>
        <w:t>2010</w:t>
      </w:r>
      <w:r>
        <w:rPr>
          <w:spacing w:val="-33"/>
          <w:w w:val="99"/>
        </w:rPr>
        <w:t> </w:t>
      </w:r>
      <w:r>
        <w:rPr>
          <w:spacing w:val="-2"/>
          <w:w w:val="99"/>
        </w:rPr>
        <w:t>年度主要工作安排》。在《关于深化医药卫生体制改革的意见》中明确提出了建立基本医疗卫生制度</w:t>
      </w:r>
      <w:r>
        <w:rPr>
          <w:spacing w:val="-90"/>
          <w:w w:val="99"/>
        </w:rPr>
        <w:t> </w:t>
      </w:r>
      <w:r>
        <w:rPr>
          <w:spacing w:val="-90"/>
          <w:w w:val="99"/>
        </w:rPr>
      </w:r>
      <w:r>
        <w:rPr/>
        <w:t>的“四梁八柱”构架，信息系统建设第一次成为医药卫生体制改革的一个重要环节和唯一的技术支撑。</w:t>
      </w:r>
    </w:p>
    <w:p>
      <w:pPr>
        <w:spacing w:line="240" w:lineRule="auto" w:before="12"/>
        <w:rPr>
          <w:rFonts w:ascii="宋体" w:hAnsi="宋体" w:cs="宋体" w:eastAsia="宋体" w:hint="default"/>
          <w:sz w:val="13"/>
          <w:szCs w:val="13"/>
        </w:rPr>
      </w:pPr>
    </w:p>
    <w:p>
      <w:pPr>
        <w:pStyle w:val="BodyText"/>
        <w:spacing w:line="340" w:lineRule="auto"/>
        <w:ind w:left="232" w:right="110" w:firstLine="422"/>
        <w:jc w:val="both"/>
      </w:pPr>
      <w:r>
        <w:rPr>
          <w:w w:val="99"/>
        </w:rPr>
        <w:t>2010</w:t>
      </w:r>
      <w:r>
        <w:rPr>
          <w:spacing w:val="-42"/>
          <w:w w:val="99"/>
        </w:rPr>
        <w:t> </w:t>
      </w:r>
      <w:r>
        <w:rPr>
          <w:spacing w:val="-6"/>
          <w:w w:val="99"/>
        </w:rPr>
        <w:t>年底，卫生部提出，卫生事业“十二五”规划（初步意见），“十二五”卫生信息化建设工程规划</w:t>
      </w:r>
      <w:r>
        <w:rPr>
          <w:w w:val="99"/>
        </w:rPr>
        <w:t> </w:t>
      </w:r>
      <w:r>
        <w:rPr>
          <w:spacing w:val="1"/>
          <w:w w:val="99"/>
        </w:rPr>
        <w:t>初步确定了我国卫生信息化建设路线图，简称“3521</w:t>
      </w:r>
      <w:r>
        <w:rPr>
          <w:spacing w:val="-45"/>
          <w:w w:val="99"/>
        </w:rPr>
        <w:t> </w:t>
      </w:r>
      <w:r>
        <w:rPr>
          <w:spacing w:val="-6"/>
          <w:w w:val="99"/>
        </w:rPr>
        <w:t>工程”，即建设国家级、省级和地市级</w:t>
      </w:r>
      <w:r>
        <w:rPr>
          <w:spacing w:val="-32"/>
          <w:w w:val="99"/>
        </w:rPr>
        <w:t> </w:t>
      </w:r>
      <w:r>
        <w:rPr>
          <w:w w:val="99"/>
        </w:rPr>
        <w:t>3</w:t>
      </w:r>
      <w:r>
        <w:rPr>
          <w:spacing w:val="-41"/>
          <w:w w:val="99"/>
        </w:rPr>
        <w:t> </w:t>
      </w:r>
      <w:r>
        <w:rPr>
          <w:w w:val="99"/>
        </w:rPr>
        <w:t>级卫生信息</w:t>
      </w:r>
      <w:r>
        <w:rPr>
          <w:spacing w:val="-101"/>
          <w:w w:val="99"/>
        </w:rPr>
        <w:t> </w:t>
      </w:r>
      <w:r>
        <w:rPr>
          <w:spacing w:val="-101"/>
          <w:w w:val="99"/>
        </w:rPr>
      </w:r>
      <w:r>
        <w:rPr/>
        <w:t>平台，加强公共卫生、医疗服务、新农合、基本药物制度、综合管理</w:t>
      </w:r>
      <w:r>
        <w:rPr>
          <w:spacing w:val="-69"/>
        </w:rPr>
        <w:t> </w:t>
      </w:r>
      <w:r>
        <w:rPr/>
        <w:t>5</w:t>
      </w:r>
      <w:r>
        <w:rPr>
          <w:spacing w:val="-68"/>
        </w:rPr>
        <w:t> </w:t>
      </w:r>
      <w:r>
        <w:rPr/>
        <w:t>项业务应用，建设健康档案和电子</w:t>
      </w:r>
    </w:p>
    <w:p>
      <w:pPr>
        <w:pStyle w:val="BodyText"/>
        <w:spacing w:line="240" w:lineRule="auto" w:before="28"/>
        <w:ind w:left="232" w:right="0"/>
        <w:jc w:val="left"/>
      </w:pPr>
      <w:r>
        <w:rPr/>
        <w:t>病历</w:t>
      </w:r>
      <w:r>
        <w:rPr>
          <w:spacing w:val="-55"/>
        </w:rPr>
        <w:t> </w:t>
      </w:r>
      <w:r>
        <w:rPr/>
        <w:t>2</w:t>
      </w:r>
      <w:r>
        <w:rPr>
          <w:spacing w:val="-53"/>
        </w:rPr>
        <w:t> </w:t>
      </w:r>
      <w:r>
        <w:rPr/>
        <w:t>个基础数据库和</w:t>
      </w:r>
      <w:r>
        <w:rPr>
          <w:spacing w:val="-55"/>
        </w:rPr>
        <w:t> </w:t>
      </w:r>
      <w:r>
        <w:rPr/>
        <w:t>1</w:t>
      </w:r>
      <w:r>
        <w:rPr>
          <w:spacing w:val="-53"/>
        </w:rPr>
        <w:t> </w:t>
      </w:r>
      <w:r>
        <w:rPr/>
        <w:t>个专用网络建设。</w:t>
      </w:r>
    </w:p>
    <w:p>
      <w:pPr>
        <w:spacing w:line="240" w:lineRule="auto" w:before="8"/>
        <w:rPr>
          <w:rFonts w:ascii="宋体" w:hAnsi="宋体" w:cs="宋体" w:eastAsia="宋体" w:hint="default"/>
          <w:sz w:val="20"/>
          <w:szCs w:val="20"/>
        </w:rPr>
      </w:pPr>
    </w:p>
    <w:p>
      <w:pPr>
        <w:pStyle w:val="BodyText"/>
        <w:spacing w:line="340" w:lineRule="auto"/>
        <w:ind w:left="232" w:right="112" w:firstLine="422"/>
        <w:jc w:val="both"/>
      </w:pPr>
      <w:r>
        <w:rPr>
          <w:w w:val="99"/>
        </w:rPr>
        <w:t>2010</w:t>
      </w:r>
      <w:r>
        <w:rPr>
          <w:spacing w:val="-45"/>
          <w:w w:val="99"/>
        </w:rPr>
        <w:t> </w:t>
      </w:r>
      <w:r>
        <w:rPr>
          <w:w w:val="99"/>
        </w:rPr>
        <w:t>年</w:t>
      </w:r>
      <w:r>
        <w:rPr>
          <w:spacing w:val="-44"/>
          <w:w w:val="99"/>
        </w:rPr>
        <w:t> </w:t>
      </w:r>
      <w:r>
        <w:rPr>
          <w:w w:val="99"/>
        </w:rPr>
        <w:t>12</w:t>
      </w:r>
      <w:r>
        <w:rPr>
          <w:spacing w:val="-45"/>
          <w:w w:val="99"/>
        </w:rPr>
        <w:t> </w:t>
      </w:r>
      <w:r>
        <w:rPr>
          <w:spacing w:val="-6"/>
          <w:w w:val="99"/>
        </w:rPr>
        <w:t>月，卫生部发布，《2010</w:t>
      </w:r>
      <w:r>
        <w:rPr>
          <w:spacing w:val="-45"/>
          <w:w w:val="99"/>
        </w:rPr>
        <w:t> </w:t>
      </w:r>
      <w:r>
        <w:rPr>
          <w:spacing w:val="1"/>
          <w:w w:val="99"/>
        </w:rPr>
        <w:t>年基于电子健康档案、电子病历、门诊统筹管理的基层医疗卫生</w:t>
      </w:r>
      <w:r>
        <w:rPr>
          <w:w w:val="99"/>
        </w:rPr>
        <w:t> </w:t>
      </w:r>
      <w:r>
        <w:rPr>
          <w:spacing w:val="-1"/>
          <w:w w:val="99"/>
        </w:rPr>
        <w:t>信息系统试点项目管理方案的通知》，为积极探索建设以健康管理和服务为中心、居民电子健康档案和电</w:t>
      </w:r>
      <w:r>
        <w:rPr>
          <w:spacing w:val="-62"/>
          <w:w w:val="99"/>
        </w:rPr>
        <w:t> </w:t>
      </w:r>
      <w:r>
        <w:rPr>
          <w:spacing w:val="-62"/>
          <w:w w:val="99"/>
        </w:rPr>
      </w:r>
      <w:r>
        <w:rPr>
          <w:w w:val="95"/>
        </w:rPr>
        <w:t>子病历为基础的卫生信息平台及重点业务应用系统，促进区域卫生信息化建设和发展，在上海、浙江、安</w:t>
      </w:r>
      <w:r>
        <w:rPr>
          <w:spacing w:val="52"/>
          <w:w w:val="95"/>
        </w:rPr>
        <w:t> </w:t>
      </w:r>
      <w:r>
        <w:rPr>
          <w:spacing w:val="52"/>
          <w:w w:val="95"/>
        </w:rPr>
      </w:r>
      <w:r>
        <w:rPr/>
        <w:t>徽、重庆、新疆</w:t>
      </w:r>
      <w:r>
        <w:rPr>
          <w:spacing w:val="-53"/>
        </w:rPr>
        <w:t> </w:t>
      </w:r>
      <w:r>
        <w:rPr/>
        <w:t>5</w:t>
      </w:r>
      <w:r>
        <w:rPr>
          <w:spacing w:val="-54"/>
        </w:rPr>
        <w:t> </w:t>
      </w:r>
      <w:r>
        <w:rPr/>
        <w:t>省开展试点。</w:t>
      </w:r>
    </w:p>
    <w:p>
      <w:pPr>
        <w:spacing w:line="240" w:lineRule="auto" w:before="12"/>
        <w:rPr>
          <w:rFonts w:ascii="宋体" w:hAnsi="宋体" w:cs="宋体" w:eastAsia="宋体" w:hint="default"/>
          <w:sz w:val="13"/>
          <w:szCs w:val="13"/>
        </w:rPr>
      </w:pPr>
    </w:p>
    <w:p>
      <w:pPr>
        <w:pStyle w:val="BodyText"/>
        <w:spacing w:line="340" w:lineRule="auto"/>
        <w:ind w:left="232" w:right="112" w:firstLine="422"/>
        <w:jc w:val="both"/>
      </w:pPr>
      <w:r>
        <w:rPr>
          <w:w w:val="99"/>
        </w:rPr>
        <w:t>2010</w:t>
      </w:r>
      <w:r>
        <w:rPr>
          <w:spacing w:val="-46"/>
          <w:w w:val="99"/>
        </w:rPr>
        <w:t> </w:t>
      </w:r>
      <w:r>
        <w:rPr>
          <w:w w:val="99"/>
        </w:rPr>
        <w:t>年</w:t>
      </w:r>
      <w:r>
        <w:rPr>
          <w:spacing w:val="-44"/>
          <w:w w:val="99"/>
        </w:rPr>
        <w:t> </w:t>
      </w:r>
      <w:r>
        <w:rPr>
          <w:w w:val="99"/>
        </w:rPr>
        <w:t>12</w:t>
      </w:r>
      <w:r>
        <w:rPr>
          <w:spacing w:val="-46"/>
          <w:w w:val="99"/>
        </w:rPr>
        <w:t> </w:t>
      </w:r>
      <w:r>
        <w:rPr>
          <w:spacing w:val="2"/>
          <w:w w:val="99"/>
        </w:rPr>
        <w:t>月，卫生部发布《2010</w:t>
      </w:r>
      <w:r>
        <w:rPr>
          <w:spacing w:val="-46"/>
          <w:w w:val="99"/>
        </w:rPr>
        <w:t> </w:t>
      </w:r>
      <w:r>
        <w:rPr>
          <w:spacing w:val="1"/>
          <w:w w:val="99"/>
        </w:rPr>
        <w:t>年中西部地区村卫生室信息化建设项目管理方案的通知</w:t>
      </w:r>
      <w:r>
        <w:rPr>
          <w:spacing w:val="-76"/>
          <w:w w:val="99"/>
        </w:rPr>
        <w:t> </w:t>
      </w:r>
      <w:r>
        <w:rPr>
          <w:spacing w:val="-20"/>
          <w:w w:val="99"/>
        </w:rPr>
        <w:t>》，为中西</w:t>
      </w:r>
      <w:r>
        <w:rPr>
          <w:w w:val="99"/>
        </w:rPr>
        <w:t> </w:t>
      </w:r>
      <w:r>
        <w:rPr>
          <w:w w:val="95"/>
        </w:rPr>
        <w:t>部地区 90%的村卫生室配备电脑，70%以上的农村居民配备健康卡，开发整合村卫生室信息化软件，加快区</w:t>
      </w:r>
      <w:r>
        <w:rPr>
          <w:spacing w:val="-48"/>
          <w:w w:val="95"/>
        </w:rPr>
        <w:t> </w:t>
      </w:r>
      <w:r>
        <w:rPr>
          <w:spacing w:val="-48"/>
          <w:w w:val="95"/>
        </w:rPr>
      </w:r>
      <w:r>
        <w:rPr/>
        <w:t>域（地级市和县级）卫生信息平台建设。</w:t>
      </w:r>
    </w:p>
    <w:p>
      <w:pPr>
        <w:spacing w:line="240" w:lineRule="auto" w:before="12"/>
        <w:rPr>
          <w:rFonts w:ascii="宋体" w:hAnsi="宋体" w:cs="宋体" w:eastAsia="宋体" w:hint="default"/>
          <w:sz w:val="13"/>
          <w:szCs w:val="13"/>
        </w:rPr>
      </w:pPr>
    </w:p>
    <w:p>
      <w:pPr>
        <w:pStyle w:val="BodyText"/>
        <w:spacing w:line="240" w:lineRule="auto"/>
        <w:ind w:left="655" w:right="0"/>
        <w:jc w:val="left"/>
      </w:pPr>
      <w:r>
        <w:rPr>
          <w:spacing w:val="1"/>
          <w:w w:val="99"/>
        </w:rPr>
        <w:t>2</w:t>
      </w:r>
      <w:r>
        <w:rPr>
          <w:spacing w:val="-2"/>
          <w:w w:val="99"/>
        </w:rPr>
        <w:t>0</w:t>
      </w:r>
      <w:r>
        <w:rPr>
          <w:spacing w:val="1"/>
          <w:w w:val="99"/>
        </w:rPr>
        <w:t>1</w:t>
      </w:r>
      <w:r>
        <w:rPr>
          <w:w w:val="99"/>
        </w:rPr>
        <w:t>0</w:t>
      </w:r>
      <w:r>
        <w:rPr>
          <w:spacing w:val="-54"/>
        </w:rPr>
        <w:t> </w:t>
      </w:r>
      <w:r>
        <w:rPr>
          <w:w w:val="99"/>
        </w:rPr>
        <w:t>年</w:t>
      </w:r>
      <w:r>
        <w:rPr>
          <w:spacing w:val="-50"/>
        </w:rPr>
        <w:t> </w:t>
      </w:r>
      <w:r>
        <w:rPr>
          <w:w w:val="99"/>
        </w:rPr>
        <w:t>2</w:t>
      </w:r>
      <w:r>
        <w:rPr>
          <w:spacing w:val="-54"/>
        </w:rPr>
        <w:t> </w:t>
      </w:r>
      <w:r>
        <w:rPr>
          <w:w w:val="99"/>
        </w:rPr>
        <w:t>月</w:t>
      </w:r>
      <w:r>
        <w:rPr>
          <w:spacing w:val="-50"/>
        </w:rPr>
        <w:t> </w:t>
      </w:r>
      <w:r>
        <w:rPr>
          <w:spacing w:val="1"/>
          <w:w w:val="99"/>
        </w:rPr>
        <w:t>1</w:t>
      </w:r>
      <w:r>
        <w:rPr>
          <w:w w:val="99"/>
        </w:rPr>
        <w:t>1</w:t>
      </w:r>
      <w:r>
        <w:rPr>
          <w:spacing w:val="-54"/>
        </w:rPr>
        <w:t> </w:t>
      </w:r>
      <w:r>
        <w:rPr>
          <w:w w:val="99"/>
        </w:rPr>
        <w:t>日</w:t>
      </w:r>
      <w:r>
        <w:rPr>
          <w:spacing w:val="-22"/>
          <w:w w:val="99"/>
        </w:rPr>
        <w:t>，</w:t>
      </w:r>
      <w:r>
        <w:rPr>
          <w:spacing w:val="2"/>
          <w:w w:val="99"/>
        </w:rPr>
        <w:t>卫</w:t>
      </w:r>
      <w:r>
        <w:rPr>
          <w:w w:val="99"/>
        </w:rPr>
        <w:t>生</w:t>
      </w:r>
      <w:r>
        <w:rPr>
          <w:spacing w:val="2"/>
          <w:w w:val="99"/>
        </w:rPr>
        <w:t>部</w:t>
      </w:r>
      <w:r>
        <w:rPr>
          <w:w w:val="99"/>
        </w:rPr>
        <w:t>联</w:t>
      </w:r>
      <w:r>
        <w:rPr>
          <w:spacing w:val="2"/>
          <w:w w:val="99"/>
        </w:rPr>
        <w:t>合</w:t>
      </w:r>
      <w:r>
        <w:rPr>
          <w:w w:val="99"/>
        </w:rPr>
        <w:t>四</w:t>
      </w:r>
      <w:r>
        <w:rPr>
          <w:spacing w:val="2"/>
          <w:w w:val="99"/>
        </w:rPr>
        <w:t>部</w:t>
      </w:r>
      <w:r>
        <w:rPr>
          <w:w w:val="99"/>
        </w:rPr>
        <w:t>委</w:t>
      </w:r>
      <w:r>
        <w:rPr>
          <w:spacing w:val="2"/>
          <w:w w:val="99"/>
        </w:rPr>
        <w:t>制</w:t>
      </w:r>
      <w:r>
        <w:rPr>
          <w:w w:val="99"/>
        </w:rPr>
        <w:t>定</w:t>
      </w:r>
      <w:r>
        <w:rPr>
          <w:spacing w:val="-24"/>
          <w:w w:val="99"/>
        </w:rPr>
        <w:t>了</w:t>
      </w:r>
      <w:r>
        <w:rPr>
          <w:spacing w:val="2"/>
          <w:w w:val="99"/>
        </w:rPr>
        <w:t>《关</w:t>
      </w:r>
      <w:r>
        <w:rPr>
          <w:w w:val="99"/>
        </w:rPr>
        <w:t>于</w:t>
      </w:r>
      <w:r>
        <w:rPr>
          <w:spacing w:val="2"/>
          <w:w w:val="99"/>
        </w:rPr>
        <w:t>公</w:t>
      </w:r>
      <w:r>
        <w:rPr>
          <w:w w:val="99"/>
        </w:rPr>
        <w:t>立</w:t>
      </w:r>
      <w:r>
        <w:rPr>
          <w:spacing w:val="2"/>
          <w:w w:val="99"/>
        </w:rPr>
        <w:t>医</w:t>
      </w:r>
      <w:r>
        <w:rPr>
          <w:w w:val="99"/>
        </w:rPr>
        <w:t>院</w:t>
      </w:r>
      <w:r>
        <w:rPr>
          <w:spacing w:val="2"/>
          <w:w w:val="99"/>
        </w:rPr>
        <w:t>改</w:t>
      </w:r>
      <w:r>
        <w:rPr>
          <w:w w:val="99"/>
        </w:rPr>
        <w:t>革</w:t>
      </w:r>
      <w:r>
        <w:rPr>
          <w:spacing w:val="2"/>
          <w:w w:val="99"/>
        </w:rPr>
        <w:t>试</w:t>
      </w:r>
      <w:r>
        <w:rPr>
          <w:w w:val="99"/>
        </w:rPr>
        <w:t>点</w:t>
      </w:r>
      <w:r>
        <w:rPr>
          <w:spacing w:val="2"/>
          <w:w w:val="99"/>
        </w:rPr>
        <w:t>的</w:t>
      </w:r>
      <w:r>
        <w:rPr>
          <w:w w:val="99"/>
        </w:rPr>
        <w:t>指</w:t>
      </w:r>
      <w:r>
        <w:rPr>
          <w:spacing w:val="2"/>
          <w:w w:val="99"/>
        </w:rPr>
        <w:t>导</w:t>
      </w:r>
      <w:r>
        <w:rPr>
          <w:w w:val="99"/>
        </w:rPr>
        <w:t>意</w:t>
      </w:r>
      <w:r>
        <w:rPr>
          <w:spacing w:val="2"/>
          <w:w w:val="99"/>
        </w:rPr>
        <w:t>见</w:t>
      </w:r>
      <w:r>
        <w:rPr>
          <w:spacing w:val="-104"/>
          <w:w w:val="99"/>
        </w:rPr>
        <w:t>》</w:t>
      </w:r>
      <w:r>
        <w:rPr>
          <w:spacing w:val="-24"/>
          <w:w w:val="99"/>
        </w:rPr>
        <w:t>，</w:t>
      </w:r>
      <w:r>
        <w:rPr>
          <w:spacing w:val="2"/>
          <w:w w:val="99"/>
        </w:rPr>
        <w:t>提</w:t>
      </w:r>
      <w:r>
        <w:rPr>
          <w:w w:val="99"/>
        </w:rPr>
        <w:t>出</w:t>
      </w:r>
      <w:r>
        <w:rPr>
          <w:spacing w:val="2"/>
          <w:w w:val="99"/>
        </w:rPr>
        <w:t>了</w:t>
      </w:r>
      <w:r>
        <w:rPr>
          <w:w w:val="99"/>
        </w:rPr>
        <w:t>公</w:t>
      </w:r>
      <w:r>
        <w:rPr>
          <w:spacing w:val="2"/>
          <w:w w:val="99"/>
        </w:rPr>
        <w:t>立</w:t>
      </w:r>
      <w:r>
        <w:rPr>
          <w:w w:val="99"/>
        </w:rPr>
        <w:t>医院</w:t>
      </w:r>
      <w:r>
        <w:rPr/>
      </w:r>
    </w:p>
    <w:p>
      <w:pPr>
        <w:spacing w:after="0" w:line="240" w:lineRule="auto"/>
        <w:jc w:val="left"/>
        <w:sectPr>
          <w:pgSz w:w="11910" w:h="16840"/>
          <w:pgMar w:header="849" w:footer="976" w:top="1460" w:bottom="1160" w:left="90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pacing w:val="-3"/>
                          <w:w w:val="95"/>
                          <w:sz w:val="21"/>
                          <w:szCs w:val="21"/>
                        </w:rPr>
                        <w:t>改革试点的一个目标、三个领域和九项主要任务，形成了比较全面、系统、完整的公立医院改革政策框架，</w:t>
                      </w:r>
                      <w:r>
                        <w:rPr>
                          <w:rFonts w:ascii="宋体" w:hAnsi="宋体" w:cs="宋体" w:eastAsia="宋体" w:hint="default"/>
                          <w:spacing w:val="-3"/>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131"/>
        <w:jc w:val="both"/>
      </w:pPr>
      <w:r>
        <w:rPr/>
        <w:t>同时国家在各地试点城市范围内，选出</w:t>
      </w:r>
      <w:r>
        <w:rPr>
          <w:spacing w:val="-24"/>
        </w:rPr>
        <w:t> </w:t>
      </w:r>
      <w:r>
        <w:rPr/>
        <w:t>16</w:t>
      </w:r>
      <w:r>
        <w:rPr>
          <w:spacing w:val="-40"/>
        </w:rPr>
        <w:t> </w:t>
      </w:r>
      <w:r>
        <w:rPr/>
        <w:t>个有代表性的城市，作为国家联系指导的公立医院改革试点城</w:t>
      </w:r>
      <w:r>
        <w:rPr>
          <w:spacing w:val="-100"/>
        </w:rPr>
        <w:t> </w:t>
      </w:r>
      <w:r>
        <w:rPr>
          <w:spacing w:val="-100"/>
        </w:rPr>
      </w:r>
      <w:r>
        <w:rPr/>
        <w:t>市。</w:t>
      </w:r>
    </w:p>
    <w:p>
      <w:pPr>
        <w:spacing w:line="240" w:lineRule="auto" w:before="1"/>
        <w:rPr>
          <w:rFonts w:ascii="宋体" w:hAnsi="宋体" w:cs="宋体" w:eastAsia="宋体" w:hint="default"/>
          <w:sz w:val="14"/>
          <w:szCs w:val="14"/>
        </w:rPr>
      </w:pPr>
    </w:p>
    <w:p>
      <w:pPr>
        <w:pStyle w:val="BodyText"/>
        <w:spacing w:line="338" w:lineRule="auto"/>
        <w:ind w:right="109" w:firstLine="422"/>
        <w:jc w:val="both"/>
      </w:pPr>
      <w:r>
        <w:rPr/>
        <w:t>2011</w:t>
      </w:r>
      <w:r>
        <w:rPr>
          <w:spacing w:val="-65"/>
        </w:rPr>
        <w:t> </w:t>
      </w:r>
      <w:r>
        <w:rPr/>
        <w:t>年</w:t>
      </w:r>
      <w:r>
        <w:rPr>
          <w:spacing w:val="-62"/>
        </w:rPr>
        <w:t> </w:t>
      </w:r>
      <w:r>
        <w:rPr/>
        <w:t>2</w:t>
      </w:r>
      <w:r>
        <w:rPr>
          <w:spacing w:val="-65"/>
        </w:rPr>
        <w:t> </w:t>
      </w:r>
      <w:r>
        <w:rPr/>
        <w:t>月</w:t>
      </w:r>
      <w:r>
        <w:rPr>
          <w:spacing w:val="-62"/>
        </w:rPr>
        <w:t> </w:t>
      </w:r>
      <w:r>
        <w:rPr/>
        <w:t>18</w:t>
      </w:r>
      <w:r>
        <w:rPr>
          <w:spacing w:val="-65"/>
        </w:rPr>
        <w:t> </w:t>
      </w:r>
      <w:r>
        <w:rPr/>
        <w:t>日，国务院办公厅发布关于印发</w:t>
      </w:r>
      <w:r>
        <w:rPr>
          <w:spacing w:val="-65"/>
        </w:rPr>
        <w:t> </w:t>
      </w:r>
      <w:r>
        <w:rPr/>
        <w:t>2011</w:t>
      </w:r>
      <w:r>
        <w:rPr>
          <w:spacing w:val="-65"/>
        </w:rPr>
        <w:t> </w:t>
      </w:r>
      <w:r>
        <w:rPr/>
        <w:t>年公立医院改革试点工作安排的通知，定义公立</w:t>
      </w:r>
      <w:r>
        <w:rPr>
          <w:w w:val="99"/>
        </w:rPr>
        <w:t> </w:t>
      </w:r>
      <w:r>
        <w:rPr/>
        <w:t>医院改革信息化包含三个方面：</w:t>
      </w:r>
    </w:p>
    <w:p>
      <w:pPr>
        <w:spacing w:line="240" w:lineRule="auto" w:before="1"/>
        <w:rPr>
          <w:rFonts w:ascii="宋体" w:hAnsi="宋体" w:cs="宋体" w:eastAsia="宋体" w:hint="default"/>
          <w:sz w:val="14"/>
          <w:szCs w:val="14"/>
        </w:rPr>
      </w:pPr>
    </w:p>
    <w:p>
      <w:pPr>
        <w:pStyle w:val="BodyText"/>
        <w:spacing w:line="340" w:lineRule="auto"/>
        <w:ind w:right="143" w:firstLine="422"/>
        <w:jc w:val="both"/>
      </w:pPr>
      <w:r>
        <w:rPr/>
        <w:t>（1）研究建立全国统一的医院信息化建设标准体系，为实现跨机构、跨区域、跨领域的医疗信息资</w:t>
      </w:r>
      <w:r>
        <w:rPr>
          <w:w w:val="99"/>
        </w:rPr>
        <w:t> </w:t>
      </w:r>
      <w:r>
        <w:rPr/>
        <w:t>源互联互通、共享利用奠定基础。</w:t>
      </w:r>
    </w:p>
    <w:p>
      <w:pPr>
        <w:spacing w:line="240" w:lineRule="auto" w:before="1"/>
        <w:rPr>
          <w:rFonts w:ascii="宋体" w:hAnsi="宋体" w:cs="宋体" w:eastAsia="宋体" w:hint="default"/>
          <w:sz w:val="14"/>
          <w:szCs w:val="14"/>
        </w:rPr>
      </w:pPr>
    </w:p>
    <w:p>
      <w:pPr>
        <w:pStyle w:val="BodyText"/>
        <w:spacing w:line="340" w:lineRule="auto"/>
        <w:ind w:right="110" w:firstLine="422"/>
        <w:jc w:val="both"/>
      </w:pPr>
      <w:r>
        <w:rPr/>
        <w:t>（2）统一规划，整合资源，逐步完善与区域卫生信息系统衔接、以电子病历建设和医院管理为重点</w:t>
      </w:r>
      <w:r>
        <w:rPr>
          <w:w w:val="99"/>
        </w:rPr>
        <w:t> </w:t>
      </w:r>
      <w:r>
        <w:rPr>
          <w:w w:val="95"/>
        </w:rPr>
        <w:t>的医院信息化网络，支持医院和医务人员以病人为中心提供协调、连贯、便捷的服务。同时，为公立医院</w:t>
      </w:r>
      <w:r>
        <w:rPr>
          <w:spacing w:val="53"/>
          <w:w w:val="95"/>
        </w:rPr>
        <w:t> </w:t>
      </w:r>
      <w:r>
        <w:rPr>
          <w:spacing w:val="53"/>
          <w:w w:val="95"/>
        </w:rPr>
      </w:r>
      <w:r>
        <w:rPr/>
        <w:t>与基层医疗卫生机构建立上下联动的分工协作机制、建立高效医疗服务监管制度提供技术支持。</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t>（3）推动县级医院与城市三级医院开展远程医学活动，实现远程会诊、远程诊断、远程检查、远程</w:t>
      </w:r>
      <w:r>
        <w:rPr>
          <w:w w:val="99"/>
        </w:rPr>
        <w:t> </w:t>
      </w:r>
      <w:r>
        <w:rPr/>
        <w:t>教育和信息共享，充分发挥优质医疗资源的辐射作用。2011</w:t>
      </w:r>
      <w:r>
        <w:rPr>
          <w:spacing w:val="-78"/>
        </w:rPr>
        <w:t> </w:t>
      </w:r>
      <w:r>
        <w:rPr/>
        <w:t>年完成边远地区</w:t>
      </w:r>
      <w:r>
        <w:rPr>
          <w:spacing w:val="-78"/>
        </w:rPr>
        <w:t> </w:t>
      </w:r>
      <w:r>
        <w:rPr/>
        <w:t>500</w:t>
      </w:r>
      <w:r>
        <w:rPr>
          <w:spacing w:val="-77"/>
        </w:rPr>
        <w:t> </w:t>
      </w:r>
      <w:r>
        <w:rPr/>
        <w:t>所县级医院与城市三级医</w:t>
      </w:r>
      <w:r>
        <w:rPr>
          <w:w w:val="99"/>
        </w:rPr>
        <w:t> </w:t>
      </w:r>
      <w:r>
        <w:rPr/>
        <w:t>院的远程会诊系统建设。</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2011</w:t>
      </w:r>
      <w:r>
        <w:rPr>
          <w:spacing w:val="-71"/>
        </w:rPr>
        <w:t> </w:t>
      </w:r>
      <w:r>
        <w:rPr/>
        <w:t>年</w:t>
      </w:r>
      <w:r>
        <w:rPr>
          <w:spacing w:val="-68"/>
        </w:rPr>
        <w:t> </w:t>
      </w:r>
      <w:r>
        <w:rPr/>
        <w:t>3</w:t>
      </w:r>
      <w:r>
        <w:rPr>
          <w:spacing w:val="-71"/>
        </w:rPr>
        <w:t> </w:t>
      </w:r>
      <w:r>
        <w:rPr/>
        <w:t>月</w:t>
      </w:r>
      <w:r>
        <w:rPr>
          <w:spacing w:val="-68"/>
        </w:rPr>
        <w:t> </w:t>
      </w:r>
      <w:r>
        <w:rPr/>
        <w:t>1-2</w:t>
      </w:r>
      <w:r>
        <w:rPr>
          <w:spacing w:val="-71"/>
        </w:rPr>
        <w:t> </w:t>
      </w:r>
      <w:r>
        <w:rPr/>
        <w:t>日，关于公立医院改革国家联系试点城市信息系统建设项目，卫生部在北京组织召开</w:t>
      </w:r>
    </w:p>
    <w:p>
      <w:pPr>
        <w:pStyle w:val="BodyText"/>
        <w:spacing w:line="240" w:lineRule="auto" w:before="116"/>
        <w:ind w:right="0"/>
        <w:jc w:val="both"/>
      </w:pPr>
      <w:r>
        <w:rPr/>
        <w:t>了</w:t>
      </w:r>
      <w:r>
        <w:rPr>
          <w:spacing w:val="-59"/>
        </w:rPr>
        <w:t> </w:t>
      </w:r>
      <w:r>
        <w:rPr/>
        <w:t>2010</w:t>
      </w:r>
      <w:r>
        <w:rPr>
          <w:spacing w:val="-60"/>
        </w:rPr>
        <w:t> </w:t>
      </w:r>
      <w:r>
        <w:rPr/>
        <w:t>年中央转移支付地方卫生信息化建设项目实施工作会议，会议提出将项目建设资金</w:t>
      </w:r>
      <w:r>
        <w:rPr>
          <w:spacing w:val="-62"/>
        </w:rPr>
        <w:t> </w:t>
      </w:r>
      <w:r>
        <w:rPr/>
        <w:t>3.22</w:t>
      </w:r>
      <w:r>
        <w:rPr>
          <w:spacing w:val="-62"/>
        </w:rPr>
        <w:t> </w:t>
      </w:r>
      <w:r>
        <w:rPr/>
        <w:t>亿作为引</w:t>
      </w:r>
    </w:p>
    <w:p>
      <w:pPr>
        <w:pStyle w:val="BodyText"/>
        <w:spacing w:line="340" w:lineRule="auto" w:before="114"/>
        <w:ind w:right="139"/>
        <w:jc w:val="both"/>
      </w:pPr>
      <w:r>
        <w:rPr/>
        <w:t>导资金，支持</w:t>
      </w:r>
      <w:r>
        <w:rPr>
          <w:spacing w:val="-32"/>
        </w:rPr>
        <w:t> </w:t>
      </w:r>
      <w:r>
        <w:rPr/>
        <w:t>16</w:t>
      </w:r>
      <w:r>
        <w:rPr>
          <w:spacing w:val="-40"/>
        </w:rPr>
        <w:t> </w:t>
      </w:r>
      <w:r>
        <w:rPr/>
        <w:t>个试点城市建立区域卫生信息平台，推进电子病历应用和医院信息化建设，支撑公立医</w:t>
      </w:r>
      <w:r>
        <w:rPr>
          <w:spacing w:val="-100"/>
        </w:rPr>
        <w:t> </w:t>
      </w:r>
      <w:r>
        <w:rPr>
          <w:spacing w:val="-100"/>
        </w:rPr>
      </w:r>
      <w:r>
        <w:rPr/>
        <w:t>院改革建设与发展。后卫生部又增加北京为公立医院改革试点城市。</w:t>
      </w:r>
    </w:p>
    <w:p>
      <w:pPr>
        <w:spacing w:line="240" w:lineRule="auto" w:before="12"/>
        <w:rPr>
          <w:rFonts w:ascii="宋体" w:hAnsi="宋体" w:cs="宋体" w:eastAsia="宋体" w:hint="default"/>
          <w:sz w:val="13"/>
          <w:szCs w:val="13"/>
        </w:rPr>
      </w:pPr>
    </w:p>
    <w:p>
      <w:pPr>
        <w:pStyle w:val="BodyText"/>
        <w:spacing w:line="340" w:lineRule="auto"/>
        <w:ind w:right="112" w:firstLine="422"/>
        <w:jc w:val="both"/>
      </w:pPr>
      <w:r>
        <w:rPr/>
        <w:t>2011</w:t>
      </w:r>
      <w:r>
        <w:rPr>
          <w:spacing w:val="-51"/>
        </w:rPr>
        <w:t> </w:t>
      </w:r>
      <w:r>
        <w:rPr/>
        <w:t>年，全国</w:t>
      </w:r>
      <w:r>
        <w:rPr>
          <w:spacing w:val="-45"/>
        </w:rPr>
        <w:t> </w:t>
      </w:r>
      <w:r>
        <w:rPr/>
        <w:t>17</w:t>
      </w:r>
      <w:r>
        <w:rPr>
          <w:spacing w:val="-51"/>
        </w:rPr>
        <w:t> </w:t>
      </w:r>
      <w:r>
        <w:rPr>
          <w:spacing w:val="2"/>
        </w:rPr>
        <w:t>个国家联系试点城市、37</w:t>
      </w:r>
      <w:r>
        <w:rPr>
          <w:spacing w:val="-51"/>
        </w:rPr>
        <w:t> </w:t>
      </w:r>
      <w:r>
        <w:rPr/>
        <w:t>个省级试点城市和</w:t>
      </w:r>
      <w:r>
        <w:rPr>
          <w:spacing w:val="-41"/>
        </w:rPr>
        <w:t> </w:t>
      </w:r>
      <w:r>
        <w:rPr/>
        <w:t>18</w:t>
      </w:r>
      <w:r>
        <w:rPr>
          <w:spacing w:val="-51"/>
        </w:rPr>
        <w:t> </w:t>
      </w:r>
      <w:r>
        <w:rPr/>
        <w:t>个省</w:t>
      </w:r>
      <w:r>
        <w:rPr>
          <w:spacing w:val="-48"/>
        </w:rPr>
        <w:t> </w:t>
      </w:r>
      <w:r>
        <w:rPr/>
        <w:t>745</w:t>
      </w:r>
      <w:r>
        <w:rPr>
          <w:spacing w:val="-51"/>
        </w:rPr>
        <w:t> </w:t>
      </w:r>
      <w:r>
        <w:rPr/>
        <w:t>家公立医院开展综合改革</w:t>
      </w:r>
      <w:r>
        <w:rPr>
          <w:w w:val="99"/>
        </w:rPr>
        <w:t> </w:t>
      </w:r>
      <w:r>
        <w:rPr>
          <w:w w:val="95"/>
        </w:rPr>
        <w:t>试点。各公立医院以患者需求为出发点，优化服务流程，创新服务形式，积极探索便民惠民服务措施；加</w:t>
      </w:r>
      <w:r>
        <w:rPr>
          <w:spacing w:val="52"/>
          <w:w w:val="95"/>
        </w:rPr>
        <w:t> </w:t>
      </w:r>
      <w:r>
        <w:rPr>
          <w:spacing w:val="52"/>
          <w:w w:val="95"/>
        </w:rPr>
      </w:r>
      <w:r>
        <w:rPr>
          <w:w w:val="95"/>
        </w:rPr>
        <w:t>强医院内部管理，提高医疗服务安全质量；以县级医院和试点城市为重点，探索县域卫生改革和体制机制</w:t>
      </w:r>
      <w:r>
        <w:rPr>
          <w:spacing w:val="51"/>
          <w:w w:val="95"/>
        </w:rPr>
        <w:t> </w:t>
      </w:r>
      <w:r>
        <w:rPr>
          <w:spacing w:val="51"/>
          <w:w w:val="95"/>
        </w:rPr>
      </w:r>
      <w:r>
        <w:rPr/>
        <w:t>综合改革，以实际行动诠释公立医院的公益性。</w:t>
      </w:r>
    </w:p>
    <w:p>
      <w:pPr>
        <w:spacing w:line="240" w:lineRule="auto" w:before="1"/>
        <w:rPr>
          <w:rFonts w:ascii="宋体" w:hAnsi="宋体" w:cs="宋体" w:eastAsia="宋体" w:hint="default"/>
          <w:sz w:val="14"/>
          <w:szCs w:val="14"/>
        </w:rPr>
      </w:pPr>
    </w:p>
    <w:p>
      <w:pPr>
        <w:pStyle w:val="BodyText"/>
        <w:spacing w:line="338" w:lineRule="auto"/>
        <w:ind w:right="127" w:firstLine="422"/>
        <w:jc w:val="both"/>
      </w:pPr>
      <w:r>
        <w:rPr/>
        <w:t>各试点城市都相应制定了相应的医疗信息化政策，在 2011</w:t>
      </w:r>
      <w:r>
        <w:rPr>
          <w:spacing w:val="-61"/>
        </w:rPr>
        <w:t> </w:t>
      </w:r>
      <w:r>
        <w:rPr/>
        <w:t>年已经有部分城市开展了相应的医疗信息</w:t>
      </w:r>
      <w:r>
        <w:rPr>
          <w:w w:val="99"/>
        </w:rPr>
        <w:t> </w:t>
      </w:r>
      <w:r>
        <w:rPr/>
        <w:t>化建设。</w:t>
      </w:r>
    </w:p>
    <w:p>
      <w:pPr>
        <w:pStyle w:val="Heading4"/>
        <w:spacing w:line="240" w:lineRule="auto" w:before="119"/>
        <w:ind w:right="0"/>
        <w:jc w:val="left"/>
        <w:rPr>
          <w:b w:val="0"/>
          <w:bCs w:val="0"/>
        </w:rPr>
      </w:pPr>
      <w:r>
        <w:rPr/>
        <w:t>2、医疗健康信息服务业未来的主要发展趋势</w:t>
      </w:r>
      <w:r>
        <w:rPr>
          <w:b w:val="0"/>
          <w:bCs w:val="0"/>
        </w:rPr>
      </w:r>
    </w:p>
    <w:p>
      <w:pPr>
        <w:pStyle w:val="BodyText"/>
        <w:spacing w:line="548" w:lineRule="exact" w:before="53"/>
        <w:ind w:left="535" w:right="105"/>
        <w:jc w:val="left"/>
      </w:pPr>
      <w:r>
        <w:rPr/>
        <w:t>（1）新医改和医疗健康信息化“十二五”规划进一步刺激市场发展</w:t>
      </w:r>
      <w:r>
        <w:rPr>
          <w:w w:val="99"/>
        </w:rPr>
        <w:t> </w:t>
      </w:r>
      <w:r>
        <w:rPr>
          <w:w w:val="95"/>
        </w:rPr>
        <w:t>结合新医改卫生部进行了卫生信息化的“十二五”规划，规划了信息化的  3521 </w:t>
      </w:r>
      <w:r>
        <w:rPr>
          <w:spacing w:val="29"/>
          <w:w w:val="95"/>
        </w:rPr>
        <w:t> </w:t>
      </w:r>
      <w:r>
        <w:rPr>
          <w:w w:val="95"/>
        </w:rPr>
        <w:t>工程，在具体实施上，</w:t>
      </w:r>
      <w:r>
        <w:rPr/>
      </w:r>
    </w:p>
    <w:p>
      <w:pPr>
        <w:pStyle w:val="BodyText"/>
        <w:spacing w:line="340" w:lineRule="auto" w:before="34"/>
        <w:ind w:right="110"/>
        <w:jc w:val="both"/>
      </w:pPr>
      <w:r>
        <w:rPr>
          <w:w w:val="95"/>
        </w:rPr>
        <w:t>不断出台了诸多的医疗信息化规范、政策及试点项目，包括公立医院改革信息化、关于公立医院改革国家</w:t>
      </w:r>
      <w:r>
        <w:rPr>
          <w:spacing w:val="55"/>
          <w:w w:val="95"/>
        </w:rPr>
        <w:t> </w:t>
      </w:r>
      <w:r>
        <w:rPr>
          <w:spacing w:val="55"/>
          <w:w w:val="95"/>
        </w:rPr>
      </w:r>
      <w:r>
        <w:rPr>
          <w:w w:val="95"/>
        </w:rPr>
        <w:t>联系试点城市信息系统建设项目、中西部地区村卫生室信息化建设项目等，涉及医药信息化、公共卫生信</w:t>
      </w:r>
      <w:r>
        <w:rPr>
          <w:spacing w:val="51"/>
          <w:w w:val="95"/>
        </w:rPr>
        <w:t> </w:t>
      </w:r>
      <w:r>
        <w:rPr>
          <w:spacing w:val="51"/>
          <w:w w:val="95"/>
        </w:rPr>
      </w:r>
      <w:r>
        <w:rPr>
          <w:w w:val="95"/>
        </w:rPr>
        <w:t>息化、区域卫生信息化等方面，加速了行业对医疗信息化产品的需求，进一步刺激我国医疗信息化市场的  </w:t>
      </w:r>
      <w:r>
        <w:rPr>
          <w:spacing w:val="50"/>
          <w:w w:val="95"/>
        </w:rPr>
        <w:t> </w:t>
      </w:r>
      <w:r>
        <w:rPr>
          <w:spacing w:val="50"/>
          <w:w w:val="95"/>
        </w:rPr>
      </w:r>
      <w:r>
        <w:rPr/>
        <w:t>发展。</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（2）用户需求和新技术革新推动行业发展</w:t>
      </w:r>
    </w:p>
    <w:p>
      <w:pPr>
        <w:spacing w:after="0" w:line="240" w:lineRule="auto"/>
        <w:jc w:val="left"/>
        <w:sectPr>
          <w:footerReference w:type="default" r:id="rId17"/>
          <w:pgSz w:w="11910" w:h="16840"/>
          <w:pgMar w:footer="976" w:header="849" w:top="1460" w:bottom="1160" w:left="1020" w:right="1020"/>
          <w:pgNumType w:start="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近年来，互联网技术不断发</w:t>
                      </w:r>
                      <w:r>
                        <w:rPr>
                          <w:rFonts w:ascii="宋体" w:hAnsi="宋体" w:cs="宋体" w:eastAsia="宋体" w:hint="default"/>
                          <w:spacing w:val="9"/>
                          <w:w w:val="99"/>
                          <w:sz w:val="21"/>
                          <w:szCs w:val="21"/>
                        </w:rPr>
                        <w:t>展</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“云计</w:t>
                      </w:r>
                      <w:r>
                        <w:rPr>
                          <w:rFonts w:ascii="宋体" w:hAnsi="宋体" w:cs="宋体" w:eastAsia="宋体" w:hint="default"/>
                          <w:spacing w:val="4"/>
                          <w:w w:val="99"/>
                          <w:sz w:val="21"/>
                          <w:szCs w:val="21"/>
                        </w:rPr>
                        <w:t>算</w:t>
                      </w:r>
                      <w:r>
                        <w:rPr>
                          <w:rFonts w:ascii="宋体" w:hAnsi="宋体" w:cs="宋体" w:eastAsia="宋体" w:hint="default"/>
                          <w:spacing w:val="-101"/>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“移动计</w:t>
                      </w:r>
                      <w:r>
                        <w:rPr>
                          <w:rFonts w:ascii="宋体" w:hAnsi="宋体" w:cs="宋体" w:eastAsia="宋体" w:hint="default"/>
                          <w:spacing w:val="7"/>
                          <w:w w:val="99"/>
                          <w:sz w:val="21"/>
                          <w:szCs w:val="21"/>
                        </w:rPr>
                        <w:t>算</w:t>
                      </w:r>
                      <w:r>
                        <w:rPr>
                          <w:rFonts w:ascii="宋体" w:hAnsi="宋体" w:cs="宋体" w:eastAsia="宋体" w:hint="default"/>
                          <w:spacing w:val="-104"/>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2"/>
                          <w:w w:val="99"/>
                          <w:sz w:val="21"/>
                          <w:szCs w:val="21"/>
                        </w:rPr>
                        <w:t>物联网</w:t>
                      </w:r>
                      <w:r>
                        <w:rPr>
                          <w:rFonts w:ascii="宋体" w:hAnsi="宋体" w:cs="宋体" w:eastAsia="宋体" w:hint="default"/>
                          <w:spacing w:val="-101"/>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4"/>
                          <w:w w:val="99"/>
                          <w:sz w:val="21"/>
                          <w:szCs w:val="21"/>
                        </w:rPr>
                        <w:t>“</w:t>
                      </w:r>
                      <w:r>
                        <w:rPr>
                          <w:rFonts w:ascii="宋体" w:hAnsi="宋体" w:cs="宋体" w:eastAsia="宋体" w:hint="default"/>
                          <w:spacing w:val="2"/>
                          <w:w w:val="99"/>
                          <w:sz w:val="21"/>
                          <w:szCs w:val="21"/>
                        </w:rPr>
                        <w:t>大数据</w:t>
                      </w:r>
                      <w:r>
                        <w:rPr>
                          <w:rFonts w:ascii="宋体" w:hAnsi="宋体" w:cs="宋体" w:eastAsia="宋体" w:hint="default"/>
                          <w:spacing w:val="4"/>
                          <w:w w:val="99"/>
                          <w:sz w:val="21"/>
                          <w:szCs w:val="21"/>
                        </w:rPr>
                        <w:t>”</w:t>
                      </w:r>
                      <w:r>
                        <w:rPr>
                          <w:rFonts w:ascii="宋体" w:hAnsi="宋体" w:cs="宋体" w:eastAsia="宋体" w:hint="default"/>
                          <w:spacing w:val="2"/>
                          <w:w w:val="99"/>
                          <w:sz w:val="21"/>
                          <w:szCs w:val="21"/>
                        </w:rPr>
                        <w:t>等互联网新技术也</w:t>
                      </w:r>
                      <w:r>
                        <w:rPr>
                          <w:rFonts w:ascii="宋体" w:hAnsi="宋体" w:cs="宋体" w:eastAsia="宋体" w:hint="default"/>
                          <w:w w:val="99"/>
                          <w:sz w:val="21"/>
                          <w:szCs w:val="21"/>
                        </w:rPr>
                        <w:t>在</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0"/>
        <w:jc w:val="left"/>
      </w:pPr>
      <w:r>
        <w:rPr>
          <w:spacing w:val="-1"/>
          <w:w w:val="99"/>
        </w:rPr>
        <w:t>不断的得到应用，“十二五”期间，随着我国信息化水平的不断提高，由技术进步带来的新应用将推动医</w:t>
      </w:r>
      <w:r>
        <w:rPr>
          <w:spacing w:val="-65"/>
          <w:w w:val="99"/>
        </w:rPr>
        <w:t> </w:t>
      </w:r>
      <w:r>
        <w:rPr>
          <w:spacing w:val="-65"/>
          <w:w w:val="99"/>
        </w:rPr>
      </w:r>
      <w:r>
        <w:rPr/>
        <w:t>疗信息化的产品和服务不断创新，大幅拓宽行业的市场空间。</w:t>
      </w:r>
    </w:p>
    <w:p>
      <w:pPr>
        <w:spacing w:line="240" w:lineRule="auto" w:before="1"/>
        <w:rPr>
          <w:rFonts w:ascii="宋体" w:hAnsi="宋体" w:cs="宋体" w:eastAsia="宋体" w:hint="default"/>
          <w:sz w:val="14"/>
          <w:szCs w:val="14"/>
        </w:rPr>
      </w:pPr>
    </w:p>
    <w:p>
      <w:pPr>
        <w:pStyle w:val="BodyText"/>
        <w:spacing w:line="338" w:lineRule="auto"/>
        <w:ind w:right="110" w:firstLine="422"/>
        <w:jc w:val="both"/>
      </w:pPr>
      <w:r>
        <w:rPr>
          <w:w w:val="95"/>
        </w:rPr>
        <w:t>与此同时，随着市场的不断发展和成熟，用户需求多元化的特征进一步凸显，鉴于“用户为王”的行</w:t>
      </w:r>
      <w:r>
        <w:rPr>
          <w:spacing w:val="-93"/>
          <w:w w:val="95"/>
        </w:rPr>
        <w:t> </w:t>
      </w:r>
      <w:r>
        <w:rPr>
          <w:spacing w:val="-93"/>
          <w:w w:val="95"/>
        </w:rPr>
      </w:r>
      <w:r>
        <w:rPr>
          <w:w w:val="95"/>
        </w:rPr>
        <w:t>业本质，服务产品的内容和形式也将多元化，与新技术新应用相结合的产品和服务将不断涌现，以适应市</w:t>
      </w:r>
      <w:r>
        <w:rPr>
          <w:spacing w:val="53"/>
          <w:w w:val="95"/>
        </w:rPr>
        <w:t> </w:t>
      </w:r>
      <w:r>
        <w:rPr>
          <w:spacing w:val="53"/>
          <w:w w:val="95"/>
        </w:rPr>
      </w:r>
      <w:r>
        <w:rPr/>
        <w:t>场新形势满足用户需求的变化。</w:t>
      </w:r>
    </w:p>
    <w:p>
      <w:pPr>
        <w:spacing w:line="240" w:lineRule="auto" w:before="3"/>
        <w:rPr>
          <w:rFonts w:ascii="宋体" w:hAnsi="宋体" w:cs="宋体" w:eastAsia="宋体" w:hint="default"/>
          <w:sz w:val="14"/>
          <w:szCs w:val="14"/>
        </w:rPr>
      </w:pPr>
    </w:p>
    <w:p>
      <w:pPr>
        <w:pStyle w:val="BodyText"/>
        <w:spacing w:line="338" w:lineRule="auto"/>
        <w:ind w:right="112" w:firstLine="422"/>
        <w:jc w:val="both"/>
      </w:pPr>
      <w:r>
        <w:rPr/>
        <w:t>这主要包括</w:t>
      </w:r>
      <w:r>
        <w:rPr>
          <w:spacing w:val="-71"/>
        </w:rPr>
        <w:t> </w:t>
      </w:r>
      <w:r>
        <w:rPr/>
        <w:t>SaaS/应用商店模式的医疗软件，基于</w:t>
      </w:r>
      <w:r>
        <w:rPr>
          <w:spacing w:val="-69"/>
        </w:rPr>
        <w:t> </w:t>
      </w:r>
      <w:r>
        <w:rPr>
          <w:spacing w:val="-3"/>
        </w:rPr>
        <w:t>iPad、iPhone</w:t>
      </w:r>
      <w:r>
        <w:rPr>
          <w:spacing w:val="-69"/>
        </w:rPr>
        <w:t> </w:t>
      </w:r>
      <w:r>
        <w:rPr/>
        <w:t>等设备的移动医疗、大数据分析处理</w:t>
      </w:r>
      <w:r>
        <w:rPr>
          <w:w w:val="99"/>
        </w:rPr>
        <w:t> </w:t>
      </w:r>
      <w:r>
        <w:rPr/>
        <w:t>系统、临床决策系统等内容。</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（3）无线移动医疗发展潜力进一步凸显</w:t>
      </w:r>
    </w:p>
    <w:p>
      <w:pPr>
        <w:spacing w:line="240" w:lineRule="auto" w:before="11"/>
        <w:rPr>
          <w:rFonts w:ascii="宋体" w:hAnsi="宋体" w:cs="宋体" w:eastAsia="宋体" w:hint="default"/>
          <w:sz w:val="20"/>
          <w:szCs w:val="20"/>
        </w:rPr>
      </w:pPr>
    </w:p>
    <w:p>
      <w:pPr>
        <w:pStyle w:val="BodyText"/>
        <w:spacing w:line="340" w:lineRule="auto"/>
        <w:ind w:right="110" w:firstLine="422"/>
        <w:jc w:val="both"/>
      </w:pPr>
      <w:r>
        <w:rPr>
          <w:w w:val="95"/>
        </w:rPr>
        <w:t>随着无线互联网技术和移动通信技术的不断革新，手机等无线终端已经逐步突破了上网速度慢等技术</w:t>
      </w:r>
      <w:r>
        <w:rPr>
          <w:spacing w:val="-93"/>
          <w:w w:val="95"/>
        </w:rPr>
        <w:t> </w:t>
      </w:r>
      <w:r>
        <w:rPr>
          <w:spacing w:val="-93"/>
          <w:w w:val="95"/>
        </w:rPr>
      </w:r>
      <w:r>
        <w:rPr>
          <w:w w:val="95"/>
        </w:rPr>
        <w:t>瓶颈，智能手机、平板电脑、超级本等成为新趋势，为这些智能无线终端量身打造的产品和服务得到了良</w:t>
      </w:r>
      <w:r>
        <w:rPr>
          <w:spacing w:val="52"/>
          <w:w w:val="95"/>
        </w:rPr>
        <w:t> </w:t>
      </w:r>
      <w:r>
        <w:rPr>
          <w:spacing w:val="52"/>
          <w:w w:val="95"/>
        </w:rPr>
      </w:r>
      <w:r>
        <w:rPr>
          <w:w w:val="95"/>
        </w:rPr>
        <w:t>好的应用与普及，使得用户能够突破电脑终端的限制，充分利用更多的碎片化的时间，随时随地使用产品</w:t>
      </w:r>
      <w:r>
        <w:rPr>
          <w:spacing w:val="55"/>
          <w:w w:val="95"/>
        </w:rPr>
        <w:t> </w:t>
      </w:r>
      <w:r>
        <w:rPr>
          <w:spacing w:val="55"/>
          <w:w w:val="95"/>
        </w:rPr>
      </w:r>
      <w:r>
        <w:rPr/>
        <w:t>或者接受服务，更大程度地满足了用户对医疗健康资讯、信息和服务及时性需求，用户体验大大增强。</w:t>
      </w:r>
    </w:p>
    <w:p>
      <w:pPr>
        <w:spacing w:line="240" w:lineRule="auto" w:before="12"/>
        <w:rPr>
          <w:rFonts w:ascii="宋体" w:hAnsi="宋体" w:cs="宋体" w:eastAsia="宋体" w:hint="default"/>
          <w:sz w:val="13"/>
          <w:szCs w:val="13"/>
        </w:rPr>
      </w:pPr>
    </w:p>
    <w:p>
      <w:pPr>
        <w:pStyle w:val="BodyText"/>
        <w:spacing w:line="340" w:lineRule="auto"/>
        <w:ind w:right="111" w:firstLine="422"/>
        <w:jc w:val="both"/>
      </w:pPr>
      <w:r>
        <w:rPr>
          <w:spacing w:val="-2"/>
          <w:w w:val="95"/>
        </w:rPr>
        <w:t>目前，移动医疗服务以其及时性、便捷性等优势已经成为医疗信息服务的最佳互补和新的平台。未来，</w:t>
      </w:r>
      <w:r>
        <w:rPr>
          <w:w w:val="49"/>
        </w:rPr>
        <w:t> </w:t>
      </w:r>
      <w:r>
        <w:rPr/>
        <w:t>移动医疗服务将可能进一步实现大规模普及和增长，为医疗信息化行业提供极具潜力的增长点。</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w w:val="95"/>
        </w:rPr>
        <w:t>主要产品涉及面向医护人员的无线医生站、无线护理、无线药品管理、无线健康随访、面向居民的无</w:t>
      </w:r>
      <w:r>
        <w:rPr>
          <w:spacing w:val="-91"/>
          <w:w w:val="95"/>
        </w:rPr>
        <w:t> </w:t>
      </w:r>
      <w:r>
        <w:rPr>
          <w:spacing w:val="-91"/>
          <w:w w:val="95"/>
        </w:rPr>
      </w:r>
      <w:r>
        <w:rPr/>
        <w:t>线医疗资讯、无线医疗协同、无线医疗服务等。</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（4）大数据分析及智慧医疗应用空间无限</w:t>
      </w:r>
    </w:p>
    <w:p>
      <w:pPr>
        <w:spacing w:line="240" w:lineRule="auto" w:before="11"/>
        <w:rPr>
          <w:rFonts w:ascii="宋体" w:hAnsi="宋体" w:cs="宋体" w:eastAsia="宋体" w:hint="default"/>
          <w:sz w:val="20"/>
          <w:szCs w:val="20"/>
        </w:rPr>
      </w:pPr>
    </w:p>
    <w:p>
      <w:pPr>
        <w:pStyle w:val="BodyText"/>
        <w:spacing w:line="340" w:lineRule="auto"/>
        <w:ind w:right="112" w:firstLine="422"/>
        <w:jc w:val="both"/>
      </w:pPr>
      <w:r>
        <w:rPr/>
        <w:t>医疗行业经过 20</w:t>
      </w:r>
      <w:r>
        <w:rPr>
          <w:spacing w:val="-78"/>
        </w:rPr>
        <w:t> </w:t>
      </w:r>
      <w:r>
        <w:rPr/>
        <w:t>多年的发展，特别是大型三级医院、区域医疗的数据中心，积累了大量的数据，这</w:t>
      </w:r>
      <w:r>
        <w:rPr>
          <w:w w:val="99"/>
        </w:rPr>
        <w:t> </w:t>
      </w:r>
      <w:r>
        <w:rPr>
          <w:w w:val="95"/>
        </w:rPr>
        <w:t>些数据具有数据量大、数据类型多、蕴含巨大价值、要求实时性强等大数据特点，是典型的大数据中心，</w:t>
      </w:r>
      <w:r>
        <w:rPr>
          <w:spacing w:val="51"/>
          <w:w w:val="95"/>
        </w:rPr>
        <w:t> </w:t>
      </w:r>
      <w:r>
        <w:rPr>
          <w:spacing w:val="51"/>
          <w:w w:val="95"/>
        </w:rPr>
      </w:r>
      <w:r>
        <w:rPr>
          <w:w w:val="95"/>
        </w:rPr>
        <w:t>对这些大数据的深入挖掘、分析和利用，具有巨大的医学意义和社会意义，能够产生非常多的能够提升科</w:t>
      </w:r>
      <w:r>
        <w:rPr>
          <w:spacing w:val="52"/>
          <w:w w:val="95"/>
        </w:rPr>
        <w:t> </w:t>
      </w:r>
      <w:r>
        <w:rPr>
          <w:spacing w:val="52"/>
          <w:w w:val="95"/>
        </w:rPr>
      </w:r>
      <w:r>
        <w:rPr/>
        <w:t>研、智能决策的分析应用，其应用空间和市场前景无限。</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（5）未来行业存在兼并收购和上下游延伸发展的需求和可能</w:t>
      </w:r>
    </w:p>
    <w:p>
      <w:pPr>
        <w:spacing w:line="240" w:lineRule="auto" w:before="11"/>
        <w:rPr>
          <w:rFonts w:ascii="宋体" w:hAnsi="宋体" w:cs="宋体" w:eastAsia="宋体" w:hint="default"/>
          <w:sz w:val="20"/>
          <w:szCs w:val="20"/>
        </w:rPr>
      </w:pPr>
    </w:p>
    <w:p>
      <w:pPr>
        <w:pStyle w:val="BodyText"/>
        <w:spacing w:line="340" w:lineRule="auto"/>
        <w:ind w:right="110" w:firstLine="422"/>
        <w:jc w:val="both"/>
      </w:pPr>
      <w:r>
        <w:rPr>
          <w:w w:val="95"/>
        </w:rPr>
        <w:t>从行业发展来看，医疗健康信息化行业还处于发展初级阶段，大量的国内公司在从事这个行业，市场</w:t>
      </w:r>
      <w:r>
        <w:rPr>
          <w:spacing w:val="-92"/>
          <w:w w:val="95"/>
        </w:rPr>
        <w:t> </w:t>
      </w:r>
      <w:r>
        <w:rPr>
          <w:spacing w:val="-92"/>
          <w:w w:val="95"/>
        </w:rPr>
      </w:r>
      <w:r>
        <w:rPr>
          <w:w w:val="95"/>
        </w:rPr>
        <w:t>极其分散，随着医疗体制改革，医疗信息化行业将进一步飞速发展，对外开放程度将不断提高，国内外市</w:t>
      </w:r>
      <w:r>
        <w:rPr>
          <w:spacing w:val="54"/>
          <w:w w:val="95"/>
        </w:rPr>
        <w:t> </w:t>
      </w:r>
      <w:r>
        <w:rPr>
          <w:spacing w:val="54"/>
          <w:w w:val="95"/>
        </w:rPr>
      </w:r>
      <w:r>
        <w:rPr>
          <w:w w:val="95"/>
        </w:rPr>
        <w:t>场参与者不断增加，竞争也将越来越激烈，现存的产品同质且不具有核心竞争力的服务商，将随着投资者</w:t>
      </w:r>
      <w:r>
        <w:rPr>
          <w:spacing w:val="52"/>
          <w:w w:val="95"/>
        </w:rPr>
        <w:t> </w:t>
      </w:r>
      <w:r>
        <w:rPr>
          <w:spacing w:val="52"/>
          <w:w w:val="95"/>
        </w:rPr>
      </w:r>
      <w:r>
        <w:rPr>
          <w:w w:val="95"/>
        </w:rPr>
        <w:t>个性化要求而逐步退出市场，而一些产品互补的服务提供商也可能相互融合，行业存在横向、上下游兼并</w:t>
      </w:r>
      <w:r>
        <w:rPr>
          <w:spacing w:val="51"/>
          <w:w w:val="95"/>
        </w:rPr>
        <w:t> </w:t>
      </w:r>
      <w:r>
        <w:rPr>
          <w:spacing w:val="51"/>
          <w:w w:val="95"/>
        </w:rPr>
      </w:r>
      <w:r>
        <w:rPr/>
        <w:t>收购及延伸发展的需求和可能。</w:t>
      </w:r>
    </w:p>
    <w:p>
      <w:pPr>
        <w:pStyle w:val="Heading4"/>
        <w:spacing w:line="357" w:lineRule="auto" w:before="115"/>
        <w:ind w:right="4061"/>
        <w:jc w:val="left"/>
        <w:rPr>
          <w:b w:val="0"/>
          <w:bCs w:val="0"/>
        </w:rPr>
      </w:pPr>
      <w:r>
        <w:rPr/>
        <w:t>（二）公司的主要竞争优势、面临的主要困难及市场格局</w:t>
      </w:r>
      <w:r>
        <w:rPr>
          <w:w w:val="99"/>
        </w:rPr>
        <w:t> </w:t>
      </w:r>
      <w:r>
        <w:rPr/>
        <w:t>1、主要竞争优势</w:t>
      </w:r>
      <w:r>
        <w:rPr>
          <w:b w:val="0"/>
          <w:bCs w:val="0"/>
        </w:rPr>
      </w:r>
    </w:p>
    <w:p>
      <w:pPr>
        <w:spacing w:after="0" w:line="357" w:lineRule="auto"/>
        <w:jc w:val="left"/>
        <w:sectPr>
          <w:pgSz w:w="11910" w:h="16840"/>
          <w:pgMar w:header="849" w:footer="976" w:top="1460" w:bottom="1160" w:left="1020" w:right="1020"/>
        </w:sectPr>
      </w:pPr>
    </w:p>
    <w:p>
      <w:pPr>
        <w:spacing w:line="240" w:lineRule="auto" w:before="0"/>
        <w:rPr>
          <w:rFonts w:ascii="Microsoft JhengHei" w:hAnsi="Microsoft JhengHei" w:cs="Microsoft JhengHei" w:eastAsia="Microsoft JhengHei" w:hint="default"/>
          <w:b/>
          <w:bCs/>
          <w:sz w:val="2"/>
          <w:szCs w:val="2"/>
        </w:rPr>
      </w:pPr>
    </w:p>
    <w:p>
      <w:pPr>
        <w:spacing w:line="326"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（1）领先的行业地位和提供整体解决方案的能力</w:t>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1"/>
        <w:rPr>
          <w:rFonts w:ascii="Microsoft JhengHei" w:hAnsi="Microsoft JhengHei" w:cs="Microsoft JhengHei" w:eastAsia="Microsoft JhengHei" w:hint="default"/>
          <w:b/>
          <w:bCs/>
          <w:sz w:val="13"/>
          <w:szCs w:val="13"/>
        </w:rPr>
      </w:pPr>
    </w:p>
    <w:p>
      <w:pPr>
        <w:pStyle w:val="BodyText"/>
        <w:spacing w:line="340" w:lineRule="auto" w:before="34"/>
        <w:ind w:right="110" w:firstLine="422"/>
        <w:jc w:val="both"/>
      </w:pPr>
      <w:r>
        <w:rPr>
          <w:w w:val="95"/>
        </w:rPr>
        <w:t>公司在医疗卫生信息化行业定位于以医疗卫生领域应用软件的研究开发、销售和技术服务为主，并为</w:t>
      </w:r>
      <w:r>
        <w:rPr>
          <w:spacing w:val="-93"/>
          <w:w w:val="95"/>
        </w:rPr>
        <w:t> </w:t>
      </w:r>
      <w:r>
        <w:rPr>
          <w:spacing w:val="-93"/>
          <w:w w:val="95"/>
        </w:rPr>
      </w:r>
      <w:r>
        <w:rPr>
          <w:spacing w:val="3"/>
        </w:rPr>
        <w:t>医疗卫生行业信息化提供整体解决方案的软件企业。公司产品涵盖了医院系统和公共卫生领域的众多系</w:t>
      </w:r>
      <w:r>
        <w:rPr>
          <w:w w:val="99"/>
        </w:rPr>
        <w:t> </w:t>
      </w:r>
      <w:r>
        <w:rPr>
          <w:w w:val="95"/>
        </w:rPr>
        <w:t>统，报告期内公司进一步拓展产品和解决方案，实现产品向深度和广度延伸，并成熟应用于各类医疗机构</w:t>
      </w:r>
      <w:r>
        <w:rPr>
          <w:spacing w:val="53"/>
          <w:w w:val="95"/>
        </w:rPr>
        <w:t> </w:t>
      </w:r>
      <w:r>
        <w:rPr>
          <w:spacing w:val="53"/>
          <w:w w:val="95"/>
        </w:rPr>
      </w:r>
      <w:r>
        <w:rPr>
          <w:spacing w:val="1"/>
          <w:w w:val="99"/>
        </w:rPr>
        <w:t>和卫生管理机构。自</w:t>
      </w:r>
      <w:r>
        <w:rPr>
          <w:spacing w:val="-33"/>
          <w:w w:val="99"/>
        </w:rPr>
        <w:t> </w:t>
      </w:r>
      <w:r>
        <w:rPr>
          <w:w w:val="99"/>
        </w:rPr>
        <w:t>2009</w:t>
      </w:r>
      <w:r>
        <w:rPr>
          <w:spacing w:val="-40"/>
          <w:w w:val="99"/>
        </w:rPr>
        <w:t> </w:t>
      </w:r>
      <w:r>
        <w:rPr>
          <w:spacing w:val="-4"/>
          <w:w w:val="99"/>
        </w:rPr>
        <w:t>年以来，公司陆续中标“湖南省卫生厅社区卫生信息化项目”、“浦东新区区域</w:t>
      </w:r>
      <w:r>
        <w:rPr>
          <w:spacing w:val="-100"/>
          <w:w w:val="99"/>
        </w:rPr>
        <w:t> </w:t>
      </w:r>
      <w:r>
        <w:rPr>
          <w:spacing w:val="-100"/>
          <w:w w:val="99"/>
        </w:rPr>
      </w:r>
      <w:r>
        <w:rPr>
          <w:spacing w:val="-13"/>
          <w:w w:val="99"/>
        </w:rPr>
        <w:t>医疗信息化项目”、“奉贤区区域医疗信息化项目”、“金山区区域医疗信息化项目”、“湖北省鄂州市区域卫</w:t>
      </w:r>
      <w:r>
        <w:rPr>
          <w:spacing w:val="-73"/>
          <w:w w:val="99"/>
        </w:rPr>
        <w:t> </w:t>
      </w:r>
      <w:r>
        <w:rPr>
          <w:spacing w:val="-73"/>
          <w:w w:val="99"/>
        </w:rPr>
      </w:r>
      <w:r>
        <w:rPr>
          <w:w w:val="95"/>
        </w:rPr>
        <w:t>生信息化项目”等医疗卫生领域大型综合信息化项目，体现了公司在行业内领先的整体解决方案能力和综</w:t>
      </w:r>
      <w:r>
        <w:rPr>
          <w:spacing w:val="52"/>
          <w:w w:val="95"/>
        </w:rPr>
        <w:t> </w:t>
      </w:r>
      <w:r>
        <w:rPr>
          <w:spacing w:val="52"/>
          <w:w w:val="95"/>
        </w:rPr>
      </w:r>
      <w:r>
        <w:rPr/>
        <w:t>合实力。</w:t>
      </w:r>
    </w:p>
    <w:p>
      <w:pPr>
        <w:spacing w:line="240" w:lineRule="auto" w:before="1"/>
        <w:rPr>
          <w:rFonts w:ascii="宋体" w:hAnsi="宋体" w:cs="宋体" w:eastAsia="宋体" w:hint="default"/>
          <w:sz w:val="14"/>
          <w:szCs w:val="14"/>
        </w:rPr>
      </w:pPr>
    </w:p>
    <w:p>
      <w:pPr>
        <w:pStyle w:val="BodyText"/>
        <w:spacing w:line="340" w:lineRule="auto"/>
        <w:ind w:right="112" w:firstLine="422"/>
        <w:jc w:val="both"/>
      </w:pPr>
      <w:r>
        <w:rPr>
          <w:w w:val="95"/>
        </w:rPr>
        <w:t>依托完备的产品线，丰富的项目运作能力和突出的研发实力，公司成为国内领先的为实现医疗卫生领</w:t>
      </w:r>
      <w:r>
        <w:rPr>
          <w:spacing w:val="-93"/>
          <w:w w:val="95"/>
        </w:rPr>
        <w:t> </w:t>
      </w:r>
      <w:r>
        <w:rPr>
          <w:spacing w:val="-93"/>
          <w:w w:val="95"/>
        </w:rPr>
      </w:r>
      <w:r>
        <w:rPr>
          <w:w w:val="95"/>
        </w:rPr>
        <w:t>域全方位的信息化管理提供完整解决方案的主要软件商之一。公司在医疗卫生软件行业具有较高的知名度</w:t>
      </w:r>
      <w:r>
        <w:rPr>
          <w:spacing w:val="52"/>
          <w:w w:val="95"/>
        </w:rPr>
        <w:t> </w:t>
      </w:r>
      <w:r>
        <w:rPr>
          <w:spacing w:val="52"/>
          <w:w w:val="95"/>
        </w:rPr>
      </w:r>
      <w:r>
        <w:rPr/>
        <w:t>和行业地位。2011</w:t>
      </w:r>
      <w:r>
        <w:rPr>
          <w:spacing w:val="-60"/>
        </w:rPr>
        <w:t> </w:t>
      </w:r>
      <w:r>
        <w:rPr/>
        <w:t>年公司成功上市，行业地位和品牌影响力得到进一步提高。</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t>（2）丰富的技术积累和复合型人才储备优势</w:t>
      </w:r>
    </w:p>
    <w:p>
      <w:pPr>
        <w:spacing w:line="240" w:lineRule="auto" w:before="8"/>
        <w:rPr>
          <w:rFonts w:ascii="宋体" w:hAnsi="宋体" w:cs="宋体" w:eastAsia="宋体" w:hint="default"/>
          <w:sz w:val="20"/>
          <w:szCs w:val="20"/>
        </w:rPr>
      </w:pPr>
    </w:p>
    <w:p>
      <w:pPr>
        <w:pStyle w:val="BodyText"/>
        <w:spacing w:line="338" w:lineRule="auto"/>
        <w:ind w:right="148" w:firstLine="422"/>
        <w:jc w:val="both"/>
      </w:pPr>
      <w:r>
        <w:rPr>
          <w:spacing w:val="3"/>
        </w:rPr>
        <w:t>医疗信息系统自身的复杂性以及其作为涉及民生健康的行业特质，要求开发人员具备丰富的行业经</w:t>
      </w:r>
      <w:r>
        <w:rPr>
          <w:w w:val="99"/>
        </w:rPr>
        <w:t> </w:t>
      </w:r>
      <w:r>
        <w:rPr/>
        <w:t>验、复合的知识结构以及技术积累。</w:t>
      </w:r>
    </w:p>
    <w:p>
      <w:pPr>
        <w:spacing w:line="240" w:lineRule="auto" w:before="3"/>
        <w:rPr>
          <w:rFonts w:ascii="宋体" w:hAnsi="宋体" w:cs="宋体" w:eastAsia="宋体" w:hint="default"/>
          <w:sz w:val="14"/>
          <w:szCs w:val="14"/>
        </w:rPr>
      </w:pPr>
    </w:p>
    <w:p>
      <w:pPr>
        <w:pStyle w:val="BodyText"/>
        <w:spacing w:line="340" w:lineRule="auto"/>
        <w:ind w:right="110" w:firstLine="422"/>
        <w:jc w:val="both"/>
      </w:pPr>
      <w:r>
        <w:rPr>
          <w:w w:val="95"/>
        </w:rPr>
        <w:t>本公司设立以来一直坚持研发优先和人才优先战略，重视自主研发、技术积累和优秀人才储备。目前</w:t>
      </w:r>
      <w:r>
        <w:rPr>
          <w:spacing w:val="-92"/>
          <w:w w:val="95"/>
        </w:rPr>
        <w:t> </w:t>
      </w:r>
      <w:r>
        <w:rPr>
          <w:spacing w:val="-92"/>
          <w:w w:val="95"/>
        </w:rPr>
      </w:r>
      <w:r>
        <w:rPr/>
        <w:t>公司拥有多项核心技术和全部产品的自主知识产权，在同行业中具有一定的技术领先优势。在</w:t>
      </w:r>
      <w:r>
        <w:rPr>
          <w:spacing w:val="-4"/>
        </w:rPr>
        <w:t> </w:t>
      </w:r>
      <w:r>
        <w:rPr/>
        <w:t>2007</w:t>
      </w:r>
      <w:r>
        <w:rPr>
          <w:spacing w:val="-42"/>
        </w:rPr>
        <w:t> </w:t>
      </w:r>
      <w:r>
        <w:rPr/>
        <w:t>年国</w:t>
      </w:r>
      <w:r>
        <w:rPr>
          <w:spacing w:val="-100"/>
        </w:rPr>
        <w:t> </w:t>
      </w:r>
      <w:r>
        <w:rPr>
          <w:spacing w:val="-100"/>
        </w:rPr>
      </w:r>
      <w:r>
        <w:rPr/>
        <w:t>内首届</w:t>
      </w:r>
      <w:r>
        <w:rPr>
          <w:spacing w:val="-51"/>
        </w:rPr>
        <w:t> </w:t>
      </w:r>
      <w:r>
        <w:rPr/>
        <w:t>IHE</w:t>
      </w:r>
      <w:r>
        <w:rPr>
          <w:spacing w:val="-54"/>
        </w:rPr>
        <w:t> </w:t>
      </w:r>
      <w:r>
        <w:rPr/>
        <w:t>医疗信息系统互联测试中，成为唯一通过测试的国内医疗软件企业；在</w:t>
      </w:r>
      <w:r>
        <w:rPr>
          <w:spacing w:val="-30"/>
        </w:rPr>
        <w:t> </w:t>
      </w:r>
      <w:r>
        <w:rPr/>
        <w:t>2008</w:t>
      </w:r>
      <w:r>
        <w:rPr>
          <w:spacing w:val="-57"/>
        </w:rPr>
        <w:t> </w:t>
      </w:r>
      <w:r>
        <w:rPr/>
        <w:t>年、2009</w:t>
      </w:r>
      <w:r>
        <w:rPr>
          <w:spacing w:val="-54"/>
        </w:rPr>
        <w:t> </w:t>
      </w:r>
      <w:r>
        <w:rPr/>
        <w:t>年测试</w:t>
      </w:r>
      <w:r>
        <w:rPr>
          <w:w w:val="99"/>
        </w:rPr>
        <w:t> </w:t>
      </w:r>
      <w:r>
        <w:rPr/>
        <w:t>中又成为通过项目数量最多的医疗软件公司。</w:t>
      </w:r>
    </w:p>
    <w:p>
      <w:pPr>
        <w:spacing w:line="240" w:lineRule="auto" w:before="1"/>
        <w:rPr>
          <w:rFonts w:ascii="宋体" w:hAnsi="宋体" w:cs="宋体" w:eastAsia="宋体" w:hint="default"/>
          <w:sz w:val="14"/>
          <w:szCs w:val="14"/>
        </w:rPr>
      </w:pPr>
    </w:p>
    <w:p>
      <w:pPr>
        <w:pStyle w:val="BodyText"/>
        <w:spacing w:line="340" w:lineRule="auto"/>
        <w:ind w:right="112" w:firstLine="422"/>
        <w:jc w:val="both"/>
      </w:pPr>
      <w:r>
        <w:rPr>
          <w:w w:val="95"/>
        </w:rPr>
        <w:t>本公司核心团队长期服务于医疗卫生行业的信息化工作，对医疗卫生行业的管理模式、业务流程等有</w:t>
      </w:r>
      <w:r>
        <w:rPr>
          <w:spacing w:val="-93"/>
          <w:w w:val="95"/>
        </w:rPr>
        <w:t> </w:t>
      </w:r>
      <w:r>
        <w:rPr>
          <w:spacing w:val="-93"/>
          <w:w w:val="95"/>
        </w:rPr>
      </w:r>
      <w:r>
        <w:rPr/>
        <w:t>长期、深入、全面的理解，公司长期以来培养了一支融合了</w:t>
      </w:r>
      <w:r>
        <w:rPr>
          <w:spacing w:val="-18"/>
        </w:rPr>
        <w:t> </w:t>
      </w:r>
      <w:r>
        <w:rPr/>
        <w:t>IT</w:t>
      </w:r>
      <w:r>
        <w:rPr>
          <w:spacing w:val="-41"/>
        </w:rPr>
        <w:t> </w:t>
      </w:r>
      <w:r>
        <w:rPr/>
        <w:t>技术、医疗卫生知识及行业管理经验的复</w:t>
      </w:r>
      <w:r>
        <w:rPr>
          <w:spacing w:val="-99"/>
        </w:rPr>
        <w:t> </w:t>
      </w:r>
      <w:r>
        <w:rPr>
          <w:spacing w:val="-99"/>
        </w:rPr>
      </w:r>
      <w:r>
        <w:rPr/>
        <w:t>合型人才队伍，对于高度复杂的医院信息系统开发具有持续的创新能力。</w:t>
      </w:r>
    </w:p>
    <w:p>
      <w:pPr>
        <w:spacing w:line="240" w:lineRule="auto" w:before="1"/>
        <w:rPr>
          <w:rFonts w:ascii="宋体" w:hAnsi="宋体" w:cs="宋体" w:eastAsia="宋体" w:hint="default"/>
          <w:sz w:val="14"/>
          <w:szCs w:val="14"/>
        </w:rPr>
      </w:pPr>
    </w:p>
    <w:p>
      <w:pPr>
        <w:pStyle w:val="BodyText"/>
        <w:spacing w:line="338" w:lineRule="auto"/>
        <w:ind w:right="136" w:firstLine="422"/>
        <w:jc w:val="both"/>
      </w:pPr>
      <w:r>
        <w:rPr/>
        <w:t>报告期内，公司取得了 25</w:t>
      </w:r>
      <w:r>
        <w:rPr>
          <w:spacing w:val="-71"/>
        </w:rPr>
        <w:t> </w:t>
      </w:r>
      <w:r>
        <w:rPr/>
        <w:t>项软件著作权，涉及医院管理信息化新产品、医院临床信息化、医院医技</w:t>
      </w:r>
      <w:r>
        <w:rPr>
          <w:w w:val="99"/>
        </w:rPr>
        <w:t> </w:t>
      </w:r>
      <w:r>
        <w:rPr/>
        <w:t>信息化、区域医疗等方面，并不断扩大复合型人才的锻炼、培养和考核机制。</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（3）持续的创新能力</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w w:val="95"/>
        </w:rPr>
        <w:t>本公司高度重视创新能力，坚持通过技术创新——产品创新——业务创新的循环传导体系，不断丰富</w:t>
      </w:r>
      <w:r>
        <w:rPr>
          <w:spacing w:val="-93"/>
          <w:w w:val="95"/>
        </w:rPr>
        <w:t> </w:t>
      </w:r>
      <w:r>
        <w:rPr>
          <w:spacing w:val="-93"/>
          <w:w w:val="95"/>
        </w:rPr>
      </w:r>
      <w:r>
        <w:rPr>
          <w:w w:val="95"/>
        </w:rPr>
        <w:t>完善技术、产品和创新业务模式，引领市场发展。公司设立以来不断推出新的技术和产品，在市场上率先</w:t>
      </w:r>
      <w:r>
        <w:rPr>
          <w:spacing w:val="54"/>
          <w:w w:val="95"/>
        </w:rPr>
        <w:t> </w:t>
      </w:r>
      <w:r>
        <w:rPr>
          <w:spacing w:val="54"/>
          <w:w w:val="95"/>
        </w:rPr>
      </w:r>
      <w:r>
        <w:rPr>
          <w:w w:val="95"/>
        </w:rPr>
        <w:t>推出包括自助胶片打印系统、基于语义的结构化电子病历系统、一站式门诊自助优化流程、移动医疗系统</w:t>
      </w:r>
      <w:r>
        <w:rPr>
          <w:spacing w:val="53"/>
          <w:w w:val="95"/>
        </w:rPr>
        <w:t> </w:t>
      </w:r>
      <w:r>
        <w:rPr>
          <w:spacing w:val="53"/>
          <w:w w:val="95"/>
        </w:rPr>
      </w:r>
      <w:r>
        <w:rPr/>
        <w:t>等产品。公司还率先在行业内开发并营运基于</w:t>
      </w:r>
      <w:r>
        <w:rPr>
          <w:spacing w:val="-24"/>
        </w:rPr>
        <w:t> </w:t>
      </w:r>
      <w:r>
        <w:rPr/>
        <w:t>SaaS</w:t>
      </w:r>
      <w:r>
        <w:rPr>
          <w:spacing w:val="-42"/>
        </w:rPr>
        <w:t> </w:t>
      </w:r>
      <w:r>
        <w:rPr/>
        <w:t>模式的产品，有效地解决了我国中小医院特别是广大</w:t>
      </w:r>
      <w:r>
        <w:rPr>
          <w:spacing w:val="-97"/>
        </w:rPr>
        <w:t> </w:t>
      </w:r>
      <w:r>
        <w:rPr>
          <w:spacing w:val="-97"/>
        </w:rPr>
      </w:r>
      <w:r>
        <w:rPr>
          <w:w w:val="95"/>
        </w:rPr>
        <w:t>基层及农村医疗卫生机构信息化的问题。持续的创新能力，保证了公司产品的先进性，也保证了公司多年</w:t>
      </w:r>
      <w:r>
        <w:rPr>
          <w:spacing w:val="55"/>
          <w:w w:val="95"/>
        </w:rPr>
        <w:t> </w:t>
      </w:r>
      <w:r>
        <w:rPr>
          <w:spacing w:val="55"/>
          <w:w w:val="95"/>
        </w:rPr>
      </w:r>
      <w:r>
        <w:rPr/>
        <w:t>来的行业领先地位。</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报告期内，公司持续追踪新需求、新技术趋势，开展新型技术研发和实践，主要包括移动医疗、电子</w:t>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病历、抗菌素管理、医院集成引擎、临床数据中心即</w:t>
                      </w:r>
                      <w:r>
                        <w:rPr>
                          <w:rFonts w:ascii="宋体" w:hAnsi="宋体" w:cs="宋体" w:eastAsia="宋体" w:hint="default"/>
                          <w:spacing w:val="-46"/>
                          <w:sz w:val="21"/>
                          <w:szCs w:val="21"/>
                        </w:rPr>
                        <w:t> </w:t>
                      </w:r>
                      <w:r>
                        <w:rPr>
                          <w:rFonts w:ascii="宋体" w:hAnsi="宋体" w:cs="宋体" w:eastAsia="宋体" w:hint="default"/>
                          <w:sz w:val="21"/>
                          <w:szCs w:val="21"/>
                        </w:rPr>
                        <w:t>CDR、临床决策系统、大数据分布式分析处理等技术</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right="0"/>
        <w:jc w:val="both"/>
      </w:pPr>
      <w:r>
        <w:rPr/>
        <w:t>和系统。</w:t>
      </w:r>
    </w:p>
    <w:p>
      <w:pPr>
        <w:pStyle w:val="BodyText"/>
        <w:spacing w:line="540" w:lineRule="atLeast" w:before="7"/>
        <w:ind w:left="535" w:right="0"/>
        <w:jc w:val="left"/>
      </w:pPr>
      <w:r>
        <w:rPr/>
        <w:t>（4）先进的研发模式和理念</w:t>
      </w:r>
      <w:r>
        <w:rPr>
          <w:w w:val="99"/>
        </w:rPr>
        <w:t> </w:t>
      </w:r>
      <w:r>
        <w:rPr>
          <w:w w:val="95"/>
        </w:rPr>
        <w:t>本公司紧密结合实践，深化了项目化运作的内涵，创造性地建立了适应未来发展的柔性产品化研发管</w:t>
      </w:r>
      <w:r>
        <w:rPr/>
      </w:r>
    </w:p>
    <w:p>
      <w:pPr>
        <w:pStyle w:val="BodyText"/>
        <w:spacing w:line="340" w:lineRule="auto" w:before="114"/>
        <w:ind w:right="110"/>
        <w:jc w:val="both"/>
      </w:pPr>
      <w:r>
        <w:rPr>
          <w:w w:val="95"/>
        </w:rPr>
        <w:t>理模式，建立了整个产品体系保持台阶式上升的结构。多年来“柔性产品化”研发的实施，保证了公司基</w:t>
      </w:r>
      <w:r>
        <w:rPr>
          <w:spacing w:val="53"/>
          <w:w w:val="95"/>
        </w:rPr>
        <w:t> </w:t>
      </w:r>
      <w:r>
        <w:rPr>
          <w:spacing w:val="53"/>
          <w:w w:val="95"/>
        </w:rPr>
      </w:r>
      <w:r>
        <w:rPr>
          <w:spacing w:val="-2"/>
          <w:w w:val="95"/>
        </w:rPr>
        <w:t>线产品模块功能的齐全性和领先性，并且有利于系统维护，大大降低了开发成本并提高了定制开发的效率。</w:t>
      </w:r>
      <w:r>
        <w:rPr>
          <w:spacing w:val="47"/>
          <w:w w:val="95"/>
        </w:rPr>
        <w:t> </w:t>
      </w:r>
      <w:r>
        <w:rPr>
          <w:spacing w:val="47"/>
          <w:w w:val="95"/>
        </w:rPr>
      </w:r>
      <w:r>
        <w:rPr>
          <w:w w:val="95"/>
        </w:rPr>
        <w:t>该研发模式不但保持了项目化的灵活特性，并且大大提高研发人力资源、实施周期、系统维护的效率。本</w:t>
      </w:r>
      <w:r>
        <w:rPr>
          <w:spacing w:val="52"/>
          <w:w w:val="95"/>
        </w:rPr>
        <w:t> </w:t>
      </w:r>
      <w:r>
        <w:rPr>
          <w:spacing w:val="52"/>
          <w:w w:val="95"/>
        </w:rPr>
      </w:r>
      <w:r>
        <w:rPr>
          <w:spacing w:val="-2"/>
          <w:w w:val="95"/>
        </w:rPr>
        <w:t>公司“柔性产品化研发模式”提升了产品化程度，将促进我国未来医疗卫生行业信息化产品的标准化发展，</w:t>
      </w:r>
      <w:r>
        <w:rPr>
          <w:spacing w:val="48"/>
          <w:w w:val="95"/>
        </w:rPr>
        <w:t> </w:t>
      </w:r>
      <w:r>
        <w:rPr>
          <w:spacing w:val="48"/>
          <w:w w:val="95"/>
        </w:rPr>
      </w:r>
      <w:r>
        <w:rPr/>
        <w:t>推动行业整体质量水平。</w:t>
      </w:r>
    </w:p>
    <w:p>
      <w:pPr>
        <w:spacing w:line="240" w:lineRule="auto" w:before="1"/>
        <w:rPr>
          <w:rFonts w:ascii="宋体" w:hAnsi="宋体" w:cs="宋体" w:eastAsia="宋体" w:hint="default"/>
          <w:sz w:val="14"/>
          <w:szCs w:val="14"/>
        </w:rPr>
      </w:pPr>
    </w:p>
    <w:p>
      <w:pPr>
        <w:pStyle w:val="BodyText"/>
        <w:spacing w:line="338" w:lineRule="auto"/>
        <w:ind w:right="112" w:firstLine="422"/>
        <w:jc w:val="both"/>
      </w:pPr>
      <w:r>
        <w:rPr>
          <w:w w:val="95"/>
        </w:rPr>
        <w:t>报告期内公司进一步完善提升研发体系，坚持通过技术创新——产品创新——业务创新的循环传导体</w:t>
      </w:r>
      <w:r>
        <w:rPr>
          <w:spacing w:val="-93"/>
          <w:w w:val="95"/>
        </w:rPr>
        <w:t> </w:t>
      </w:r>
      <w:r>
        <w:rPr>
          <w:spacing w:val="-93"/>
          <w:w w:val="95"/>
        </w:rPr>
      </w:r>
      <w:r>
        <w:rPr/>
        <w:t>系，不断丰富完善技术、产品和创新业务模式，引领市场发展。</w:t>
      </w:r>
    </w:p>
    <w:p>
      <w:pPr>
        <w:spacing w:line="240" w:lineRule="auto" w:before="3"/>
        <w:rPr>
          <w:rFonts w:ascii="宋体" w:hAnsi="宋体" w:cs="宋体" w:eastAsia="宋体" w:hint="default"/>
          <w:sz w:val="14"/>
          <w:szCs w:val="14"/>
        </w:rPr>
      </w:pPr>
    </w:p>
    <w:p>
      <w:pPr>
        <w:pStyle w:val="BodyText"/>
        <w:spacing w:line="338" w:lineRule="auto"/>
        <w:ind w:right="112" w:firstLine="422"/>
        <w:jc w:val="both"/>
      </w:pPr>
      <w:r>
        <w:rPr>
          <w:w w:val="95"/>
        </w:rPr>
        <w:t>同时，本公司提出了“以人为中心”的人性化医疗管理理念，实现了从“以病人为中心”的医疗模式</w:t>
      </w:r>
      <w:r>
        <w:rPr>
          <w:spacing w:val="-94"/>
          <w:w w:val="95"/>
        </w:rPr>
        <w:t> </w:t>
      </w:r>
      <w:r>
        <w:rPr>
          <w:spacing w:val="-94"/>
          <w:w w:val="95"/>
        </w:rPr>
      </w:r>
      <w:r>
        <w:rPr/>
        <w:t>到“全民健康”医疗保健模式的过渡。</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t>（5）专业的营销能力和高效的服务体系</w:t>
      </w:r>
    </w:p>
    <w:p>
      <w:pPr>
        <w:spacing w:line="240" w:lineRule="auto" w:before="11"/>
        <w:rPr>
          <w:rFonts w:ascii="宋体" w:hAnsi="宋体" w:cs="宋体" w:eastAsia="宋体" w:hint="default"/>
          <w:sz w:val="20"/>
          <w:szCs w:val="20"/>
        </w:rPr>
      </w:pPr>
    </w:p>
    <w:p>
      <w:pPr>
        <w:pStyle w:val="BodyText"/>
        <w:spacing w:line="338" w:lineRule="auto"/>
        <w:ind w:right="109" w:firstLine="422"/>
        <w:jc w:val="both"/>
      </w:pPr>
      <w:r>
        <w:rPr>
          <w:w w:val="95"/>
        </w:rPr>
        <w:t>本公司坚持“以客户为本”营销理念，推行“技术营销”的路线，尤其注重售前技术服务工作，为客</w:t>
      </w:r>
      <w:r>
        <w:rPr>
          <w:spacing w:val="-89"/>
          <w:w w:val="95"/>
        </w:rPr>
        <w:t> </w:t>
      </w:r>
      <w:r>
        <w:rPr>
          <w:spacing w:val="-89"/>
          <w:w w:val="95"/>
        </w:rPr>
      </w:r>
      <w:r>
        <w:rPr/>
        <w:t>户提供整体解决方案，引导客户需求，并通过高效的服务体系促进产品的销售。</w:t>
      </w:r>
    </w:p>
    <w:p>
      <w:pPr>
        <w:spacing w:line="240" w:lineRule="auto" w:before="3"/>
        <w:rPr>
          <w:rFonts w:ascii="宋体" w:hAnsi="宋体" w:cs="宋体" w:eastAsia="宋体" w:hint="default"/>
          <w:sz w:val="14"/>
          <w:szCs w:val="14"/>
        </w:rPr>
      </w:pPr>
    </w:p>
    <w:p>
      <w:pPr>
        <w:pStyle w:val="BodyText"/>
        <w:spacing w:line="340" w:lineRule="auto"/>
        <w:ind w:right="110" w:firstLine="422"/>
        <w:jc w:val="both"/>
      </w:pPr>
      <w:r>
        <w:rPr>
          <w:spacing w:val="-2"/>
          <w:w w:val="95"/>
        </w:rPr>
        <w:t>本公司成立伊始就建立了专业的服务队伍，将服务从实施部门独立出来，成立了服务事业部，以专业、</w:t>
      </w:r>
      <w:r>
        <w:rPr>
          <w:w w:val="49"/>
        </w:rPr>
        <w:t> </w:t>
      </w:r>
      <w:r>
        <w:rPr>
          <w:w w:val="95"/>
        </w:rPr>
        <w:t>高素质、经验丰富的客户工程师为主体，为客户提供全面的服务解决方案，以保证客户的利益。公司深入</w:t>
      </w:r>
      <w:r>
        <w:rPr>
          <w:spacing w:val="54"/>
          <w:w w:val="95"/>
        </w:rPr>
        <w:t> </w:t>
      </w:r>
      <w:r>
        <w:rPr>
          <w:spacing w:val="54"/>
          <w:w w:val="95"/>
        </w:rPr>
      </w:r>
      <w:r>
        <w:rPr/>
        <w:t>了解医疗行业客户特点，定制了多种服务套餐，适应不同客户的需求。</w:t>
      </w:r>
    </w:p>
    <w:p>
      <w:pPr>
        <w:spacing w:line="240" w:lineRule="auto" w:before="1"/>
        <w:rPr>
          <w:rFonts w:ascii="宋体" w:hAnsi="宋体" w:cs="宋体" w:eastAsia="宋体" w:hint="default"/>
          <w:sz w:val="14"/>
          <w:szCs w:val="14"/>
        </w:rPr>
      </w:pPr>
    </w:p>
    <w:p>
      <w:pPr>
        <w:pStyle w:val="BodyText"/>
        <w:spacing w:line="338" w:lineRule="auto"/>
        <w:ind w:right="110" w:firstLine="422"/>
        <w:jc w:val="both"/>
      </w:pPr>
      <w:r>
        <w:rPr>
          <w:w w:val="95"/>
        </w:rPr>
        <w:t>本公司还通过定期回访、质量跟踪，建立客户档案等多种措施，随时与客户保持联系。根据客户反馈</w:t>
      </w:r>
      <w:r>
        <w:rPr>
          <w:spacing w:val="-91"/>
          <w:w w:val="95"/>
        </w:rPr>
        <w:t> </w:t>
      </w:r>
      <w:r>
        <w:rPr>
          <w:spacing w:val="-91"/>
          <w:w w:val="95"/>
        </w:rPr>
      </w:r>
      <w:r>
        <w:rPr/>
        <w:t>意见的通用性与专用性，主动做好产品售前、售中、售后服务，提升新老客户的满意度以及客户粘性。</w:t>
      </w:r>
    </w:p>
    <w:p>
      <w:pPr>
        <w:spacing w:line="240" w:lineRule="auto" w:before="3"/>
        <w:rPr>
          <w:rFonts w:ascii="宋体" w:hAnsi="宋体" w:cs="宋体" w:eastAsia="宋体" w:hint="default"/>
          <w:sz w:val="14"/>
          <w:szCs w:val="14"/>
        </w:rPr>
      </w:pPr>
    </w:p>
    <w:p>
      <w:pPr>
        <w:pStyle w:val="BodyText"/>
        <w:spacing w:line="340" w:lineRule="auto"/>
        <w:ind w:right="112" w:firstLine="422"/>
        <w:jc w:val="both"/>
      </w:pPr>
      <w:r>
        <w:rPr>
          <w:w w:val="95"/>
        </w:rPr>
        <w:t>报告期内，为配合募集资金投资项目的顺利执行，公司还改组了内部组织结构，撤销了服务事业部，</w:t>
      </w:r>
      <w:r>
        <w:rPr>
          <w:spacing w:val="-94"/>
          <w:w w:val="95"/>
        </w:rPr>
        <w:t> </w:t>
      </w:r>
      <w:r>
        <w:rPr>
          <w:spacing w:val="-94"/>
          <w:w w:val="95"/>
        </w:rPr>
      </w:r>
      <w:r>
        <w:rPr>
          <w:w w:val="95"/>
        </w:rPr>
        <w:t>在各分子公司所在地成立了销售服务一体化的区域营销服务中心，以进一步提高公司的营销能力和服务效   </w:t>
      </w:r>
      <w:r>
        <w:rPr>
          <w:spacing w:val="52"/>
          <w:w w:val="95"/>
        </w:rPr>
        <w:t> </w:t>
      </w:r>
      <w:r>
        <w:rPr>
          <w:spacing w:val="52"/>
          <w:w w:val="95"/>
        </w:rPr>
      </w:r>
      <w:r>
        <w:rPr/>
        <w:t>率。</w:t>
      </w:r>
    </w:p>
    <w:p>
      <w:pPr>
        <w:spacing w:line="403" w:lineRule="auto" w:before="11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2、面临的主要困难及市场格局</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一是高端人才比较紧缺，如何吸引和培养更多的高端研发技术人才，同时保持核心研发技术团队的稳</w:t>
      </w:r>
      <w:r>
        <w:rPr>
          <w:rFonts w:ascii="宋体" w:hAnsi="宋体" w:cs="宋体" w:eastAsia="宋体" w:hint="default"/>
          <w:sz w:val="21"/>
          <w:szCs w:val="21"/>
        </w:rPr>
      </w:r>
    </w:p>
    <w:p>
      <w:pPr>
        <w:pStyle w:val="BodyText"/>
        <w:spacing w:line="246" w:lineRule="exact"/>
        <w:ind w:right="0"/>
        <w:jc w:val="both"/>
      </w:pPr>
      <w:r>
        <w:rPr/>
        <w:t>定性，对企业持续健康发展至关重要；二是行业相关技术规范更新迅速，技术标准更新频繁，公司运营过</w:t>
      </w:r>
    </w:p>
    <w:p>
      <w:pPr>
        <w:pStyle w:val="BodyText"/>
        <w:spacing w:line="240" w:lineRule="auto" w:before="116"/>
        <w:ind w:right="0"/>
        <w:jc w:val="both"/>
      </w:pPr>
      <w:r>
        <w:rPr/>
        <w:t>程中所采用的技术方案，面临被新技术标准、规范替换的可能性，技术研发压力较大。</w:t>
      </w:r>
    </w:p>
    <w:p>
      <w:pPr>
        <w:spacing w:line="240" w:lineRule="auto" w:before="8"/>
        <w:rPr>
          <w:rFonts w:ascii="宋体" w:hAnsi="宋体" w:cs="宋体" w:eastAsia="宋体" w:hint="default"/>
          <w:sz w:val="20"/>
          <w:szCs w:val="20"/>
        </w:rPr>
      </w:pPr>
    </w:p>
    <w:p>
      <w:pPr>
        <w:pStyle w:val="BodyText"/>
        <w:spacing w:line="338" w:lineRule="auto"/>
        <w:ind w:right="110" w:firstLine="422"/>
        <w:jc w:val="both"/>
      </w:pPr>
      <w:r>
        <w:rPr>
          <w:w w:val="95"/>
        </w:rPr>
        <w:t>同时，面对巨大的市场潜力和发展机遇以及对外开放程度的不断提高，市场参与者将不断增加，市场</w:t>
      </w:r>
      <w:r>
        <w:rPr>
          <w:spacing w:val="-93"/>
          <w:w w:val="95"/>
        </w:rPr>
        <w:t> </w:t>
      </w:r>
      <w:r>
        <w:rPr>
          <w:spacing w:val="-93"/>
          <w:w w:val="95"/>
        </w:rPr>
      </w:r>
      <w:r>
        <w:rPr>
          <w:w w:val="95"/>
        </w:rPr>
        <w:t>竞争将进一步加剧。为了巩固行业地位，在竞争中立于不败之地，公司需要付出更大的精力和成本，进一</w:t>
      </w:r>
      <w:r>
        <w:rPr/>
      </w:r>
    </w:p>
    <w:p>
      <w:pPr>
        <w:spacing w:after="0" w:line="338"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步加大投入，拓展新业务和开发新产品，这也给公司的发展带来一定的压力。</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112" w:firstLine="422"/>
        <w:jc w:val="both"/>
      </w:pPr>
      <w:r>
        <w:rPr>
          <w:w w:val="95"/>
        </w:rPr>
        <w:t>但目前国内医疗信息化市场还非常分散，随着医疗体制改革的不断深入和加强，医疗信息化行业将进</w:t>
      </w:r>
      <w:r>
        <w:rPr>
          <w:spacing w:val="-93"/>
          <w:w w:val="95"/>
        </w:rPr>
        <w:t> </w:t>
      </w:r>
      <w:r>
        <w:rPr>
          <w:spacing w:val="-93"/>
          <w:w w:val="95"/>
        </w:rPr>
      </w:r>
      <w:r>
        <w:rPr>
          <w:w w:val="95"/>
        </w:rPr>
        <w:t>一步快速发展，对外开放程度也将不断提高，公司依托在行业内具有较高的知名度和领先的市场地位，以</w:t>
      </w:r>
      <w:r>
        <w:rPr>
          <w:spacing w:val="52"/>
          <w:w w:val="95"/>
        </w:rPr>
        <w:t> </w:t>
      </w:r>
      <w:r>
        <w:rPr>
          <w:spacing w:val="52"/>
          <w:w w:val="95"/>
        </w:rPr>
      </w:r>
      <w:r>
        <w:rPr/>
        <w:t>及为实现医疗卫生领域全方位的信息化管理提供完整解决方案的能力，未来将有广阔的发展空间。</w:t>
      </w:r>
    </w:p>
    <w:p>
      <w:pPr>
        <w:spacing w:line="381" w:lineRule="auto" w:before="11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（三）对公司未来发展战略和经营目标的实现产生不利影响的风险因素分析</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1、公司规模的迅速扩张带来人才上的瓶颈</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高端人才比较紧缺仍然是公司目前存在的主要困难，特别是研发人员扩张速度跟不上公司业务规模的</w:t>
      </w:r>
      <w:r>
        <w:rPr>
          <w:rFonts w:ascii="宋体" w:hAnsi="宋体" w:cs="宋体" w:eastAsia="宋体" w:hint="default"/>
          <w:sz w:val="21"/>
          <w:szCs w:val="21"/>
        </w:rPr>
      </w:r>
    </w:p>
    <w:p>
      <w:pPr>
        <w:pStyle w:val="BodyText"/>
        <w:spacing w:line="267" w:lineRule="exact"/>
        <w:ind w:right="0"/>
        <w:jc w:val="left"/>
      </w:pPr>
      <w:r>
        <w:rPr/>
        <w:t>扩张，导致公司潜在的新用户的需求得不到很好的满足，这可能会使公司失去一些市场机会。</w:t>
      </w:r>
    </w:p>
    <w:p>
      <w:pPr>
        <w:spacing w:line="240" w:lineRule="auto" w:before="8"/>
        <w:rPr>
          <w:rFonts w:ascii="宋体" w:hAnsi="宋体" w:cs="宋体" w:eastAsia="宋体" w:hint="default"/>
          <w:sz w:val="20"/>
          <w:szCs w:val="20"/>
        </w:rPr>
      </w:pPr>
    </w:p>
    <w:p>
      <w:pPr>
        <w:pStyle w:val="BodyText"/>
        <w:spacing w:line="340" w:lineRule="auto"/>
        <w:ind w:right="112" w:firstLine="422"/>
        <w:jc w:val="both"/>
      </w:pPr>
      <w:r>
        <w:rPr>
          <w:w w:val="95"/>
        </w:rPr>
        <w:t>随着公司产品线扩充、市场扩大和客户增加，公司目前面临的最大问题是人才，特别是研发和销售类</w:t>
      </w:r>
      <w:r>
        <w:rPr>
          <w:spacing w:val="-93"/>
          <w:w w:val="95"/>
        </w:rPr>
        <w:t> </w:t>
      </w:r>
      <w:r>
        <w:rPr>
          <w:spacing w:val="-93"/>
          <w:w w:val="95"/>
        </w:rPr>
      </w:r>
      <w:r>
        <w:rPr/>
        <w:t>的高端人才较难招聘，这可能会导致公司目前的一些潜在项目流失。</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w w:val="95"/>
        </w:rPr>
        <w:t>应对措施：公司已在合肥和常州设立区域研发中心，未来还将根据发展需要在其他地区设立区域研发</w:t>
      </w:r>
      <w:r>
        <w:rPr>
          <w:spacing w:val="-94"/>
          <w:w w:val="95"/>
        </w:rPr>
        <w:t> </w:t>
      </w:r>
      <w:r>
        <w:rPr>
          <w:spacing w:val="-94"/>
          <w:w w:val="95"/>
        </w:rPr>
      </w:r>
      <w:r>
        <w:rPr/>
        <w:t>中心。公司上市前员工为</w:t>
      </w:r>
      <w:r>
        <w:rPr>
          <w:spacing w:val="-61"/>
        </w:rPr>
        <w:t> </w:t>
      </w:r>
      <w:r>
        <w:rPr/>
        <w:t>518</w:t>
      </w:r>
      <w:r>
        <w:rPr>
          <w:spacing w:val="-62"/>
        </w:rPr>
        <w:t> </w:t>
      </w:r>
      <w:r>
        <w:rPr/>
        <w:t>人，报告期末员工增长为</w:t>
      </w:r>
      <w:r>
        <w:rPr>
          <w:spacing w:val="-59"/>
        </w:rPr>
        <w:t> </w:t>
      </w:r>
      <w:r>
        <w:rPr/>
        <w:t>638</w:t>
      </w:r>
      <w:r>
        <w:rPr>
          <w:spacing w:val="-62"/>
        </w:rPr>
        <w:t> </w:t>
      </w:r>
      <w:r>
        <w:rPr/>
        <w:t>人，预计在未来几年内公司的总人数将扩张到</w:t>
      </w:r>
    </w:p>
    <w:p>
      <w:pPr>
        <w:pStyle w:val="BodyText"/>
        <w:spacing w:line="338" w:lineRule="auto" w:before="25"/>
        <w:ind w:right="0"/>
        <w:jc w:val="left"/>
      </w:pPr>
      <w:r>
        <w:rPr>
          <w:w w:val="95"/>
        </w:rPr>
        <w:t>1000 人以上，因此一方面建立多层次培训体系和薪酬体系，满足研发技术类的人才需求，另一方面，开展</w:t>
      </w:r>
      <w:r>
        <w:rPr>
          <w:spacing w:val="-46"/>
          <w:w w:val="95"/>
        </w:rPr>
        <w:t> </w:t>
      </w:r>
      <w:r>
        <w:rPr>
          <w:spacing w:val="-46"/>
          <w:w w:val="95"/>
        </w:rPr>
      </w:r>
      <w:r>
        <w:rPr/>
        <w:t>营销服务体系的建设，构筑全国性的销售服务体系，实现客户的近距离本地化服务。</w:t>
      </w:r>
    </w:p>
    <w:p>
      <w:pPr>
        <w:spacing w:line="400" w:lineRule="auto" w:before="119"/>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2、新技术、新需求带来的不确定性风险</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基于云计算的软件服务模式、大数据处理系统、临床决策系统等快速发展，这些系统所涉及的技术，</w:t>
      </w:r>
      <w:r>
        <w:rPr>
          <w:rFonts w:ascii="宋体" w:hAnsi="宋体" w:cs="宋体" w:eastAsia="宋体" w:hint="default"/>
          <w:sz w:val="21"/>
          <w:szCs w:val="21"/>
        </w:rPr>
      </w:r>
    </w:p>
    <w:p>
      <w:pPr>
        <w:pStyle w:val="BodyText"/>
        <w:spacing w:line="250" w:lineRule="exact"/>
        <w:ind w:right="0"/>
        <w:jc w:val="left"/>
      </w:pPr>
      <w:r>
        <w:rPr/>
        <w:t>都是比较新型的技术，这些技术是否能产生良好的效果，具有不确定性风险。</w:t>
      </w:r>
    </w:p>
    <w:p>
      <w:pPr>
        <w:spacing w:line="240" w:lineRule="auto" w:before="11"/>
        <w:rPr>
          <w:rFonts w:ascii="宋体" w:hAnsi="宋体" w:cs="宋体" w:eastAsia="宋体" w:hint="default"/>
          <w:sz w:val="20"/>
          <w:szCs w:val="20"/>
        </w:rPr>
      </w:pPr>
    </w:p>
    <w:p>
      <w:pPr>
        <w:pStyle w:val="BodyText"/>
        <w:spacing w:line="340" w:lineRule="auto"/>
        <w:ind w:right="110" w:firstLine="422"/>
        <w:jc w:val="both"/>
      </w:pPr>
      <w:r>
        <w:rPr>
          <w:w w:val="95"/>
        </w:rPr>
        <w:t>应对措施：产品及研发部预研各种技术，进行概念验证和典型用户示范，并与各高等院校、专业研究</w:t>
      </w:r>
      <w:r>
        <w:rPr>
          <w:spacing w:val="-92"/>
          <w:w w:val="95"/>
        </w:rPr>
        <w:t> </w:t>
      </w:r>
      <w:r>
        <w:rPr>
          <w:spacing w:val="-92"/>
          <w:w w:val="95"/>
        </w:rPr>
      </w:r>
      <w:r>
        <w:rPr>
          <w:w w:val="95"/>
        </w:rPr>
        <w:t>机构、客户及政府部门合作，将新技术、新需求有效应用于各个示范应用点，然后争取得到行业权威机构</w:t>
      </w:r>
      <w:r>
        <w:rPr>
          <w:spacing w:val="54"/>
          <w:w w:val="95"/>
        </w:rPr>
        <w:t> </w:t>
      </w:r>
      <w:r>
        <w:rPr>
          <w:spacing w:val="54"/>
          <w:w w:val="95"/>
        </w:rPr>
      </w:r>
      <w:r>
        <w:rPr/>
        <w:t>的支持和认可，进一步扩大推广应用范围。</w:t>
      </w:r>
    </w:p>
    <w:p>
      <w:pPr>
        <w:spacing w:line="403" w:lineRule="auto" w:before="11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3、行业竞争进一步加剧的风险</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医疗信息化行业处于快速发展阶段，国内外市场参与者不断增加，竞争也将越来越激烈，鉴于行业广</w:t>
      </w:r>
      <w:r>
        <w:rPr>
          <w:rFonts w:ascii="宋体" w:hAnsi="宋体" w:cs="宋体" w:eastAsia="宋体" w:hint="default"/>
          <w:sz w:val="21"/>
          <w:szCs w:val="21"/>
        </w:rPr>
      </w:r>
    </w:p>
    <w:p>
      <w:pPr>
        <w:pStyle w:val="BodyText"/>
        <w:spacing w:line="246" w:lineRule="exact"/>
        <w:ind w:right="0"/>
        <w:jc w:val="left"/>
      </w:pPr>
      <w:r>
        <w:rPr/>
        <w:t>阔的发展前景和国内资本市场的进一步开放，缺乏竞争力和核心优势的企业将会被市场淘汰。如果公司不</w:t>
      </w:r>
    </w:p>
    <w:p>
      <w:pPr>
        <w:pStyle w:val="BodyText"/>
        <w:spacing w:line="240" w:lineRule="auto" w:before="116"/>
        <w:ind w:right="0"/>
        <w:jc w:val="left"/>
      </w:pPr>
      <w:r>
        <w:rPr/>
        <w:t>能紧跟行业发展形势，提高公司的竞争力和核心优势，将无法适应激烈的行业竞争。</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w w:val="95"/>
        </w:rPr>
        <w:t>应对措施：公司需采取更加积极的经营管理措施，加大研发投入，密切跟踪行业发展趋势和前沿创新</w:t>
      </w:r>
      <w:r>
        <w:rPr>
          <w:spacing w:val="-94"/>
          <w:w w:val="95"/>
        </w:rPr>
        <w:t> </w:t>
      </w:r>
      <w:r>
        <w:rPr>
          <w:spacing w:val="-94"/>
          <w:w w:val="95"/>
        </w:rPr>
      </w:r>
      <w:r>
        <w:rPr>
          <w:w w:val="95"/>
        </w:rPr>
        <w:t>技术，并积极关注行业竞争所带来的整合机遇，从而维持并加强公司在用户数量、用户粘性及技术方面的</w:t>
      </w:r>
      <w:r>
        <w:rPr>
          <w:spacing w:val="53"/>
          <w:w w:val="95"/>
        </w:rPr>
        <w:t> </w:t>
      </w:r>
      <w:r>
        <w:rPr>
          <w:spacing w:val="53"/>
          <w:w w:val="95"/>
        </w:rPr>
      </w:r>
      <w:r>
        <w:rPr/>
        <w:t>核心竞争优势，促进公司持续健康发展。</w:t>
      </w:r>
    </w:p>
    <w:p>
      <w:pPr>
        <w:pStyle w:val="Heading4"/>
        <w:spacing w:line="240" w:lineRule="auto" w:before="117"/>
        <w:ind w:right="0"/>
        <w:jc w:val="left"/>
        <w:rPr>
          <w:b w:val="0"/>
          <w:bCs w:val="0"/>
        </w:rPr>
      </w:pPr>
      <w:r>
        <w:rPr/>
        <w:t>4、公司业务规模较小的风险</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38" w:lineRule="auto"/>
        <w:ind w:right="110" w:firstLine="422"/>
        <w:jc w:val="both"/>
      </w:pPr>
      <w:r>
        <w:rPr>
          <w:spacing w:val="-4"/>
          <w:w w:val="99"/>
        </w:rPr>
        <w:t>公司的利润主要来源于软件及技术服务业务，最近</w:t>
      </w:r>
      <w:r>
        <w:rPr>
          <w:spacing w:val="-53"/>
          <w:w w:val="99"/>
        </w:rPr>
        <w:t> </w:t>
      </w:r>
      <w:r>
        <w:rPr>
          <w:w w:val="99"/>
        </w:rPr>
        <w:t>3</w:t>
      </w:r>
      <w:r>
        <w:rPr>
          <w:spacing w:val="-52"/>
          <w:w w:val="99"/>
        </w:rPr>
        <w:t> </w:t>
      </w:r>
      <w:r>
        <w:rPr>
          <w:spacing w:val="-9"/>
          <w:w w:val="99"/>
        </w:rPr>
        <w:t>年，公司软件收入分别为</w:t>
      </w:r>
      <w:r>
        <w:rPr>
          <w:spacing w:val="-53"/>
          <w:w w:val="99"/>
        </w:rPr>
        <w:t> </w:t>
      </w:r>
      <w:r>
        <w:rPr>
          <w:w w:val="99"/>
        </w:rPr>
        <w:t>4,835.08</w:t>
      </w:r>
      <w:r>
        <w:rPr>
          <w:spacing w:val="-52"/>
          <w:w w:val="99"/>
        </w:rPr>
        <w:t> </w:t>
      </w:r>
      <w:r>
        <w:rPr>
          <w:spacing w:val="-10"/>
          <w:w w:val="99"/>
        </w:rPr>
        <w:t>万元、6,788.74</w:t>
      </w:r>
      <w:r>
        <w:rPr>
          <w:w w:val="99"/>
        </w:rPr>
        <w:t> </w:t>
      </w:r>
      <w:r>
        <w:rPr/>
        <w:t>万元、9,100.49</w:t>
      </w:r>
      <w:r>
        <w:rPr>
          <w:spacing w:val="-72"/>
        </w:rPr>
        <w:t> </w:t>
      </w:r>
      <w:r>
        <w:rPr/>
        <w:t>万元，技术服务收入分别为</w:t>
      </w:r>
      <w:r>
        <w:rPr>
          <w:spacing w:val="-69"/>
        </w:rPr>
        <w:t> </w:t>
      </w:r>
      <w:r>
        <w:rPr/>
        <w:t>1,987.87</w:t>
      </w:r>
      <w:r>
        <w:rPr>
          <w:spacing w:val="-70"/>
        </w:rPr>
        <w:t> </w:t>
      </w:r>
      <w:r>
        <w:rPr/>
        <w:t>万元、2,080.32</w:t>
      </w:r>
      <w:r>
        <w:rPr>
          <w:spacing w:val="-72"/>
        </w:rPr>
        <w:t> </w:t>
      </w:r>
      <w:r>
        <w:rPr/>
        <w:t>万元、3,365.08</w:t>
      </w:r>
      <w:r>
        <w:rPr>
          <w:spacing w:val="-72"/>
        </w:rPr>
        <w:t> </w:t>
      </w:r>
      <w:r>
        <w:rPr/>
        <w:t>万元，净利润分别</w:t>
      </w:r>
    </w:p>
    <w:p>
      <w:pPr>
        <w:spacing w:after="0" w:line="338"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w w:val="99"/>
                          <w:sz w:val="21"/>
                          <w:szCs w:val="21"/>
                        </w:rPr>
                        <w:t>为</w:t>
                      </w:r>
                      <w:r>
                        <w:rPr>
                          <w:rFonts w:ascii="宋体" w:hAnsi="宋体" w:cs="宋体" w:eastAsia="宋体" w:hint="default"/>
                          <w:spacing w:val="-77"/>
                          <w:sz w:val="21"/>
                          <w:szCs w:val="21"/>
                        </w:rPr>
                        <w:t> </w:t>
                      </w:r>
                      <w:r>
                        <w:rPr>
                          <w:rFonts w:ascii="宋体" w:hAnsi="宋体" w:cs="宋体" w:eastAsia="宋体" w:hint="default"/>
                          <w:spacing w:val="1"/>
                          <w:w w:val="99"/>
                          <w:sz w:val="21"/>
                          <w:szCs w:val="21"/>
                        </w:rPr>
                        <w:t>2,6</w:t>
                      </w:r>
                      <w:r>
                        <w:rPr>
                          <w:rFonts w:ascii="宋体" w:hAnsi="宋体" w:cs="宋体" w:eastAsia="宋体" w:hint="default"/>
                          <w:spacing w:val="-2"/>
                          <w:w w:val="99"/>
                          <w:sz w:val="21"/>
                          <w:szCs w:val="21"/>
                        </w:rPr>
                        <w:t>1</w:t>
                      </w:r>
                      <w:r>
                        <w:rPr>
                          <w:rFonts w:ascii="宋体" w:hAnsi="宋体" w:cs="宋体" w:eastAsia="宋体" w:hint="default"/>
                          <w:spacing w:val="1"/>
                          <w:w w:val="99"/>
                          <w:sz w:val="21"/>
                          <w:szCs w:val="21"/>
                        </w:rPr>
                        <w:t>6.</w:t>
                      </w:r>
                      <w:r>
                        <w:rPr>
                          <w:rFonts w:ascii="宋体" w:hAnsi="宋体" w:cs="宋体" w:eastAsia="宋体" w:hint="default"/>
                          <w:spacing w:val="-2"/>
                          <w:w w:val="99"/>
                          <w:sz w:val="21"/>
                          <w:szCs w:val="21"/>
                        </w:rPr>
                        <w:t>2</w:t>
                      </w:r>
                      <w:r>
                        <w:rPr>
                          <w:rFonts w:ascii="宋体" w:hAnsi="宋体" w:cs="宋体" w:eastAsia="宋体" w:hint="default"/>
                          <w:w w:val="99"/>
                          <w:sz w:val="21"/>
                          <w:szCs w:val="21"/>
                        </w:rPr>
                        <w:t>6</w:t>
                      </w:r>
                      <w:r>
                        <w:rPr>
                          <w:rFonts w:ascii="宋体" w:hAnsi="宋体" w:cs="宋体" w:eastAsia="宋体" w:hint="default"/>
                          <w:spacing w:val="-78"/>
                          <w:sz w:val="21"/>
                          <w:szCs w:val="21"/>
                        </w:rPr>
                        <w:t> </w:t>
                      </w:r>
                      <w:r>
                        <w:rPr>
                          <w:rFonts w:ascii="宋体" w:hAnsi="宋体" w:cs="宋体" w:eastAsia="宋体" w:hint="default"/>
                          <w:spacing w:val="2"/>
                          <w:w w:val="99"/>
                          <w:sz w:val="21"/>
                          <w:szCs w:val="21"/>
                        </w:rPr>
                        <w:t>万元</w:t>
                      </w:r>
                      <w:r>
                        <w:rPr>
                          <w:rFonts w:ascii="宋体" w:hAnsi="宋体" w:cs="宋体" w:eastAsia="宋体" w:hint="default"/>
                          <w:spacing w:val="-106"/>
                          <w:w w:val="99"/>
                          <w:sz w:val="21"/>
                          <w:szCs w:val="21"/>
                        </w:rPr>
                        <w:t>、</w:t>
                      </w:r>
                      <w:r>
                        <w:rPr>
                          <w:rFonts w:ascii="宋体" w:hAnsi="宋体" w:cs="宋体" w:eastAsia="宋体" w:hint="default"/>
                          <w:spacing w:val="1"/>
                          <w:w w:val="99"/>
                          <w:sz w:val="21"/>
                          <w:szCs w:val="21"/>
                        </w:rPr>
                        <w:t>3,5</w:t>
                      </w:r>
                      <w:r>
                        <w:rPr>
                          <w:rFonts w:ascii="宋体" w:hAnsi="宋体" w:cs="宋体" w:eastAsia="宋体" w:hint="default"/>
                          <w:spacing w:val="-2"/>
                          <w:w w:val="99"/>
                          <w:sz w:val="21"/>
                          <w:szCs w:val="21"/>
                        </w:rPr>
                        <w:t>3</w:t>
                      </w:r>
                      <w:r>
                        <w:rPr>
                          <w:rFonts w:ascii="宋体" w:hAnsi="宋体" w:cs="宋体" w:eastAsia="宋体" w:hint="default"/>
                          <w:spacing w:val="1"/>
                          <w:w w:val="99"/>
                          <w:sz w:val="21"/>
                          <w:szCs w:val="21"/>
                        </w:rPr>
                        <w:t>4.6</w:t>
                      </w:r>
                      <w:r>
                        <w:rPr>
                          <w:rFonts w:ascii="宋体" w:hAnsi="宋体" w:cs="宋体" w:eastAsia="宋体" w:hint="default"/>
                          <w:w w:val="99"/>
                          <w:sz w:val="21"/>
                          <w:szCs w:val="21"/>
                        </w:rPr>
                        <w:t>5</w:t>
                      </w:r>
                      <w:r>
                        <w:rPr>
                          <w:rFonts w:ascii="宋体" w:hAnsi="宋体" w:cs="宋体" w:eastAsia="宋体" w:hint="default"/>
                          <w:spacing w:val="-78"/>
                          <w:sz w:val="21"/>
                          <w:szCs w:val="21"/>
                        </w:rPr>
                        <w:t> </w:t>
                      </w:r>
                      <w:r>
                        <w:rPr>
                          <w:rFonts w:ascii="宋体" w:hAnsi="宋体" w:cs="宋体" w:eastAsia="宋体" w:hint="default"/>
                          <w:spacing w:val="2"/>
                          <w:w w:val="99"/>
                          <w:sz w:val="21"/>
                          <w:szCs w:val="21"/>
                        </w:rPr>
                        <w:t>万</w:t>
                      </w:r>
                      <w:r>
                        <w:rPr>
                          <w:rFonts w:ascii="宋体" w:hAnsi="宋体" w:cs="宋体" w:eastAsia="宋体" w:hint="default"/>
                          <w:spacing w:val="-3"/>
                          <w:w w:val="99"/>
                          <w:sz w:val="21"/>
                          <w:szCs w:val="21"/>
                        </w:rPr>
                        <w:t>元</w:t>
                      </w:r>
                      <w:r>
                        <w:rPr>
                          <w:rFonts w:ascii="宋体" w:hAnsi="宋体" w:cs="宋体" w:eastAsia="宋体" w:hint="default"/>
                          <w:spacing w:val="-101"/>
                          <w:w w:val="99"/>
                          <w:sz w:val="21"/>
                          <w:szCs w:val="21"/>
                        </w:rPr>
                        <w:t>、</w:t>
                      </w:r>
                      <w:r>
                        <w:rPr>
                          <w:rFonts w:ascii="宋体" w:hAnsi="宋体" w:cs="宋体" w:eastAsia="宋体" w:hint="default"/>
                          <w:spacing w:val="1"/>
                          <w:w w:val="99"/>
                          <w:sz w:val="21"/>
                          <w:szCs w:val="21"/>
                        </w:rPr>
                        <w:t>4,</w:t>
                      </w:r>
                      <w:r>
                        <w:rPr>
                          <w:rFonts w:ascii="宋体" w:hAnsi="宋体" w:cs="宋体" w:eastAsia="宋体" w:hint="default"/>
                          <w:spacing w:val="-2"/>
                          <w:w w:val="99"/>
                          <w:sz w:val="21"/>
                          <w:szCs w:val="21"/>
                        </w:rPr>
                        <w:t>4</w:t>
                      </w:r>
                      <w:r>
                        <w:rPr>
                          <w:rFonts w:ascii="宋体" w:hAnsi="宋体" w:cs="宋体" w:eastAsia="宋体" w:hint="default"/>
                          <w:spacing w:val="1"/>
                          <w:w w:val="99"/>
                          <w:sz w:val="21"/>
                          <w:szCs w:val="21"/>
                        </w:rPr>
                        <w:t>29.</w:t>
                      </w:r>
                      <w:r>
                        <w:rPr>
                          <w:rFonts w:ascii="宋体" w:hAnsi="宋体" w:cs="宋体" w:eastAsia="宋体" w:hint="default"/>
                          <w:spacing w:val="-2"/>
                          <w:w w:val="99"/>
                          <w:sz w:val="21"/>
                          <w:szCs w:val="21"/>
                        </w:rPr>
                        <w:t>2</w:t>
                      </w:r>
                      <w:r>
                        <w:rPr>
                          <w:rFonts w:ascii="宋体" w:hAnsi="宋体" w:cs="宋体" w:eastAsia="宋体" w:hint="default"/>
                          <w:w w:val="99"/>
                          <w:sz w:val="21"/>
                          <w:szCs w:val="21"/>
                        </w:rPr>
                        <w:t>9</w:t>
                      </w:r>
                      <w:r>
                        <w:rPr>
                          <w:rFonts w:ascii="宋体" w:hAnsi="宋体" w:cs="宋体" w:eastAsia="宋体" w:hint="default"/>
                          <w:spacing w:val="-78"/>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104"/>
                          <w:w w:val="99"/>
                          <w:sz w:val="21"/>
                          <w:szCs w:val="21"/>
                        </w:rPr>
                        <w:t>。</w:t>
                      </w:r>
                      <w:r>
                        <w:rPr>
                          <w:rFonts w:ascii="宋体" w:hAnsi="宋体" w:cs="宋体" w:eastAsia="宋体" w:hint="default"/>
                          <w:w w:val="99"/>
                          <w:sz w:val="21"/>
                          <w:szCs w:val="21"/>
                        </w:rPr>
                        <w:t>最近</w:t>
                      </w:r>
                      <w:r>
                        <w:rPr>
                          <w:rFonts w:ascii="宋体" w:hAnsi="宋体" w:cs="宋体" w:eastAsia="宋体" w:hint="default"/>
                          <w:spacing w:val="-77"/>
                          <w:sz w:val="21"/>
                          <w:szCs w:val="21"/>
                        </w:rPr>
                        <w:t> </w:t>
                      </w:r>
                      <w:r>
                        <w:rPr>
                          <w:rFonts w:ascii="宋体" w:hAnsi="宋体" w:cs="宋体" w:eastAsia="宋体" w:hint="default"/>
                          <w:w w:val="99"/>
                          <w:sz w:val="21"/>
                          <w:szCs w:val="21"/>
                        </w:rPr>
                        <w:t>3</w:t>
                      </w:r>
                      <w:r>
                        <w:rPr>
                          <w:rFonts w:ascii="宋体" w:hAnsi="宋体" w:cs="宋体" w:eastAsia="宋体" w:hint="default"/>
                          <w:spacing w:val="-78"/>
                          <w:sz w:val="21"/>
                          <w:szCs w:val="21"/>
                        </w:rPr>
                        <w:t> </w:t>
                      </w:r>
                      <w:r>
                        <w:rPr>
                          <w:rFonts w:ascii="宋体" w:hAnsi="宋体" w:cs="宋体" w:eastAsia="宋体" w:hint="default"/>
                          <w:w w:val="99"/>
                          <w:sz w:val="21"/>
                          <w:szCs w:val="21"/>
                        </w:rPr>
                        <w:t>年</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软</w:t>
                      </w:r>
                      <w:r>
                        <w:rPr>
                          <w:rFonts w:ascii="宋体" w:hAnsi="宋体" w:cs="宋体" w:eastAsia="宋体" w:hint="default"/>
                          <w:w w:val="99"/>
                          <w:sz w:val="21"/>
                          <w:szCs w:val="21"/>
                        </w:rPr>
                        <w:t>件</w:t>
                      </w:r>
                      <w:r>
                        <w:rPr>
                          <w:rFonts w:ascii="宋体" w:hAnsi="宋体" w:cs="宋体" w:eastAsia="宋体" w:hint="default"/>
                          <w:spacing w:val="2"/>
                          <w:w w:val="99"/>
                          <w:sz w:val="21"/>
                          <w:szCs w:val="21"/>
                        </w:rPr>
                        <w:t>及</w:t>
                      </w:r>
                      <w:r>
                        <w:rPr>
                          <w:rFonts w:ascii="宋体" w:hAnsi="宋体" w:cs="宋体" w:eastAsia="宋体" w:hint="default"/>
                          <w:w w:val="99"/>
                          <w:sz w:val="21"/>
                          <w:szCs w:val="21"/>
                        </w:rPr>
                        <w:t>技</w:t>
                      </w:r>
                      <w:r>
                        <w:rPr>
                          <w:rFonts w:ascii="宋体" w:hAnsi="宋体" w:cs="宋体" w:eastAsia="宋体" w:hint="default"/>
                          <w:spacing w:val="2"/>
                          <w:w w:val="99"/>
                          <w:sz w:val="21"/>
                          <w:szCs w:val="21"/>
                        </w:rPr>
                        <w:t>术</w:t>
                      </w:r>
                      <w:r>
                        <w:rPr>
                          <w:rFonts w:ascii="宋体" w:hAnsi="宋体" w:cs="宋体" w:eastAsia="宋体" w:hint="default"/>
                          <w:w w:val="99"/>
                          <w:sz w:val="21"/>
                          <w:szCs w:val="21"/>
                        </w:rPr>
                        <w:t>服</w:t>
                      </w:r>
                      <w:r>
                        <w:rPr>
                          <w:rFonts w:ascii="宋体" w:hAnsi="宋体" w:cs="宋体" w:eastAsia="宋体" w:hint="default"/>
                          <w:spacing w:val="2"/>
                          <w:w w:val="99"/>
                          <w:sz w:val="21"/>
                          <w:szCs w:val="21"/>
                        </w:rPr>
                        <w:t>务</w:t>
                      </w:r>
                      <w:r>
                        <w:rPr>
                          <w:rFonts w:ascii="宋体" w:hAnsi="宋体" w:cs="宋体" w:eastAsia="宋体" w:hint="default"/>
                          <w:w w:val="99"/>
                          <w:sz w:val="21"/>
                          <w:szCs w:val="21"/>
                        </w:rPr>
                        <w:t>收</w:t>
                      </w:r>
                      <w:r>
                        <w:rPr>
                          <w:rFonts w:ascii="宋体" w:hAnsi="宋体" w:cs="宋体" w:eastAsia="宋体" w:hint="default"/>
                          <w:spacing w:val="2"/>
                          <w:w w:val="99"/>
                          <w:sz w:val="21"/>
                          <w:szCs w:val="21"/>
                        </w:rPr>
                        <w:t>入</w:t>
                      </w:r>
                      <w:r>
                        <w:rPr>
                          <w:rFonts w:ascii="宋体" w:hAnsi="宋体" w:cs="宋体" w:eastAsia="宋体" w:hint="default"/>
                          <w:w w:val="99"/>
                          <w:sz w:val="21"/>
                          <w:szCs w:val="21"/>
                        </w:rPr>
                        <w:t>年</w:t>
                      </w:r>
                      <w:r>
                        <w:rPr>
                          <w:rFonts w:ascii="宋体" w:hAnsi="宋体" w:cs="宋体" w:eastAsia="宋体" w:hint="default"/>
                          <w:spacing w:val="2"/>
                          <w:w w:val="99"/>
                          <w:sz w:val="21"/>
                          <w:szCs w:val="21"/>
                        </w:rPr>
                        <w:t>均</w:t>
                      </w:r>
                      <w:r>
                        <w:rPr>
                          <w:rFonts w:ascii="宋体" w:hAnsi="宋体" w:cs="宋体" w:eastAsia="宋体" w:hint="default"/>
                          <w:w w:val="99"/>
                          <w:sz w:val="21"/>
                          <w:szCs w:val="21"/>
                        </w:rPr>
                        <w:t>复</w:t>
                      </w:r>
                      <w:r>
                        <w:rPr>
                          <w:rFonts w:ascii="宋体" w:hAnsi="宋体" w:cs="宋体" w:eastAsia="宋体" w:hint="default"/>
                          <w:spacing w:val="2"/>
                          <w:w w:val="99"/>
                          <w:sz w:val="21"/>
                          <w:szCs w:val="21"/>
                        </w:rPr>
                        <w:t>合</w:t>
                      </w:r>
                      <w:r>
                        <w:rPr>
                          <w:rFonts w:ascii="宋体" w:hAnsi="宋体" w:cs="宋体" w:eastAsia="宋体" w:hint="default"/>
                          <w:w w:val="99"/>
                          <w:sz w:val="21"/>
                          <w:szCs w:val="21"/>
                        </w:rPr>
                        <w:t>增长</w:t>
                      </w:r>
                      <w:r>
                        <w:rPr>
                          <w:rFonts w:ascii="宋体" w:hAnsi="宋体" w:cs="宋体" w:eastAsia="宋体" w:hint="default"/>
                          <w:spacing w:val="-77"/>
                          <w:sz w:val="21"/>
                          <w:szCs w:val="21"/>
                        </w:rPr>
                        <w:t> </w:t>
                      </w:r>
                      <w:r>
                        <w:rPr>
                          <w:rFonts w:ascii="宋体" w:hAnsi="宋体" w:cs="宋体" w:eastAsia="宋体" w:hint="default"/>
                          <w:spacing w:val="1"/>
                          <w:w w:val="99"/>
                          <w:sz w:val="21"/>
                          <w:szCs w:val="21"/>
                        </w:rPr>
                        <w:t>35.</w:t>
                      </w:r>
                      <w:r>
                        <w:rPr>
                          <w:rFonts w:ascii="宋体" w:hAnsi="宋体" w:cs="宋体" w:eastAsia="宋体" w:hint="default"/>
                          <w:spacing w:val="-2"/>
                          <w:w w:val="99"/>
                          <w:sz w:val="21"/>
                          <w:szCs w:val="21"/>
                        </w:rPr>
                        <w:t>1</w:t>
                      </w:r>
                      <w:r>
                        <w:rPr>
                          <w:rFonts w:ascii="宋体" w:hAnsi="宋体" w:cs="宋体" w:eastAsia="宋体" w:hint="default"/>
                          <w:spacing w:val="1"/>
                          <w:w w:val="99"/>
                          <w:sz w:val="21"/>
                          <w:szCs w:val="21"/>
                        </w:rPr>
                        <w:t>7%</w:t>
                      </w:r>
                      <w:r>
                        <w:rPr>
                          <w:rFonts w:ascii="宋体" w:hAnsi="宋体" w:cs="宋体" w:eastAsia="宋体" w:hint="default"/>
                          <w:w w:val="49"/>
                          <w:sz w:val="21"/>
                          <w:szCs w:val="21"/>
                        </w:rPr>
                        <w:t>，</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0"/>
        <w:jc w:val="left"/>
      </w:pPr>
      <w:r>
        <w:rPr>
          <w:w w:val="95"/>
        </w:rPr>
        <w:t>公司净利润年均复合增长 30.11%，已成长为国内领先的医疗软件企业。但与国内其他行业知名软件企业、</w:t>
      </w:r>
      <w:r>
        <w:rPr>
          <w:spacing w:val="-50"/>
          <w:w w:val="95"/>
        </w:rPr>
        <w:t> </w:t>
      </w:r>
      <w:r>
        <w:rPr>
          <w:spacing w:val="-50"/>
          <w:w w:val="95"/>
        </w:rPr>
      </w:r>
      <w:r>
        <w:rPr/>
        <w:t>国际知名医疗软件企业相比，公司的业务规模较小，存在抵御错综复杂市场风险能力较小的风险。</w:t>
      </w:r>
    </w:p>
    <w:p>
      <w:pPr>
        <w:spacing w:line="240" w:lineRule="auto" w:before="1"/>
        <w:rPr>
          <w:rFonts w:ascii="宋体" w:hAnsi="宋体" w:cs="宋体" w:eastAsia="宋体" w:hint="default"/>
          <w:sz w:val="14"/>
          <w:szCs w:val="14"/>
        </w:rPr>
      </w:pPr>
    </w:p>
    <w:p>
      <w:pPr>
        <w:pStyle w:val="BodyText"/>
        <w:spacing w:line="338" w:lineRule="auto"/>
        <w:ind w:right="110" w:firstLine="422"/>
        <w:jc w:val="both"/>
      </w:pPr>
      <w:r>
        <w:rPr>
          <w:w w:val="95"/>
        </w:rPr>
        <w:t>应对措施：公司将借助上市带来的资本优势、品牌优势，抓住目前国内医疗信息化快速发展的大好时</w:t>
      </w:r>
      <w:r>
        <w:rPr>
          <w:spacing w:val="-94"/>
          <w:w w:val="95"/>
        </w:rPr>
        <w:t> </w:t>
      </w:r>
      <w:r>
        <w:rPr>
          <w:spacing w:val="-94"/>
          <w:w w:val="95"/>
        </w:rPr>
      </w:r>
      <w:r>
        <w:rPr>
          <w:w w:val="95"/>
        </w:rPr>
        <w:t>机，加大研发和市场营销投入，尽快覆盖全国市场，并在条件成熟的情况下，积极推动行业整合，加快公</w:t>
      </w:r>
      <w:r>
        <w:rPr>
          <w:spacing w:val="53"/>
          <w:w w:val="95"/>
        </w:rPr>
        <w:t> </w:t>
      </w:r>
      <w:r>
        <w:rPr>
          <w:spacing w:val="53"/>
          <w:w w:val="95"/>
        </w:rPr>
      </w:r>
      <w:r>
        <w:rPr/>
        <w:t>司发展。</w:t>
      </w:r>
    </w:p>
    <w:p>
      <w:pPr>
        <w:spacing w:line="403" w:lineRule="auto" w:before="119"/>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5、收款及经营业绩的季节性波动风险</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由于公司客户以国内的公立医院、卫生管理部门等机构为主，其对信息产品的采购一般遵守较为严格</w:t>
      </w:r>
      <w:r>
        <w:rPr>
          <w:rFonts w:ascii="宋体" w:hAnsi="宋体" w:cs="宋体" w:eastAsia="宋体" w:hint="default"/>
          <w:sz w:val="21"/>
          <w:szCs w:val="21"/>
        </w:rPr>
      </w:r>
    </w:p>
    <w:p>
      <w:pPr>
        <w:pStyle w:val="BodyText"/>
        <w:spacing w:line="246" w:lineRule="exact"/>
        <w:ind w:right="0"/>
        <w:jc w:val="left"/>
      </w:pPr>
      <w:r>
        <w:rPr/>
        <w:t>的预算管理制度，通常在每年上半年制定投资计划，需要通过预算、审批、招标、合同签订等流程，许多</w:t>
      </w:r>
    </w:p>
    <w:p>
      <w:pPr>
        <w:pStyle w:val="BodyText"/>
        <w:spacing w:line="338" w:lineRule="auto" w:before="116"/>
        <w:ind w:right="0"/>
        <w:jc w:val="left"/>
      </w:pPr>
      <w:r>
        <w:rPr>
          <w:w w:val="95"/>
        </w:rPr>
        <w:t>项目还需要纳入财政预算、政府采购，周期相对较长。公司客户年度资本开支主要集中在下半年尤其是第</w:t>
      </w:r>
      <w:r>
        <w:rPr>
          <w:spacing w:val="54"/>
          <w:w w:val="95"/>
        </w:rPr>
        <w:t> </w:t>
      </w:r>
      <w:r>
        <w:rPr>
          <w:spacing w:val="54"/>
          <w:w w:val="95"/>
        </w:rPr>
      </w:r>
      <w:r>
        <w:rPr/>
        <w:t>四季度，对公司的项目验收和付款也集中在下半年。</w:t>
      </w:r>
    </w:p>
    <w:p>
      <w:pPr>
        <w:spacing w:line="240" w:lineRule="auto" w:before="3"/>
        <w:rPr>
          <w:rFonts w:ascii="宋体" w:hAnsi="宋体" w:cs="宋体" w:eastAsia="宋体" w:hint="default"/>
          <w:sz w:val="14"/>
          <w:szCs w:val="14"/>
        </w:rPr>
      </w:pPr>
    </w:p>
    <w:p>
      <w:pPr>
        <w:pStyle w:val="BodyText"/>
        <w:spacing w:line="340" w:lineRule="auto"/>
        <w:ind w:right="110" w:firstLine="422"/>
        <w:jc w:val="both"/>
      </w:pPr>
      <w:r>
        <w:rPr>
          <w:w w:val="95"/>
        </w:rPr>
        <w:t>由于受上述因素的影响，导致公司营业收入、净利润、经营性现金流量呈不均衡的季节性分布：最近</w:t>
      </w:r>
      <w:r>
        <w:rPr>
          <w:spacing w:val="-91"/>
          <w:w w:val="95"/>
        </w:rPr>
        <w:t> </w:t>
      </w:r>
      <w:r>
        <w:rPr>
          <w:spacing w:val="-91"/>
          <w:w w:val="95"/>
        </w:rPr>
      </w:r>
      <w:r>
        <w:rPr/>
        <w:t>三年，公司上半年收款一般只占全年的</w:t>
      </w:r>
      <w:r>
        <w:rPr>
          <w:spacing w:val="-68"/>
        </w:rPr>
        <w:t> </w:t>
      </w:r>
      <w:r>
        <w:rPr/>
        <w:t>20-30%，而第四季度能达到全年的</w:t>
      </w:r>
      <w:r>
        <w:rPr>
          <w:spacing w:val="-65"/>
        </w:rPr>
        <w:t> </w:t>
      </w:r>
      <w:r>
        <w:rPr/>
        <w:t>50%以上；公司的收入和利润存</w:t>
      </w:r>
      <w:r>
        <w:rPr>
          <w:w w:val="99"/>
        </w:rPr>
        <w:t> </w:t>
      </w:r>
      <w:r>
        <w:rPr>
          <w:w w:val="95"/>
        </w:rPr>
        <w:t>在一定的季节性，软件及技术服务收入、净利润在上、下半年分别占比平均约为 40%、60%。投资者不宜以</w:t>
      </w:r>
      <w:r>
        <w:rPr>
          <w:spacing w:val="48"/>
          <w:w w:val="95"/>
        </w:rPr>
        <w:t> </w:t>
      </w:r>
      <w:r>
        <w:rPr>
          <w:spacing w:val="48"/>
          <w:w w:val="95"/>
        </w:rPr>
      </w:r>
      <w:r>
        <w:rPr/>
        <w:t>公司季度或者半年度业绩作为投资判断的主要依据。</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w w:val="95"/>
        </w:rPr>
        <w:t>应对措施：公司将加大市场工作力度，及时了解、掌握和引导客户的投资计划，在不违反相关规定的</w:t>
      </w:r>
      <w:r>
        <w:rPr>
          <w:spacing w:val="-94"/>
          <w:w w:val="95"/>
        </w:rPr>
        <w:t> </w:t>
      </w:r>
      <w:r>
        <w:rPr>
          <w:spacing w:val="-94"/>
          <w:w w:val="95"/>
        </w:rPr>
      </w:r>
      <w:r>
        <w:rPr>
          <w:w w:val="95"/>
        </w:rPr>
        <w:t>前提下尽早介入项目前期规划工作，同时合理调配人力资源，使得项目实施尽量能够均衡开展，减少因自</w:t>
      </w:r>
      <w:r>
        <w:rPr>
          <w:spacing w:val="53"/>
          <w:w w:val="95"/>
        </w:rPr>
        <w:t> </w:t>
      </w:r>
      <w:r>
        <w:rPr>
          <w:spacing w:val="53"/>
          <w:w w:val="95"/>
        </w:rPr>
      </w:r>
      <w:r>
        <w:rPr>
          <w:w w:val="95"/>
        </w:rPr>
        <w:t>身因素造成的项目实施时间集中问题；同时，加大收款考核力度，与客户保持及时有效沟通，减少因人为</w:t>
      </w:r>
      <w:r>
        <w:rPr>
          <w:spacing w:val="52"/>
          <w:w w:val="95"/>
        </w:rPr>
        <w:t> </w:t>
      </w:r>
      <w:r>
        <w:rPr>
          <w:spacing w:val="52"/>
          <w:w w:val="95"/>
        </w:rPr>
      </w:r>
      <w:r>
        <w:rPr/>
        <w:t>因素造成的收款时间集中问题。</w:t>
      </w:r>
    </w:p>
    <w:p>
      <w:pPr>
        <w:spacing w:line="400" w:lineRule="auto" w:before="117"/>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（四）管理层所关注的发展机遇和挑战</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1、随着新医改的深入，医疗信息化市场需求旺盛，而随着公司成功上市，公司的品牌知名度进一步</w:t>
      </w:r>
    </w:p>
    <w:p>
      <w:pPr>
        <w:pStyle w:val="BodyText"/>
        <w:spacing w:line="250" w:lineRule="exact"/>
        <w:ind w:right="0"/>
        <w:jc w:val="left"/>
      </w:pPr>
      <w:r>
        <w:rPr/>
        <w:t>提高，募投项目的实施也将使公司产品线更为齐全，营销服务网络更加完善，有利于将公司的产品迅速拓</w:t>
      </w:r>
    </w:p>
    <w:p>
      <w:pPr>
        <w:pStyle w:val="BodyText"/>
        <w:spacing w:line="240" w:lineRule="auto" w:before="114"/>
        <w:ind w:right="0"/>
        <w:jc w:val="left"/>
      </w:pPr>
      <w:r>
        <w:rPr/>
        <w:t>展到全国，从而形成新的竞争优势。</w:t>
      </w:r>
    </w:p>
    <w:p>
      <w:pPr>
        <w:spacing w:line="240" w:lineRule="auto" w:before="11"/>
        <w:rPr>
          <w:rFonts w:ascii="宋体" w:hAnsi="宋体" w:cs="宋体" w:eastAsia="宋体" w:hint="default"/>
          <w:sz w:val="20"/>
          <w:szCs w:val="20"/>
        </w:rPr>
      </w:pPr>
    </w:p>
    <w:p>
      <w:pPr>
        <w:pStyle w:val="BodyText"/>
        <w:spacing w:line="338" w:lineRule="auto"/>
        <w:ind w:right="111" w:firstLine="422"/>
        <w:jc w:val="both"/>
      </w:pPr>
      <w:r>
        <w:rPr>
          <w:w w:val="95"/>
        </w:rPr>
        <w:t>2、紧密配合卫生部等国家部委，积极参与医疗信息化的规范标准的制定及推进工作，从而规范市场，</w:t>
      </w:r>
      <w:r>
        <w:rPr>
          <w:w w:val="49"/>
        </w:rPr>
        <w:t> </w:t>
      </w:r>
      <w:r>
        <w:rPr/>
        <w:t>形成健康的行业发展局面。</w:t>
      </w:r>
    </w:p>
    <w:p>
      <w:pPr>
        <w:spacing w:line="240" w:lineRule="auto" w:before="3"/>
        <w:rPr>
          <w:rFonts w:ascii="宋体" w:hAnsi="宋体" w:cs="宋体" w:eastAsia="宋体" w:hint="default"/>
          <w:sz w:val="14"/>
          <w:szCs w:val="14"/>
        </w:rPr>
      </w:pPr>
    </w:p>
    <w:p>
      <w:pPr>
        <w:pStyle w:val="BodyText"/>
        <w:spacing w:line="340" w:lineRule="auto"/>
        <w:ind w:right="112" w:firstLine="422"/>
        <w:jc w:val="both"/>
      </w:pPr>
      <w:r>
        <w:rPr/>
        <w:t>3、云计算的软件服务模式、大数据处理系统、临床决策系统、知识库系统、健康档案、电子病历、</w:t>
      </w:r>
      <w:r>
        <w:rPr>
          <w:w w:val="99"/>
        </w:rPr>
        <w:t> </w:t>
      </w:r>
      <w:r>
        <w:rPr>
          <w:w w:val="95"/>
        </w:rPr>
        <w:t>全国性的居民健康卡、公立医院改革的信息化等都是管理层高度关注的公司发展机遇，公司将不断深入研</w:t>
      </w:r>
      <w:r>
        <w:rPr>
          <w:spacing w:val="52"/>
          <w:w w:val="95"/>
        </w:rPr>
        <w:t> </w:t>
      </w:r>
      <w:r>
        <w:rPr>
          <w:spacing w:val="52"/>
          <w:w w:val="95"/>
        </w:rPr>
      </w:r>
      <w:r>
        <w:rPr/>
        <w:t>发，借助现有的基础，进一步扩大竞争优势。</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t>4、在政府行政体制下，任何事情的推广都不可能一帆风顺，所以医疗信息化的推广也将存在各种难</w:t>
      </w:r>
      <w:r>
        <w:rPr>
          <w:w w:val="99"/>
        </w:rPr>
        <w:t> </w:t>
      </w:r>
      <w:r>
        <w:rPr>
          <w:w w:val="95"/>
        </w:rPr>
        <w:t>点。比如各种卫生机构信息化水平的差异就会造成区域卫生信息化项目周期长、各机构之间容易形成互相</w:t>
      </w:r>
      <w:r>
        <w:rPr>
          <w:spacing w:val="52"/>
          <w:w w:val="95"/>
        </w:rPr>
        <w:t> </w:t>
      </w:r>
      <w:r>
        <w:rPr>
          <w:spacing w:val="52"/>
          <w:w w:val="95"/>
        </w:rPr>
      </w:r>
      <w:r>
        <w:rPr>
          <w:w w:val="95"/>
        </w:rPr>
        <w:t>推诿的局面。为此，公司充分分析这些难点，使产品规划、设计、研发、市场营销及服务等符合医疗信息</w:t>
      </w:r>
      <w:r>
        <w:rPr/>
      </w:r>
    </w:p>
    <w:p>
      <w:pPr>
        <w:spacing w:after="0" w:line="340"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化发展特征，以保证公司市场规模的不断扩大。</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Heading4"/>
        <w:spacing w:line="333" w:lineRule="exact"/>
        <w:ind w:right="0"/>
        <w:jc w:val="left"/>
        <w:rPr>
          <w:b w:val="0"/>
          <w:bCs w:val="0"/>
        </w:rPr>
      </w:pPr>
      <w:r>
        <w:rPr>
          <w:w w:val="95"/>
        </w:rPr>
        <w:t>（五）公司未来发展战略规划及   2012 </w:t>
      </w:r>
      <w:r>
        <w:rPr>
          <w:spacing w:val="5"/>
          <w:w w:val="95"/>
        </w:rPr>
        <w:t> </w:t>
      </w:r>
      <w:r>
        <w:rPr>
          <w:w w:val="95"/>
        </w:rPr>
        <w:t>年经营计划</w:t>
      </w:r>
      <w:r>
        <w:rPr>
          <w:b w:val="0"/>
          <w:bCs w:val="0"/>
        </w:rPr>
      </w:r>
    </w:p>
    <w:p>
      <w:pPr>
        <w:spacing w:line="240" w:lineRule="auto" w:before="8"/>
        <w:rPr>
          <w:rFonts w:ascii="Microsoft JhengHei" w:hAnsi="Microsoft JhengHei" w:cs="Microsoft JhengHei" w:eastAsia="Microsoft JhengHei" w:hint="default"/>
          <w:b/>
          <w:bCs/>
          <w:sz w:val="10"/>
          <w:szCs w:val="10"/>
        </w:rPr>
      </w:pPr>
    </w:p>
    <w:p>
      <w:pPr>
        <w:pStyle w:val="BodyText"/>
        <w:spacing w:line="403" w:lineRule="auto"/>
        <w:ind w:left="535" w:right="0"/>
        <w:jc w:val="left"/>
      </w:pPr>
      <w:r>
        <w:rPr>
          <w:rFonts w:ascii="Microsoft JhengHei" w:hAnsi="Microsoft JhengHei" w:cs="Microsoft JhengHei" w:eastAsia="Microsoft JhengHei" w:hint="default"/>
          <w:b/>
          <w:bCs/>
        </w:rPr>
        <w:t>1、未来发展战略规划</w:t>
      </w:r>
      <w:r>
        <w:rPr>
          <w:rFonts w:ascii="Microsoft JhengHei" w:hAnsi="Microsoft JhengHei" w:cs="Microsoft JhengHei" w:eastAsia="Microsoft JhengHei" w:hint="default"/>
          <w:b/>
          <w:bCs/>
          <w:w w:val="99"/>
        </w:rPr>
        <w:t> </w:t>
      </w:r>
      <w:r>
        <w:rPr>
          <w:w w:val="95"/>
        </w:rPr>
        <w:t>公司坚持以人为本，积极探索和实施医院信息自动化、信息化、网络化管理模式，倡导以“完美打造</w:t>
      </w:r>
      <w:r>
        <w:rPr/>
      </w:r>
    </w:p>
    <w:p>
      <w:pPr>
        <w:pStyle w:val="BodyText"/>
        <w:spacing w:line="246" w:lineRule="exact"/>
        <w:ind w:right="0"/>
        <w:jc w:val="both"/>
      </w:pPr>
      <w:r>
        <w:rPr/>
        <w:t>医疗行业解决方案”为核心的企业文化，秉承“追求高效，崇尚简洁，以创新为矛，以务实为盾，脚踏实</w:t>
      </w:r>
    </w:p>
    <w:p>
      <w:pPr>
        <w:pStyle w:val="BodyText"/>
        <w:spacing w:line="340" w:lineRule="auto" w:before="114"/>
        <w:ind w:right="112"/>
        <w:jc w:val="both"/>
      </w:pPr>
      <w:r>
        <w:rPr>
          <w:w w:val="95"/>
        </w:rPr>
        <w:t>地，开拓未来”的理念，公司软件开发坚持“以人为中心”全新的人性化医疗管理理念，使产品开发逐步</w:t>
      </w:r>
      <w:r>
        <w:rPr>
          <w:spacing w:val="52"/>
          <w:w w:val="95"/>
        </w:rPr>
        <w:t> </w:t>
      </w:r>
      <w:r>
        <w:rPr>
          <w:spacing w:val="52"/>
          <w:w w:val="95"/>
        </w:rPr>
      </w:r>
      <w:r>
        <w:rPr>
          <w:w w:val="95"/>
        </w:rPr>
        <w:t>从“以病人为中心”的医疗模式到“全民健康”医疗保健模式的全面过渡，最终实现从医疗卫生软件开发</w:t>
      </w:r>
      <w:r>
        <w:rPr>
          <w:spacing w:val="52"/>
          <w:w w:val="95"/>
        </w:rPr>
        <w:t> </w:t>
      </w:r>
      <w:r>
        <w:rPr>
          <w:spacing w:val="52"/>
          <w:w w:val="95"/>
        </w:rPr>
      </w:r>
      <w:r>
        <w:rPr/>
        <w:t>商发展成为医疗行业整体解决方案提供商的战略目标。</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（1）未来三年业务发展目标</w:t>
      </w:r>
    </w:p>
    <w:p>
      <w:pPr>
        <w:spacing w:line="240" w:lineRule="auto" w:before="11"/>
        <w:rPr>
          <w:rFonts w:ascii="宋体" w:hAnsi="宋体" w:cs="宋体" w:eastAsia="宋体" w:hint="default"/>
          <w:sz w:val="20"/>
          <w:szCs w:val="20"/>
        </w:rPr>
      </w:pPr>
    </w:p>
    <w:p>
      <w:pPr>
        <w:pStyle w:val="BodyText"/>
        <w:spacing w:line="340" w:lineRule="auto"/>
        <w:ind w:right="112" w:firstLine="422"/>
        <w:jc w:val="both"/>
      </w:pPr>
      <w:r>
        <w:rPr>
          <w:spacing w:val="3"/>
        </w:rPr>
        <w:t>公司未来三年的发展目标是继续保持在传统医院信息管理系统和医技信息管理系统产品的市场领先</w:t>
      </w:r>
      <w:r>
        <w:rPr>
          <w:w w:val="99"/>
        </w:rPr>
        <w:t> </w:t>
      </w:r>
      <w:r>
        <w:rPr>
          <w:w w:val="95"/>
        </w:rPr>
        <w:t>优势，大力发展公共卫生信息产品，逐步实现从单纯的软件开发商向医疗行业整体解决方案提供商的战略</w:t>
      </w:r>
      <w:r>
        <w:rPr>
          <w:spacing w:val="52"/>
          <w:w w:val="95"/>
        </w:rPr>
        <w:t> </w:t>
      </w:r>
      <w:r>
        <w:rPr>
          <w:spacing w:val="52"/>
          <w:w w:val="95"/>
        </w:rPr>
      </w:r>
      <w:r>
        <w:rPr/>
        <w:t>转型，成为中国医疗卫生信息行业的绝对领先企业。</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（2）未来三年业务发展规划</w:t>
      </w:r>
    </w:p>
    <w:p>
      <w:pPr>
        <w:spacing w:line="240" w:lineRule="auto" w:before="8"/>
        <w:rPr>
          <w:rFonts w:ascii="宋体" w:hAnsi="宋体" w:cs="宋体" w:eastAsia="宋体" w:hint="default"/>
          <w:sz w:val="20"/>
          <w:szCs w:val="20"/>
        </w:rPr>
      </w:pPr>
    </w:p>
    <w:p>
      <w:pPr>
        <w:pStyle w:val="BodyText"/>
        <w:spacing w:line="340" w:lineRule="auto"/>
        <w:ind w:right="112" w:firstLine="422"/>
        <w:jc w:val="both"/>
      </w:pPr>
      <w:r>
        <w:rPr>
          <w:w w:val="95"/>
        </w:rPr>
        <w:t>为了实现以上发展目标，进一步增强本公司成长性、增进自主创新能力和提升核心竞争优势，未来三</w:t>
      </w:r>
      <w:r>
        <w:rPr>
          <w:spacing w:val="-95"/>
          <w:w w:val="95"/>
        </w:rPr>
        <w:t> </w:t>
      </w:r>
      <w:r>
        <w:rPr>
          <w:spacing w:val="-95"/>
          <w:w w:val="95"/>
        </w:rPr>
      </w:r>
      <w:r>
        <w:rPr/>
        <w:t>年将采取如下发展规划及措施：</w:t>
      </w:r>
    </w:p>
    <w:p>
      <w:pPr>
        <w:spacing w:line="240" w:lineRule="auto" w:before="12"/>
        <w:rPr>
          <w:rFonts w:ascii="宋体" w:hAnsi="宋体" w:cs="宋体" w:eastAsia="宋体" w:hint="default"/>
          <w:sz w:val="13"/>
          <w:szCs w:val="13"/>
        </w:rPr>
      </w:pPr>
    </w:p>
    <w:p>
      <w:pPr>
        <w:pStyle w:val="BodyText"/>
        <w:spacing w:line="477" w:lineRule="auto"/>
        <w:ind w:left="535" w:right="6161"/>
        <w:jc w:val="left"/>
      </w:pPr>
      <w:r>
        <w:rPr/>
        <w:t>公司将采取如下发展规划及措施：</w:t>
      </w:r>
      <w:r>
        <w:rPr>
          <w:w w:val="99"/>
        </w:rPr>
        <w:t> </w:t>
      </w:r>
      <w:r>
        <w:rPr/>
        <w:t>A、研发战略</w:t>
      </w:r>
    </w:p>
    <w:p>
      <w:pPr>
        <w:pStyle w:val="BodyText"/>
        <w:spacing w:line="340" w:lineRule="auto" w:before="64"/>
        <w:ind w:right="110" w:firstLine="422"/>
        <w:jc w:val="both"/>
      </w:pPr>
      <w:r>
        <w:rPr>
          <w:w w:val="95"/>
        </w:rPr>
        <w:t>进一步提升公司的研发能力，保持产品的技术和市场竞争优势。公司产品及研发部将积极参与国家级</w:t>
      </w:r>
      <w:r>
        <w:rPr>
          <w:spacing w:val="-94"/>
          <w:w w:val="95"/>
        </w:rPr>
        <w:t> </w:t>
      </w:r>
      <w:r>
        <w:rPr>
          <w:spacing w:val="-94"/>
          <w:w w:val="95"/>
        </w:rPr>
      </w:r>
      <w:r>
        <w:rPr>
          <w:w w:val="95"/>
        </w:rPr>
        <w:t>医疗卫生行业的相关课题项目、国家卫生信息化相关标准研制，研发部门研究并把握国内外医疗卫生信息</w:t>
      </w:r>
      <w:r>
        <w:rPr>
          <w:spacing w:val="52"/>
          <w:w w:val="95"/>
        </w:rPr>
        <w:t> </w:t>
      </w:r>
      <w:r>
        <w:rPr>
          <w:spacing w:val="52"/>
          <w:w w:val="95"/>
        </w:rPr>
      </w:r>
      <w:r>
        <w:rPr>
          <w:w w:val="95"/>
        </w:rPr>
        <w:t>化趋势，进行超前开发、应用和储备，将网络、通讯、软件等信息技术领域的先进技术与行业应用紧密结</w:t>
      </w:r>
      <w:r>
        <w:rPr>
          <w:spacing w:val="53"/>
          <w:w w:val="95"/>
        </w:rPr>
        <w:t> </w:t>
      </w:r>
      <w:r>
        <w:rPr>
          <w:spacing w:val="53"/>
          <w:w w:val="95"/>
        </w:rPr>
      </w:r>
      <w:r>
        <w:rPr>
          <w:w w:val="95"/>
        </w:rPr>
        <w:t>合，创造性地研发适应行业发展的领先核心技术。公司事业部下属开发部将重点结合客户的需求，进一步</w:t>
      </w:r>
      <w:r>
        <w:rPr>
          <w:spacing w:val="51"/>
          <w:w w:val="95"/>
        </w:rPr>
        <w:t> </w:t>
      </w:r>
      <w:r>
        <w:rPr>
          <w:spacing w:val="51"/>
          <w:w w:val="95"/>
        </w:rPr>
      </w:r>
      <w:r>
        <w:rPr/>
        <w:t>完善产品结构和产品性能，保持产品的先进性。</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w w:val="95"/>
        </w:rPr>
        <w:t>同时，对于最新的研发成果，新开发的系统，将积极申请著作权证书和软件产品证书，保护公司的自</w:t>
      </w:r>
      <w:r>
        <w:rPr>
          <w:spacing w:val="-92"/>
          <w:w w:val="95"/>
        </w:rPr>
        <w:t> </w:t>
      </w:r>
      <w:r>
        <w:rPr>
          <w:spacing w:val="-92"/>
          <w:w w:val="95"/>
        </w:rPr>
      </w:r>
      <w:r>
        <w:rPr/>
        <w:t>主知识产权。</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B、人力资源战略</w:t>
      </w:r>
    </w:p>
    <w:p>
      <w:pPr>
        <w:spacing w:line="240" w:lineRule="auto" w:before="11"/>
        <w:rPr>
          <w:rFonts w:ascii="宋体" w:hAnsi="宋体" w:cs="宋体" w:eastAsia="宋体" w:hint="default"/>
          <w:sz w:val="20"/>
          <w:szCs w:val="20"/>
        </w:rPr>
      </w:pPr>
    </w:p>
    <w:p>
      <w:pPr>
        <w:pStyle w:val="BodyText"/>
        <w:spacing w:line="340" w:lineRule="auto"/>
        <w:ind w:right="110" w:firstLine="422"/>
        <w:jc w:val="both"/>
      </w:pPr>
      <w:r>
        <w:rPr>
          <w:w w:val="95"/>
        </w:rPr>
        <w:t>作为一家软件公司，人才是最核心的竞争力。公司根据总体战略和目标，围绕核心竞争力，进一步丰</w:t>
      </w:r>
      <w:r>
        <w:rPr>
          <w:spacing w:val="-91"/>
          <w:w w:val="95"/>
        </w:rPr>
        <w:t> </w:t>
      </w:r>
      <w:r>
        <w:rPr>
          <w:spacing w:val="-91"/>
          <w:w w:val="95"/>
        </w:rPr>
      </w:r>
      <w:r>
        <w:rPr>
          <w:w w:val="95"/>
        </w:rPr>
        <w:t>富“完美打造医疗行业解决方案”为核心的企业文化；优化组织架构及制度流程；加强人才储备，形成合</w:t>
      </w:r>
      <w:r>
        <w:rPr>
          <w:spacing w:val="51"/>
          <w:w w:val="95"/>
        </w:rPr>
        <w:t> </w:t>
      </w:r>
      <w:r>
        <w:rPr>
          <w:spacing w:val="51"/>
          <w:w w:val="95"/>
        </w:rPr>
      </w:r>
      <w:r>
        <w:rPr>
          <w:w w:val="95"/>
        </w:rPr>
        <w:t>理的人才梯队。公司将结合中长期的业务发展战略，通过与医科大学的合作，有计划地做好人才储备，同</w:t>
      </w:r>
      <w:r>
        <w:rPr>
          <w:spacing w:val="52"/>
          <w:w w:val="95"/>
        </w:rPr>
        <w:t> </w:t>
      </w:r>
      <w:r>
        <w:rPr>
          <w:spacing w:val="52"/>
          <w:w w:val="95"/>
        </w:rPr>
      </w:r>
      <w:r>
        <w:rPr>
          <w:w w:val="95"/>
        </w:rPr>
        <w:t>时，有选择地引进其他包括市场、管理等紧缺人才。公司通过建立高效的培训体系，优化薪酬激励机制，</w:t>
      </w:r>
      <w:r>
        <w:rPr>
          <w:spacing w:val="51"/>
          <w:w w:val="95"/>
        </w:rPr>
        <w:t> </w:t>
      </w:r>
      <w:r>
        <w:rPr>
          <w:spacing w:val="51"/>
          <w:w w:val="95"/>
        </w:rPr>
      </w:r>
      <w:r>
        <w:rPr/>
        <w:t>满足各层级、各专业对人才的需要，发挥人力资源的整体效能。</w:t>
      </w:r>
    </w:p>
    <w:p>
      <w:pPr>
        <w:spacing w:after="0" w:line="340"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C、品牌战略</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139" w:firstLine="422"/>
        <w:jc w:val="both"/>
      </w:pPr>
      <w:r>
        <w:rPr/>
        <w:t>公司依托已经注册的“WinningSoft”商标，未来将借助于产品的优势，逐步开拓品牌优势，全面提</w:t>
      </w:r>
      <w:r>
        <w:rPr>
          <w:w w:val="99"/>
        </w:rPr>
        <w:t> </w:t>
      </w:r>
      <w:r>
        <w:rPr/>
        <w:t>升专业形象，目标是把“卫宁”打造成为国内医疗卫生应用软件第一品牌。</w:t>
      </w:r>
    </w:p>
    <w:p>
      <w:pPr>
        <w:pStyle w:val="Heading4"/>
        <w:spacing w:line="240" w:lineRule="auto" w:before="117"/>
        <w:ind w:right="0"/>
        <w:jc w:val="left"/>
        <w:rPr>
          <w:b w:val="0"/>
          <w:bCs w:val="0"/>
        </w:rPr>
      </w:pPr>
      <w:r>
        <w:rPr>
          <w:w w:val="95"/>
        </w:rPr>
        <w:t>2、2012</w:t>
      </w:r>
      <w:r>
        <w:rPr>
          <w:spacing w:val="-6"/>
          <w:w w:val="95"/>
        </w:rPr>
        <w:t> </w:t>
      </w:r>
      <w:r>
        <w:rPr>
          <w:w w:val="95"/>
        </w:rPr>
        <w:t>年经营计划</w:t>
      </w:r>
      <w:r>
        <w:rPr>
          <w:b w:val="0"/>
          <w:bCs w:val="0"/>
        </w:rPr>
      </w:r>
    </w:p>
    <w:p>
      <w:pPr>
        <w:pStyle w:val="BodyText"/>
        <w:spacing w:line="544" w:lineRule="exact" w:before="56"/>
        <w:ind w:left="535" w:right="0"/>
        <w:jc w:val="left"/>
      </w:pPr>
      <w:r>
        <w:rPr/>
        <w:t>（1）主要产品线的发展计划</w:t>
      </w:r>
      <w:r>
        <w:rPr>
          <w:w w:val="99"/>
        </w:rPr>
        <w:t> </w:t>
      </w:r>
      <w:r>
        <w:rPr>
          <w:w w:val="95"/>
        </w:rPr>
        <w:t>公司是目前国内医疗卫生应用软件行业产品线最齐全的企业之一，也是国内少数拥有全部三大产品线</w:t>
      </w:r>
      <w:r>
        <w:rPr/>
      </w:r>
    </w:p>
    <w:p>
      <w:pPr>
        <w:pStyle w:val="BodyText"/>
        <w:spacing w:line="340" w:lineRule="auto" w:before="37"/>
        <w:ind w:right="112"/>
        <w:jc w:val="both"/>
      </w:pPr>
      <w:r>
        <w:rPr>
          <w:w w:val="95"/>
        </w:rPr>
        <w:t>自主知识产权的公司之一，在同行业中拥有较为明显的产品优势。公司将致力于巩固壮大现有产品线的优</w:t>
      </w:r>
      <w:r>
        <w:rPr>
          <w:spacing w:val="52"/>
          <w:w w:val="95"/>
        </w:rPr>
        <w:t> </w:t>
      </w:r>
      <w:r>
        <w:rPr>
          <w:spacing w:val="52"/>
          <w:w w:val="95"/>
        </w:rPr>
      </w:r>
      <w:r>
        <w:rPr>
          <w:w w:val="95"/>
        </w:rPr>
        <w:t>势，进一步丰富和完善产品线；同时，进一步发挥“柔性产品化”研发优势，开展前瞻性技术的研究，及</w:t>
      </w:r>
      <w:r>
        <w:rPr>
          <w:spacing w:val="52"/>
          <w:w w:val="95"/>
        </w:rPr>
        <w:t> </w:t>
      </w:r>
      <w:r>
        <w:rPr>
          <w:spacing w:val="52"/>
          <w:w w:val="95"/>
        </w:rPr>
      </w:r>
      <w:r>
        <w:rPr/>
        <w:t>时将先进技术转换为应用产品。</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t>A、医院信息管理系统和医技信息管理系统产品线</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w w:val="95"/>
        </w:rPr>
        <w:t>目前，医院信息管理系统和医技信息管理系统是公司的传统核心产品，在客户中得到了充分的应用，</w:t>
      </w:r>
      <w:r>
        <w:rPr>
          <w:spacing w:val="-95"/>
          <w:w w:val="95"/>
        </w:rPr>
        <w:t> </w:t>
      </w:r>
      <w:r>
        <w:rPr>
          <w:spacing w:val="-95"/>
          <w:w w:val="95"/>
        </w:rPr>
      </w:r>
      <w:r>
        <w:rPr>
          <w:w w:val="95"/>
        </w:rPr>
        <w:t>具有一定的市场地位，公司将进一步巩固传统核心产品的市场优势，重点开发以医院管理和电子病历为核</w:t>
      </w:r>
      <w:r>
        <w:rPr>
          <w:spacing w:val="52"/>
          <w:w w:val="95"/>
        </w:rPr>
        <w:t> </w:t>
      </w:r>
      <w:r>
        <w:rPr>
          <w:spacing w:val="52"/>
          <w:w w:val="95"/>
        </w:rPr>
      </w:r>
      <w:r>
        <w:rPr>
          <w:spacing w:val="1"/>
          <w:w w:val="99"/>
        </w:rPr>
        <w:t>心的医院信息系统（包括医院信息管理系统、医技信息管理系统</w:t>
      </w:r>
      <w:r>
        <w:rPr>
          <w:spacing w:val="-69"/>
          <w:w w:val="99"/>
        </w:rPr>
        <w:t> </w:t>
      </w:r>
      <w:r>
        <w:rPr>
          <w:spacing w:val="-5"/>
          <w:w w:val="99"/>
        </w:rPr>
        <w:t>）；同时，结合医疗卫生行业的发展，不</w:t>
      </w:r>
      <w:r>
        <w:rPr>
          <w:spacing w:val="-76"/>
          <w:w w:val="99"/>
        </w:rPr>
        <w:t> </w:t>
      </w:r>
      <w:r>
        <w:rPr>
          <w:spacing w:val="-76"/>
          <w:w w:val="99"/>
        </w:rPr>
      </w:r>
      <w:r>
        <w:rPr>
          <w:w w:val="95"/>
        </w:rPr>
        <w:t>断完善产品功能，补充新的产品模块，并开发出适应新的无线、网络等计算机技术发展的产品，保证为用</w:t>
      </w:r>
      <w:r>
        <w:rPr>
          <w:spacing w:val="54"/>
          <w:w w:val="95"/>
        </w:rPr>
        <w:t> </w:t>
      </w:r>
      <w:r>
        <w:rPr>
          <w:spacing w:val="54"/>
          <w:w w:val="95"/>
        </w:rPr>
      </w:r>
      <w:r>
        <w:rPr/>
        <w:t>户提供更完善的系统解决方案。</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2012</w:t>
      </w:r>
      <w:r>
        <w:rPr>
          <w:spacing w:val="-58"/>
        </w:rPr>
        <w:t> </w:t>
      </w:r>
      <w:r>
        <w:rPr/>
        <w:t>年度的研发重点：</w:t>
      </w:r>
    </w:p>
    <w:p>
      <w:pPr>
        <w:spacing w:line="240" w:lineRule="auto" w:before="11"/>
        <w:rPr>
          <w:rFonts w:ascii="宋体" w:hAnsi="宋体" w:cs="宋体" w:eastAsia="宋体" w:hint="default"/>
          <w:sz w:val="20"/>
          <w:szCs w:val="20"/>
        </w:rPr>
      </w:pPr>
    </w:p>
    <w:p>
      <w:pPr>
        <w:pStyle w:val="BodyText"/>
        <w:spacing w:line="338" w:lineRule="auto"/>
        <w:ind w:right="134" w:firstLine="422"/>
        <w:jc w:val="both"/>
      </w:pPr>
      <w:r>
        <w:rPr/>
        <w:t>PACS</w:t>
      </w:r>
      <w:r>
        <w:rPr>
          <w:spacing w:val="-54"/>
        </w:rPr>
        <w:t> </w:t>
      </w:r>
      <w:r>
        <w:rPr/>
        <w:t>产品进一步完善</w:t>
      </w:r>
      <w:r>
        <w:rPr>
          <w:spacing w:val="-51"/>
        </w:rPr>
        <w:t> </w:t>
      </w:r>
      <w:r>
        <w:rPr/>
        <w:t>MPR、MIP</w:t>
      </w:r>
      <w:r>
        <w:rPr>
          <w:spacing w:val="-57"/>
        </w:rPr>
        <w:t> </w:t>
      </w:r>
      <w:r>
        <w:rPr/>
        <w:t>功能、三维影像重建；影像远程会诊功能，实现远程协同阅片，为远</w:t>
      </w:r>
      <w:r>
        <w:rPr>
          <w:w w:val="99"/>
        </w:rPr>
        <w:t> </w:t>
      </w:r>
      <w:r>
        <w:rPr/>
        <w:t>程会诊提供影像同步处理、同步显示等功能。</w:t>
      </w:r>
    </w:p>
    <w:p>
      <w:pPr>
        <w:spacing w:line="240" w:lineRule="auto" w:before="3"/>
        <w:rPr>
          <w:rFonts w:ascii="宋体" w:hAnsi="宋体" w:cs="宋体" w:eastAsia="宋体" w:hint="default"/>
          <w:sz w:val="14"/>
          <w:szCs w:val="14"/>
        </w:rPr>
      </w:pPr>
    </w:p>
    <w:p>
      <w:pPr>
        <w:pStyle w:val="BodyText"/>
        <w:spacing w:line="340" w:lineRule="auto"/>
        <w:ind w:right="133" w:firstLine="422"/>
        <w:jc w:val="both"/>
      </w:pPr>
      <w:r>
        <w:rPr/>
        <w:t>LIMS</w:t>
      </w:r>
      <w:r>
        <w:rPr>
          <w:spacing w:val="-53"/>
        </w:rPr>
        <w:t> </w:t>
      </w:r>
      <w:r>
        <w:rPr/>
        <w:t>产品研发基于</w:t>
      </w:r>
      <w:r>
        <w:rPr>
          <w:spacing w:val="-52"/>
        </w:rPr>
        <w:t> </w:t>
      </w:r>
      <w:r>
        <w:rPr/>
        <w:t>SaaS</w:t>
      </w:r>
      <w:r>
        <w:rPr>
          <w:spacing w:val="-53"/>
        </w:rPr>
        <w:t> </w:t>
      </w:r>
      <w:r>
        <w:rPr/>
        <w:t>模式的区域</w:t>
      </w:r>
      <w:r>
        <w:rPr>
          <w:spacing w:val="-50"/>
        </w:rPr>
        <w:t> </w:t>
      </w:r>
      <w:r>
        <w:rPr/>
        <w:t>LIS</w:t>
      </w:r>
      <w:r>
        <w:rPr>
          <w:spacing w:val="-56"/>
        </w:rPr>
        <w:t> </w:t>
      </w:r>
      <w:r>
        <w:rPr/>
        <w:t>二期开发，内容包括开发室内质控子系统、常规检验、门诊</w:t>
      </w:r>
      <w:r>
        <w:rPr>
          <w:w w:val="99"/>
        </w:rPr>
        <w:t> </w:t>
      </w:r>
      <w:r>
        <w:rPr/>
        <w:t>住院标本采集中的查询统计功能、检验报告查询台子系统等。</w:t>
      </w:r>
    </w:p>
    <w:p>
      <w:pPr>
        <w:spacing w:line="240" w:lineRule="auto" w:before="12"/>
        <w:rPr>
          <w:rFonts w:ascii="宋体" w:hAnsi="宋体" w:cs="宋体" w:eastAsia="宋体" w:hint="default"/>
          <w:sz w:val="13"/>
          <w:szCs w:val="13"/>
        </w:rPr>
      </w:pPr>
    </w:p>
    <w:p>
      <w:pPr>
        <w:pStyle w:val="BodyText"/>
        <w:spacing w:line="340" w:lineRule="auto"/>
        <w:ind w:right="109" w:firstLine="422"/>
        <w:jc w:val="both"/>
      </w:pPr>
      <w:r>
        <w:rPr>
          <w:w w:val="95"/>
        </w:rPr>
        <w:t>MIIS</w:t>
      </w:r>
      <w:r>
        <w:rPr>
          <w:spacing w:val="27"/>
          <w:w w:val="95"/>
        </w:rPr>
        <w:t> </w:t>
      </w:r>
      <w:r>
        <w:rPr>
          <w:w w:val="95"/>
        </w:rPr>
        <w:t>产品研发目前正在研发基于知识库检索、智能诊断提示、所见即所得图文报告混排等核心功能的</w:t>
      </w:r>
      <w:r>
        <w:rPr>
          <w:w w:val="99"/>
        </w:rPr>
        <w:t> </w:t>
      </w:r>
      <w:r>
        <w:rPr/>
        <w:t>MIIS6.0</w:t>
      </w:r>
      <w:r>
        <w:rPr>
          <w:spacing w:val="-70"/>
        </w:rPr>
        <w:t> </w:t>
      </w:r>
      <w:r>
        <w:rPr/>
        <w:t>系统改进和完善、基于</w:t>
      </w:r>
      <w:r>
        <w:rPr>
          <w:spacing w:val="-69"/>
        </w:rPr>
        <w:t> </w:t>
      </w:r>
      <w:r>
        <w:rPr/>
        <w:t>SaaS</w:t>
      </w:r>
      <w:r>
        <w:rPr>
          <w:spacing w:val="-67"/>
        </w:rPr>
        <w:t> </w:t>
      </w:r>
      <w:r>
        <w:rPr/>
        <w:t>模式的区域</w:t>
      </w:r>
      <w:r>
        <w:rPr>
          <w:spacing w:val="-67"/>
        </w:rPr>
        <w:t> </w:t>
      </w:r>
      <w:r>
        <w:rPr/>
        <w:t>RIS</w:t>
      </w:r>
      <w:r>
        <w:rPr>
          <w:spacing w:val="-70"/>
        </w:rPr>
        <w:t> </w:t>
      </w:r>
      <w:r>
        <w:rPr/>
        <w:t>一期开发，内容包括超声、内镜、放射子系统的检查</w:t>
      </w:r>
      <w:r>
        <w:rPr>
          <w:w w:val="99"/>
        </w:rPr>
        <w:t> </w:t>
      </w:r>
      <w:r>
        <w:rPr/>
        <w:t>报告功能应用</w:t>
      </w:r>
    </w:p>
    <w:p>
      <w:pPr>
        <w:spacing w:line="240" w:lineRule="auto" w:before="1"/>
        <w:rPr>
          <w:rFonts w:ascii="宋体" w:hAnsi="宋体" w:cs="宋体" w:eastAsia="宋体" w:hint="default"/>
          <w:sz w:val="14"/>
          <w:szCs w:val="14"/>
        </w:rPr>
      </w:pPr>
    </w:p>
    <w:p>
      <w:pPr>
        <w:pStyle w:val="BodyText"/>
        <w:spacing w:line="338" w:lineRule="auto"/>
        <w:ind w:right="127" w:firstLine="422"/>
        <w:jc w:val="both"/>
      </w:pPr>
      <w:r>
        <w:rPr>
          <w:spacing w:val="2"/>
          <w:w w:val="95"/>
        </w:rPr>
        <w:t>临床产品线整合和提升，包括：住院医生工作站、EMR、CP、电子医嘱、申请单、数字签名、质控管</w:t>
      </w:r>
      <w:r>
        <w:rPr>
          <w:w w:val="99"/>
        </w:rPr>
        <w:t> </w:t>
      </w:r>
      <w:r>
        <w:rPr/>
        <w:t>理、院感管理等；</w:t>
      </w:r>
    </w:p>
    <w:p>
      <w:pPr>
        <w:spacing w:line="240" w:lineRule="auto" w:before="3"/>
        <w:rPr>
          <w:rFonts w:ascii="宋体" w:hAnsi="宋体" w:cs="宋体" w:eastAsia="宋体" w:hint="default"/>
          <w:sz w:val="14"/>
          <w:szCs w:val="14"/>
        </w:rPr>
      </w:pPr>
    </w:p>
    <w:p>
      <w:pPr>
        <w:pStyle w:val="BodyText"/>
        <w:spacing w:line="338" w:lineRule="auto"/>
        <w:ind w:right="114" w:firstLine="422"/>
        <w:jc w:val="both"/>
      </w:pPr>
      <w:r>
        <w:rPr>
          <w:w w:val="95"/>
        </w:rPr>
        <w:t>集成平台和临床数据中心，包括：EMPI、CDR/Portal、标准数据集、数据交换平台、业务系统接口、</w:t>
      </w:r>
      <w:r>
        <w:rPr>
          <w:spacing w:val="-98"/>
          <w:w w:val="95"/>
        </w:rPr>
        <w:t> </w:t>
      </w:r>
      <w:r>
        <w:rPr>
          <w:spacing w:val="-98"/>
          <w:w w:val="95"/>
        </w:rPr>
      </w:r>
      <w:r>
        <w:rPr/>
        <w:t>BI</w:t>
      </w:r>
      <w:r>
        <w:rPr>
          <w:spacing w:val="-52"/>
        </w:rPr>
        <w:t> </w:t>
      </w:r>
      <w:r>
        <w:rPr/>
        <w:t>等；</w:t>
      </w:r>
    </w:p>
    <w:p>
      <w:pPr>
        <w:spacing w:line="240" w:lineRule="auto" w:before="3"/>
        <w:rPr>
          <w:rFonts w:ascii="宋体" w:hAnsi="宋体" w:cs="宋体" w:eastAsia="宋体" w:hint="default"/>
          <w:sz w:val="14"/>
          <w:szCs w:val="14"/>
        </w:rPr>
      </w:pPr>
    </w:p>
    <w:p>
      <w:pPr>
        <w:pStyle w:val="BodyText"/>
        <w:spacing w:line="338" w:lineRule="auto"/>
        <w:ind w:right="109" w:firstLine="422"/>
        <w:jc w:val="both"/>
      </w:pPr>
      <w:r>
        <w:rPr/>
        <w:t>移动医疗信息系统，系统通过整合医院、区域医疗原有无线应用，利用</w:t>
      </w:r>
      <w:r>
        <w:rPr>
          <w:spacing w:val="-67"/>
        </w:rPr>
        <w:t> </w:t>
      </w:r>
      <w:r>
        <w:rPr/>
        <w:t>WLAN、WAP、3G</w:t>
      </w:r>
      <w:r>
        <w:rPr>
          <w:spacing w:val="-66"/>
        </w:rPr>
        <w:t> </w:t>
      </w:r>
      <w:r>
        <w:rPr/>
        <w:t>等无线网络实</w:t>
      </w:r>
      <w:r>
        <w:rPr>
          <w:w w:val="99"/>
        </w:rPr>
        <w:t> </w:t>
      </w:r>
      <w:r>
        <w:rPr/>
        <w:t>现“医务通”的信息化应用，全面实现在</w:t>
      </w:r>
      <w:r>
        <w:rPr>
          <w:spacing w:val="-61"/>
        </w:rPr>
        <w:t> </w:t>
      </w:r>
      <w:r>
        <w:rPr/>
        <w:t>IOS、Android、Windows</w:t>
      </w:r>
      <w:r>
        <w:rPr>
          <w:spacing w:val="-16"/>
        </w:rPr>
        <w:t> </w:t>
      </w:r>
      <w:r>
        <w:rPr/>
        <w:t>Phone</w:t>
      </w:r>
      <w:r>
        <w:rPr>
          <w:spacing w:val="-62"/>
        </w:rPr>
        <w:t> </w:t>
      </w:r>
      <w:r>
        <w:rPr/>
        <w:t>等不同平台的包括平板电脑、手</w:t>
      </w:r>
      <w:r>
        <w:rPr>
          <w:w w:val="99"/>
        </w:rPr>
        <w:t> </w:t>
      </w:r>
      <w:r>
        <w:rPr/>
        <w:t>机等终端的移动医疗系统，主要包括移动护理的安卓平台版本；iPad</w:t>
      </w:r>
      <w:r>
        <w:rPr>
          <w:spacing w:val="-70"/>
        </w:rPr>
        <w:t> </w:t>
      </w:r>
      <w:r>
        <w:rPr>
          <w:spacing w:val="-4"/>
        </w:rPr>
        <w:t>移动医生站(临床路径功能整合)，功</w:t>
      </w:r>
    </w:p>
    <w:p>
      <w:pPr>
        <w:spacing w:after="0" w:line="338"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能上包括临床路径执行(医嘱、申请单等功能)，图表、医嘱与检验检查关联，Web</w:t>
                      </w:r>
                      <w:r>
                        <w:rPr>
                          <w:rFonts w:ascii="宋体" w:hAnsi="宋体" w:cs="宋体" w:eastAsia="宋体" w:hint="default"/>
                          <w:spacing w:val="-37"/>
                          <w:sz w:val="21"/>
                          <w:szCs w:val="21"/>
                        </w:rPr>
                        <w:t> </w:t>
                      </w:r>
                      <w:r>
                        <w:rPr>
                          <w:rFonts w:ascii="宋体" w:hAnsi="宋体" w:cs="宋体" w:eastAsia="宋体" w:hint="default"/>
                          <w:sz w:val="21"/>
                          <w:szCs w:val="21"/>
                        </w:rPr>
                        <w:t>申请单，结构化电子病</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right="0"/>
        <w:jc w:val="both"/>
      </w:pPr>
      <w:r>
        <w:rPr/>
        <w:t>历接口，合理用药模块，抗菌素使用审批；营养点餐系统的整合及扩展；3G</w:t>
      </w:r>
      <w:r>
        <w:rPr>
          <w:spacing w:val="-59"/>
        </w:rPr>
        <w:t> </w:t>
      </w:r>
      <w:r>
        <w:rPr/>
        <w:t>移动助手等。</w:t>
      </w:r>
    </w:p>
    <w:p>
      <w:pPr>
        <w:pStyle w:val="BodyText"/>
        <w:spacing w:line="540" w:lineRule="atLeast" w:before="7"/>
        <w:ind w:left="535" w:right="0"/>
        <w:jc w:val="left"/>
      </w:pPr>
      <w:r>
        <w:rPr/>
        <w:t>B、公共卫生信息管理系统产品线</w:t>
      </w:r>
      <w:r>
        <w:rPr>
          <w:w w:val="99"/>
        </w:rPr>
        <w:t> </w:t>
      </w:r>
      <w:r>
        <w:rPr>
          <w:w w:val="95"/>
        </w:rPr>
        <w:t>公共卫生信息管理系统产品是公司未来的主要竞争产品。公司将加大力度开发和完善公共卫生信息管</w:t>
      </w:r>
      <w:r>
        <w:rPr/>
      </w:r>
    </w:p>
    <w:p>
      <w:pPr>
        <w:pStyle w:val="BodyText"/>
        <w:spacing w:line="340" w:lineRule="auto" w:before="114"/>
        <w:ind w:right="112"/>
        <w:jc w:val="both"/>
      </w:pPr>
      <w:r>
        <w:rPr>
          <w:w w:val="95"/>
        </w:rPr>
        <w:t>理产品，重点开发以疾病控制网络为主体的公共卫生信息系统；以建立居民健康档案为主体的乡村和社区</w:t>
      </w:r>
      <w:r>
        <w:rPr>
          <w:spacing w:val="52"/>
          <w:w w:val="95"/>
        </w:rPr>
        <w:t> </w:t>
      </w:r>
      <w:r>
        <w:rPr>
          <w:spacing w:val="52"/>
          <w:w w:val="95"/>
        </w:rPr>
      </w:r>
      <w:r>
        <w:rPr>
          <w:w w:val="95"/>
        </w:rPr>
        <w:t>卫生信息网络平台；实现城市医院与社区卫生服务机构合作的网络支撑信息系统；与医疗保障信息系统配</w:t>
      </w:r>
      <w:r>
        <w:rPr>
          <w:spacing w:val="52"/>
          <w:w w:val="95"/>
        </w:rPr>
        <w:t> </w:t>
      </w:r>
      <w:r>
        <w:rPr>
          <w:spacing w:val="52"/>
          <w:w w:val="95"/>
        </w:rPr>
      </w:r>
      <w:r>
        <w:rPr>
          <w:w w:val="95"/>
        </w:rPr>
        <w:t>套的新型农村合作医疗信息平台以及药品相关信息系统。使公司的公共卫生信息产品覆盖到医疗机构、公</w:t>
      </w:r>
      <w:r>
        <w:rPr>
          <w:spacing w:val="52"/>
          <w:w w:val="95"/>
        </w:rPr>
        <w:t> </w:t>
      </w:r>
      <w:r>
        <w:rPr>
          <w:spacing w:val="52"/>
          <w:w w:val="95"/>
        </w:rPr>
      </w:r>
      <w:r>
        <w:rPr/>
        <w:t>共卫生、社区卫生等医疗卫生机构。</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t>2012</w:t>
      </w:r>
      <w:r>
        <w:rPr>
          <w:spacing w:val="-60"/>
        </w:rPr>
        <w:t> </w:t>
      </w:r>
      <w:r>
        <w:rPr/>
        <w:t>年度的研发重点为：</w:t>
      </w:r>
    </w:p>
    <w:p>
      <w:pPr>
        <w:spacing w:line="240" w:lineRule="auto" w:before="11"/>
        <w:rPr>
          <w:rFonts w:ascii="宋体" w:hAnsi="宋体" w:cs="宋体" w:eastAsia="宋体" w:hint="default"/>
          <w:sz w:val="20"/>
          <w:szCs w:val="20"/>
        </w:rPr>
      </w:pPr>
    </w:p>
    <w:p>
      <w:pPr>
        <w:pStyle w:val="BodyText"/>
        <w:spacing w:line="340" w:lineRule="auto"/>
        <w:ind w:right="110" w:firstLine="422"/>
        <w:jc w:val="both"/>
      </w:pPr>
      <w:r>
        <w:rPr>
          <w:spacing w:val="3"/>
        </w:rPr>
        <w:t>将区域诊疗信息系统和社区卫生服务信息系统整合形成高度产品化的基层医疗卫生机构管理信息系</w:t>
      </w:r>
      <w:r>
        <w:rPr>
          <w:w w:val="99"/>
        </w:rPr>
        <w:t> </w:t>
      </w:r>
      <w:r>
        <w:rPr>
          <w:w w:val="95"/>
        </w:rPr>
        <w:t>统，系统基于居民电子健康档案、电子病历、门诊统筹管理的基层医疗卫生信息化体系基本架构，完全覆</w:t>
      </w:r>
      <w:r>
        <w:rPr>
          <w:spacing w:val="52"/>
          <w:w w:val="95"/>
        </w:rPr>
        <w:t> </w:t>
      </w:r>
      <w:r>
        <w:rPr>
          <w:spacing w:val="52"/>
          <w:w w:val="95"/>
        </w:rPr>
      </w:r>
      <w:r>
        <w:rPr>
          <w:w w:val="95"/>
        </w:rPr>
        <w:t>盖基本药物供应使用、居民健康管理、基本医疗服务、绩效考核功能，并且集成了全科医生工作站，实现</w:t>
      </w:r>
      <w:r>
        <w:rPr>
          <w:spacing w:val="52"/>
          <w:w w:val="95"/>
        </w:rPr>
        <w:t> </w:t>
      </w:r>
      <w:r>
        <w:rPr>
          <w:spacing w:val="52"/>
          <w:w w:val="95"/>
        </w:rPr>
      </w:r>
      <w:r>
        <w:rPr/>
        <w:t>基本医疗和公共卫生服务的无缝融合；</w:t>
      </w:r>
    </w:p>
    <w:p>
      <w:pPr>
        <w:spacing w:line="240" w:lineRule="auto" w:before="12"/>
        <w:rPr>
          <w:rFonts w:ascii="宋体" w:hAnsi="宋体" w:cs="宋体" w:eastAsia="宋体" w:hint="default"/>
          <w:sz w:val="13"/>
          <w:szCs w:val="13"/>
        </w:rPr>
      </w:pPr>
    </w:p>
    <w:p>
      <w:pPr>
        <w:pStyle w:val="BodyText"/>
        <w:spacing w:line="340" w:lineRule="auto"/>
        <w:ind w:right="124" w:firstLine="422"/>
        <w:jc w:val="both"/>
      </w:pPr>
      <w:r>
        <w:rPr/>
        <w:t>在基于</w:t>
      </w:r>
      <w:r>
        <w:rPr>
          <w:spacing w:val="-62"/>
        </w:rPr>
        <w:t> </w:t>
      </w:r>
      <w:r>
        <w:rPr/>
        <w:t>SaaS</w:t>
      </w:r>
      <w:r>
        <w:rPr>
          <w:spacing w:val="-63"/>
        </w:rPr>
        <w:t> </w:t>
      </w:r>
      <w:r>
        <w:rPr>
          <w:spacing w:val="2"/>
        </w:rPr>
        <w:t>模式的中小医院信息系统的基础上，结合“云计算”技术，实现区域卫生信息平台以及</w:t>
      </w:r>
      <w:r>
        <w:rPr>
          <w:w w:val="99"/>
        </w:rPr>
        <w:t> </w:t>
      </w:r>
      <w:r>
        <w:rPr/>
        <w:t>基层医疗卫生机构管理信息系统的“云计算”架构，形成基于“云计算”的“医疗云”平台；</w:t>
      </w:r>
    </w:p>
    <w:p>
      <w:pPr>
        <w:spacing w:line="240" w:lineRule="auto" w:before="12"/>
        <w:rPr>
          <w:rFonts w:ascii="宋体" w:hAnsi="宋体" w:cs="宋体" w:eastAsia="宋体" w:hint="default"/>
          <w:sz w:val="13"/>
          <w:szCs w:val="13"/>
        </w:rPr>
      </w:pPr>
    </w:p>
    <w:p>
      <w:pPr>
        <w:pStyle w:val="BodyText"/>
        <w:spacing w:line="340" w:lineRule="auto"/>
        <w:ind w:right="112" w:firstLine="422"/>
        <w:jc w:val="both"/>
      </w:pPr>
      <w:r>
        <w:rPr>
          <w:w w:val="95"/>
        </w:rPr>
        <w:t>农村合作医疗信息化产品包括省市外定点医疗机构住院即时结报、基于家庭责任医师制度门诊总额预</w:t>
      </w:r>
      <w:r>
        <w:rPr>
          <w:spacing w:val="-94"/>
          <w:w w:val="95"/>
        </w:rPr>
        <w:t> </w:t>
      </w:r>
      <w:r>
        <w:rPr>
          <w:spacing w:val="-94"/>
          <w:w w:val="95"/>
        </w:rPr>
      </w:r>
      <w:r>
        <w:rPr/>
        <w:t>付</w:t>
      </w:r>
      <w:r>
        <w:rPr>
          <w:spacing w:val="-2"/>
        </w:rPr>
        <w:t> </w:t>
      </w:r>
      <w:r>
        <w:rPr/>
        <w:t>、住院单病种付费系统研发；</w:t>
      </w:r>
    </w:p>
    <w:p>
      <w:pPr>
        <w:spacing w:line="240" w:lineRule="auto" w:before="12"/>
        <w:rPr>
          <w:rFonts w:ascii="宋体" w:hAnsi="宋体" w:cs="宋体" w:eastAsia="宋体" w:hint="default"/>
          <w:sz w:val="13"/>
          <w:szCs w:val="13"/>
        </w:rPr>
      </w:pPr>
    </w:p>
    <w:p>
      <w:pPr>
        <w:pStyle w:val="BodyText"/>
        <w:spacing w:line="340" w:lineRule="auto"/>
        <w:ind w:right="112" w:firstLine="422"/>
        <w:jc w:val="both"/>
      </w:pPr>
      <w:r>
        <w:rPr>
          <w:w w:val="99"/>
        </w:rPr>
        <w:t>在现有区域卫生信息平台“一卡通”的基础上，根据国家《居民健康卡技术规范》，实现“一卡通” </w:t>
      </w:r>
      <w:r>
        <w:rPr>
          <w:w w:val="95"/>
        </w:rPr>
        <w:t>系统向符合国家标准的“居民健康卡”的全面升级，完成在医疗卫生服务活动中身份识别和健康信息存储</w:t>
      </w:r>
      <w:r>
        <w:rPr>
          <w:spacing w:val="51"/>
          <w:w w:val="95"/>
        </w:rPr>
        <w:t> </w:t>
      </w:r>
      <w:r>
        <w:rPr>
          <w:spacing w:val="51"/>
          <w:w w:val="95"/>
        </w:rPr>
      </w:r>
      <w:r>
        <w:rPr/>
        <w:t>要求，实现跨地区和跨机构就医、数据交换共享和医疗费用的实时结算；</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t>扩展现有家庭签约医生服务信息系统，开发适用</w:t>
      </w:r>
      <w:r>
        <w:rPr>
          <w:spacing w:val="-58"/>
        </w:rPr>
        <w:t> </w:t>
      </w:r>
      <w:r>
        <w:rPr/>
        <w:t>iOS</w:t>
      </w:r>
      <w:r>
        <w:rPr>
          <w:spacing w:val="-59"/>
        </w:rPr>
        <w:t> </w:t>
      </w:r>
      <w:r>
        <w:rPr/>
        <w:t>和</w:t>
      </w:r>
      <w:r>
        <w:rPr>
          <w:spacing w:val="-56"/>
        </w:rPr>
        <w:t> </w:t>
      </w:r>
      <w:r>
        <w:rPr/>
        <w:t>Android</w:t>
      </w:r>
      <w:r>
        <w:rPr>
          <w:spacing w:val="-59"/>
        </w:rPr>
        <w:t> </w:t>
      </w:r>
      <w:r>
        <w:rPr/>
        <w:t>操作系统</w:t>
      </w:r>
      <w:r>
        <w:rPr>
          <w:spacing w:val="-58"/>
        </w:rPr>
        <w:t> </w:t>
      </w:r>
      <w:r>
        <w:rPr/>
        <w:t>PDA</w:t>
      </w:r>
      <w:r>
        <w:rPr>
          <w:spacing w:val="-59"/>
        </w:rPr>
        <w:t> </w:t>
      </w:r>
      <w:r>
        <w:rPr/>
        <w:t>的家庭签约医生服务移</w:t>
      </w:r>
      <w:r>
        <w:rPr>
          <w:w w:val="99"/>
        </w:rPr>
        <w:t> </w:t>
      </w:r>
      <w:r>
        <w:rPr/>
        <w:t>动医生工作者站。</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spacing w:val="-6"/>
          <w:w w:val="99"/>
        </w:rPr>
        <w:t>大数据处理系统研发，“Big</w:t>
      </w:r>
      <w:r>
        <w:rPr>
          <w:spacing w:val="25"/>
          <w:w w:val="99"/>
        </w:rPr>
        <w:t> </w:t>
      </w:r>
      <w:r>
        <w:rPr>
          <w:spacing w:val="1"/>
          <w:w w:val="99"/>
        </w:rPr>
        <w:t>data”即大数据，具有数据量大、数据类型多、蕴含巨大价值、要求实</w:t>
      </w:r>
      <w:r>
        <w:rPr>
          <w:w w:val="99"/>
        </w:rPr>
        <w:t> </w:t>
      </w:r>
      <w:r>
        <w:rPr>
          <w:w w:val="95"/>
        </w:rPr>
        <w:t>时性强，而医疗行业特别是大型三级医院、区域医疗的数据中心，完全符合上述特征，是典型的大数据中</w:t>
      </w:r>
      <w:r>
        <w:rPr>
          <w:spacing w:val="54"/>
          <w:w w:val="95"/>
        </w:rPr>
        <w:t> </w:t>
      </w:r>
      <w:r>
        <w:rPr>
          <w:spacing w:val="54"/>
          <w:w w:val="95"/>
        </w:rPr>
      </w:r>
      <w:r>
        <w:rPr>
          <w:w w:val="95"/>
        </w:rPr>
        <w:t>心，对这些大数据的深入挖掘、分析和利用，具有很大的医学意义和社会意义，公司将持续加强大数据处</w:t>
      </w:r>
      <w:r>
        <w:rPr>
          <w:spacing w:val="52"/>
          <w:w w:val="95"/>
        </w:rPr>
        <w:t> </w:t>
      </w:r>
      <w:r>
        <w:rPr>
          <w:spacing w:val="52"/>
          <w:w w:val="95"/>
        </w:rPr>
      </w:r>
      <w:r>
        <w:rPr/>
        <w:t>理系统相关产品系列的研发、分析处理系统。</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（2）技术创新计划</w:t>
      </w:r>
    </w:p>
    <w:p>
      <w:pPr>
        <w:spacing w:line="240" w:lineRule="auto" w:before="11"/>
        <w:rPr>
          <w:rFonts w:ascii="宋体" w:hAnsi="宋体" w:cs="宋体" w:eastAsia="宋体" w:hint="default"/>
          <w:sz w:val="20"/>
          <w:szCs w:val="20"/>
        </w:rPr>
      </w:pPr>
    </w:p>
    <w:p>
      <w:pPr>
        <w:pStyle w:val="BodyText"/>
        <w:spacing w:line="338" w:lineRule="auto"/>
        <w:ind w:right="112" w:firstLine="422"/>
        <w:jc w:val="both"/>
      </w:pPr>
      <w:r>
        <w:rPr>
          <w:w w:val="95"/>
        </w:rPr>
        <w:t>公司将着力于重大课题的超前开发、应用和储备，为全面提升综合竞争力、实现产业升级和主业拓展</w:t>
      </w:r>
      <w:r>
        <w:rPr>
          <w:spacing w:val="-93"/>
          <w:w w:val="95"/>
        </w:rPr>
        <w:t> </w:t>
      </w:r>
      <w:r>
        <w:rPr>
          <w:spacing w:val="-93"/>
          <w:w w:val="95"/>
        </w:rPr>
      </w:r>
      <w:r>
        <w:rPr/>
        <w:t>提供支撑，增强在高技术含量项目上的竞争力。</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t>未来公司将重点研究开发和应用医院集成应用服务平台、工作流引擎、消息引擎、语义医疗知识库、</w:t>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大数据处理等技术，有效提高原有软件的功能和使用便捷性，从而推动软件的更新换代。</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112" w:firstLine="422"/>
        <w:jc w:val="both"/>
      </w:pPr>
      <w:r>
        <w:rPr>
          <w:w w:val="95"/>
        </w:rPr>
        <w:t>此外，公司将建立推动技术创新的体制保障，持续关注和引入新技术，把技术创新放在公司发展的重</w:t>
      </w:r>
      <w:r>
        <w:rPr>
          <w:spacing w:val="-94"/>
          <w:w w:val="95"/>
        </w:rPr>
        <w:t> </w:t>
      </w:r>
      <w:r>
        <w:rPr>
          <w:spacing w:val="-94"/>
          <w:w w:val="95"/>
        </w:rPr>
      </w:r>
      <w:r>
        <w:rPr/>
        <w:t>要地位，以提高产品研发效率。</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t>（3）市场开发计划</w:t>
      </w:r>
    </w:p>
    <w:p>
      <w:pPr>
        <w:spacing w:line="240" w:lineRule="auto" w:before="8"/>
        <w:rPr>
          <w:rFonts w:ascii="宋体" w:hAnsi="宋体" w:cs="宋体" w:eastAsia="宋体" w:hint="default"/>
          <w:sz w:val="20"/>
          <w:szCs w:val="20"/>
        </w:rPr>
      </w:pPr>
    </w:p>
    <w:p>
      <w:pPr>
        <w:pStyle w:val="BodyText"/>
        <w:spacing w:line="338" w:lineRule="auto"/>
        <w:ind w:right="110" w:firstLine="422"/>
        <w:jc w:val="both"/>
      </w:pPr>
      <w:r>
        <w:rPr>
          <w:w w:val="95"/>
        </w:rPr>
        <w:t>未来，公司将重点加强营销网络的建设，做好市场推广工作，完善客户关系管理，并提高技术支持和</w:t>
      </w:r>
      <w:r>
        <w:rPr>
          <w:spacing w:val="-92"/>
          <w:w w:val="95"/>
        </w:rPr>
        <w:t> </w:t>
      </w:r>
      <w:r>
        <w:rPr>
          <w:spacing w:val="-92"/>
          <w:w w:val="95"/>
        </w:rPr>
      </w:r>
      <w:r>
        <w:rPr/>
        <w:t>服务水平。</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A、建立客户服务中心</w:t>
      </w:r>
    </w:p>
    <w:p>
      <w:pPr>
        <w:spacing w:line="240" w:lineRule="auto" w:before="11"/>
        <w:rPr>
          <w:rFonts w:ascii="宋体" w:hAnsi="宋体" w:cs="宋体" w:eastAsia="宋体" w:hint="default"/>
          <w:sz w:val="20"/>
          <w:szCs w:val="20"/>
        </w:rPr>
      </w:pPr>
    </w:p>
    <w:p>
      <w:pPr>
        <w:pStyle w:val="BodyText"/>
        <w:spacing w:line="338" w:lineRule="auto"/>
        <w:ind w:right="112" w:firstLine="422"/>
        <w:jc w:val="both"/>
      </w:pPr>
      <w:r>
        <w:rPr>
          <w:w w:val="95"/>
        </w:rPr>
        <w:t>在公司总部建立一个反应迅速、服务高效的客户服务中心，保障公司营销服务体系良好运行，为客户</w:t>
      </w:r>
      <w:r>
        <w:rPr>
          <w:spacing w:val="-93"/>
          <w:w w:val="95"/>
        </w:rPr>
        <w:t> </w:t>
      </w:r>
      <w:r>
        <w:rPr>
          <w:spacing w:val="-93"/>
          <w:w w:val="95"/>
        </w:rPr>
      </w:r>
      <w:r>
        <w:rPr/>
        <w:t>提供迅速、准确的咨询信息以及业务受理和投诉等服务，密切公司与客户的合作关系。</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B、建立销售和服务网络</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w w:val="95"/>
        </w:rPr>
        <w:t>结合公司品牌战略，在全国重点市场区域建立分支机构。公司分支机构承担营销和本地服务功能，使</w:t>
      </w:r>
      <w:r>
        <w:rPr>
          <w:spacing w:val="-94"/>
          <w:w w:val="95"/>
        </w:rPr>
        <w:t> </w:t>
      </w:r>
      <w:r>
        <w:rPr>
          <w:spacing w:val="-94"/>
          <w:w w:val="95"/>
        </w:rPr>
      </w:r>
      <w:r>
        <w:rPr>
          <w:w w:val="95"/>
        </w:rPr>
        <w:t>服务平台延伸到全国各地，充分实现资源信息的共享，努力实现服务标准化、规范化，从而提升用户满意</w:t>
      </w:r>
      <w:r>
        <w:rPr>
          <w:spacing w:val="54"/>
          <w:w w:val="95"/>
        </w:rPr>
        <w:t> </w:t>
      </w:r>
      <w:r>
        <w:rPr>
          <w:spacing w:val="54"/>
          <w:w w:val="95"/>
        </w:rPr>
      </w:r>
      <w:r>
        <w:rPr/>
        <w:t>度，以巩固老用户和拓展新用户，不断占有和扩大市场。</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（4）制度和组织机构建设计划</w:t>
      </w:r>
    </w:p>
    <w:p>
      <w:pPr>
        <w:spacing w:line="240" w:lineRule="auto" w:before="11"/>
        <w:rPr>
          <w:rFonts w:ascii="宋体" w:hAnsi="宋体" w:cs="宋体" w:eastAsia="宋体" w:hint="default"/>
          <w:sz w:val="20"/>
          <w:szCs w:val="20"/>
        </w:rPr>
      </w:pPr>
    </w:p>
    <w:p>
      <w:pPr>
        <w:pStyle w:val="BodyText"/>
        <w:spacing w:line="340" w:lineRule="auto"/>
        <w:ind w:right="110" w:firstLine="422"/>
        <w:jc w:val="both"/>
      </w:pPr>
      <w:r>
        <w:rPr>
          <w:w w:val="95"/>
        </w:rPr>
        <w:t>目前，公司已经基本具备建立完善的现代企业制度的基础，随着经营规模扩大和业务发展的需要，未</w:t>
      </w:r>
      <w:r>
        <w:rPr>
          <w:spacing w:val="-94"/>
          <w:w w:val="95"/>
        </w:rPr>
        <w:t> </w:t>
      </w:r>
      <w:r>
        <w:rPr>
          <w:spacing w:val="-94"/>
          <w:w w:val="95"/>
        </w:rPr>
      </w:r>
      <w:r>
        <w:rPr>
          <w:w w:val="95"/>
        </w:rPr>
        <w:t>来将定期调整和优化组织机构，不断完善法人治理结构和内部控制制度，包括完善董事会运行机制，发挥</w:t>
      </w:r>
      <w:r>
        <w:rPr>
          <w:spacing w:val="54"/>
          <w:w w:val="95"/>
        </w:rPr>
        <w:t> </w:t>
      </w:r>
      <w:r>
        <w:rPr>
          <w:spacing w:val="54"/>
          <w:w w:val="95"/>
        </w:rPr>
      </w:r>
      <w:r>
        <w:rPr>
          <w:w w:val="95"/>
        </w:rPr>
        <w:t>外部独立董事和各方面专家的作用，确定决策者的责任制度，保证决策的科学性；规范公司的监事会制度</w:t>
      </w:r>
      <w:r>
        <w:rPr>
          <w:spacing w:val="54"/>
          <w:w w:val="95"/>
        </w:rPr>
        <w:t> </w:t>
      </w:r>
      <w:r>
        <w:rPr>
          <w:spacing w:val="54"/>
          <w:w w:val="95"/>
        </w:rPr>
      </w:r>
      <w:r>
        <w:rPr>
          <w:w w:val="95"/>
        </w:rPr>
        <w:t>建设，以有效监督为目的，健全公司内部控制制度与综合考核机制，加强对财务活动和经营行为的监督，</w:t>
      </w:r>
      <w:r>
        <w:rPr>
          <w:spacing w:val="51"/>
          <w:w w:val="95"/>
        </w:rPr>
        <w:t> </w:t>
      </w:r>
      <w:r>
        <w:rPr>
          <w:spacing w:val="51"/>
          <w:w w:val="95"/>
        </w:rPr>
      </w:r>
      <w:r>
        <w:rPr>
          <w:w w:val="95"/>
        </w:rPr>
        <w:t>确保股东权益不受侵犯；全面引入竞争上岗机制、企业经营者业绩评估机制和“下课”机制等，把企业经</w:t>
      </w:r>
      <w:r>
        <w:rPr>
          <w:spacing w:val="53"/>
          <w:w w:val="95"/>
        </w:rPr>
        <w:t> </w:t>
      </w:r>
      <w:r>
        <w:rPr>
          <w:spacing w:val="53"/>
          <w:w w:val="95"/>
        </w:rPr>
      </w:r>
      <w:r>
        <w:rPr/>
        <w:t>营者的利益与公司持续发展的目标结合起来。</w:t>
      </w:r>
    </w:p>
    <w:p>
      <w:pPr>
        <w:spacing w:line="240" w:lineRule="auto" w:before="12"/>
        <w:rPr>
          <w:rFonts w:ascii="宋体" w:hAnsi="宋体" w:cs="宋体" w:eastAsia="宋体" w:hint="default"/>
          <w:sz w:val="13"/>
          <w:szCs w:val="13"/>
        </w:rPr>
      </w:pPr>
    </w:p>
    <w:p>
      <w:pPr>
        <w:pStyle w:val="BodyText"/>
        <w:spacing w:line="340" w:lineRule="auto"/>
        <w:ind w:right="109" w:firstLine="422"/>
        <w:jc w:val="both"/>
      </w:pPr>
      <w:r>
        <w:rPr>
          <w:w w:val="95"/>
        </w:rPr>
        <w:t>公司将进一步强化和丰富“完美打造医疗行业解决方案”为核心的企业文化，持续总结、提炼企业的</w:t>
      </w:r>
      <w:r>
        <w:rPr>
          <w:spacing w:val="-93"/>
          <w:w w:val="95"/>
        </w:rPr>
        <w:t> </w:t>
      </w:r>
      <w:r>
        <w:rPr>
          <w:spacing w:val="-93"/>
          <w:w w:val="95"/>
        </w:rPr>
      </w:r>
      <w:r>
        <w:rPr>
          <w:spacing w:val="-2"/>
          <w:w w:val="95"/>
        </w:rPr>
        <w:t>文化精髓，进行固化，自上而下、层级式地进行推广，广泛宣传；建立员工行为符合企业文化的保障制度，</w:t>
      </w:r>
      <w:r>
        <w:rPr>
          <w:spacing w:val="48"/>
          <w:w w:val="95"/>
        </w:rPr>
        <w:t> </w:t>
      </w:r>
      <w:r>
        <w:rPr>
          <w:spacing w:val="48"/>
          <w:w w:val="95"/>
        </w:rPr>
      </w:r>
      <w:r>
        <w:rPr/>
        <w:t>确保企业文化助推公司战略目标的实施。</w:t>
      </w:r>
    </w:p>
    <w:p>
      <w:pPr>
        <w:spacing w:line="240" w:lineRule="auto" w:before="1"/>
        <w:rPr>
          <w:rFonts w:ascii="宋体" w:hAnsi="宋体" w:cs="宋体" w:eastAsia="宋体" w:hint="default"/>
          <w:sz w:val="14"/>
          <w:szCs w:val="14"/>
        </w:rPr>
      </w:pPr>
    </w:p>
    <w:p>
      <w:pPr>
        <w:pStyle w:val="BodyText"/>
        <w:spacing w:line="338" w:lineRule="auto"/>
        <w:ind w:right="112" w:firstLine="422"/>
        <w:jc w:val="both"/>
      </w:pPr>
      <w:r>
        <w:rPr>
          <w:w w:val="95"/>
        </w:rPr>
        <w:t>公司将建立高效、有序的组织架构和流程制度，通过调整组织和流程，不断规范各部门职责和相互间</w:t>
      </w:r>
      <w:r>
        <w:rPr>
          <w:spacing w:val="-94"/>
          <w:w w:val="95"/>
        </w:rPr>
        <w:t> </w:t>
      </w:r>
      <w:r>
        <w:rPr>
          <w:spacing w:val="-94"/>
          <w:w w:val="95"/>
        </w:rPr>
      </w:r>
      <w:r>
        <w:rPr/>
        <w:t>的配合关系，理顺分工合作和业务流程，实现高效管理。</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（5）人力资源发展计划</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w w:val="95"/>
        </w:rPr>
        <w:t>公司将结合发展战略和目标，并根据企业外部环境的发展，制订未来人力资源发展计划。在人力资源</w:t>
      </w:r>
      <w:r>
        <w:rPr>
          <w:spacing w:val="-94"/>
          <w:w w:val="95"/>
        </w:rPr>
        <w:t> </w:t>
      </w:r>
      <w:r>
        <w:rPr>
          <w:spacing w:val="-94"/>
          <w:w w:val="95"/>
        </w:rPr>
      </w:r>
      <w:r>
        <w:rPr>
          <w:w w:val="95"/>
        </w:rPr>
        <w:t>结构的优化调整中突出“以人为本，开发、培养和使用并重”的方针，实现人才资源的优化配置和合理流</w:t>
      </w:r>
      <w:r>
        <w:rPr>
          <w:spacing w:val="53"/>
          <w:w w:val="95"/>
        </w:rPr>
        <w:t> </w:t>
      </w:r>
      <w:r>
        <w:rPr>
          <w:spacing w:val="53"/>
          <w:w w:val="95"/>
        </w:rPr>
      </w:r>
      <w:r>
        <w:rPr>
          <w:w w:val="95"/>
        </w:rPr>
        <w:t>动。以重大软件开发项目为依托，塑造新的用人机制和激励机制，逐步形成符合产业发展需要的团队。公</w:t>
      </w:r>
      <w:r>
        <w:rPr>
          <w:spacing w:val="52"/>
          <w:w w:val="95"/>
        </w:rPr>
        <w:t> </w:t>
      </w:r>
      <w:r>
        <w:rPr>
          <w:spacing w:val="52"/>
          <w:w w:val="95"/>
        </w:rPr>
      </w:r>
      <w:r>
        <w:rPr/>
        <w:t>司的人才发展计划主要通过高效培训、人才储备、体制建设等措施实施：</w:t>
      </w:r>
    </w:p>
    <w:p>
      <w:pPr>
        <w:spacing w:after="0" w:line="340"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A、高效培训</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110" w:firstLine="422"/>
        <w:jc w:val="both"/>
      </w:pPr>
      <w:r>
        <w:rPr>
          <w:w w:val="95"/>
        </w:rPr>
        <w:t>医疗卫生应用软件公司需要培养既懂计算机开发技术又懂医疗卫生机构运作的复合性人才，需要较长</w:t>
      </w:r>
      <w:r>
        <w:rPr>
          <w:spacing w:val="-94"/>
          <w:w w:val="95"/>
        </w:rPr>
        <w:t> </w:t>
      </w:r>
      <w:r>
        <w:rPr>
          <w:spacing w:val="-94"/>
          <w:w w:val="95"/>
        </w:rPr>
      </w:r>
      <w:r>
        <w:rPr>
          <w:w w:val="95"/>
        </w:rPr>
        <w:t>的融合、学习过程。公司通过建立知识库，总结行业经验，建立规范的培训模型，可以高效地培训各技术</w:t>
      </w:r>
      <w:r>
        <w:rPr>
          <w:spacing w:val="53"/>
          <w:w w:val="95"/>
        </w:rPr>
        <w:t> </w:t>
      </w:r>
      <w:r>
        <w:rPr>
          <w:spacing w:val="53"/>
          <w:w w:val="95"/>
        </w:rPr>
      </w:r>
      <w:r>
        <w:rPr/>
        <w:t>岗位的人才。</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B、人才储备</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spacing w:val="-2"/>
          <w:w w:val="95"/>
        </w:rPr>
        <w:t>根据不同发展阶段对人力资源的需求，以及不同层级的职位对于人员能力的要求，公司建立人才梯队，</w:t>
      </w:r>
      <w:r>
        <w:rPr>
          <w:w w:val="49"/>
        </w:rPr>
        <w:t> </w:t>
      </w:r>
      <w:r>
        <w:rPr>
          <w:w w:val="95"/>
        </w:rPr>
        <w:t>确定人才能力要求模型，从引进人才、培养人才、塑造人才三方面着手，建立有层次的技术人才库、管理</w:t>
      </w:r>
      <w:r>
        <w:rPr>
          <w:spacing w:val="53"/>
          <w:w w:val="95"/>
        </w:rPr>
        <w:t> </w:t>
      </w:r>
      <w:r>
        <w:rPr>
          <w:spacing w:val="53"/>
          <w:w w:val="95"/>
        </w:rPr>
      </w:r>
      <w:r>
        <w:rPr/>
        <w:t>人才库、营销人才库。</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C、建立和优化薪酬体系和激励机制</w:t>
      </w:r>
    </w:p>
    <w:p>
      <w:pPr>
        <w:spacing w:line="240" w:lineRule="auto" w:before="11"/>
        <w:rPr>
          <w:rFonts w:ascii="宋体" w:hAnsi="宋体" w:cs="宋体" w:eastAsia="宋体" w:hint="default"/>
          <w:sz w:val="20"/>
          <w:szCs w:val="20"/>
        </w:rPr>
      </w:pPr>
    </w:p>
    <w:p>
      <w:pPr>
        <w:pStyle w:val="BodyText"/>
        <w:spacing w:line="340" w:lineRule="auto"/>
        <w:ind w:right="111" w:firstLine="422"/>
        <w:jc w:val="both"/>
      </w:pPr>
      <w:r>
        <w:rPr>
          <w:spacing w:val="-2"/>
          <w:w w:val="95"/>
        </w:rPr>
        <w:t>在现有薪酬制度和激励制度的基础上，根据公司各发展阶段的要求，制定更透明、更合理、层级清晰、</w:t>
      </w:r>
      <w:r>
        <w:rPr>
          <w:w w:val="49"/>
        </w:rPr>
        <w:t> </w:t>
      </w:r>
      <w:r>
        <w:rPr>
          <w:spacing w:val="-2"/>
          <w:w w:val="95"/>
        </w:rPr>
        <w:t>对外有竞争力、对内公平的薪酬制度，制定符合岗位能力的职位评定方案；建立对各类人才有持久吸引力、</w:t>
      </w:r>
      <w:r>
        <w:rPr>
          <w:spacing w:val="48"/>
          <w:w w:val="95"/>
        </w:rPr>
        <w:t> </w:t>
      </w:r>
      <w:r>
        <w:rPr>
          <w:spacing w:val="48"/>
          <w:w w:val="95"/>
        </w:rPr>
      </w:r>
      <w:r>
        <w:rPr/>
        <w:t>调动人才创新能力的激励机制，实现公司人力资源的可持续发展。</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（6）投资者关系计划</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w w:val="95"/>
        </w:rPr>
        <w:t>2012</w:t>
      </w:r>
      <w:r>
        <w:rPr>
          <w:spacing w:val="32"/>
          <w:w w:val="95"/>
        </w:rPr>
        <w:t> </w:t>
      </w:r>
      <w:r>
        <w:rPr>
          <w:w w:val="95"/>
        </w:rPr>
        <w:t>年公司将进一步完善公司的治理结构，建立和健全投资者沟通平台，充分利用深交所的互动平台</w:t>
      </w:r>
      <w:r>
        <w:rPr>
          <w:w w:val="99"/>
        </w:rPr>
        <w:t> </w:t>
      </w:r>
      <w:r>
        <w:rPr>
          <w:spacing w:val="-2"/>
          <w:w w:val="98"/>
        </w:rPr>
        <w:t>与广大投资者沟通和交流，规范公司投资者关系工作，提高工作人员在投资者关系管理方面的水平和能力，</w:t>
      </w:r>
      <w:r>
        <w:rPr>
          <w:spacing w:val="-90"/>
          <w:w w:val="98"/>
        </w:rPr>
        <w:t> </w:t>
      </w:r>
      <w:r>
        <w:rPr>
          <w:spacing w:val="-90"/>
          <w:w w:val="98"/>
        </w:rPr>
      </w:r>
      <w:r>
        <w:rPr>
          <w:w w:val="95"/>
        </w:rPr>
        <w:t>加深投资者对公司的了解和认同，促进公司与投资者之间长期、良好、稳定的关系，提升公司的诚信度、</w:t>
      </w:r>
      <w:r>
        <w:rPr>
          <w:spacing w:val="51"/>
          <w:w w:val="95"/>
        </w:rPr>
        <w:t> </w:t>
      </w:r>
      <w:r>
        <w:rPr>
          <w:spacing w:val="51"/>
          <w:w w:val="95"/>
        </w:rPr>
      </w:r>
      <w:r>
        <w:rPr/>
        <w:t>核心竞争能力和持续发展能力，实现公司价值最大化和股东利益最大化。</w:t>
      </w:r>
    </w:p>
    <w:p>
      <w:pPr>
        <w:pStyle w:val="Heading4"/>
        <w:spacing w:line="240" w:lineRule="auto" w:before="115"/>
        <w:ind w:right="0"/>
        <w:jc w:val="left"/>
        <w:rPr>
          <w:b w:val="0"/>
          <w:bCs w:val="0"/>
        </w:rPr>
      </w:pPr>
      <w:r>
        <w:rPr/>
        <w:t>（六）资金需求及使用计划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自</w:t>
      </w:r>
      <w:r>
        <w:rPr>
          <w:spacing w:val="-57"/>
        </w:rPr>
        <w:t> </w:t>
      </w:r>
      <w:r>
        <w:rPr/>
        <w:t>2011</w:t>
      </w:r>
      <w:r>
        <w:rPr>
          <w:spacing w:val="-55"/>
        </w:rPr>
        <w:t> </w:t>
      </w:r>
      <w:r>
        <w:rPr/>
        <w:t>年</w:t>
      </w:r>
      <w:r>
        <w:rPr>
          <w:spacing w:val="-57"/>
        </w:rPr>
        <w:t> </w:t>
      </w:r>
      <w:r>
        <w:rPr/>
        <w:t>8</w:t>
      </w:r>
      <w:r>
        <w:rPr>
          <w:spacing w:val="-55"/>
        </w:rPr>
        <w:t> </w:t>
      </w:r>
      <w:r>
        <w:rPr/>
        <w:t>月上市募集资金到位后，截至</w:t>
      </w:r>
      <w:r>
        <w:rPr>
          <w:spacing w:val="-57"/>
        </w:rPr>
        <w:t> </w:t>
      </w:r>
      <w:r>
        <w:rPr/>
        <w:t>2011</w:t>
      </w:r>
      <w:r>
        <w:rPr>
          <w:spacing w:val="-58"/>
        </w:rPr>
        <w:t> </w:t>
      </w:r>
      <w:r>
        <w:rPr/>
        <w:t>年</w:t>
      </w:r>
      <w:r>
        <w:rPr>
          <w:spacing w:val="-57"/>
        </w:rPr>
        <w:t> </w:t>
      </w:r>
      <w:r>
        <w:rPr/>
        <w:t>12</w:t>
      </w:r>
      <w:r>
        <w:rPr>
          <w:spacing w:val="-55"/>
        </w:rPr>
        <w:t> </w:t>
      </w:r>
      <w:r>
        <w:rPr/>
        <w:t>月</w:t>
      </w:r>
      <w:r>
        <w:rPr>
          <w:spacing w:val="-54"/>
        </w:rPr>
        <w:t> </w:t>
      </w:r>
      <w:r>
        <w:rPr/>
        <w:t>31</w:t>
      </w:r>
      <w:r>
        <w:rPr>
          <w:spacing w:val="-58"/>
        </w:rPr>
        <w:t> </w:t>
      </w:r>
      <w:r>
        <w:rPr/>
        <w:t>日，公司尚未落实具体使用计划的超募资</w:t>
      </w:r>
    </w:p>
    <w:p>
      <w:pPr>
        <w:pStyle w:val="BodyText"/>
        <w:spacing w:line="240" w:lineRule="auto" w:before="116"/>
        <w:ind w:right="0"/>
        <w:jc w:val="left"/>
      </w:pPr>
      <w:r>
        <w:rPr/>
        <w:t>金为</w:t>
      </w:r>
      <w:r>
        <w:rPr>
          <w:spacing w:val="-56"/>
        </w:rPr>
        <w:t> </w:t>
      </w:r>
      <w:r>
        <w:rPr/>
        <w:t>20,056.98</w:t>
      </w:r>
      <w:r>
        <w:rPr>
          <w:spacing w:val="-54"/>
        </w:rPr>
        <w:t> </w:t>
      </w:r>
      <w:r>
        <w:rPr/>
        <w:t>万元。</w:t>
      </w:r>
    </w:p>
    <w:p>
      <w:pPr>
        <w:spacing w:line="240" w:lineRule="auto" w:before="8"/>
        <w:rPr>
          <w:rFonts w:ascii="宋体" w:hAnsi="宋体" w:cs="宋体" w:eastAsia="宋体" w:hint="default"/>
          <w:sz w:val="20"/>
          <w:szCs w:val="20"/>
        </w:rPr>
      </w:pPr>
    </w:p>
    <w:p>
      <w:pPr>
        <w:pStyle w:val="BodyText"/>
        <w:spacing w:line="340" w:lineRule="auto"/>
        <w:ind w:right="110" w:firstLine="422"/>
        <w:jc w:val="both"/>
      </w:pPr>
      <w:r>
        <w:rPr>
          <w:w w:val="95"/>
        </w:rPr>
        <w:t>2012</w:t>
      </w:r>
      <w:r>
        <w:rPr>
          <w:spacing w:val="22"/>
          <w:w w:val="95"/>
        </w:rPr>
        <w:t> </w:t>
      </w:r>
      <w:r>
        <w:rPr>
          <w:w w:val="95"/>
        </w:rPr>
        <w:t>年公司将结合业务发展目标和未来发展战略，合理安排使用资金，积极推进募投项目建设，严格</w:t>
      </w:r>
      <w:r>
        <w:rPr>
          <w:w w:val="99"/>
        </w:rPr>
        <w:t> </w:t>
      </w:r>
      <w:r>
        <w:rPr>
          <w:spacing w:val="-2"/>
          <w:w w:val="95"/>
        </w:rPr>
        <w:t>按照中国证监会和深圳证券交易所的各项规定，规范、科学地使用募集资金，努力提高募集资金使用效率，</w:t>
      </w:r>
      <w:r>
        <w:rPr>
          <w:spacing w:val="48"/>
          <w:w w:val="95"/>
        </w:rPr>
        <w:t> </w:t>
      </w:r>
      <w:r>
        <w:rPr>
          <w:spacing w:val="48"/>
          <w:w w:val="95"/>
        </w:rPr>
      </w:r>
      <w:r>
        <w:rPr>
          <w:w w:val="95"/>
        </w:rPr>
        <w:t>为股东创造最大效益。同时，公司将尽快对超募资金的使用进行详细规划和严格论证，根据相关规定制定</w:t>
      </w:r>
      <w:r>
        <w:rPr>
          <w:spacing w:val="54"/>
          <w:w w:val="95"/>
        </w:rPr>
        <w:t> </w:t>
      </w:r>
      <w:r>
        <w:rPr>
          <w:spacing w:val="54"/>
          <w:w w:val="95"/>
        </w:rPr>
      </w:r>
      <w:r>
        <w:rPr/>
        <w:t>出科学的超募资金使用计划。</w:t>
      </w:r>
    </w:p>
    <w:p>
      <w:pPr>
        <w:pStyle w:val="Heading4"/>
        <w:spacing w:line="240" w:lineRule="auto" w:before="115"/>
        <w:ind w:left="112" w:right="0"/>
        <w:jc w:val="left"/>
        <w:rPr>
          <w:b w:val="0"/>
          <w:bCs w:val="0"/>
        </w:rPr>
      </w:pPr>
      <w:r>
        <w:rPr/>
        <w:t>三、报告期内的投资情况</w:t>
      </w:r>
      <w:r>
        <w:rPr>
          <w:b w:val="0"/>
          <w:bCs w:val="0"/>
        </w:rPr>
      </w:r>
    </w:p>
    <w:p>
      <w:pPr>
        <w:spacing w:line="240" w:lineRule="auto" w:before="8"/>
        <w:rPr>
          <w:rFonts w:ascii="Microsoft JhengHei" w:hAnsi="Microsoft JhengHei" w:cs="Microsoft JhengHei" w:eastAsia="Microsoft JhengHei" w:hint="default"/>
          <w:b/>
          <w:bCs/>
          <w:sz w:val="10"/>
          <w:szCs w:val="10"/>
        </w:rPr>
      </w:pPr>
    </w:p>
    <w:p>
      <w:pPr>
        <w:pStyle w:val="Heading4"/>
        <w:spacing w:line="357" w:lineRule="auto"/>
        <w:ind w:right="4889"/>
        <w:jc w:val="left"/>
        <w:rPr>
          <w:b w:val="0"/>
          <w:bCs w:val="0"/>
        </w:rPr>
      </w:pPr>
      <w:r>
        <w:rPr/>
        <w:t>（一）募集资金的基本情况</w:t>
      </w:r>
      <w:r>
        <w:rPr>
          <w:w w:val="99"/>
        </w:rPr>
        <w:t> </w:t>
      </w:r>
      <w:r>
        <w:rPr>
          <w:w w:val="95"/>
        </w:rPr>
        <w:t>1、实际募集资金金额、资金到位情况</w:t>
      </w:r>
      <w:r>
        <w:rPr>
          <w:b w:val="0"/>
          <w:bCs w:val="0"/>
        </w:rPr>
      </w:r>
    </w:p>
    <w:p>
      <w:pPr>
        <w:pStyle w:val="BodyText"/>
        <w:spacing w:line="338" w:lineRule="auto" w:before="111"/>
        <w:ind w:right="112" w:firstLine="422"/>
        <w:jc w:val="both"/>
      </w:pPr>
      <w:r>
        <w:rPr/>
        <w:t>经中国证券监督管理委员会证监许可[2011]1129</w:t>
      </w:r>
      <w:r>
        <w:rPr>
          <w:spacing w:val="-67"/>
        </w:rPr>
        <w:t> </w:t>
      </w:r>
      <w:r>
        <w:rPr>
          <w:spacing w:val="-3"/>
        </w:rPr>
        <w:t>号文《关于核准上海金仕达卫宁软件股份有限公司首</w:t>
      </w:r>
      <w:r>
        <w:rPr>
          <w:w w:val="99"/>
        </w:rPr>
        <w:t> </w:t>
      </w:r>
      <w:r>
        <w:rPr>
          <w:w w:val="95"/>
        </w:rPr>
        <w:t>次公开发行股票并在创业板上市的批复》核准，本公司由主承销商招商证券股份有限公司采用网下向股票</w:t>
      </w:r>
      <w:r>
        <w:rPr>
          <w:spacing w:val="52"/>
          <w:w w:val="95"/>
        </w:rPr>
        <w:t> </w:t>
      </w:r>
      <w:r>
        <w:rPr>
          <w:spacing w:val="52"/>
          <w:w w:val="95"/>
        </w:rPr>
      </w:r>
      <w:r>
        <w:rPr>
          <w:spacing w:val="15"/>
        </w:rPr>
        <w:t>配售对象询价配售与网上向社会公众投资者定价发行相结合的发行方式发行人民币普通股（</w:t>
      </w:r>
      <w:r>
        <w:rPr>
          <w:spacing w:val="-89"/>
        </w:rPr>
        <w:t> </w:t>
      </w:r>
      <w:r>
        <w:rPr/>
        <w:t>A</w:t>
      </w:r>
      <w:r>
        <w:rPr>
          <w:spacing w:val="-58"/>
        </w:rPr>
        <w:t> </w:t>
      </w:r>
      <w:r>
        <w:rPr>
          <w:spacing w:val="8"/>
        </w:rPr>
        <w:t>股）</w:t>
      </w:r>
    </w:p>
    <w:p>
      <w:pPr>
        <w:spacing w:after="0" w:line="338" w:lineRule="auto"/>
        <w:jc w:val="both"/>
        <w:sectPr>
          <w:footerReference w:type="default" r:id="rId18"/>
          <w:pgSz w:w="11910" w:h="16840"/>
          <w:pgMar w:footer="976" w:header="849" w:top="1460" w:bottom="1160" w:left="1020" w:right="1020"/>
          <w:pgNumType w:start="30"/>
        </w:sectPr>
      </w:pPr>
    </w:p>
    <w:p>
      <w:pPr>
        <w:spacing w:line="240" w:lineRule="auto" w:before="0"/>
        <w:rPr>
          <w:rFonts w:ascii="宋体" w:hAnsi="宋体" w:cs="宋体" w:eastAsia="宋体" w:hint="default"/>
          <w:sz w:val="2"/>
          <w:szCs w:val="2"/>
        </w:rPr>
      </w:pPr>
    </w:p>
    <w:p>
      <w:pPr>
        <w:spacing w:line="326" w:lineRule="exact"/>
        <w:ind w:left="22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13,500,000</w:t>
                      </w:r>
                      <w:r>
                        <w:rPr>
                          <w:rFonts w:ascii="宋体" w:hAnsi="宋体" w:cs="宋体" w:eastAsia="宋体" w:hint="default"/>
                          <w:spacing w:val="-2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格</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16"/>
                          <w:sz w:val="21"/>
                          <w:szCs w:val="21"/>
                        </w:rPr>
                        <w:t> </w:t>
                      </w:r>
                      <w:r>
                        <w:rPr>
                          <w:rFonts w:ascii="宋体" w:hAnsi="宋体" w:cs="宋体" w:eastAsia="宋体" w:hint="default"/>
                          <w:sz w:val="21"/>
                          <w:szCs w:val="21"/>
                        </w:rPr>
                        <w:t>27.50</w:t>
                      </w:r>
                      <w:r>
                        <w:rPr>
                          <w:rFonts w:ascii="宋体" w:hAnsi="宋体" w:cs="宋体" w:eastAsia="宋体" w:hint="default"/>
                          <w:spacing w:val="-23"/>
                          <w:sz w:val="21"/>
                          <w:szCs w:val="21"/>
                        </w:rPr>
                        <w:t> </w:t>
                      </w:r>
                      <w:r>
                        <w:rPr>
                          <w:rFonts w:ascii="宋体" w:hAnsi="宋体" w:cs="宋体" w:eastAsia="宋体" w:hint="default"/>
                          <w:sz w:val="21"/>
                          <w:szCs w:val="21"/>
                        </w:rPr>
                        <w:t>元</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募</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16"/>
                          <w:sz w:val="21"/>
                          <w:szCs w:val="21"/>
                        </w:rPr>
                        <w:t> </w:t>
                      </w:r>
                      <w:r>
                        <w:rPr>
                          <w:rFonts w:ascii="宋体" w:hAnsi="宋体" w:cs="宋体" w:eastAsia="宋体" w:hint="default"/>
                          <w:sz w:val="21"/>
                          <w:szCs w:val="21"/>
                        </w:rPr>
                        <w:t>371,250,000.00</w:t>
                      </w:r>
                      <w:r>
                        <w:rPr>
                          <w:rFonts w:ascii="宋体" w:hAnsi="宋体" w:cs="宋体" w:eastAsia="宋体" w:hint="default"/>
                          <w:spacing w:val="-26"/>
                          <w:sz w:val="21"/>
                          <w:szCs w:val="21"/>
                        </w:rPr>
                        <w:t> </w:t>
                      </w:r>
                      <w:r>
                        <w:rPr>
                          <w:rFonts w:ascii="宋体" w:hAnsi="宋体" w:cs="宋体" w:eastAsia="宋体" w:hint="default"/>
                          <w:sz w:val="21"/>
                          <w:szCs w:val="21"/>
                        </w:rPr>
                        <w:t>元</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扣</w:t>
                      </w:r>
                      <w:r>
                        <w:rPr>
                          <w:rFonts w:ascii="宋体" w:hAnsi="宋体" w:cs="宋体" w:eastAsia="宋体" w:hint="default"/>
                          <w:spacing w:val="-76"/>
                          <w:sz w:val="21"/>
                          <w:szCs w:val="21"/>
                        </w:rPr>
                        <w:t> </w:t>
                      </w:r>
                      <w:r>
                        <w:rPr>
                          <w:rFonts w:ascii="宋体" w:hAnsi="宋体" w:cs="宋体" w:eastAsia="宋体" w:hint="default"/>
                          <w:sz w:val="21"/>
                          <w:szCs w:val="21"/>
                        </w:rPr>
                        <w:t>除</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费</w:t>
                      </w:r>
                      <w:r>
                        <w:rPr>
                          <w:rFonts w:ascii="宋体" w:hAnsi="宋体" w:cs="宋体" w:eastAsia="宋体" w:hint="default"/>
                          <w:spacing w:val="-67"/>
                          <w:sz w:val="21"/>
                          <w:szCs w:val="21"/>
                        </w:rPr>
                        <w:t> </w:t>
                      </w:r>
                      <w:r>
                        <w:rPr>
                          <w:rFonts w:ascii="宋体" w:hAnsi="宋体" w:cs="宋体" w:eastAsia="宋体" w:hint="default"/>
                          <w:sz w:val="21"/>
                          <w:szCs w:val="21"/>
                        </w:rPr>
                        <w:t>用</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left="232" w:right="0"/>
        <w:jc w:val="left"/>
      </w:pPr>
      <w:r>
        <w:rPr/>
        <w:t>32,270,169.92</w:t>
      </w:r>
      <w:r>
        <w:rPr>
          <w:spacing w:val="-70"/>
        </w:rPr>
        <w:t> </w:t>
      </w:r>
      <w:r>
        <w:rPr>
          <w:spacing w:val="-4"/>
        </w:rPr>
        <w:t>元，募集资金净额为</w:t>
      </w:r>
      <w:r>
        <w:rPr>
          <w:spacing w:val="-72"/>
        </w:rPr>
        <w:t> </w:t>
      </w:r>
      <w:r>
        <w:rPr/>
        <w:t>338,979,830.08</w:t>
      </w:r>
      <w:r>
        <w:rPr>
          <w:spacing w:val="-70"/>
        </w:rPr>
        <w:t> </w:t>
      </w:r>
      <w:r>
        <w:rPr/>
        <w:t>元。上述资金到位情况已由中磊会计师事务所有限责</w:t>
      </w:r>
    </w:p>
    <w:p>
      <w:pPr>
        <w:pStyle w:val="BodyText"/>
        <w:spacing w:line="477" w:lineRule="auto" w:before="116"/>
        <w:ind w:left="655" w:right="1954" w:hanging="423"/>
        <w:jc w:val="left"/>
      </w:pPr>
      <w:r>
        <w:rPr/>
        <w:t>任公司于</w:t>
      </w:r>
      <w:r>
        <w:rPr>
          <w:spacing w:val="-55"/>
        </w:rPr>
        <w:t> </w:t>
      </w:r>
      <w:r>
        <w:rPr/>
        <w:t>2011</w:t>
      </w:r>
      <w:r>
        <w:rPr>
          <w:spacing w:val="-56"/>
        </w:rPr>
        <w:t> </w:t>
      </w:r>
      <w:r>
        <w:rPr/>
        <w:t>年</w:t>
      </w:r>
      <w:r>
        <w:rPr>
          <w:spacing w:val="-55"/>
        </w:rPr>
        <w:t> </w:t>
      </w:r>
      <w:r>
        <w:rPr/>
        <w:t>8</w:t>
      </w:r>
      <w:r>
        <w:rPr>
          <w:spacing w:val="-53"/>
        </w:rPr>
        <w:t> </w:t>
      </w:r>
      <w:r>
        <w:rPr/>
        <w:t>月</w:t>
      </w:r>
      <w:r>
        <w:rPr>
          <w:spacing w:val="-55"/>
        </w:rPr>
        <w:t> </w:t>
      </w:r>
      <w:r>
        <w:rPr/>
        <w:t>10</w:t>
      </w:r>
      <w:r>
        <w:rPr>
          <w:spacing w:val="-53"/>
        </w:rPr>
        <w:t> </w:t>
      </w:r>
      <w:r>
        <w:rPr/>
        <w:t>日出具的中磊验字[2011]第</w:t>
      </w:r>
      <w:r>
        <w:rPr>
          <w:spacing w:val="-55"/>
        </w:rPr>
        <w:t> </w:t>
      </w:r>
      <w:r>
        <w:rPr/>
        <w:t>0067</w:t>
      </w:r>
      <w:r>
        <w:rPr>
          <w:spacing w:val="-53"/>
        </w:rPr>
        <w:t> </w:t>
      </w:r>
      <w:r>
        <w:rPr/>
        <w:t>号《验资报告》验证确认。</w:t>
      </w:r>
      <w:r>
        <w:rPr>
          <w:w w:val="99"/>
        </w:rPr>
        <w:t> </w:t>
      </w:r>
      <w:r>
        <w:rPr/>
        <w:t>全部募集资金已按规定存放于公司募集资金专项账户进行管理。</w:t>
      </w:r>
    </w:p>
    <w:p>
      <w:pPr>
        <w:pStyle w:val="Heading4"/>
        <w:spacing w:line="361" w:lineRule="exact"/>
        <w:ind w:left="655" w:right="484"/>
        <w:jc w:val="left"/>
        <w:rPr>
          <w:b w:val="0"/>
          <w:bCs w:val="0"/>
        </w:rPr>
      </w:pPr>
      <w:r>
        <w:rPr>
          <w:w w:val="95"/>
        </w:rPr>
        <w:t>2、2011 </w:t>
      </w:r>
      <w:r>
        <w:rPr>
          <w:spacing w:val="26"/>
          <w:w w:val="95"/>
        </w:rPr>
        <w:t> </w:t>
      </w:r>
      <w:r>
        <w:rPr>
          <w:w w:val="95"/>
        </w:rPr>
        <w:t>年度募集资金使用及结余情况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ind w:left="655" w:right="484"/>
        <w:jc w:val="left"/>
      </w:pPr>
      <w:r>
        <w:rPr>
          <w:spacing w:val="2"/>
          <w:w w:val="99"/>
        </w:rPr>
        <w:t>截</w:t>
      </w:r>
      <w:r>
        <w:rPr>
          <w:w w:val="99"/>
        </w:rPr>
        <w:t>至</w:t>
      </w:r>
      <w:r>
        <w:rPr>
          <w:spacing w:val="-55"/>
        </w:rPr>
        <w:t> </w:t>
      </w:r>
      <w:r>
        <w:rPr>
          <w:spacing w:val="1"/>
          <w:w w:val="99"/>
        </w:rPr>
        <w:t>201</w:t>
      </w:r>
      <w:r>
        <w:rPr>
          <w:w w:val="99"/>
        </w:rPr>
        <w:t>1</w:t>
      </w:r>
      <w:r>
        <w:rPr>
          <w:spacing w:val="-54"/>
        </w:rPr>
        <w:t> </w:t>
      </w:r>
      <w:r>
        <w:rPr>
          <w:w w:val="99"/>
        </w:rPr>
        <w:t>年</w:t>
      </w:r>
      <w:r>
        <w:rPr>
          <w:spacing w:val="-53"/>
        </w:rPr>
        <w:t> </w:t>
      </w:r>
      <w:r>
        <w:rPr>
          <w:spacing w:val="1"/>
          <w:w w:val="99"/>
        </w:rPr>
        <w:t>1</w:t>
      </w:r>
      <w:r>
        <w:rPr>
          <w:w w:val="99"/>
        </w:rPr>
        <w:t>2</w:t>
      </w:r>
      <w:r>
        <w:rPr>
          <w:spacing w:val="-51"/>
        </w:rPr>
        <w:t> </w:t>
      </w:r>
      <w:r>
        <w:rPr>
          <w:w w:val="99"/>
        </w:rPr>
        <w:t>月</w:t>
      </w:r>
      <w:r>
        <w:rPr>
          <w:spacing w:val="-53"/>
        </w:rPr>
        <w:t> </w:t>
      </w:r>
      <w:r>
        <w:rPr>
          <w:spacing w:val="1"/>
          <w:w w:val="99"/>
        </w:rPr>
        <w:t>3</w:t>
      </w:r>
      <w:r>
        <w:rPr>
          <w:w w:val="99"/>
        </w:rPr>
        <w:t>1</w:t>
      </w:r>
      <w:r>
        <w:rPr>
          <w:spacing w:val="-51"/>
        </w:rPr>
        <w:t> </w:t>
      </w:r>
      <w:r>
        <w:rPr>
          <w:spacing w:val="2"/>
          <w:w w:val="99"/>
        </w:rPr>
        <w:t>日</w:t>
      </w:r>
      <w:r>
        <w:rPr>
          <w:w w:val="99"/>
        </w:rPr>
        <w:t>募</w:t>
      </w:r>
      <w:r>
        <w:rPr>
          <w:spacing w:val="2"/>
          <w:w w:val="99"/>
        </w:rPr>
        <w:t>集</w:t>
      </w:r>
      <w:r>
        <w:rPr>
          <w:w w:val="99"/>
        </w:rPr>
        <w:t>资</w:t>
      </w:r>
      <w:r>
        <w:rPr>
          <w:spacing w:val="2"/>
          <w:w w:val="99"/>
        </w:rPr>
        <w:t>金</w:t>
      </w:r>
      <w:r>
        <w:rPr>
          <w:w w:val="99"/>
        </w:rPr>
        <w:t>使</w:t>
      </w:r>
      <w:r>
        <w:rPr>
          <w:spacing w:val="2"/>
          <w:w w:val="99"/>
        </w:rPr>
        <w:t>用</w:t>
      </w:r>
      <w:r>
        <w:rPr>
          <w:w w:val="99"/>
        </w:rPr>
        <w:t>及</w:t>
      </w:r>
      <w:r>
        <w:rPr>
          <w:spacing w:val="2"/>
          <w:w w:val="99"/>
        </w:rPr>
        <w:t>结</w:t>
      </w:r>
      <w:r>
        <w:rPr>
          <w:w w:val="99"/>
        </w:rPr>
        <w:t>余</w:t>
      </w:r>
      <w:r>
        <w:rPr>
          <w:spacing w:val="2"/>
          <w:w w:val="99"/>
        </w:rPr>
        <w:t>情</w:t>
      </w:r>
      <w:r>
        <w:rPr>
          <w:w w:val="99"/>
        </w:rPr>
        <w:t>况</w:t>
      </w:r>
      <w:r>
        <w:rPr>
          <w:spacing w:val="2"/>
          <w:w w:val="99"/>
        </w:rPr>
        <w:t>如</w:t>
      </w:r>
      <w:r>
        <w:rPr>
          <w:w w:val="99"/>
        </w:rPr>
        <w:t>下</w:t>
      </w:r>
      <w:r>
        <w:rPr>
          <w:spacing w:val="2"/>
          <w:w w:val="99"/>
        </w:rPr>
        <w:t>（</w:t>
      </w:r>
      <w:r>
        <w:rPr>
          <w:w w:val="99"/>
        </w:rPr>
        <w:t>单</w:t>
      </w:r>
      <w:r>
        <w:rPr>
          <w:spacing w:val="2"/>
          <w:w w:val="99"/>
        </w:rPr>
        <w:t>位</w:t>
      </w:r>
      <w:r>
        <w:rPr>
          <w:w w:val="99"/>
        </w:rPr>
        <w:t>：元</w:t>
      </w:r>
      <w:r>
        <w:rPr>
          <w:spacing w:val="-104"/>
          <w:w w:val="99"/>
        </w:rPr>
        <w:t>）</w:t>
      </w:r>
      <w:r>
        <w:rPr>
          <w:w w:val="99"/>
        </w:rPr>
        <w:t>：</w:t>
      </w:r>
      <w:r>
        <w:rPr/>
      </w:r>
    </w:p>
    <w:p>
      <w:pPr>
        <w:spacing w:line="240" w:lineRule="auto" w:before="0"/>
        <w:rPr>
          <w:rFonts w:ascii="宋体" w:hAnsi="宋体" w:cs="宋体" w:eastAsia="宋体"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6228"/>
        <w:gridCol w:w="3600"/>
      </w:tblGrid>
      <w:tr>
        <w:trPr>
          <w:trHeight w:val="398" w:hRule="exact"/>
        </w:trPr>
        <w:tc>
          <w:tcPr>
            <w:tcW w:w="622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实际募集资金净额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5"/>
              <w:jc w:val="right"/>
              <w:rPr>
                <w:rFonts w:ascii="宋体" w:hAnsi="宋体" w:cs="宋体" w:eastAsia="宋体" w:hint="default"/>
                <w:sz w:val="18"/>
                <w:szCs w:val="18"/>
              </w:rPr>
            </w:pPr>
            <w:r>
              <w:rPr>
                <w:rFonts w:ascii="宋体"/>
                <w:spacing w:val="-1"/>
                <w:sz w:val="18"/>
              </w:rPr>
              <w:t>338,979,830.08</w:t>
            </w:r>
          </w:p>
        </w:tc>
      </w:tr>
      <w:tr>
        <w:trPr>
          <w:trHeight w:val="401"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减：2011年度募投项目支出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spacing w:val="-1"/>
                <w:sz w:val="18"/>
              </w:rPr>
              <w:t>42,725,792.90</w:t>
            </w:r>
          </w:p>
        </w:tc>
      </w:tr>
      <w:tr>
        <w:trPr>
          <w:trHeight w:val="3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其中：预先投入募投项目的自筹资金置换金额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spacing w:val="-1"/>
                <w:sz w:val="18"/>
              </w:rPr>
              <w:t>20,726,761.32</w:t>
            </w:r>
          </w:p>
        </w:tc>
      </w:tr>
      <w:tr>
        <w:trPr>
          <w:trHeight w:val="401"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从募集资金专户支出投入募投项目</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5"/>
              <w:jc w:val="right"/>
              <w:rPr>
                <w:rFonts w:ascii="宋体" w:hAnsi="宋体" w:cs="宋体" w:eastAsia="宋体" w:hint="default"/>
                <w:sz w:val="18"/>
                <w:szCs w:val="18"/>
              </w:rPr>
            </w:pPr>
            <w:r>
              <w:rPr>
                <w:rFonts w:ascii="宋体"/>
                <w:spacing w:val="-1"/>
                <w:sz w:val="18"/>
              </w:rPr>
              <w:t>19,200,402.54</w:t>
            </w:r>
          </w:p>
        </w:tc>
      </w:tr>
      <w:tr>
        <w:trPr>
          <w:trHeight w:val="401"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从非募集资金账户支付但尚未从募集资金专户中转出的募投项目资金</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spacing w:val="-1"/>
                <w:sz w:val="18"/>
              </w:rPr>
              <w:t>2,798,629.04</w:t>
            </w:r>
          </w:p>
        </w:tc>
      </w:tr>
      <w:tr>
        <w:trPr>
          <w:trHeight w:val="398"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减：银行手续费支出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spacing w:val="-1"/>
                <w:sz w:val="18"/>
              </w:rPr>
              <w:t>275.52</w:t>
            </w:r>
          </w:p>
        </w:tc>
      </w:tr>
      <w:tr>
        <w:trPr>
          <w:trHeight w:val="401"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加：2011年度专户利息收入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5"/>
              <w:jc w:val="right"/>
              <w:rPr>
                <w:rFonts w:ascii="宋体" w:hAnsi="宋体" w:cs="宋体" w:eastAsia="宋体" w:hint="default"/>
                <w:sz w:val="18"/>
                <w:szCs w:val="18"/>
              </w:rPr>
            </w:pPr>
            <w:r>
              <w:rPr>
                <w:rFonts w:ascii="宋体"/>
                <w:spacing w:val="-1"/>
                <w:sz w:val="18"/>
              </w:rPr>
              <w:t>1,091,120.31</w:t>
            </w:r>
          </w:p>
        </w:tc>
      </w:tr>
      <w:tr>
        <w:trPr>
          <w:trHeight w:val="401" w:hRule="exact"/>
        </w:trPr>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截至2011年12月31日专户余额（应有）</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35"/>
              <w:jc w:val="right"/>
              <w:rPr>
                <w:rFonts w:ascii="宋体" w:hAnsi="宋体" w:cs="宋体" w:eastAsia="宋体" w:hint="default"/>
                <w:sz w:val="18"/>
                <w:szCs w:val="18"/>
              </w:rPr>
            </w:pPr>
            <w:r>
              <w:rPr>
                <w:rFonts w:ascii="宋体"/>
                <w:spacing w:val="-1"/>
                <w:sz w:val="18"/>
              </w:rPr>
              <w:t>297,344,881.97</w:t>
            </w:r>
          </w:p>
        </w:tc>
      </w:tr>
    </w:tbl>
    <w:p>
      <w:pPr>
        <w:spacing w:line="240" w:lineRule="auto" w:before="1"/>
        <w:rPr>
          <w:rFonts w:ascii="宋体" w:hAnsi="宋体" w:cs="宋体" w:eastAsia="宋体" w:hint="default"/>
          <w:sz w:val="11"/>
          <w:szCs w:val="11"/>
        </w:rPr>
      </w:pPr>
    </w:p>
    <w:p>
      <w:pPr>
        <w:pStyle w:val="BodyText"/>
        <w:spacing w:line="240" w:lineRule="auto" w:before="34"/>
        <w:ind w:left="655" w:right="0"/>
        <w:jc w:val="left"/>
      </w:pPr>
      <w:r>
        <w:rPr>
          <w:spacing w:val="-3"/>
        </w:rPr>
        <w:t>注：截至</w:t>
      </w:r>
      <w:r>
        <w:rPr>
          <w:spacing w:val="-57"/>
        </w:rPr>
        <w:t> </w:t>
      </w:r>
      <w:r>
        <w:rPr/>
        <w:t>2011</w:t>
      </w:r>
      <w:r>
        <w:rPr>
          <w:spacing w:val="-55"/>
        </w:rPr>
        <w:t> </w:t>
      </w:r>
      <w:r>
        <w:rPr/>
        <w:t>年</w:t>
      </w:r>
      <w:r>
        <w:rPr>
          <w:spacing w:val="-57"/>
        </w:rPr>
        <w:t> </w:t>
      </w:r>
      <w:r>
        <w:rPr/>
        <w:t>12</w:t>
      </w:r>
      <w:r>
        <w:rPr>
          <w:spacing w:val="-58"/>
        </w:rPr>
        <w:t> </w:t>
      </w:r>
      <w:r>
        <w:rPr/>
        <w:t>月</w:t>
      </w:r>
      <w:r>
        <w:rPr>
          <w:spacing w:val="-54"/>
        </w:rPr>
        <w:t> </w:t>
      </w:r>
      <w:r>
        <w:rPr/>
        <w:t>31</w:t>
      </w:r>
      <w:r>
        <w:rPr>
          <w:spacing w:val="-55"/>
        </w:rPr>
        <w:t> </w:t>
      </w:r>
      <w:r>
        <w:rPr/>
        <w:t>日募集资金专户余额实际为</w:t>
      </w:r>
      <w:r>
        <w:rPr>
          <w:spacing w:val="-57"/>
        </w:rPr>
        <w:t> </w:t>
      </w:r>
      <w:r>
        <w:rPr/>
        <w:t>300,143,511.01</w:t>
      </w:r>
      <w:r>
        <w:rPr>
          <w:spacing w:val="-58"/>
        </w:rPr>
        <w:t> </w:t>
      </w:r>
      <w:r>
        <w:rPr/>
        <w:t>元，与应有余额差异为从非募</w:t>
      </w:r>
    </w:p>
    <w:p>
      <w:pPr>
        <w:pStyle w:val="BodyText"/>
        <w:spacing w:line="240" w:lineRule="auto" w:before="116"/>
        <w:ind w:left="232" w:right="484"/>
        <w:jc w:val="left"/>
      </w:pPr>
      <w:r>
        <w:rPr/>
        <w:t>集资金账户支付但尚未从募集资金专户中转出的募投项目资金</w:t>
      </w:r>
      <w:r>
        <w:rPr>
          <w:spacing w:val="-57"/>
        </w:rPr>
        <w:t> </w:t>
      </w:r>
      <w:r>
        <w:rPr/>
        <w:t>2,798,629.04</w:t>
      </w:r>
      <w:r>
        <w:rPr>
          <w:spacing w:val="-57"/>
        </w:rPr>
        <w:t> </w:t>
      </w:r>
      <w:r>
        <w:rPr/>
        <w:t>元。</w:t>
      </w:r>
    </w:p>
    <w:p>
      <w:pPr>
        <w:spacing w:line="240" w:lineRule="auto" w:before="7"/>
        <w:rPr>
          <w:rFonts w:ascii="宋体" w:hAnsi="宋体" w:cs="宋体" w:eastAsia="宋体" w:hint="default"/>
          <w:sz w:val="15"/>
          <w:szCs w:val="15"/>
        </w:rPr>
      </w:pPr>
    </w:p>
    <w:p>
      <w:pPr>
        <w:pStyle w:val="Heading4"/>
        <w:spacing w:line="360" w:lineRule="auto"/>
        <w:ind w:left="655" w:right="6451"/>
        <w:jc w:val="left"/>
        <w:rPr>
          <w:b w:val="0"/>
          <w:bCs w:val="0"/>
        </w:rPr>
      </w:pPr>
      <w:r>
        <w:rPr/>
        <w:t>（二）募集资金存放和管理情况</w:t>
      </w:r>
      <w:r>
        <w:rPr>
          <w:w w:val="99"/>
        </w:rPr>
        <w:t> </w:t>
      </w:r>
      <w:r>
        <w:rPr/>
        <w:t>1、募集资金的管理情况</w:t>
      </w:r>
      <w:r>
        <w:rPr>
          <w:b w:val="0"/>
          <w:bCs w:val="0"/>
        </w:rPr>
      </w:r>
    </w:p>
    <w:p>
      <w:pPr>
        <w:pStyle w:val="BodyText"/>
        <w:spacing w:line="340" w:lineRule="auto" w:before="106"/>
        <w:ind w:left="232" w:right="190" w:firstLine="422"/>
        <w:jc w:val="both"/>
      </w:pPr>
      <w:r>
        <w:rPr>
          <w:spacing w:val="-9"/>
          <w:w w:val="99"/>
        </w:rPr>
        <w:t>为了规范募集资金的管理和使用，保护投资者权益，依照《公司法》、《证券法》、《深圳证券交易所创</w:t>
      </w:r>
      <w:r>
        <w:rPr>
          <w:w w:val="99"/>
        </w:rPr>
        <w:t> </w:t>
      </w:r>
      <w:r>
        <w:rPr>
          <w:spacing w:val="-4"/>
          <w:w w:val="99"/>
        </w:rPr>
        <w:t>业板股票上市规则》、《深圳证券交易所创业板上市公司规范运作指引》和《关于进一步规范上市公司募集</w:t>
      </w:r>
      <w:r>
        <w:rPr>
          <w:w w:val="99"/>
        </w:rPr>
        <w:t> </w:t>
      </w:r>
      <w:r>
        <w:rPr>
          <w:w w:val="95"/>
        </w:rPr>
        <w:t>资金使用的通知》等相关规定，结合本公司实际情况，制定了《上海金仕达卫宁软件股份有限公司募集资</w:t>
      </w:r>
      <w:r>
        <w:rPr>
          <w:spacing w:val="54"/>
          <w:w w:val="95"/>
        </w:rPr>
        <w:t> </w:t>
      </w:r>
      <w:r>
        <w:rPr>
          <w:spacing w:val="54"/>
          <w:w w:val="95"/>
        </w:rPr>
      </w:r>
      <w:r>
        <w:rPr>
          <w:spacing w:val="-5"/>
          <w:w w:val="99"/>
        </w:rPr>
        <w:t>金管理制度》（以下简称《管理制度》）。根据《管理制度》的规定，本公司对募集资金实行专户存储，在</w:t>
      </w:r>
      <w:r>
        <w:rPr>
          <w:spacing w:val="-80"/>
          <w:w w:val="99"/>
        </w:rPr>
        <w:t> </w:t>
      </w:r>
      <w:r>
        <w:rPr>
          <w:spacing w:val="-80"/>
          <w:w w:val="99"/>
        </w:rPr>
      </w:r>
      <w:r>
        <w:rPr>
          <w:spacing w:val="1"/>
          <w:w w:val="99"/>
        </w:rPr>
        <w:t>银行设立募集资金使用专户，并与开户银行、保荐机构签订了《募集资金三方监管协议</w:t>
      </w:r>
      <w:r>
        <w:rPr>
          <w:spacing w:val="-59"/>
          <w:w w:val="99"/>
        </w:rPr>
        <w:t> </w:t>
      </w:r>
      <w:r>
        <w:rPr>
          <w:spacing w:val="-12"/>
          <w:w w:val="99"/>
        </w:rPr>
        <w:t>》，对募集资金的</w:t>
      </w:r>
      <w:r>
        <w:rPr>
          <w:spacing w:val="-83"/>
          <w:w w:val="99"/>
        </w:rPr>
        <w:t> </w:t>
      </w:r>
      <w:r>
        <w:rPr>
          <w:spacing w:val="-83"/>
          <w:w w:val="99"/>
        </w:rPr>
      </w:r>
      <w:r>
        <w:rPr/>
        <w:t>使用实施严格审批，以保证专款专用。</w:t>
      </w:r>
    </w:p>
    <w:p>
      <w:pPr>
        <w:spacing w:line="240" w:lineRule="auto" w:before="12"/>
        <w:rPr>
          <w:rFonts w:ascii="宋体" w:hAnsi="宋体" w:cs="宋体" w:eastAsia="宋体" w:hint="default"/>
          <w:sz w:val="13"/>
          <w:szCs w:val="13"/>
        </w:rPr>
      </w:pPr>
    </w:p>
    <w:p>
      <w:pPr>
        <w:pStyle w:val="BodyText"/>
        <w:spacing w:line="340" w:lineRule="auto"/>
        <w:ind w:left="232" w:right="190" w:firstLine="422"/>
        <w:jc w:val="both"/>
      </w:pPr>
      <w:r>
        <w:rPr/>
        <w:t>2011</w:t>
      </w:r>
      <w:r>
        <w:rPr>
          <w:spacing w:val="-79"/>
        </w:rPr>
        <w:t> </w:t>
      </w:r>
      <w:r>
        <w:rPr/>
        <w:t>年</w:t>
      </w:r>
      <w:r>
        <w:rPr>
          <w:spacing w:val="-77"/>
        </w:rPr>
        <w:t> </w:t>
      </w:r>
      <w:r>
        <w:rPr/>
        <w:t>9</w:t>
      </w:r>
      <w:r>
        <w:rPr>
          <w:spacing w:val="-79"/>
        </w:rPr>
        <w:t> </w:t>
      </w:r>
      <w:r>
        <w:rPr/>
        <w:t>月公司及招商证券股份有限公司分别与上海银行股份有限公司虹口支行、宁波银行股份有限</w:t>
      </w:r>
      <w:r>
        <w:rPr>
          <w:w w:val="99"/>
        </w:rPr>
        <w:t> </w:t>
      </w:r>
      <w:r>
        <w:rPr>
          <w:spacing w:val="-4"/>
          <w:w w:val="99"/>
        </w:rPr>
        <w:t>公司上海分行签订了《募集资金三方监管协议》。</w:t>
      </w:r>
      <w:r>
        <w:rPr>
          <w:spacing w:val="-4"/>
        </w:rPr>
      </w:r>
    </w:p>
    <w:p>
      <w:pPr>
        <w:spacing w:line="240" w:lineRule="auto" w:before="12"/>
        <w:rPr>
          <w:rFonts w:ascii="宋体" w:hAnsi="宋体" w:cs="宋体" w:eastAsia="宋体" w:hint="default"/>
          <w:sz w:val="13"/>
          <w:szCs w:val="13"/>
        </w:rPr>
      </w:pPr>
    </w:p>
    <w:p>
      <w:pPr>
        <w:pStyle w:val="BodyText"/>
        <w:spacing w:line="340" w:lineRule="auto"/>
        <w:ind w:left="232" w:right="192" w:firstLine="422"/>
        <w:jc w:val="both"/>
      </w:pPr>
      <w:r>
        <w:rPr>
          <w:w w:val="95"/>
        </w:rPr>
        <w:t>三方监管协议与深圳证券交易所三方监管协议范本不存在重大差异，三方监管协议的履行不存在任何</w:t>
      </w:r>
      <w:r>
        <w:rPr>
          <w:spacing w:val="-93"/>
          <w:w w:val="95"/>
        </w:rPr>
        <w:t> </w:t>
      </w:r>
      <w:r>
        <w:rPr>
          <w:spacing w:val="-93"/>
          <w:w w:val="95"/>
        </w:rPr>
      </w:r>
      <w:r>
        <w:rPr/>
        <w:t>问题。</w:t>
      </w:r>
    </w:p>
    <w:p>
      <w:pPr>
        <w:spacing w:line="240" w:lineRule="auto" w:before="4"/>
        <w:rPr>
          <w:rFonts w:ascii="宋体" w:hAnsi="宋体" w:cs="宋体" w:eastAsia="宋体" w:hint="default"/>
          <w:sz w:val="11"/>
          <w:szCs w:val="11"/>
        </w:rPr>
      </w:pPr>
    </w:p>
    <w:p>
      <w:pPr>
        <w:pStyle w:val="BodyText"/>
        <w:spacing w:line="240" w:lineRule="auto" w:before="34"/>
        <w:ind w:left="655" w:right="0"/>
        <w:jc w:val="left"/>
      </w:pPr>
      <w:r>
        <w:rPr/>
        <w:t>截至</w:t>
      </w:r>
      <w:r>
        <w:rPr>
          <w:spacing w:val="-47"/>
        </w:rPr>
        <w:t> </w:t>
      </w:r>
      <w:r>
        <w:rPr/>
        <w:t>2011</w:t>
      </w:r>
      <w:r>
        <w:rPr>
          <w:spacing w:val="-48"/>
        </w:rPr>
        <w:t> </w:t>
      </w:r>
      <w:r>
        <w:rPr/>
        <w:t>年</w:t>
      </w:r>
      <w:r>
        <w:rPr>
          <w:spacing w:val="-47"/>
        </w:rPr>
        <w:t> </w:t>
      </w:r>
      <w:r>
        <w:rPr/>
        <w:t>12</w:t>
      </w:r>
      <w:r>
        <w:rPr>
          <w:spacing w:val="-48"/>
        </w:rPr>
        <w:t> </w:t>
      </w:r>
      <w:r>
        <w:rPr/>
        <w:t>月</w:t>
      </w:r>
      <w:r>
        <w:rPr>
          <w:spacing w:val="-45"/>
        </w:rPr>
        <w:t> </w:t>
      </w:r>
      <w:r>
        <w:rPr/>
        <w:t>31</w:t>
      </w:r>
      <w:r>
        <w:rPr>
          <w:spacing w:val="-48"/>
        </w:rPr>
        <w:t> </w:t>
      </w:r>
      <w:r>
        <w:rPr/>
        <w:t>日，公司均严格按照该《募集资金三方监管协议》的规定，存放和使用募集资</w:t>
      </w:r>
    </w:p>
    <w:p>
      <w:pPr>
        <w:pStyle w:val="BodyText"/>
        <w:spacing w:line="240" w:lineRule="auto" w:before="116"/>
        <w:ind w:left="232" w:right="484"/>
        <w:jc w:val="left"/>
      </w:pPr>
      <w:r>
        <w:rPr/>
        <w:t>金。</w:t>
      </w:r>
    </w:p>
    <w:p>
      <w:pPr>
        <w:spacing w:after="0" w:line="240" w:lineRule="auto"/>
        <w:jc w:val="left"/>
        <w:sectPr>
          <w:footerReference w:type="default" r:id="rId19"/>
          <w:pgSz w:w="11910" w:h="16840"/>
          <w:pgMar w:footer="976" w:header="849" w:top="1460" w:bottom="1160" w:left="900" w:right="940"/>
          <w:pgNumType w:start="31"/>
        </w:sectPr>
      </w:pPr>
    </w:p>
    <w:p>
      <w:pPr>
        <w:spacing w:line="240" w:lineRule="auto" w:before="0"/>
        <w:rPr>
          <w:rFonts w:ascii="宋体" w:hAnsi="宋体" w:cs="宋体" w:eastAsia="宋体" w:hint="default"/>
          <w:sz w:val="2"/>
          <w:szCs w:val="2"/>
        </w:rPr>
      </w:pPr>
    </w:p>
    <w:p>
      <w:pPr>
        <w:spacing w:line="326" w:lineRule="exact"/>
        <w:ind w:left="12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line="327" w:lineRule="exact" w:before="0"/>
                        <w:ind w:left="42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2、募集资金专户存储情况</w:t>
                      </w:r>
                      <w:r>
                        <w:rPr>
                          <w:rFonts w:ascii="Microsoft JhengHei" w:hAnsi="Microsoft JhengHei" w:cs="Microsoft JhengHei" w:eastAsia="Microsoft JhengHei"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240" w:lineRule="auto" w:before="34"/>
        <w:ind w:left="555" w:right="103"/>
        <w:jc w:val="left"/>
      </w:pPr>
      <w:r>
        <w:rPr>
          <w:spacing w:val="2"/>
          <w:w w:val="99"/>
        </w:rPr>
        <w:t>截</w:t>
      </w:r>
      <w:r>
        <w:rPr>
          <w:w w:val="99"/>
        </w:rPr>
        <w:t>至</w:t>
      </w:r>
      <w:r>
        <w:rPr>
          <w:spacing w:val="-55"/>
        </w:rPr>
        <w:t> </w:t>
      </w:r>
      <w:r>
        <w:rPr>
          <w:spacing w:val="1"/>
          <w:w w:val="99"/>
        </w:rPr>
        <w:t>201</w:t>
      </w:r>
      <w:r>
        <w:rPr>
          <w:w w:val="99"/>
        </w:rPr>
        <w:t>1</w:t>
      </w:r>
      <w:r>
        <w:rPr>
          <w:spacing w:val="-54"/>
        </w:rPr>
        <w:t> </w:t>
      </w:r>
      <w:r>
        <w:rPr>
          <w:w w:val="99"/>
        </w:rPr>
        <w:t>年</w:t>
      </w:r>
      <w:r>
        <w:rPr>
          <w:spacing w:val="-53"/>
        </w:rPr>
        <w:t> </w:t>
      </w:r>
      <w:r>
        <w:rPr>
          <w:spacing w:val="1"/>
          <w:w w:val="99"/>
        </w:rPr>
        <w:t>1</w:t>
      </w:r>
      <w:r>
        <w:rPr>
          <w:w w:val="99"/>
        </w:rPr>
        <w:t>2</w:t>
      </w:r>
      <w:r>
        <w:rPr>
          <w:spacing w:val="-51"/>
        </w:rPr>
        <w:t> </w:t>
      </w:r>
      <w:r>
        <w:rPr>
          <w:w w:val="99"/>
        </w:rPr>
        <w:t>月</w:t>
      </w:r>
      <w:r>
        <w:rPr>
          <w:spacing w:val="-53"/>
        </w:rPr>
        <w:t> </w:t>
      </w:r>
      <w:r>
        <w:rPr>
          <w:spacing w:val="1"/>
          <w:w w:val="99"/>
        </w:rPr>
        <w:t>3</w:t>
      </w:r>
      <w:r>
        <w:rPr>
          <w:w w:val="99"/>
        </w:rPr>
        <w:t>1</w:t>
      </w:r>
      <w:r>
        <w:rPr>
          <w:spacing w:val="-51"/>
        </w:rPr>
        <w:t> </w:t>
      </w:r>
      <w:r>
        <w:rPr>
          <w:spacing w:val="2"/>
          <w:w w:val="99"/>
        </w:rPr>
        <w:t>日</w:t>
      </w:r>
      <w:r>
        <w:rPr>
          <w:w w:val="99"/>
        </w:rPr>
        <w:t>，</w:t>
      </w:r>
      <w:r>
        <w:rPr>
          <w:spacing w:val="2"/>
          <w:w w:val="99"/>
        </w:rPr>
        <w:t>募</w:t>
      </w:r>
      <w:r>
        <w:rPr>
          <w:w w:val="99"/>
        </w:rPr>
        <w:t>集</w:t>
      </w:r>
      <w:r>
        <w:rPr>
          <w:spacing w:val="2"/>
          <w:w w:val="99"/>
        </w:rPr>
        <w:t>资</w:t>
      </w:r>
      <w:r>
        <w:rPr>
          <w:w w:val="99"/>
        </w:rPr>
        <w:t>金</w:t>
      </w:r>
      <w:r>
        <w:rPr>
          <w:spacing w:val="2"/>
          <w:w w:val="99"/>
        </w:rPr>
        <w:t>具</w:t>
      </w:r>
      <w:r>
        <w:rPr>
          <w:w w:val="99"/>
        </w:rPr>
        <w:t>体</w:t>
      </w:r>
      <w:r>
        <w:rPr>
          <w:spacing w:val="2"/>
          <w:w w:val="99"/>
        </w:rPr>
        <w:t>存</w:t>
      </w:r>
      <w:r>
        <w:rPr>
          <w:w w:val="99"/>
        </w:rPr>
        <w:t>放</w:t>
      </w:r>
      <w:r>
        <w:rPr>
          <w:spacing w:val="2"/>
          <w:w w:val="99"/>
        </w:rPr>
        <w:t>情</w:t>
      </w:r>
      <w:r>
        <w:rPr>
          <w:w w:val="99"/>
        </w:rPr>
        <w:t>况</w:t>
      </w:r>
      <w:r>
        <w:rPr>
          <w:spacing w:val="2"/>
          <w:w w:val="99"/>
        </w:rPr>
        <w:t>如</w:t>
      </w:r>
      <w:r>
        <w:rPr>
          <w:w w:val="99"/>
        </w:rPr>
        <w:t>下</w:t>
      </w:r>
      <w:r>
        <w:rPr>
          <w:spacing w:val="2"/>
          <w:w w:val="99"/>
        </w:rPr>
        <w:t>（</w:t>
      </w:r>
      <w:r>
        <w:rPr>
          <w:w w:val="99"/>
        </w:rPr>
        <w:t>单</w:t>
      </w:r>
      <w:r>
        <w:rPr>
          <w:spacing w:val="2"/>
          <w:w w:val="99"/>
        </w:rPr>
        <w:t>位</w:t>
      </w:r>
      <w:r>
        <w:rPr>
          <w:w w:val="99"/>
        </w:rPr>
        <w:t>：元</w:t>
      </w:r>
      <w:r>
        <w:rPr>
          <w:spacing w:val="-104"/>
          <w:w w:val="99"/>
        </w:rPr>
        <w:t>）</w:t>
      </w:r>
      <w:r>
        <w:rPr>
          <w:w w:val="99"/>
        </w:rPr>
        <w:t>：</w:t>
      </w:r>
      <w:r>
        <w:rPr/>
      </w:r>
    </w:p>
    <w:p>
      <w:pPr>
        <w:spacing w:line="240" w:lineRule="auto" w:before="0"/>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2755"/>
        <w:gridCol w:w="2294"/>
        <w:gridCol w:w="1620"/>
        <w:gridCol w:w="1440"/>
        <w:gridCol w:w="1620"/>
      </w:tblGrid>
      <w:tr>
        <w:trPr>
          <w:trHeight w:val="398" w:hRule="exact"/>
        </w:trPr>
        <w:tc>
          <w:tcPr>
            <w:tcW w:w="275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29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16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存放方式</w:t>
            </w:r>
          </w:p>
        </w:tc>
        <w:tc>
          <w:tcPr>
            <w:tcW w:w="16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7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上海银行股份有限公司虹口支行</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316735－03001647805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35,729.22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活期</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23000796263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23000796287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23000796247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316735－03001669477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1,123,471.35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活期</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23000796344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23000796417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23000796336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316735－03001669485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1,252,787.04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活期</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23000796441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23000796433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316735－03001669507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1,531,577.54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活期</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55"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23000796387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宁波银行股份有限公司上海分行</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70010122001447533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5,699.60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活期</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70010122001460902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70010122001461893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70010122001460846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70010122001461266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70010122001461113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70010122001461057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70010122001461740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10,651,746.26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70010122001461475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40,310,000.00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70010122001461684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10,077,500.00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98" w:hRule="exact"/>
        </w:trPr>
        <w:tc>
          <w:tcPr>
            <w:tcW w:w="2755" w:type="dxa"/>
            <w:vMerge/>
            <w:tcBorders>
              <w:left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70010122001461531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10,077,500.00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vMerge/>
            <w:tcBorders>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70010122001461322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10,077,500.00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1" w:hRule="exact"/>
        </w:trPr>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300,143,511.01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1"/>
          <w:szCs w:val="11"/>
        </w:rPr>
      </w:pPr>
    </w:p>
    <w:p>
      <w:pPr>
        <w:pStyle w:val="BodyText"/>
        <w:spacing w:line="240" w:lineRule="auto" w:before="34"/>
        <w:ind w:left="555" w:right="103"/>
        <w:jc w:val="left"/>
      </w:pPr>
      <w:r>
        <w:rPr/>
        <w:t>注：其中宁波银行股份有限公司上海分行存放资金为超额募集资金。</w:t>
      </w:r>
    </w:p>
    <w:p>
      <w:pPr>
        <w:spacing w:line="240" w:lineRule="auto" w:before="9"/>
        <w:rPr>
          <w:rFonts w:ascii="宋体" w:hAnsi="宋体" w:cs="宋体" w:eastAsia="宋体" w:hint="default"/>
          <w:sz w:val="15"/>
          <w:szCs w:val="15"/>
        </w:rPr>
      </w:pPr>
    </w:p>
    <w:p>
      <w:pPr>
        <w:pStyle w:val="Heading4"/>
        <w:spacing w:line="357" w:lineRule="auto"/>
        <w:ind w:left="555" w:right="5821"/>
        <w:jc w:val="left"/>
        <w:rPr>
          <w:b w:val="0"/>
          <w:bCs w:val="0"/>
        </w:rPr>
      </w:pPr>
      <w:r>
        <w:rPr/>
        <w:t>（三）本年度募集资金的实际使用情况</w:t>
      </w:r>
      <w:r>
        <w:rPr>
          <w:w w:val="99"/>
        </w:rPr>
        <w:t> </w:t>
      </w:r>
      <w:r>
        <w:rPr/>
        <w:t>1、募集资金使用情况对照表</w:t>
      </w:r>
      <w:r>
        <w:rPr>
          <w:b w:val="0"/>
          <w:bCs w:val="0"/>
        </w:rPr>
      </w:r>
    </w:p>
    <w:p>
      <w:pPr>
        <w:spacing w:after="0" w:line="357" w:lineRule="auto"/>
        <w:jc w:val="left"/>
        <w:sectPr>
          <w:pgSz w:w="11910" w:h="16840"/>
          <w:pgMar w:header="849" w:footer="976" w:top="1460" w:bottom="1160" w:left="1000" w:right="940"/>
        </w:sectPr>
      </w:pPr>
    </w:p>
    <w:p>
      <w:pPr>
        <w:spacing w:line="240" w:lineRule="auto" w:before="2"/>
        <w:rPr>
          <w:rFonts w:ascii="Times New Roman" w:hAnsi="Times New Roman" w:cs="Times New Roman" w:eastAsia="Times New Roman" w:hint="default"/>
          <w:sz w:val="2"/>
          <w:szCs w:val="2"/>
        </w:rPr>
      </w:pPr>
    </w:p>
    <w:p>
      <w:pPr>
        <w:spacing w:line="326" w:lineRule="exact"/>
        <w:ind w:left="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0" w:right="5"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6"/>
        <w:rPr>
          <w:rFonts w:ascii="Times New Roman" w:hAnsi="Times New Roman" w:cs="Times New Roman" w:eastAsia="Times New Roman"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1822"/>
        <w:gridCol w:w="557"/>
        <w:gridCol w:w="638"/>
        <w:gridCol w:w="962"/>
        <w:gridCol w:w="961"/>
        <w:gridCol w:w="131"/>
        <w:gridCol w:w="493"/>
        <w:gridCol w:w="858"/>
        <w:gridCol w:w="1118"/>
        <w:gridCol w:w="206"/>
        <w:gridCol w:w="574"/>
        <w:gridCol w:w="650"/>
        <w:gridCol w:w="857"/>
      </w:tblGrid>
      <w:tr>
        <w:trPr>
          <w:trHeight w:val="322"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96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2" w:right="0"/>
              <w:jc w:val="left"/>
              <w:rPr>
                <w:rFonts w:ascii="宋体" w:hAnsi="宋体" w:cs="宋体" w:eastAsia="宋体" w:hint="default"/>
                <w:sz w:val="18"/>
                <w:szCs w:val="18"/>
              </w:rPr>
            </w:pPr>
            <w:r>
              <w:rPr>
                <w:rFonts w:ascii="宋体"/>
                <w:sz w:val="18"/>
              </w:rPr>
              <w:t>33,897.98</w:t>
            </w:r>
          </w:p>
        </w:tc>
        <w:tc>
          <w:tcPr>
            <w:tcW w:w="2676"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329" w:right="0"/>
              <w:jc w:val="left"/>
              <w:rPr>
                <w:rFonts w:ascii="宋体" w:hAnsi="宋体" w:cs="宋体" w:eastAsia="宋体" w:hint="default"/>
                <w:sz w:val="18"/>
                <w:szCs w:val="18"/>
              </w:rPr>
            </w:pPr>
            <w:r>
              <w:rPr>
                <w:rFonts w:ascii="宋体"/>
                <w:sz w:val="18"/>
              </w:rPr>
              <w:t>4,272.58</w:t>
            </w:r>
          </w:p>
        </w:tc>
      </w:tr>
      <w:tr>
        <w:trPr>
          <w:trHeight w:val="322"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2676" w:type="dxa"/>
            <w:gridSpan w:val="4"/>
            <w:vMerge/>
            <w:tcBorders>
              <w:left w:val="single" w:sz="4" w:space="0" w:color="000000"/>
              <w:bottom w:val="single" w:sz="4" w:space="0" w:color="000000"/>
              <w:right w:val="single" w:sz="4" w:space="0" w:color="000000"/>
            </w:tcBorders>
            <w:shd w:val="clear" w:color="auto" w:fill="DBDBDB"/>
          </w:tcPr>
          <w:p>
            <w:pPr/>
          </w:p>
        </w:tc>
        <w:tc>
          <w:tcPr>
            <w:tcW w:w="2081" w:type="dxa"/>
            <w:gridSpan w:val="3"/>
            <w:vMerge/>
            <w:tcBorders>
              <w:left w:val="single" w:sz="4" w:space="0" w:color="000000"/>
              <w:bottom w:val="single" w:sz="4" w:space="0" w:color="000000"/>
              <w:right w:val="single" w:sz="4" w:space="0" w:color="000000"/>
            </w:tcBorders>
          </w:tcPr>
          <w:p>
            <w:pPr/>
          </w:p>
        </w:tc>
      </w:tr>
      <w:tr>
        <w:trPr>
          <w:trHeight w:val="324"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33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0.00</w:t>
            </w:r>
          </w:p>
        </w:tc>
        <w:tc>
          <w:tcPr>
            <w:tcW w:w="2676"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329" w:right="0"/>
              <w:jc w:val="left"/>
              <w:rPr>
                <w:rFonts w:ascii="宋体" w:hAnsi="宋体" w:cs="宋体" w:eastAsia="宋体" w:hint="default"/>
                <w:sz w:val="18"/>
                <w:szCs w:val="18"/>
              </w:rPr>
            </w:pPr>
            <w:r>
              <w:rPr>
                <w:rFonts w:ascii="宋体"/>
                <w:sz w:val="18"/>
              </w:rPr>
              <w:t>4,272.58</w:t>
            </w:r>
          </w:p>
        </w:tc>
      </w:tr>
      <w:tr>
        <w:trPr>
          <w:trHeight w:val="322"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c>
          <w:tcPr>
            <w:tcW w:w="2676" w:type="dxa"/>
            <w:gridSpan w:val="4"/>
            <w:vMerge/>
            <w:tcBorders>
              <w:left w:val="single" w:sz="4" w:space="0" w:color="000000"/>
              <w:bottom w:val="single" w:sz="4" w:space="0" w:color="000000"/>
              <w:right w:val="single" w:sz="4" w:space="0" w:color="000000"/>
            </w:tcBorders>
            <w:shd w:val="clear" w:color="auto" w:fill="DBDBDB"/>
          </w:tcPr>
          <w:p>
            <w:pPr/>
          </w:p>
        </w:tc>
        <w:tc>
          <w:tcPr>
            <w:tcW w:w="2081" w:type="dxa"/>
            <w:gridSpan w:val="3"/>
            <w:vMerge/>
            <w:tcBorders>
              <w:left w:val="single" w:sz="4" w:space="0" w:color="000000"/>
              <w:bottom w:val="single" w:sz="4" w:space="0" w:color="000000"/>
              <w:right w:val="single" w:sz="4" w:space="0" w:color="000000"/>
            </w:tcBorders>
          </w:tcPr>
          <w:p>
            <w:pPr/>
          </w:p>
        </w:tc>
      </w:tr>
      <w:tr>
        <w:trPr>
          <w:trHeight w:val="1882"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547" w:right="9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48" w:right="47" w:firstLine="45"/>
              <w:jc w:val="both"/>
              <w:rPr>
                <w:rFonts w:ascii="宋体" w:hAnsi="宋体" w:cs="宋体" w:eastAsia="宋体" w:hint="default"/>
                <w:sz w:val="18"/>
                <w:szCs w:val="18"/>
              </w:rPr>
            </w:pPr>
            <w:r>
              <w:rPr>
                <w:rFonts w:ascii="宋体" w:hAnsi="宋体" w:cs="宋体" w:eastAsia="宋体" w:hint="default"/>
                <w:sz w:val="18"/>
                <w:szCs w:val="18"/>
              </w:rPr>
              <w:t>是否 已变 更项 目(含 部分 变更)</w:t>
            </w:r>
          </w:p>
        </w:tc>
        <w:tc>
          <w:tcPr>
            <w:tcW w:w="6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45" w:right="41"/>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60" w:right="24" w:hanging="135"/>
              <w:jc w:val="left"/>
              <w:rPr>
                <w:rFonts w:ascii="宋体" w:hAnsi="宋体" w:cs="宋体" w:eastAsia="宋体" w:hint="default"/>
                <w:sz w:val="18"/>
                <w:szCs w:val="18"/>
              </w:rPr>
            </w:pPr>
            <w:r>
              <w:rPr>
                <w:rFonts w:ascii="宋体" w:hAnsi="宋体" w:cs="宋体" w:eastAsia="宋体" w:hint="default"/>
                <w:sz w:val="18"/>
                <w:szCs w:val="18"/>
              </w:rPr>
              <w:t>调整后投资 总额(1)</w:t>
            </w:r>
          </w:p>
        </w:tc>
        <w:tc>
          <w:tcPr>
            <w:tcW w:w="9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95" w:right="22" w:hanging="269"/>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37" w:right="34"/>
              <w:jc w:val="both"/>
              <w:rPr>
                <w:rFonts w:ascii="宋体" w:hAnsi="宋体" w:cs="宋体" w:eastAsia="宋体" w:hint="default"/>
                <w:sz w:val="18"/>
                <w:szCs w:val="18"/>
              </w:rPr>
            </w:pPr>
            <w:r>
              <w:rPr>
                <w:rFonts w:ascii="宋体" w:hAnsi="宋体" w:cs="宋体" w:eastAsia="宋体" w:hint="default"/>
                <w:sz w:val="18"/>
                <w:szCs w:val="18"/>
              </w:rPr>
              <w:t>截至期 末累计 投入金 额(2)</w:t>
            </w:r>
          </w:p>
        </w:tc>
        <w:tc>
          <w:tcPr>
            <w:tcW w:w="85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66" w:right="60"/>
              <w:jc w:val="both"/>
              <w:rPr>
                <w:rFonts w:ascii="宋体" w:hAnsi="宋体" w:cs="宋体" w:eastAsia="宋体" w:hint="default"/>
                <w:sz w:val="18"/>
                <w:szCs w:val="18"/>
              </w:rPr>
            </w:pPr>
            <w:r>
              <w:rPr>
                <w:rFonts w:ascii="宋体" w:hAnsi="宋体" w:cs="宋体" w:eastAsia="宋体" w:hint="default"/>
                <w:sz w:val="18"/>
                <w:szCs w:val="18"/>
              </w:rPr>
              <w:t>截至期末 投资进度 (%)(3)＝</w:t>
            </w:r>
          </w:p>
          <w:p>
            <w:pPr>
              <w:pStyle w:val="TableParagraph"/>
              <w:spacing w:line="240" w:lineRule="auto" w:before="19"/>
              <w:ind w:left="109" w:right="0"/>
              <w:jc w:val="both"/>
              <w:rPr>
                <w:rFonts w:ascii="宋体" w:hAnsi="宋体" w:cs="宋体" w:eastAsia="宋体" w:hint="default"/>
                <w:sz w:val="18"/>
                <w:szCs w:val="18"/>
              </w:rPr>
            </w:pPr>
            <w:r>
              <w:rPr>
                <w:rFonts w:ascii="宋体"/>
                <w:sz w:val="18"/>
              </w:rPr>
              <w:t>(2)/(1)</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5" w:right="10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50" w:right="4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64" w:right="6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6" w:type="dxa"/>
            <w:gridSpan w:val="1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7"/>
              <w:jc w:val="left"/>
              <w:rPr>
                <w:rFonts w:ascii="宋体" w:hAnsi="宋体" w:cs="宋体" w:eastAsia="宋体" w:hint="default"/>
                <w:sz w:val="18"/>
                <w:szCs w:val="18"/>
              </w:rPr>
            </w:pPr>
            <w:r>
              <w:rPr>
                <w:rFonts w:ascii="宋体" w:hAnsi="宋体" w:cs="宋体" w:eastAsia="宋体" w:hint="default"/>
                <w:sz w:val="18"/>
                <w:szCs w:val="18"/>
              </w:rPr>
              <w:t>医院信息管理系统技 术改造项目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5,044.</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5,044.00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2,192.71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2,192.</w:t>
            </w:r>
          </w:p>
          <w:p>
            <w:pPr>
              <w:pStyle w:val="TableParagraph"/>
              <w:spacing w:line="240" w:lineRule="auto" w:before="76"/>
              <w:ind w:right="19"/>
              <w:jc w:val="right"/>
              <w:rPr>
                <w:rFonts w:ascii="宋体" w:hAnsi="宋体" w:cs="宋体" w:eastAsia="宋体" w:hint="default"/>
                <w:sz w:val="18"/>
                <w:szCs w:val="18"/>
              </w:rPr>
            </w:pPr>
            <w:r>
              <w:rPr>
                <w:rFonts w:ascii="宋体"/>
                <w:sz w:val="18"/>
              </w:rPr>
              <w:t>71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43.47%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7"/>
              <w:jc w:val="left"/>
              <w:rPr>
                <w:rFonts w:ascii="宋体" w:hAnsi="宋体" w:cs="宋体" w:eastAsia="宋体" w:hint="default"/>
                <w:sz w:val="18"/>
                <w:szCs w:val="18"/>
              </w:rPr>
            </w:pPr>
            <w:r>
              <w:rPr>
                <w:rFonts w:ascii="宋体" w:hAnsi="宋体" w:cs="宋体" w:eastAsia="宋体" w:hint="default"/>
                <w:sz w:val="18"/>
                <w:szCs w:val="18"/>
              </w:rPr>
              <w:t>医技信息管理系统技 术改造项目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3,350.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3,350.00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476.57</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 w:right="0"/>
              <w:jc w:val="left"/>
              <w:rPr>
                <w:rFonts w:ascii="宋体" w:hAnsi="宋体" w:cs="宋体" w:eastAsia="宋体" w:hint="default"/>
                <w:sz w:val="18"/>
                <w:szCs w:val="18"/>
              </w:rPr>
            </w:pPr>
            <w:r>
              <w:rPr>
                <w:rFonts w:ascii="宋体"/>
                <w:sz w:val="18"/>
              </w:rPr>
              <w:t>476.57</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14.23%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167"/>
              <w:jc w:val="left"/>
              <w:rPr>
                <w:rFonts w:ascii="宋体" w:hAnsi="宋体" w:cs="宋体" w:eastAsia="宋体" w:hint="default"/>
                <w:sz w:val="18"/>
                <w:szCs w:val="18"/>
              </w:rPr>
            </w:pPr>
            <w:r>
              <w:rPr>
                <w:rFonts w:ascii="宋体" w:hAnsi="宋体" w:cs="宋体" w:eastAsia="宋体" w:hint="default"/>
                <w:sz w:val="18"/>
                <w:szCs w:val="18"/>
              </w:rPr>
              <w:t>公共卫生信息系统技 术改造项目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3,649.</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3,649.00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863.26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2" w:right="0"/>
              <w:jc w:val="left"/>
              <w:rPr>
                <w:rFonts w:ascii="宋体" w:hAnsi="宋体" w:cs="宋体" w:eastAsia="宋体" w:hint="default"/>
                <w:sz w:val="18"/>
                <w:szCs w:val="18"/>
              </w:rPr>
            </w:pPr>
            <w:r>
              <w:rPr>
                <w:rFonts w:ascii="宋体"/>
                <w:sz w:val="18"/>
              </w:rPr>
              <w:t>863.26</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23.66%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7"/>
              <w:jc w:val="left"/>
              <w:rPr>
                <w:rFonts w:ascii="宋体" w:hAnsi="宋体" w:cs="宋体" w:eastAsia="宋体" w:hint="default"/>
                <w:sz w:val="18"/>
                <w:szCs w:val="18"/>
              </w:rPr>
            </w:pPr>
            <w:r>
              <w:rPr>
                <w:rFonts w:ascii="宋体" w:hAnsi="宋体" w:cs="宋体" w:eastAsia="宋体" w:hint="default"/>
                <w:sz w:val="18"/>
                <w:szCs w:val="18"/>
              </w:rPr>
              <w:t>营销服务体系建设项 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1,798.</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1,798.00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740.04</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 w:right="0"/>
              <w:jc w:val="left"/>
              <w:rPr>
                <w:rFonts w:ascii="宋体" w:hAnsi="宋体" w:cs="宋体" w:eastAsia="宋体" w:hint="default"/>
                <w:sz w:val="18"/>
                <w:szCs w:val="18"/>
              </w:rPr>
            </w:pPr>
            <w:r>
              <w:rPr>
                <w:rFonts w:ascii="宋体"/>
                <w:sz w:val="18"/>
              </w:rPr>
              <w:t>740.04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41.16%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 w:right="0"/>
              <w:jc w:val="left"/>
              <w:rPr>
                <w:rFonts w:ascii="宋体" w:hAnsi="宋体" w:cs="宋体" w:eastAsia="宋体" w:hint="default"/>
                <w:sz w:val="18"/>
                <w:szCs w:val="18"/>
              </w:rPr>
            </w:pPr>
            <w:r>
              <w:rPr>
                <w:rFonts w:ascii="宋体"/>
                <w:sz w:val="18"/>
              </w:rPr>
              <w:t>13,841</w:t>
            </w:r>
          </w:p>
          <w:p>
            <w:pPr>
              <w:pStyle w:val="TableParagraph"/>
              <w:spacing w:line="240" w:lineRule="auto" w:before="76"/>
              <w:ind w:left="336" w:right="0"/>
              <w:jc w:val="lef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13,841.00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4,272.58</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4,272.</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9"/>
              <w:jc w:val="right"/>
              <w:rPr>
                <w:rFonts w:ascii="宋体" w:hAnsi="宋体" w:cs="宋体" w:eastAsia="宋体" w:hint="default"/>
                <w:sz w:val="18"/>
                <w:szCs w:val="18"/>
              </w:rPr>
            </w:pPr>
            <w:r>
              <w:rPr>
                <w:rFonts w:ascii="宋体"/>
                <w:sz w:val="18"/>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77"/>
              <w:jc w:val="right"/>
              <w:rPr>
                <w:rFonts w:ascii="宋体" w:hAnsi="宋体" w:cs="宋体" w:eastAsia="宋体" w:hint="default"/>
                <w:sz w:val="18"/>
                <w:szCs w:val="18"/>
              </w:rPr>
            </w:pPr>
            <w:r>
              <w:rPr>
                <w:rFonts w:ascii="宋体"/>
                <w:sz w:val="18"/>
              </w:rPr>
              <w:t>-</w:t>
            </w: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6" w:type="dxa"/>
            <w:gridSpan w:val="12"/>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13"/>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7"/>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9"/>
              <w:jc w:val="right"/>
              <w:rPr>
                <w:rFonts w:ascii="宋体" w:hAnsi="宋体" w:cs="宋体" w:eastAsia="宋体" w:hint="default"/>
                <w:sz w:val="18"/>
                <w:szCs w:val="18"/>
              </w:rPr>
            </w:pPr>
            <w:r>
              <w:rPr>
                <w:rFonts w:ascii="宋体"/>
                <w:sz w:val="18"/>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w:t>
            </w: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13"/>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7"/>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9"/>
              <w:jc w:val="right"/>
              <w:rPr>
                <w:rFonts w:ascii="宋体" w:hAnsi="宋体" w:cs="宋体" w:eastAsia="宋体" w:hint="default"/>
                <w:sz w:val="18"/>
                <w:szCs w:val="18"/>
              </w:rPr>
            </w:pPr>
            <w:r>
              <w:rPr>
                <w:rFonts w:ascii="宋体"/>
                <w:sz w:val="18"/>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w:t>
            </w:r>
          </w:p>
        </w:tc>
      </w:tr>
      <w:tr>
        <w:trPr>
          <w:trHeight w:val="324"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87"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7"/>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4" w:right="0"/>
              <w:jc w:val="left"/>
              <w:rPr>
                <w:rFonts w:ascii="宋体" w:hAnsi="宋体" w:cs="宋体" w:eastAsia="宋体" w:hint="default"/>
                <w:sz w:val="18"/>
                <w:szCs w:val="18"/>
              </w:rPr>
            </w:pPr>
            <w:r>
              <w:rPr>
                <w:rFonts w:ascii="宋体"/>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宋体" w:hAnsi="宋体" w:cs="宋体" w:eastAsia="宋体" w:hint="default"/>
                <w:sz w:val="18"/>
                <w:szCs w:val="18"/>
              </w:rPr>
            </w:pPr>
            <w:r>
              <w:rPr>
                <w:rFonts w:ascii="宋体"/>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2" w:right="0"/>
              <w:jc w:val="left"/>
              <w:rPr>
                <w:rFonts w:ascii="宋体" w:hAnsi="宋体" w:cs="宋体" w:eastAsia="宋体" w:hint="default"/>
                <w:sz w:val="18"/>
                <w:szCs w:val="18"/>
              </w:rPr>
            </w:pPr>
            <w:r>
              <w:rPr>
                <w:rFonts w:ascii="宋体"/>
                <w:sz w:val="18"/>
              </w:rPr>
              <w:t>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09"/>
              <w:jc w:val="right"/>
              <w:rPr>
                <w:rFonts w:ascii="宋体" w:hAnsi="宋体" w:cs="宋体" w:eastAsia="宋体" w:hint="default"/>
                <w:sz w:val="18"/>
                <w:szCs w:val="18"/>
              </w:rPr>
            </w:pPr>
            <w:r>
              <w:rPr>
                <w:rFonts w:ascii="宋体"/>
                <w:sz w:val="18"/>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6"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77"/>
              <w:jc w:val="right"/>
              <w:rPr>
                <w:rFonts w:ascii="宋体" w:hAnsi="宋体" w:cs="宋体" w:eastAsia="宋体" w:hint="default"/>
                <w:sz w:val="18"/>
                <w:szCs w:val="18"/>
              </w:rPr>
            </w:pPr>
            <w:r>
              <w:rPr>
                <w:rFonts w:ascii="宋体"/>
                <w:sz w:val="18"/>
              </w:rPr>
              <w:t>-</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 w:right="0"/>
              <w:jc w:val="left"/>
              <w:rPr>
                <w:rFonts w:ascii="宋体" w:hAnsi="宋体" w:cs="宋体" w:eastAsia="宋体" w:hint="default"/>
                <w:sz w:val="18"/>
                <w:szCs w:val="18"/>
              </w:rPr>
            </w:pPr>
            <w:r>
              <w:rPr>
                <w:rFonts w:ascii="宋体"/>
                <w:sz w:val="18"/>
              </w:rPr>
              <w:t>13,841</w:t>
            </w:r>
          </w:p>
          <w:p>
            <w:pPr>
              <w:pStyle w:val="TableParagraph"/>
              <w:spacing w:line="240" w:lineRule="auto" w:before="76"/>
              <w:ind w:left="336" w:right="0"/>
              <w:jc w:val="left"/>
              <w:rPr>
                <w:rFonts w:ascii="宋体" w:hAnsi="宋体" w:cs="宋体" w:eastAsia="宋体" w:hint="default"/>
                <w:sz w:val="18"/>
                <w:szCs w:val="18"/>
              </w:rPr>
            </w:pPr>
            <w:r>
              <w:rPr>
                <w:rFonts w:ascii="宋体"/>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13,841.00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4,272.58</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4,272.</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9"/>
              <w:jc w:val="right"/>
              <w:rPr>
                <w:rFonts w:ascii="宋体" w:hAnsi="宋体" w:cs="宋体" w:eastAsia="宋体" w:hint="default"/>
                <w:sz w:val="18"/>
                <w:szCs w:val="18"/>
              </w:rPr>
            </w:pPr>
            <w:r>
              <w:rPr>
                <w:rFonts w:ascii="宋体"/>
                <w:sz w:val="18"/>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77"/>
              <w:jc w:val="right"/>
              <w:rPr>
                <w:rFonts w:ascii="宋体" w:hAnsi="宋体" w:cs="宋体" w:eastAsia="宋体" w:hint="default"/>
                <w:sz w:val="18"/>
                <w:szCs w:val="18"/>
              </w:rPr>
            </w:pPr>
            <w:r>
              <w:rPr>
                <w:rFonts w:ascii="宋体"/>
                <w:sz w:val="18"/>
              </w:rPr>
              <w:t>-</w:t>
            </w:r>
          </w:p>
        </w:tc>
      </w:tr>
      <w:tr>
        <w:trPr>
          <w:trHeight w:val="1258"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96"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50"/>
              <w:jc w:val="both"/>
              <w:rPr>
                <w:rFonts w:ascii="宋体" w:hAnsi="宋体" w:cs="宋体" w:eastAsia="宋体" w:hint="default"/>
                <w:sz w:val="18"/>
                <w:szCs w:val="18"/>
              </w:rPr>
            </w:pPr>
            <w:r>
              <w:rPr>
                <w:rFonts w:ascii="宋体" w:hAnsi="宋体" w:cs="宋体" w:eastAsia="宋体" w:hint="default"/>
                <w:sz w:val="18"/>
                <w:szCs w:val="18"/>
              </w:rPr>
              <w:t>因公司募集资金</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月刚到位，募投项目按照轻重缓急次序投资，加之综合考虑</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年宏观经</w:t>
            </w:r>
            <w:r>
              <w:rPr>
                <w:rFonts w:ascii="宋体" w:hAnsi="宋体" w:cs="宋体" w:eastAsia="宋体" w:hint="default"/>
                <w:sz w:val="18"/>
                <w:szCs w:val="18"/>
              </w:rPr>
              <w:t> 济和公司实际经营情况，导致四个募投项目的投资进度不完全一致，其中医院信息管理系统技术改造 项目和营销服务体系建设项目的投资进度基本按原计划进行，医技信息管理系统技术改造项目和公共 卫生信息系统技术改造项目的投资进度未能达到原计划进度。</w:t>
            </w:r>
          </w:p>
        </w:tc>
      </w:tr>
      <w:tr>
        <w:trPr>
          <w:trHeight w:val="634"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76"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1822" w:type="dxa"/>
            <w:vMerge w:val="restart"/>
            <w:tcBorders>
              <w:top w:val="single" w:sz="4" w:space="0" w:color="000000"/>
              <w:left w:val="single" w:sz="4" w:space="0" w:color="000000"/>
              <w:right w:val="single" w:sz="4" w:space="0" w:color="000000"/>
            </w:tcBorders>
            <w:shd w:val="clear" w:color="auto" w:fill="DBDBDB"/>
          </w:tcPr>
          <w:p>
            <w:pPr>
              <w:pStyle w:val="TableParagraph"/>
              <w:spacing w:line="316" w:lineRule="auto" w:before="15"/>
              <w:ind w:left="276" w:right="23"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2" w:hRule="exact"/>
        </w:trPr>
        <w:tc>
          <w:tcPr>
            <w:tcW w:w="1822" w:type="dxa"/>
            <w:vMerge/>
            <w:tcBorders>
              <w:left w:val="single" w:sz="4" w:space="0" w:color="000000"/>
              <w:bottom w:val="single" w:sz="4" w:space="0" w:color="000000"/>
              <w:right w:val="single" w:sz="4" w:space="0" w:color="000000"/>
            </w:tcBorders>
            <w:shd w:val="clear" w:color="auto" w:fill="DBDBDB"/>
          </w:tcPr>
          <w:p>
            <w:pP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超募资金为</w:t>
            </w:r>
            <w:r>
              <w:rPr>
                <w:rFonts w:ascii="宋体" w:hAnsi="宋体" w:cs="宋体" w:eastAsia="宋体" w:hint="default"/>
                <w:spacing w:val="-48"/>
                <w:sz w:val="18"/>
                <w:szCs w:val="18"/>
              </w:rPr>
              <w:t> </w:t>
            </w:r>
            <w:r>
              <w:rPr>
                <w:rFonts w:ascii="宋体" w:hAnsi="宋体" w:cs="宋体" w:eastAsia="宋体" w:hint="default"/>
                <w:sz w:val="18"/>
                <w:szCs w:val="18"/>
              </w:rPr>
              <w:t>20,056.98</w:t>
            </w:r>
            <w:r>
              <w:rPr>
                <w:rFonts w:ascii="宋体" w:hAnsi="宋体" w:cs="宋体" w:eastAsia="宋体" w:hint="default"/>
                <w:spacing w:val="-47"/>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日超募资金尚未使用。</w:t>
            </w:r>
          </w:p>
        </w:tc>
      </w:tr>
      <w:tr>
        <w:trPr>
          <w:trHeight w:val="324"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96"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822"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87" w:right="95" w:hanging="9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46" w:hRule="exact"/>
        </w:trPr>
        <w:tc>
          <w:tcPr>
            <w:tcW w:w="1822" w:type="dxa"/>
            <w:vMerge/>
            <w:tcBorders>
              <w:left w:val="single" w:sz="4" w:space="0" w:color="000000"/>
              <w:bottom w:val="single" w:sz="4" w:space="0" w:color="000000"/>
              <w:right w:val="single" w:sz="4" w:space="0" w:color="000000"/>
            </w:tcBorders>
            <w:shd w:val="clear" w:color="auto" w:fill="DBDBDB"/>
          </w:tcPr>
          <w:p>
            <w:pPr/>
          </w:p>
        </w:tc>
        <w:tc>
          <w:tcPr>
            <w:tcW w:w="80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5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日，公司累计以自筹资金预先投入募投项目金额为</w:t>
            </w:r>
            <w:r>
              <w:rPr>
                <w:rFonts w:ascii="宋体" w:hAnsi="宋体" w:cs="宋体" w:eastAsia="宋体" w:hint="default"/>
                <w:spacing w:val="-46"/>
                <w:sz w:val="18"/>
                <w:szCs w:val="18"/>
              </w:rPr>
              <w:t> </w:t>
            </w:r>
            <w:r>
              <w:rPr>
                <w:rFonts w:ascii="宋体" w:hAnsi="宋体" w:cs="宋体" w:eastAsia="宋体" w:hint="default"/>
                <w:sz w:val="18"/>
                <w:szCs w:val="18"/>
              </w:rPr>
              <w:t>2,072.67</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 公司第一届董事会第十九次会议审议通过了《关于使用募集资金置换预先已投入募集资金投资项目的 </w:t>
            </w:r>
            <w:r>
              <w:rPr>
                <w:rFonts w:ascii="宋体" w:hAnsi="宋体" w:cs="宋体" w:eastAsia="宋体" w:hint="default"/>
                <w:spacing w:val="-5"/>
                <w:sz w:val="18"/>
                <w:szCs w:val="18"/>
              </w:rPr>
              <w:t>自筹资金的议案》，同意公司使用募集资金</w:t>
            </w:r>
            <w:r>
              <w:rPr>
                <w:rFonts w:ascii="宋体" w:hAnsi="宋体" w:cs="宋体" w:eastAsia="宋体" w:hint="default"/>
                <w:spacing w:val="-41"/>
                <w:sz w:val="18"/>
                <w:szCs w:val="18"/>
              </w:rPr>
              <w:t> </w:t>
            </w:r>
            <w:r>
              <w:rPr>
                <w:rFonts w:ascii="宋体" w:hAnsi="宋体" w:cs="宋体" w:eastAsia="宋体" w:hint="default"/>
                <w:spacing w:val="-1"/>
                <w:sz w:val="18"/>
                <w:szCs w:val="18"/>
              </w:rPr>
              <w:t>2,072.67</w:t>
            </w:r>
            <w:r>
              <w:rPr>
                <w:rFonts w:ascii="宋体" w:hAnsi="宋体" w:cs="宋体" w:eastAsia="宋体" w:hint="default"/>
                <w:spacing w:val="-42"/>
                <w:sz w:val="18"/>
                <w:szCs w:val="18"/>
              </w:rPr>
              <w:t> </w:t>
            </w:r>
            <w:r>
              <w:rPr>
                <w:rFonts w:ascii="宋体" w:hAnsi="宋体" w:cs="宋体" w:eastAsia="宋体" w:hint="default"/>
                <w:sz w:val="18"/>
                <w:szCs w:val="18"/>
              </w:rPr>
              <w:t>万元置换预先已投入募投项目的自筹资金，并已</w:t>
            </w:r>
          </w:p>
        </w:tc>
      </w:tr>
    </w:tbl>
    <w:p>
      <w:pPr>
        <w:spacing w:after="0" w:line="316" w:lineRule="auto"/>
        <w:jc w:val="left"/>
        <w:rPr>
          <w:rFonts w:ascii="宋体" w:hAnsi="宋体" w:cs="宋体" w:eastAsia="宋体" w:hint="default"/>
          <w:sz w:val="18"/>
          <w:szCs w:val="18"/>
        </w:rPr>
        <w:sectPr>
          <w:pgSz w:w="11910" w:h="16840"/>
          <w:pgMar w:header="849" w:footer="976" w:top="1460" w:bottom="1160" w:left="1020" w:right="820"/>
        </w:sectPr>
      </w:pPr>
    </w:p>
    <w:p>
      <w:pPr>
        <w:spacing w:line="240" w:lineRule="auto" w:before="2"/>
        <w:rPr>
          <w:rFonts w:ascii="Times New Roman" w:hAnsi="Times New Roman" w:cs="Times New Roman" w:eastAsia="Times New Roman" w:hint="default"/>
          <w:sz w:val="3"/>
          <w:szCs w:val="3"/>
        </w:rPr>
      </w:pPr>
      <w:r>
        <w:rPr/>
        <w:pict>
          <v:group style="position:absolute;margin-left:56.639999pt;margin-top:75.120026pt;width:63.15pt;height:12.4pt;mso-position-horizontal-relative:page;mso-position-vertical-relative:page;z-index:-633256"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819"/>
        <w:gridCol w:w="8009"/>
      </w:tblGrid>
      <w:tr>
        <w:trPr>
          <w:trHeight w:val="330" w:hRule="exact"/>
        </w:trPr>
        <w:tc>
          <w:tcPr>
            <w:tcW w:w="1819" w:type="dxa"/>
            <w:tcBorders>
              <w:top w:val="single" w:sz="11" w:space="0" w:color="000000"/>
              <w:left w:val="single" w:sz="4" w:space="0" w:color="000000"/>
              <w:bottom w:val="single" w:sz="4" w:space="0" w:color="000000"/>
              <w:right w:val="single" w:sz="4" w:space="0" w:color="000000"/>
            </w:tcBorders>
            <w:shd w:val="clear" w:color="auto" w:fill="DBDBDB"/>
          </w:tcPr>
          <w:p>
            <w:pPr/>
          </w:p>
        </w:tc>
        <w:tc>
          <w:tcPr>
            <w:tcW w:w="8009"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实施完成。</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456" w:right="91"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存放于公司募集资金专项账户管理</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96" w:right="91"/>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12"/>
          <w:szCs w:val="12"/>
        </w:rPr>
      </w:pPr>
    </w:p>
    <w:p>
      <w:pPr>
        <w:pStyle w:val="Heading4"/>
        <w:spacing w:line="333" w:lineRule="exact"/>
        <w:ind w:right="484"/>
        <w:jc w:val="left"/>
        <w:rPr>
          <w:b w:val="0"/>
          <w:bCs w:val="0"/>
        </w:rPr>
      </w:pPr>
      <w:r>
        <w:rPr/>
        <w:t>2、募集资金投资项目的实施地点、实施主体、实施方式变更情况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17" w:lineRule="auto" w:before="0"/>
        <w:ind w:left="535" w:right="5521"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本年度不存在募集资金投资项目变更情况。</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3、募集资金投资项目先期投入及置换情况</w:t>
      </w:r>
      <w:r>
        <w:rPr>
          <w:rFonts w:ascii="Microsoft JhengHei" w:hAnsi="Microsoft JhengHei" w:cs="Microsoft JhengHei" w:eastAsia="Microsoft JhengHei" w:hint="default"/>
          <w:sz w:val="21"/>
          <w:szCs w:val="21"/>
        </w:rPr>
      </w:r>
    </w:p>
    <w:p>
      <w:pPr>
        <w:pStyle w:val="BodyText"/>
        <w:spacing w:line="338" w:lineRule="auto" w:before="42"/>
        <w:ind w:right="484" w:firstLine="422"/>
        <w:jc w:val="left"/>
      </w:pPr>
      <w:r>
        <w:rPr>
          <w:w w:val="95"/>
        </w:rPr>
        <w:t>公司第一届董事会第十九次会议审议通过了《关于使用募集资金置换预先已投入募集资金投资项目的</w:t>
      </w:r>
      <w:r>
        <w:rPr>
          <w:spacing w:val="-93"/>
          <w:w w:val="95"/>
        </w:rPr>
        <w:t> </w:t>
      </w:r>
      <w:r>
        <w:rPr>
          <w:spacing w:val="-93"/>
          <w:w w:val="95"/>
        </w:rPr>
      </w:r>
      <w:r>
        <w:rPr>
          <w:spacing w:val="-5"/>
          <w:w w:val="99"/>
        </w:rPr>
        <w:t>自筹资金的议案》，同意公司使用募集资金</w:t>
      </w:r>
      <w:r>
        <w:rPr>
          <w:w w:val="99"/>
        </w:rPr>
        <w:t> 2,072.67</w:t>
      </w:r>
      <w:r>
        <w:rPr>
          <w:spacing w:val="-75"/>
          <w:w w:val="99"/>
        </w:rPr>
        <w:t> </w:t>
      </w:r>
      <w:r>
        <w:rPr>
          <w:w w:val="99"/>
        </w:rPr>
        <w:t>万元置换预先已投入募投项目的自筹资金。</w:t>
      </w:r>
      <w:r>
        <w:rPr/>
      </w:r>
    </w:p>
    <w:p>
      <w:pPr>
        <w:spacing w:line="240" w:lineRule="auto" w:before="3"/>
        <w:rPr>
          <w:rFonts w:ascii="宋体" w:hAnsi="宋体" w:cs="宋体" w:eastAsia="宋体" w:hint="default"/>
          <w:sz w:val="14"/>
          <w:szCs w:val="14"/>
        </w:rPr>
      </w:pPr>
    </w:p>
    <w:p>
      <w:pPr>
        <w:pStyle w:val="BodyText"/>
        <w:spacing w:line="338" w:lineRule="auto"/>
        <w:ind w:right="0" w:firstLine="422"/>
        <w:jc w:val="left"/>
      </w:pPr>
      <w:r>
        <w:rPr/>
        <w:t>截至</w:t>
      </w:r>
      <w:r>
        <w:rPr>
          <w:spacing w:val="-49"/>
        </w:rPr>
        <w:t> </w:t>
      </w:r>
      <w:r>
        <w:rPr/>
        <w:t>2011</w:t>
      </w:r>
      <w:r>
        <w:rPr>
          <w:spacing w:val="-50"/>
        </w:rPr>
        <w:t> </w:t>
      </w:r>
      <w:r>
        <w:rPr/>
        <w:t>年</w:t>
      </w:r>
      <w:r>
        <w:rPr>
          <w:spacing w:val="-49"/>
        </w:rPr>
        <w:t> </w:t>
      </w:r>
      <w:r>
        <w:rPr/>
        <w:t>8</w:t>
      </w:r>
      <w:r>
        <w:rPr>
          <w:spacing w:val="-48"/>
        </w:rPr>
        <w:t> </w:t>
      </w:r>
      <w:r>
        <w:rPr/>
        <w:t>月</w:t>
      </w:r>
      <w:r>
        <w:rPr>
          <w:spacing w:val="-49"/>
        </w:rPr>
        <w:t> </w:t>
      </w:r>
      <w:r>
        <w:rPr/>
        <w:t>31</w:t>
      </w:r>
      <w:r>
        <w:rPr>
          <w:spacing w:val="-48"/>
        </w:rPr>
        <w:t> </w:t>
      </w:r>
      <w:r>
        <w:rPr/>
        <w:t>日，公司累计以自筹资金预先投入募投项目金额为</w:t>
      </w:r>
      <w:r>
        <w:rPr>
          <w:spacing w:val="-24"/>
        </w:rPr>
        <w:t> </w:t>
      </w:r>
      <w:r>
        <w:rPr/>
        <w:t>2,072.67</w:t>
      </w:r>
      <w:r>
        <w:rPr>
          <w:spacing w:val="-50"/>
        </w:rPr>
        <w:t> </w:t>
      </w:r>
      <w:r>
        <w:rPr/>
        <w:t>万元，具体情况如</w:t>
      </w:r>
      <w:r>
        <w:rPr>
          <w:w w:val="99"/>
        </w:rPr>
        <w:t> </w:t>
      </w:r>
      <w:r>
        <w:rPr>
          <w:spacing w:val="-11"/>
          <w:w w:val="99"/>
        </w:rPr>
        <w:t>下（单位：万元）：</w:t>
      </w:r>
      <w:r>
        <w:rPr>
          <w:spacing w:val="-11"/>
        </w:rPr>
      </w:r>
    </w:p>
    <w:p>
      <w:pPr>
        <w:spacing w:line="240" w:lineRule="auto" w:before="3"/>
        <w:rPr>
          <w:rFonts w:ascii="宋体" w:hAnsi="宋体" w:cs="宋体" w:eastAsia="宋体" w:hint="default"/>
          <w:sz w:val="12"/>
          <w:szCs w:val="12"/>
        </w:rPr>
      </w:pPr>
    </w:p>
    <w:tbl>
      <w:tblPr>
        <w:tblW w:w="0" w:type="auto"/>
        <w:jc w:val="left"/>
        <w:tblInd w:w="676" w:type="dxa"/>
        <w:tblLayout w:type="fixed"/>
        <w:tblCellMar>
          <w:top w:w="0" w:type="dxa"/>
          <w:left w:w="0" w:type="dxa"/>
          <w:bottom w:w="0" w:type="dxa"/>
          <w:right w:w="0" w:type="dxa"/>
        </w:tblCellMar>
        <w:tblLook w:val="01E0"/>
      </w:tblPr>
      <w:tblGrid>
        <w:gridCol w:w="1584"/>
        <w:gridCol w:w="1258"/>
        <w:gridCol w:w="1258"/>
        <w:gridCol w:w="1478"/>
        <w:gridCol w:w="1440"/>
        <w:gridCol w:w="1474"/>
      </w:tblGrid>
      <w:tr>
        <w:trPr>
          <w:trHeight w:val="410" w:hRule="exact"/>
        </w:trPr>
        <w:tc>
          <w:tcPr>
            <w:tcW w:w="1584" w:type="dxa"/>
            <w:vMerge w:val="restart"/>
            <w:tcBorders>
              <w:top w:val="single" w:sz="8" w:space="0" w:color="000000"/>
              <w:left w:val="single" w:sz="8" w:space="0" w:color="000000"/>
              <w:right w:val="single" w:sz="8" w:space="0" w:color="000000"/>
            </w:tcBorders>
            <w:shd w:val="clear" w:color="auto" w:fill="DFDFDF"/>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58" w:type="dxa"/>
            <w:vMerge w:val="restart"/>
            <w:tcBorders>
              <w:top w:val="single" w:sz="8" w:space="0" w:color="000000"/>
              <w:left w:val="single" w:sz="8" w:space="0" w:color="000000"/>
              <w:right w:val="single" w:sz="8" w:space="0" w:color="000000"/>
            </w:tcBorders>
            <w:shd w:val="clear" w:color="auto" w:fill="DFDFDF"/>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258" w:type="dxa"/>
            <w:vMerge w:val="restart"/>
            <w:tcBorders>
              <w:top w:val="single" w:sz="8" w:space="0" w:color="000000"/>
              <w:left w:val="single" w:sz="8" w:space="0" w:color="000000"/>
              <w:right w:val="single" w:sz="8" w:space="0" w:color="000000"/>
            </w:tcBorders>
            <w:shd w:val="clear" w:color="auto" w:fill="DFDFDF"/>
          </w:tcPr>
          <w:p>
            <w:pPr>
              <w:pStyle w:val="TableParagraph"/>
              <w:spacing w:line="396" w:lineRule="auto" w:before="61"/>
              <w:ind w:left="170" w:right="167"/>
              <w:jc w:val="left"/>
              <w:rPr>
                <w:rFonts w:ascii="宋体" w:hAnsi="宋体" w:cs="宋体" w:eastAsia="宋体" w:hint="default"/>
                <w:sz w:val="18"/>
                <w:szCs w:val="18"/>
              </w:rPr>
            </w:pPr>
            <w:r>
              <w:rPr>
                <w:rFonts w:ascii="宋体" w:hAnsi="宋体" w:cs="宋体" w:eastAsia="宋体" w:hint="default"/>
                <w:sz w:val="18"/>
                <w:szCs w:val="18"/>
              </w:rPr>
              <w:t>募集资金承 诺投资金额</w:t>
            </w:r>
          </w:p>
        </w:tc>
        <w:tc>
          <w:tcPr>
            <w:tcW w:w="4392" w:type="dxa"/>
            <w:gridSpan w:val="3"/>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支出项目明细</w:t>
            </w:r>
          </w:p>
        </w:tc>
      </w:tr>
      <w:tr>
        <w:trPr>
          <w:trHeight w:val="410" w:hRule="exact"/>
        </w:trPr>
        <w:tc>
          <w:tcPr>
            <w:tcW w:w="1584" w:type="dxa"/>
            <w:vMerge/>
            <w:tcBorders>
              <w:left w:val="single" w:sz="8" w:space="0" w:color="000000"/>
              <w:bottom w:val="single" w:sz="8" w:space="0" w:color="000000"/>
              <w:right w:val="single" w:sz="8" w:space="0" w:color="000000"/>
            </w:tcBorders>
            <w:shd w:val="clear" w:color="auto" w:fill="DFDFDF"/>
          </w:tcPr>
          <w:p>
            <w:pPr/>
          </w:p>
        </w:tc>
        <w:tc>
          <w:tcPr>
            <w:tcW w:w="1258" w:type="dxa"/>
            <w:vMerge/>
            <w:tcBorders>
              <w:left w:val="single" w:sz="8" w:space="0" w:color="000000"/>
              <w:bottom w:val="single" w:sz="8" w:space="0" w:color="000000"/>
              <w:right w:val="single" w:sz="8" w:space="0" w:color="000000"/>
            </w:tcBorders>
            <w:shd w:val="clear" w:color="auto" w:fill="DFDFDF"/>
          </w:tcPr>
          <w:p>
            <w:pPr/>
          </w:p>
        </w:tc>
        <w:tc>
          <w:tcPr>
            <w:tcW w:w="1258" w:type="dxa"/>
            <w:vMerge/>
            <w:tcBorders>
              <w:left w:val="single" w:sz="8" w:space="0" w:color="000000"/>
              <w:bottom w:val="single" w:sz="8" w:space="0" w:color="000000"/>
              <w:right w:val="single" w:sz="8" w:space="0" w:color="000000"/>
            </w:tcBorders>
            <w:shd w:val="clear" w:color="auto" w:fill="DFDFDF"/>
          </w:tcPr>
          <w:p>
            <w:pPr/>
          </w:p>
        </w:tc>
        <w:tc>
          <w:tcPr>
            <w:tcW w:w="1478"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研究开发投入</w:t>
            </w:r>
          </w:p>
        </w:tc>
        <w:tc>
          <w:tcPr>
            <w:tcW w:w="144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人力资源投入</w:t>
            </w:r>
          </w:p>
        </w:tc>
        <w:tc>
          <w:tcPr>
            <w:tcW w:w="1474"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398" w:lineRule="auto" w:before="49"/>
              <w:ind w:left="100" w:right="95"/>
              <w:jc w:val="left"/>
              <w:rPr>
                <w:rFonts w:ascii="宋体" w:hAnsi="宋体" w:cs="宋体" w:eastAsia="宋体" w:hint="default"/>
                <w:sz w:val="18"/>
                <w:szCs w:val="18"/>
              </w:rPr>
            </w:pPr>
            <w:r>
              <w:rPr>
                <w:rFonts w:ascii="宋体" w:hAnsi="宋体" w:cs="宋体" w:eastAsia="宋体" w:hint="default"/>
                <w:spacing w:val="15"/>
                <w:sz w:val="18"/>
                <w:szCs w:val="18"/>
              </w:rPr>
              <w:t>医院信息管理系</w:t>
            </w:r>
            <w:r>
              <w:rPr>
                <w:rFonts w:ascii="宋体" w:hAnsi="宋体" w:cs="宋体" w:eastAsia="宋体" w:hint="default"/>
                <w:sz w:val="18"/>
                <w:szCs w:val="18"/>
              </w:rPr>
              <w:t> 统技术改造项目</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5,044.00</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sz w:val="18"/>
              </w:rPr>
              <w:t>5,044.00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859.77</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859.77</w:t>
            </w:r>
          </w:p>
        </w:tc>
      </w:tr>
      <w:tr>
        <w:trPr>
          <w:trHeight w:val="7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396" w:lineRule="auto" w:before="51"/>
              <w:ind w:left="100" w:right="95"/>
              <w:jc w:val="left"/>
              <w:rPr>
                <w:rFonts w:ascii="宋体" w:hAnsi="宋体" w:cs="宋体" w:eastAsia="宋体" w:hint="default"/>
                <w:sz w:val="18"/>
                <w:szCs w:val="18"/>
              </w:rPr>
            </w:pPr>
            <w:r>
              <w:rPr>
                <w:rFonts w:ascii="宋体" w:hAnsi="宋体" w:cs="宋体" w:eastAsia="宋体" w:hint="default"/>
                <w:spacing w:val="15"/>
                <w:sz w:val="18"/>
                <w:szCs w:val="18"/>
              </w:rPr>
              <w:t>医技信息管理系</w:t>
            </w:r>
            <w:r>
              <w:rPr>
                <w:rFonts w:ascii="宋体" w:hAnsi="宋体" w:cs="宋体" w:eastAsia="宋体" w:hint="default"/>
                <w:sz w:val="18"/>
                <w:szCs w:val="18"/>
              </w:rPr>
              <w:t> 统技术改造项目</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3,350.00</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sz w:val="18"/>
              </w:rPr>
              <w:t>3,350.00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213.51</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213.51</w:t>
            </w:r>
          </w:p>
        </w:tc>
      </w:tr>
      <w:tr>
        <w:trPr>
          <w:trHeight w:val="802"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398" w:lineRule="auto" w:before="51"/>
              <w:ind w:left="100" w:right="95"/>
              <w:jc w:val="left"/>
              <w:rPr>
                <w:rFonts w:ascii="宋体" w:hAnsi="宋体" w:cs="宋体" w:eastAsia="宋体" w:hint="default"/>
                <w:sz w:val="18"/>
                <w:szCs w:val="18"/>
              </w:rPr>
            </w:pPr>
            <w:r>
              <w:rPr>
                <w:rFonts w:ascii="宋体" w:hAnsi="宋体" w:cs="宋体" w:eastAsia="宋体" w:hint="default"/>
                <w:spacing w:val="15"/>
                <w:sz w:val="18"/>
                <w:szCs w:val="18"/>
              </w:rPr>
              <w:t>公共卫生信息系</w:t>
            </w:r>
            <w:r>
              <w:rPr>
                <w:rFonts w:ascii="宋体" w:hAnsi="宋体" w:cs="宋体" w:eastAsia="宋体" w:hint="default"/>
                <w:sz w:val="18"/>
                <w:szCs w:val="18"/>
              </w:rPr>
              <w:t> 统技术改造项目</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3,649.00</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sz w:val="18"/>
              </w:rPr>
              <w:t>3,649.00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658.12</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658.12</w:t>
            </w:r>
          </w:p>
        </w:tc>
      </w:tr>
      <w:tr>
        <w:trPr>
          <w:trHeight w:val="7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398" w:lineRule="auto" w:before="49"/>
              <w:ind w:left="100" w:right="95"/>
              <w:jc w:val="left"/>
              <w:rPr>
                <w:rFonts w:ascii="宋体" w:hAnsi="宋体" w:cs="宋体" w:eastAsia="宋体" w:hint="default"/>
                <w:sz w:val="18"/>
                <w:szCs w:val="18"/>
              </w:rPr>
            </w:pPr>
            <w:r>
              <w:rPr>
                <w:rFonts w:ascii="宋体" w:hAnsi="宋体" w:cs="宋体" w:eastAsia="宋体" w:hint="default"/>
                <w:spacing w:val="15"/>
                <w:sz w:val="18"/>
                <w:szCs w:val="18"/>
              </w:rPr>
              <w:t>营销服务体系建</w:t>
            </w:r>
            <w:r>
              <w:rPr>
                <w:rFonts w:ascii="宋体" w:hAnsi="宋体" w:cs="宋体" w:eastAsia="宋体" w:hint="default"/>
                <w:sz w:val="18"/>
                <w:szCs w:val="18"/>
              </w:rPr>
              <w:t> 设项目</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1,798.00</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sz w:val="18"/>
              </w:rPr>
              <w:t>1,798.00</w:t>
            </w:r>
          </w:p>
        </w:tc>
        <w:tc>
          <w:tcPr>
            <w:tcW w:w="1478"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341.27</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341.27</w:t>
            </w:r>
          </w:p>
        </w:tc>
      </w:tr>
      <w:tr>
        <w:trPr>
          <w:trHeight w:val="410"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13,841.00</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13,841.00</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1,731.40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341.27</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2,072.67</w:t>
            </w:r>
          </w:p>
        </w:tc>
      </w:tr>
    </w:tbl>
    <w:p>
      <w:pPr>
        <w:spacing w:line="240" w:lineRule="auto" w:before="4"/>
        <w:rPr>
          <w:rFonts w:ascii="宋体" w:hAnsi="宋体" w:cs="宋体" w:eastAsia="宋体" w:hint="default"/>
          <w:sz w:val="11"/>
          <w:szCs w:val="11"/>
        </w:rPr>
      </w:pPr>
    </w:p>
    <w:p>
      <w:pPr>
        <w:pStyle w:val="BodyText"/>
        <w:spacing w:line="338" w:lineRule="auto" w:before="34"/>
        <w:ind w:right="356" w:firstLine="422"/>
        <w:jc w:val="left"/>
      </w:pPr>
      <w:r>
        <w:rPr>
          <w:spacing w:val="8"/>
        </w:rPr>
        <w:t>中磊会计师事务所有限责任公司就上述募投项目的预先投入情况进行了鉴证，并出具了中磊审字</w:t>
      </w:r>
      <w:r>
        <w:rPr>
          <w:w w:val="99"/>
        </w:rPr>
        <w:t> [2011]第</w:t>
      </w:r>
      <w:r>
        <w:rPr>
          <w:spacing w:val="-44"/>
          <w:w w:val="99"/>
        </w:rPr>
        <w:t> </w:t>
      </w:r>
      <w:r>
        <w:rPr>
          <w:w w:val="99"/>
        </w:rPr>
        <w:t>0818</w:t>
      </w:r>
      <w:r>
        <w:rPr>
          <w:spacing w:val="-45"/>
          <w:w w:val="99"/>
        </w:rPr>
        <w:t> </w:t>
      </w:r>
      <w:r>
        <w:rPr>
          <w:spacing w:val="-2"/>
          <w:w w:val="99"/>
        </w:rPr>
        <w:t>号《关于上海金仕达卫宁软件股份有限公司以自筹资金预先投入募投项目的鉴证报告》。</w:t>
      </w:r>
      <w:r>
        <w:rPr>
          <w:spacing w:val="-2"/>
        </w:rPr>
      </w:r>
    </w:p>
    <w:p>
      <w:pPr>
        <w:spacing w:line="408" w:lineRule="auto" w:before="119"/>
        <w:ind w:left="535" w:right="447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4、用闲置募集资金暂时补充流动资金情况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本年度不存在用闲置募集资金暂时补充流动资金情况。</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5、节余募集资金使用情况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本年度不存在节余募集资金使用情况。</w:t>
      </w:r>
    </w:p>
    <w:p>
      <w:pPr>
        <w:spacing w:after="0" w:line="408" w:lineRule="auto"/>
        <w:jc w:val="left"/>
        <w:rPr>
          <w:rFonts w:ascii="宋体" w:hAnsi="宋体" w:cs="宋体" w:eastAsia="宋体" w:hint="default"/>
          <w:sz w:val="21"/>
          <w:szCs w:val="21"/>
        </w:rPr>
        <w:sectPr>
          <w:pgSz w:w="11910" w:h="16840"/>
          <w:pgMar w:header="849" w:footer="976" w:top="1460" w:bottom="1160" w:left="1020" w:right="8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line="327" w:lineRule="exact" w:before="0"/>
                        <w:ind w:left="42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6、超募资金使用情况</w:t>
                      </w:r>
                      <w:r>
                        <w:rPr>
                          <w:rFonts w:ascii="Microsoft JhengHei" w:hAnsi="Microsoft JhengHei" w:cs="Microsoft JhengHei" w:eastAsia="Microsoft JhengHei"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240" w:lineRule="auto" w:before="34"/>
        <w:ind w:left="535" w:right="0"/>
        <w:jc w:val="left"/>
      </w:pPr>
      <w:r>
        <w:rPr/>
        <w:t>公司募集资金净额为</w:t>
      </w:r>
      <w:r>
        <w:rPr>
          <w:spacing w:val="-57"/>
        </w:rPr>
        <w:t> </w:t>
      </w:r>
      <w:r>
        <w:rPr/>
        <w:t>338,979,830.08</w:t>
      </w:r>
      <w:r>
        <w:rPr>
          <w:spacing w:val="-58"/>
        </w:rPr>
        <w:t> </w:t>
      </w:r>
      <w:r>
        <w:rPr/>
        <w:t>元，其中超募资金为</w:t>
      </w:r>
      <w:r>
        <w:rPr>
          <w:spacing w:val="-57"/>
        </w:rPr>
        <w:t> </w:t>
      </w:r>
      <w:r>
        <w:rPr/>
        <w:t>200,569,830.08</w:t>
      </w:r>
      <w:r>
        <w:rPr>
          <w:spacing w:val="-55"/>
        </w:rPr>
        <w:t> </w:t>
      </w:r>
      <w:r>
        <w:rPr/>
        <w:t>元。</w:t>
      </w:r>
    </w:p>
    <w:p>
      <w:pPr>
        <w:spacing w:line="240" w:lineRule="auto" w:before="11"/>
        <w:rPr>
          <w:rFonts w:ascii="宋体" w:hAnsi="宋体" w:cs="宋体" w:eastAsia="宋体" w:hint="default"/>
          <w:sz w:val="20"/>
          <w:szCs w:val="20"/>
        </w:rPr>
      </w:pPr>
    </w:p>
    <w:p>
      <w:pPr>
        <w:spacing w:line="412" w:lineRule="auto" w:before="0"/>
        <w:ind w:left="535" w:right="5034"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日，超募资金尚未使用。</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7、尚未使用的募集资金用途及去向</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存放于公司募集资金专项账户管理。</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8、募集资金使用的其他情况</w:t>
      </w:r>
      <w:r>
        <w:rPr>
          <w:rFonts w:ascii="Microsoft JhengHei" w:hAnsi="Microsoft JhengHei" w:cs="Microsoft JhengHei" w:eastAsia="Microsoft JhengHei" w:hint="default"/>
          <w:sz w:val="21"/>
          <w:szCs w:val="21"/>
        </w:rPr>
      </w:r>
    </w:p>
    <w:p>
      <w:pPr>
        <w:pStyle w:val="BodyText"/>
        <w:spacing w:line="240" w:lineRule="auto" w:before="47"/>
        <w:ind w:left="535" w:right="0"/>
        <w:jc w:val="left"/>
      </w:pPr>
      <w:r>
        <w:rPr/>
        <w:t>无。</w:t>
      </w:r>
    </w:p>
    <w:p>
      <w:pPr>
        <w:spacing w:line="240" w:lineRule="auto" w:before="9"/>
        <w:rPr>
          <w:rFonts w:ascii="宋体" w:hAnsi="宋体" w:cs="宋体" w:eastAsia="宋体" w:hint="default"/>
          <w:sz w:val="15"/>
          <w:szCs w:val="15"/>
        </w:rPr>
      </w:pPr>
    </w:p>
    <w:p>
      <w:pPr>
        <w:spacing w:line="400" w:lineRule="auto" w:before="0"/>
        <w:ind w:left="535" w:right="429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（四）变更募集资金投资项目的资金使用情况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本年度不存在变更募集资金投资项目的资金使用情况。</w:t>
      </w:r>
    </w:p>
    <w:p>
      <w:pPr>
        <w:spacing w:line="400" w:lineRule="auto" w:before="6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（五）募集资金使用及披露中存在的问题</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公司募集资金使用情况的披露与实际使用情况相符，不存在未及时、真实、准确、完整披露的情况，</w:t>
      </w:r>
      <w:r>
        <w:rPr>
          <w:rFonts w:ascii="宋体" w:hAnsi="宋体" w:cs="宋体" w:eastAsia="宋体" w:hint="default"/>
          <w:sz w:val="21"/>
          <w:szCs w:val="21"/>
        </w:rPr>
      </w:r>
    </w:p>
    <w:p>
      <w:pPr>
        <w:pStyle w:val="BodyText"/>
        <w:spacing w:line="248" w:lineRule="exact"/>
        <w:ind w:right="0"/>
        <w:jc w:val="left"/>
      </w:pPr>
      <w:r>
        <w:rPr/>
        <w:t>也不存在募集资金违规使用的情形。</w:t>
      </w:r>
    </w:p>
    <w:p>
      <w:pPr>
        <w:spacing w:line="240" w:lineRule="auto" w:before="9"/>
        <w:rPr>
          <w:rFonts w:ascii="宋体" w:hAnsi="宋体" w:cs="宋体" w:eastAsia="宋体" w:hint="default"/>
          <w:sz w:val="15"/>
          <w:szCs w:val="15"/>
        </w:rPr>
      </w:pPr>
    </w:p>
    <w:p>
      <w:pPr>
        <w:spacing w:line="400" w:lineRule="auto" w:before="0"/>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（六）超募资金使用安排</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宋体" w:hAnsi="宋体" w:cs="宋体" w:eastAsia="宋体" w:hint="default"/>
          <w:w w:val="95"/>
          <w:sz w:val="21"/>
          <w:szCs w:val="21"/>
        </w:rPr>
        <w:t>公司将根据发展规划及实际经营需求，妥善安排上述超募资金的使用计划，提交董事会审议通过后及</w:t>
      </w:r>
      <w:r>
        <w:rPr>
          <w:rFonts w:ascii="宋体" w:hAnsi="宋体" w:cs="宋体" w:eastAsia="宋体" w:hint="default"/>
          <w:sz w:val="21"/>
          <w:szCs w:val="21"/>
        </w:rPr>
      </w:r>
    </w:p>
    <w:p>
      <w:pPr>
        <w:pStyle w:val="BodyText"/>
        <w:spacing w:line="250" w:lineRule="exact"/>
        <w:ind w:right="0"/>
        <w:jc w:val="left"/>
      </w:pPr>
      <w:r>
        <w:rPr/>
        <w:t>时披露；公司实际使用超募资金前将履行相应的董事会或股东大会审议程序，并及时披露。</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t>（七）报告期内，公司没有非募集资金投资的重大项目。</w:t>
      </w:r>
      <w:r>
        <w:rPr>
          <w:b w:val="0"/>
          <w:bCs w:val="0"/>
        </w:rPr>
      </w:r>
    </w:p>
    <w:p>
      <w:pPr>
        <w:spacing w:line="240" w:lineRule="auto" w:before="8"/>
        <w:rPr>
          <w:rFonts w:ascii="Microsoft JhengHei" w:hAnsi="Microsoft JhengHei" w:cs="Microsoft JhengHei" w:eastAsia="Microsoft JhengHei" w:hint="default"/>
          <w:b/>
          <w:bCs/>
          <w:sz w:val="10"/>
          <w:szCs w:val="10"/>
        </w:rPr>
      </w:pPr>
    </w:p>
    <w:p>
      <w:pPr>
        <w:pStyle w:val="Heading4"/>
        <w:spacing w:line="256" w:lineRule="auto"/>
        <w:ind w:left="112" w:right="92" w:firstLine="422"/>
        <w:jc w:val="left"/>
        <w:rPr>
          <w:b w:val="0"/>
          <w:bCs w:val="0"/>
        </w:rPr>
      </w:pPr>
      <w:r>
        <w:rPr/>
        <w:t>（八）报告期内，公司未持有其他上市公司股权，未参股商业银行、证券公司、保险公司、信托公司</w:t>
      </w:r>
      <w:r>
        <w:rPr>
          <w:w w:val="99"/>
        </w:rPr>
        <w:t> </w:t>
      </w:r>
      <w:r>
        <w:rPr/>
        <w:t>和期货公司等金融企业股权，也不存在参股拟上市公司等投资情况。</w:t>
      </w:r>
      <w:r>
        <w:rPr>
          <w:b w:val="0"/>
          <w:bCs w:val="0"/>
        </w:rPr>
      </w:r>
    </w:p>
    <w:p>
      <w:pPr>
        <w:pStyle w:val="Heading4"/>
        <w:spacing w:line="256" w:lineRule="auto" w:before="159"/>
        <w:ind w:left="112" w:right="92" w:firstLine="422"/>
        <w:jc w:val="left"/>
        <w:rPr>
          <w:b w:val="0"/>
          <w:bCs w:val="0"/>
        </w:rPr>
      </w:pPr>
      <w:r>
        <w:rPr/>
        <w:t>（九）报告期内，公司没有持有以公允价值计量的境内外基金、债券、信托产品、期货、金融衍生工</w:t>
      </w:r>
      <w:r>
        <w:rPr>
          <w:w w:val="99"/>
        </w:rPr>
        <w:t> </w:t>
      </w:r>
      <w:r>
        <w:rPr/>
        <w:t>具等金融资产。</w:t>
      </w:r>
      <w:r>
        <w:rPr>
          <w:b w:val="0"/>
          <w:bCs w:val="0"/>
        </w:rPr>
      </w:r>
    </w:p>
    <w:p>
      <w:pPr>
        <w:pStyle w:val="Heading4"/>
        <w:spacing w:line="256" w:lineRule="auto" w:before="159"/>
        <w:ind w:left="112" w:right="94"/>
        <w:jc w:val="left"/>
        <w:rPr>
          <w:b w:val="0"/>
          <w:bCs w:val="0"/>
        </w:rPr>
      </w:pPr>
      <w:r>
        <w:rPr/>
        <w:t>四、报告期内，公司没有发行在外的可转换为股份的各种金融工具、以公允价值计量的负债（包括外币金</w:t>
      </w:r>
      <w:r>
        <w:rPr>
          <w:w w:val="99"/>
        </w:rPr>
        <w:t> </w:t>
      </w:r>
      <w:r>
        <w:rPr>
          <w:spacing w:val="-20"/>
          <w:w w:val="99"/>
        </w:rPr>
        <w:t>融负债）。</w:t>
      </w:r>
      <w:r>
        <w:rPr>
          <w:b w:val="0"/>
          <w:bCs w:val="0"/>
          <w:spacing w:val="-20"/>
        </w:rPr>
      </w:r>
    </w:p>
    <w:p>
      <w:pPr>
        <w:pStyle w:val="Heading4"/>
        <w:spacing w:line="240" w:lineRule="auto" w:before="159"/>
        <w:ind w:left="112" w:right="0"/>
        <w:jc w:val="left"/>
        <w:rPr>
          <w:b w:val="0"/>
          <w:bCs w:val="0"/>
        </w:rPr>
      </w:pPr>
      <w:r>
        <w:rPr/>
        <w:t>五、报告期财务报告审计情况及会计政策、会计估计变更情况</w:t>
      </w:r>
      <w:r>
        <w:rPr>
          <w:b w:val="0"/>
          <w:bCs w:val="0"/>
        </w:rPr>
      </w:r>
    </w:p>
    <w:p>
      <w:pPr>
        <w:spacing w:line="240" w:lineRule="auto" w:before="8"/>
        <w:rPr>
          <w:rFonts w:ascii="Microsoft JhengHei" w:hAnsi="Microsoft JhengHei" w:cs="Microsoft JhengHei" w:eastAsia="Microsoft JhengHei" w:hint="default"/>
          <w:b/>
          <w:bCs/>
          <w:sz w:val="10"/>
          <w:szCs w:val="10"/>
        </w:rPr>
      </w:pPr>
    </w:p>
    <w:p>
      <w:pPr>
        <w:pStyle w:val="Heading4"/>
        <w:spacing w:line="240" w:lineRule="auto"/>
        <w:ind w:right="0"/>
        <w:jc w:val="left"/>
        <w:rPr>
          <w:b w:val="0"/>
          <w:bCs w:val="0"/>
        </w:rPr>
      </w:pPr>
      <w:r>
        <w:rPr/>
        <w:t>（一）报告期财务报告审计情况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right="0" w:firstLine="422"/>
        <w:jc w:val="left"/>
      </w:pPr>
      <w:r>
        <w:rPr>
          <w:spacing w:val="2"/>
        </w:rPr>
        <w:t>经中磊会计师事务所有限责任公司审计，对本公司</w:t>
      </w:r>
      <w:r>
        <w:rPr>
          <w:spacing w:val="-47"/>
        </w:rPr>
        <w:t> </w:t>
      </w:r>
      <w:r>
        <w:rPr/>
        <w:t>2011</w:t>
      </w:r>
      <w:r>
        <w:rPr>
          <w:spacing w:val="-53"/>
        </w:rPr>
        <w:t> </w:t>
      </w:r>
      <w:r>
        <w:rPr/>
        <w:t>年度财务报告出具了标准无保留意见的审计</w:t>
      </w:r>
      <w:r>
        <w:rPr>
          <w:w w:val="99"/>
        </w:rPr>
        <w:t> </w:t>
      </w:r>
      <w:r>
        <w:rPr/>
        <w:t>报告。</w:t>
      </w:r>
    </w:p>
    <w:p>
      <w:pPr>
        <w:pStyle w:val="Heading4"/>
        <w:spacing w:line="240" w:lineRule="auto" w:before="115"/>
        <w:ind w:right="0"/>
        <w:jc w:val="left"/>
        <w:rPr>
          <w:b w:val="0"/>
          <w:bCs w:val="0"/>
        </w:rPr>
      </w:pPr>
      <w:r>
        <w:rPr/>
        <w:t>（二）公司会计政策、会计估计变更以及会计差错更正情况</w:t>
      </w:r>
      <w:r>
        <w:rPr>
          <w:b w:val="0"/>
          <w:bCs w:val="0"/>
        </w:rPr>
      </w:r>
    </w:p>
    <w:p>
      <w:pPr>
        <w:spacing w:after="0" w:line="240" w:lineRule="auto"/>
        <w:jc w:val="left"/>
        <w:sectPr>
          <w:pgSz w:w="11910" w:h="16840"/>
          <w:pgMar w:header="849" w:footer="976" w:top="1460" w:bottom="1160" w:left="1020" w:right="1000"/>
        </w:sectPr>
      </w:pPr>
    </w:p>
    <w:p>
      <w:pPr>
        <w:spacing w:line="240" w:lineRule="auto" w:before="0"/>
        <w:rPr>
          <w:rFonts w:ascii="Microsoft JhengHei" w:hAnsi="Microsoft JhengHei" w:cs="Microsoft JhengHei" w:eastAsia="Microsoft JhengHei" w:hint="default"/>
          <w:b/>
          <w:bCs/>
          <w:sz w:val="2"/>
          <w:szCs w:val="2"/>
        </w:rPr>
      </w:pPr>
    </w:p>
    <w:p>
      <w:pPr>
        <w:spacing w:line="326"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报告期内，公司没有重大会计政策变化、会计估计变更情况，未发生重大会计差错。</w:t>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1"/>
        <w:rPr>
          <w:rFonts w:ascii="Microsoft JhengHei" w:hAnsi="Microsoft JhengHei" w:cs="Microsoft JhengHei" w:eastAsia="Microsoft JhengHei" w:hint="default"/>
          <w:b/>
          <w:bCs/>
          <w:sz w:val="13"/>
          <w:szCs w:val="13"/>
        </w:rPr>
      </w:pPr>
    </w:p>
    <w:p>
      <w:pPr>
        <w:pStyle w:val="Heading4"/>
        <w:spacing w:line="333" w:lineRule="exact"/>
        <w:ind w:left="112" w:right="0"/>
        <w:jc w:val="left"/>
        <w:rPr>
          <w:b w:val="0"/>
          <w:bCs w:val="0"/>
        </w:rPr>
      </w:pPr>
      <w:r>
        <w:rPr/>
        <w:t>六、利润分配或资本公积金转增股本预案</w:t>
      </w:r>
      <w:r>
        <w:rPr>
          <w:b w:val="0"/>
          <w:bCs w:val="0"/>
        </w:rPr>
      </w:r>
    </w:p>
    <w:p>
      <w:pPr>
        <w:spacing w:line="240" w:lineRule="auto" w:before="8"/>
        <w:rPr>
          <w:rFonts w:ascii="Microsoft JhengHei" w:hAnsi="Microsoft JhengHei" w:cs="Microsoft JhengHei" w:eastAsia="Microsoft JhengHei" w:hint="default"/>
          <w:b/>
          <w:bCs/>
          <w:sz w:val="10"/>
          <w:szCs w:val="10"/>
        </w:rPr>
      </w:pPr>
    </w:p>
    <w:p>
      <w:pPr>
        <w:pStyle w:val="Heading4"/>
        <w:spacing w:line="360" w:lineRule="auto"/>
        <w:ind w:right="4889"/>
        <w:jc w:val="left"/>
        <w:rPr>
          <w:b w:val="0"/>
          <w:bCs w:val="0"/>
        </w:rPr>
      </w:pPr>
      <w:r>
        <w:rPr/>
        <w:t>（一）公司的利润分配政策</w:t>
      </w:r>
      <w:r>
        <w:rPr>
          <w:w w:val="99"/>
        </w:rPr>
        <w:t> </w:t>
      </w:r>
      <w:r>
        <w:rPr>
          <w:w w:val="95"/>
        </w:rPr>
        <w:t>1、报告期内公司利润分配政策为：</w:t>
      </w:r>
      <w:r>
        <w:rPr>
          <w:b w:val="0"/>
          <w:bCs w:val="0"/>
        </w:rPr>
      </w:r>
    </w:p>
    <w:p>
      <w:pPr>
        <w:pStyle w:val="BodyText"/>
        <w:spacing w:line="338" w:lineRule="auto" w:before="106"/>
        <w:ind w:right="143" w:firstLine="422"/>
        <w:jc w:val="both"/>
      </w:pPr>
      <w:r>
        <w:rPr/>
        <w:t>（1）公司的利润分配应重视对社会公众投资者的合理投资回报，保持利润分配政策应保持连续性和</w:t>
      </w:r>
      <w:r>
        <w:rPr>
          <w:w w:val="99"/>
        </w:rPr>
        <w:t> </w:t>
      </w:r>
      <w:r>
        <w:rPr/>
        <w:t>稳定性，并符合法律、法规的相关规定；</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（2）公司可以采取现金或者股票方式分配股利，可以进行中期现金分红；</w:t>
      </w:r>
    </w:p>
    <w:p>
      <w:pPr>
        <w:spacing w:line="240" w:lineRule="auto" w:before="11"/>
        <w:rPr>
          <w:rFonts w:ascii="宋体" w:hAnsi="宋体" w:cs="宋体" w:eastAsia="宋体" w:hint="default"/>
          <w:sz w:val="20"/>
          <w:szCs w:val="20"/>
        </w:rPr>
      </w:pPr>
    </w:p>
    <w:p>
      <w:pPr>
        <w:pStyle w:val="BodyText"/>
        <w:spacing w:line="410" w:lineRule="auto"/>
        <w:ind w:left="535" w:right="0"/>
        <w:jc w:val="left"/>
      </w:pPr>
      <w:r>
        <w:rPr/>
        <w:t>（3）公司最近三年应以现金方式累计分配的利润不少于最近三年实现的年均可分配利润的</w:t>
      </w:r>
      <w:r>
        <w:rPr>
          <w:spacing w:val="-57"/>
        </w:rPr>
        <w:t> </w:t>
      </w:r>
      <w:r>
        <w:rPr/>
        <w:t>30%。</w:t>
      </w:r>
      <w:r>
        <w:rPr>
          <w:w w:val="99"/>
        </w:rPr>
        <w:t> </w:t>
      </w:r>
      <w:r>
        <w:rPr>
          <w:rFonts w:ascii="Microsoft JhengHei" w:hAnsi="Microsoft JhengHei" w:cs="Microsoft JhengHei" w:eastAsia="Microsoft JhengHei" w:hint="default"/>
          <w:b/>
          <w:bCs/>
        </w:rPr>
        <w:t>2、修订后的公司最新利润分配政策为：</w:t>
      </w:r>
      <w:r>
        <w:rPr>
          <w:rFonts w:ascii="Microsoft JhengHei" w:hAnsi="Microsoft JhengHei" w:cs="Microsoft JhengHei" w:eastAsia="Microsoft JhengHei" w:hint="default"/>
          <w:b/>
          <w:bCs/>
          <w:w w:val="99"/>
        </w:rPr>
        <w:t> </w:t>
      </w:r>
      <w:r>
        <w:rPr>
          <w:w w:val="95"/>
        </w:rPr>
        <w:t>为了明确公司首次公开发行股票并上市后的利润分配政策、进一步发展和维护公司全体股东权益，公</w:t>
      </w:r>
      <w:r>
        <w:rPr/>
      </w:r>
    </w:p>
    <w:p>
      <w:pPr>
        <w:pStyle w:val="BodyText"/>
        <w:spacing w:line="240" w:lineRule="exact"/>
        <w:ind w:right="0"/>
        <w:jc w:val="left"/>
      </w:pPr>
      <w:r>
        <w:rPr/>
        <w:t>司董事会对《上海金仕达卫宁软件股份有限公司章程》中的部分条款进行了修改，并于</w:t>
      </w:r>
      <w:r>
        <w:rPr>
          <w:spacing w:val="-14"/>
        </w:rPr>
        <w:t> </w:t>
      </w:r>
      <w:r>
        <w:rPr/>
        <w:t>2012</w:t>
      </w:r>
      <w:r>
        <w:rPr>
          <w:spacing w:val="-48"/>
        </w:rPr>
        <w:t> </w:t>
      </w:r>
      <w:r>
        <w:rPr/>
        <w:t>年</w:t>
      </w:r>
      <w:r>
        <w:rPr>
          <w:spacing w:val="-47"/>
        </w:rPr>
        <w:t> </w:t>
      </w:r>
      <w:r>
        <w:rPr/>
        <w:t>4</w:t>
      </w:r>
      <w:r>
        <w:rPr>
          <w:spacing w:val="-48"/>
        </w:rPr>
        <w:t> </w:t>
      </w:r>
      <w:r>
        <w:rPr/>
        <w:t>月</w:t>
      </w:r>
      <w:r>
        <w:rPr>
          <w:spacing w:val="-47"/>
        </w:rPr>
        <w:t> </w:t>
      </w:r>
      <w:r>
        <w:rPr/>
        <w:t>2</w:t>
      </w:r>
      <w:r>
        <w:rPr>
          <w:spacing w:val="-46"/>
        </w:rPr>
        <w:t> </w:t>
      </w:r>
      <w:r>
        <w:rPr/>
        <w:t>日</w:t>
      </w:r>
    </w:p>
    <w:p>
      <w:pPr>
        <w:pStyle w:val="BodyText"/>
        <w:spacing w:line="240" w:lineRule="auto" w:before="116"/>
        <w:ind w:right="0"/>
        <w:jc w:val="left"/>
      </w:pPr>
      <w:r>
        <w:rPr/>
        <w:t>经公司</w:t>
      </w:r>
      <w:r>
        <w:rPr>
          <w:spacing w:val="-55"/>
        </w:rPr>
        <w:t> </w:t>
      </w:r>
      <w:r>
        <w:rPr/>
        <w:t>2012</w:t>
      </w:r>
      <w:r>
        <w:rPr>
          <w:spacing w:val="-55"/>
        </w:rPr>
        <w:t> </w:t>
      </w:r>
      <w:r>
        <w:rPr/>
        <w:t>年第一次临时股东大会审议通过。</w:t>
      </w:r>
    </w:p>
    <w:p>
      <w:pPr>
        <w:spacing w:line="240" w:lineRule="auto" w:before="8"/>
        <w:rPr>
          <w:rFonts w:ascii="宋体" w:hAnsi="宋体" w:cs="宋体" w:eastAsia="宋体" w:hint="default"/>
          <w:sz w:val="20"/>
          <w:szCs w:val="20"/>
        </w:rPr>
      </w:pPr>
    </w:p>
    <w:p>
      <w:pPr>
        <w:pStyle w:val="BodyText"/>
        <w:spacing w:line="338" w:lineRule="auto"/>
        <w:ind w:right="112" w:firstLine="422"/>
        <w:jc w:val="both"/>
      </w:pPr>
      <w:r>
        <w:rPr>
          <w:w w:val="95"/>
        </w:rPr>
        <w:t>公司实施积极的利润分配政策，重视对股东的合理投资回报并兼顾公司的可持续发展，利润分配政策</w:t>
      </w:r>
      <w:r>
        <w:rPr>
          <w:spacing w:val="-93"/>
          <w:w w:val="95"/>
        </w:rPr>
        <w:t> </w:t>
      </w:r>
      <w:r>
        <w:rPr>
          <w:spacing w:val="-93"/>
          <w:w w:val="95"/>
        </w:rPr>
      </w:r>
      <w:r>
        <w:rPr/>
        <w:t>保持连续性和稳定性。公司实施利润分配，应当遵循以下规定：</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（1）公司可采取现金或股票与现金相结合的方式分配股利。</w:t>
      </w:r>
    </w:p>
    <w:p>
      <w:pPr>
        <w:spacing w:line="240" w:lineRule="auto" w:before="8"/>
        <w:rPr>
          <w:rFonts w:ascii="宋体" w:hAnsi="宋体" w:cs="宋体" w:eastAsia="宋体" w:hint="default"/>
          <w:sz w:val="20"/>
          <w:szCs w:val="20"/>
        </w:rPr>
      </w:pPr>
    </w:p>
    <w:p>
      <w:pPr>
        <w:pStyle w:val="BodyText"/>
        <w:spacing w:line="340" w:lineRule="auto"/>
        <w:ind w:right="112" w:firstLine="422"/>
        <w:jc w:val="both"/>
      </w:pPr>
      <w:r>
        <w:rPr/>
        <w:t>（2）公司应每年至少进行一次利润分配。公司董事会可以根据公司的盈利及资金需求状况提议公司</w:t>
      </w:r>
      <w:r>
        <w:rPr>
          <w:w w:val="99"/>
        </w:rPr>
        <w:t> </w:t>
      </w:r>
      <w:r>
        <w:rPr>
          <w:w w:val="95"/>
        </w:rPr>
        <w:t>进行中期分红并提交公司股东大会批准；公司对留存的未分配利润使用计划作出调整时，应重新报经董事</w:t>
      </w:r>
      <w:r>
        <w:rPr>
          <w:spacing w:val="52"/>
          <w:w w:val="95"/>
        </w:rPr>
        <w:t> </w:t>
      </w:r>
      <w:r>
        <w:rPr>
          <w:spacing w:val="52"/>
          <w:w w:val="95"/>
        </w:rPr>
      </w:r>
      <w:r>
        <w:rPr/>
        <w:t>会、股东大会批准，并在相关提案中详细论证和说明调整的原因，独立董事应当对此发表独立意见。</w:t>
      </w:r>
    </w:p>
    <w:p>
      <w:pPr>
        <w:spacing w:line="240" w:lineRule="auto" w:before="12"/>
        <w:rPr>
          <w:rFonts w:ascii="宋体" w:hAnsi="宋体" w:cs="宋体" w:eastAsia="宋体" w:hint="default"/>
          <w:sz w:val="13"/>
          <w:szCs w:val="13"/>
        </w:rPr>
      </w:pPr>
    </w:p>
    <w:p>
      <w:pPr>
        <w:pStyle w:val="BodyText"/>
        <w:spacing w:line="340" w:lineRule="auto"/>
        <w:ind w:right="143" w:firstLine="422"/>
        <w:jc w:val="both"/>
      </w:pPr>
      <w:r>
        <w:rPr/>
        <w:t>（3）公司重视对投资者的合理投资回报，每连续三年以现金方式累计分配的利润不少于连续三年实</w:t>
      </w:r>
      <w:r>
        <w:rPr>
          <w:w w:val="99"/>
        </w:rPr>
        <w:t> </w:t>
      </w:r>
      <w:r>
        <w:rPr/>
        <w:t>现的年均可分配利润的百分之三十；每年以现金方式分配的利润不少于当年实现的可分配利润的</w:t>
      </w:r>
      <w:r>
        <w:rPr>
          <w:spacing w:val="-65"/>
        </w:rPr>
        <w:t> </w:t>
      </w:r>
      <w:r>
        <w:rPr/>
        <w:t>10%。</w:t>
      </w:r>
    </w:p>
    <w:p>
      <w:pPr>
        <w:spacing w:line="240" w:lineRule="auto" w:before="12"/>
        <w:rPr>
          <w:rFonts w:ascii="宋体" w:hAnsi="宋体" w:cs="宋体" w:eastAsia="宋体" w:hint="default"/>
          <w:sz w:val="13"/>
          <w:szCs w:val="13"/>
        </w:rPr>
      </w:pPr>
    </w:p>
    <w:p>
      <w:pPr>
        <w:pStyle w:val="BodyText"/>
        <w:spacing w:line="340" w:lineRule="auto"/>
        <w:ind w:right="110" w:firstLine="422"/>
        <w:jc w:val="both"/>
      </w:pPr>
      <w:r>
        <w:rPr/>
        <w:t>（4）公司对股利分配政策进行决策或因公司外部经营环境或自身经营状况发生较大变化而需要调整</w:t>
      </w:r>
      <w:r>
        <w:rPr>
          <w:w w:val="99"/>
        </w:rPr>
        <w:t> </w:t>
      </w:r>
      <w:r>
        <w:rPr>
          <w:w w:val="95"/>
        </w:rPr>
        <w:t>分红政策时，应首先经独立董事同意并发表明确独立意见，然后分别提交董事会和监事会审议；在董事会</w:t>
      </w:r>
      <w:r>
        <w:rPr>
          <w:spacing w:val="53"/>
          <w:w w:val="95"/>
        </w:rPr>
        <w:t> </w:t>
      </w:r>
      <w:r>
        <w:rPr>
          <w:spacing w:val="53"/>
          <w:w w:val="95"/>
        </w:rPr>
      </w:r>
      <w:r>
        <w:rPr>
          <w:w w:val="95"/>
        </w:rPr>
        <w:t>和监事会审议通过后提交股东大会审议批准；如果调整利润分配政策，调整后的利润分配政策不得违反中</w:t>
      </w:r>
      <w:r>
        <w:rPr>
          <w:spacing w:val="52"/>
          <w:w w:val="95"/>
        </w:rPr>
        <w:t> </w:t>
      </w:r>
      <w:r>
        <w:rPr>
          <w:spacing w:val="52"/>
          <w:w w:val="95"/>
        </w:rPr>
      </w:r>
      <w:r>
        <w:rPr/>
        <w:t>国证监会和证券交易所的有关规定。</w:t>
      </w:r>
    </w:p>
    <w:p>
      <w:pPr>
        <w:spacing w:line="240" w:lineRule="auto" w:before="12"/>
        <w:rPr>
          <w:rFonts w:ascii="宋体" w:hAnsi="宋体" w:cs="宋体" w:eastAsia="宋体" w:hint="default"/>
          <w:sz w:val="13"/>
          <w:szCs w:val="13"/>
        </w:rPr>
      </w:pPr>
    </w:p>
    <w:p>
      <w:pPr>
        <w:pStyle w:val="BodyText"/>
        <w:spacing w:line="340" w:lineRule="auto"/>
        <w:ind w:right="112" w:firstLine="422"/>
        <w:jc w:val="both"/>
      </w:pPr>
      <w:r>
        <w:rPr>
          <w:w w:val="95"/>
        </w:rPr>
        <w:t>对于公司盈利但董事会在年度利润分配方案中未作出现金利润分配预案的，应征询监事会的意见，并</w:t>
      </w:r>
      <w:r>
        <w:rPr>
          <w:spacing w:val="-94"/>
          <w:w w:val="95"/>
        </w:rPr>
        <w:t> </w:t>
      </w:r>
      <w:r>
        <w:rPr>
          <w:spacing w:val="-94"/>
          <w:w w:val="95"/>
        </w:rPr>
      </w:r>
      <w:r>
        <w:rPr/>
        <w:t>在定期报告中披露原因及未用于分红的资金留存公司的用途，独立董事应当对此发表独立意见。</w:t>
      </w:r>
    </w:p>
    <w:p>
      <w:pPr>
        <w:spacing w:line="240" w:lineRule="auto" w:before="12"/>
        <w:rPr>
          <w:rFonts w:ascii="宋体" w:hAnsi="宋体" w:cs="宋体" w:eastAsia="宋体" w:hint="default"/>
          <w:sz w:val="13"/>
          <w:szCs w:val="13"/>
        </w:rPr>
      </w:pPr>
    </w:p>
    <w:p>
      <w:pPr>
        <w:pStyle w:val="BodyText"/>
        <w:spacing w:line="340" w:lineRule="auto"/>
        <w:ind w:right="143" w:firstLine="422"/>
        <w:jc w:val="both"/>
      </w:pPr>
      <w:r>
        <w:rPr/>
        <w:t>（5）存在股东违规占用公司资金情况的，公司应当扣减该股东所分配的现金红利，以偿还其占用的</w:t>
      </w:r>
      <w:r>
        <w:rPr>
          <w:w w:val="99"/>
        </w:rPr>
        <w:t> </w:t>
      </w:r>
      <w:r>
        <w:rPr/>
        <w:t>资金。</w:t>
      </w:r>
    </w:p>
    <w:p>
      <w:pPr>
        <w:pStyle w:val="Heading4"/>
        <w:spacing w:line="240" w:lineRule="auto" w:before="115"/>
        <w:ind w:right="0"/>
        <w:jc w:val="left"/>
        <w:rPr>
          <w:b w:val="0"/>
          <w:bCs w:val="0"/>
        </w:rPr>
      </w:pPr>
      <w:r>
        <w:rPr>
          <w:w w:val="95"/>
        </w:rPr>
        <w:t>（二）2011   </w:t>
      </w:r>
      <w:r>
        <w:rPr>
          <w:spacing w:val="11"/>
          <w:w w:val="95"/>
        </w:rPr>
        <w:t> </w:t>
      </w:r>
      <w:r>
        <w:rPr>
          <w:w w:val="95"/>
        </w:rPr>
        <w:t>年度利润分配及资本公积转增股本预案</w:t>
      </w:r>
      <w:r>
        <w:rPr>
          <w:b w:val="0"/>
          <w:bCs w:val="0"/>
        </w:rPr>
      </w:r>
    </w:p>
    <w:p>
      <w:pPr>
        <w:spacing w:after="0" w:line="240" w:lineRule="auto"/>
        <w:jc w:val="left"/>
        <w:sectPr>
          <w:pgSz w:w="11910" w:h="16840"/>
          <w:pgMar w:header="849" w:footer="976" w:top="1460" w:bottom="1160" w:left="1020" w:right="1020"/>
        </w:sectPr>
      </w:pPr>
    </w:p>
    <w:p>
      <w:pPr>
        <w:spacing w:line="240" w:lineRule="auto" w:before="0"/>
        <w:rPr>
          <w:rFonts w:ascii="Microsoft JhengHei" w:hAnsi="Microsoft JhengHei" w:cs="Microsoft JhengHei" w:eastAsia="Microsoft JhengHei" w:hint="default"/>
          <w:b/>
          <w:bCs/>
          <w:sz w:val="2"/>
          <w:szCs w:val="2"/>
        </w:rPr>
      </w:pPr>
    </w:p>
    <w:p>
      <w:pPr>
        <w:spacing w:line="326" w:lineRule="exact"/>
        <w:ind w:left="24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经中磊会计师事务所有限责任公司审计，公司</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年年初未分配利润为</w:t>
                      </w:r>
                      <w:r>
                        <w:rPr>
                          <w:rFonts w:ascii="宋体" w:hAnsi="宋体" w:cs="宋体" w:eastAsia="宋体" w:hint="default"/>
                          <w:spacing w:val="-48"/>
                          <w:sz w:val="21"/>
                          <w:szCs w:val="21"/>
                        </w:rPr>
                        <w:t> </w:t>
                      </w:r>
                      <w:r>
                        <w:rPr>
                          <w:rFonts w:ascii="宋体" w:hAnsi="宋体" w:cs="宋体" w:eastAsia="宋体" w:hint="default"/>
                          <w:sz w:val="21"/>
                          <w:szCs w:val="21"/>
                        </w:rPr>
                        <w:t>35,688,110.04</w:t>
                      </w:r>
                      <w:r>
                        <w:rPr>
                          <w:rFonts w:ascii="宋体" w:hAnsi="宋体" w:cs="宋体" w:eastAsia="宋体" w:hint="default"/>
                          <w:spacing w:val="-52"/>
                          <w:sz w:val="21"/>
                          <w:szCs w:val="21"/>
                        </w:rPr>
                        <w:t> </w:t>
                      </w:r>
                      <w:r>
                        <w:rPr>
                          <w:rFonts w:ascii="宋体" w:hAnsi="宋体" w:cs="宋体" w:eastAsia="宋体" w:hint="default"/>
                          <w:sz w:val="21"/>
                          <w:szCs w:val="21"/>
                        </w:rPr>
                        <w:t>元，2011</w:t>
                      </w:r>
                      <w:r>
                        <w:rPr>
                          <w:rFonts w:ascii="宋体" w:hAnsi="宋体" w:cs="宋体" w:eastAsia="宋体" w:hint="default"/>
                          <w:spacing w:val="-54"/>
                          <w:sz w:val="21"/>
                          <w:szCs w:val="21"/>
                        </w:rPr>
                        <w:t> </w:t>
                      </w:r>
                      <w:r>
                        <w:rPr>
                          <w:rFonts w:ascii="宋体" w:hAnsi="宋体" w:cs="宋体" w:eastAsia="宋体" w:hint="default"/>
                          <w:sz w:val="21"/>
                          <w:szCs w:val="21"/>
                        </w:rPr>
                        <w:t>年</w:t>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1"/>
        <w:rPr>
          <w:rFonts w:ascii="Microsoft JhengHei" w:hAnsi="Microsoft JhengHei" w:cs="Microsoft JhengHei" w:eastAsia="Microsoft JhengHei" w:hint="default"/>
          <w:b/>
          <w:bCs/>
          <w:sz w:val="4"/>
          <w:szCs w:val="4"/>
        </w:rPr>
      </w:pPr>
    </w:p>
    <w:p>
      <w:pPr>
        <w:pStyle w:val="BodyText"/>
        <w:spacing w:line="240" w:lineRule="auto" w:before="34"/>
        <w:ind w:left="252" w:right="0"/>
        <w:jc w:val="left"/>
      </w:pPr>
      <w:r>
        <w:rPr/>
        <w:t>度公司实现归属于母公司股东的净利润</w:t>
      </w:r>
      <w:r>
        <w:rPr>
          <w:spacing w:val="-54"/>
        </w:rPr>
        <w:t> </w:t>
      </w:r>
      <w:r>
        <w:rPr/>
        <w:t>44,292,891.86</w:t>
      </w:r>
      <w:r>
        <w:rPr>
          <w:spacing w:val="-55"/>
        </w:rPr>
        <w:t> </w:t>
      </w:r>
      <w:r>
        <w:rPr>
          <w:spacing w:val="-25"/>
        </w:rPr>
        <w:t>元，按</w:t>
      </w:r>
      <w:r>
        <w:rPr>
          <w:spacing w:val="-56"/>
        </w:rPr>
        <w:t> </w:t>
      </w:r>
      <w:r>
        <w:rPr/>
        <w:t>2011</w:t>
      </w:r>
      <w:r>
        <w:rPr>
          <w:spacing w:val="-57"/>
        </w:rPr>
        <w:t> </w:t>
      </w:r>
      <w:r>
        <w:rPr/>
        <w:t>年度母公司实现净利润的</w:t>
      </w:r>
      <w:r>
        <w:rPr>
          <w:spacing w:val="-54"/>
        </w:rPr>
        <w:t> </w:t>
      </w:r>
      <w:r>
        <w:rPr/>
        <w:t>10%提取法定</w:t>
      </w:r>
    </w:p>
    <w:p>
      <w:pPr>
        <w:pStyle w:val="BodyText"/>
        <w:spacing w:line="240" w:lineRule="auto" w:before="116"/>
        <w:ind w:left="252" w:right="0"/>
        <w:jc w:val="left"/>
      </w:pPr>
      <w:r>
        <w:rPr/>
        <w:t>盈余公积金</w:t>
      </w:r>
      <w:r>
        <w:rPr>
          <w:spacing w:val="-53"/>
        </w:rPr>
        <w:t> </w:t>
      </w:r>
      <w:r>
        <w:rPr/>
        <w:t>4,651,093.25</w:t>
      </w:r>
      <w:r>
        <w:rPr>
          <w:spacing w:val="-57"/>
        </w:rPr>
        <w:t> </w:t>
      </w:r>
      <w:r>
        <w:rPr/>
        <w:t>元后，截至</w:t>
      </w:r>
      <w:r>
        <w:rPr>
          <w:spacing w:val="-53"/>
        </w:rPr>
        <w:t> </w:t>
      </w:r>
      <w:r>
        <w:rPr/>
        <w:t>2011</w:t>
      </w:r>
      <w:r>
        <w:rPr>
          <w:spacing w:val="-57"/>
        </w:rPr>
        <w:t> </w:t>
      </w:r>
      <w:r>
        <w:rPr/>
        <w:t>年</w:t>
      </w:r>
      <w:r>
        <w:rPr>
          <w:spacing w:val="-53"/>
        </w:rPr>
        <w:t> </w:t>
      </w:r>
      <w:r>
        <w:rPr/>
        <w:t>12</w:t>
      </w:r>
      <w:r>
        <w:rPr>
          <w:spacing w:val="-54"/>
        </w:rPr>
        <w:t> </w:t>
      </w:r>
      <w:r>
        <w:rPr/>
        <w:t>月</w:t>
      </w:r>
      <w:r>
        <w:rPr>
          <w:spacing w:val="-56"/>
        </w:rPr>
        <w:t> </w:t>
      </w:r>
      <w:r>
        <w:rPr/>
        <w:t>31</w:t>
      </w:r>
      <w:r>
        <w:rPr>
          <w:spacing w:val="-57"/>
        </w:rPr>
        <w:t> </w:t>
      </w:r>
      <w:r>
        <w:rPr/>
        <w:t>日，公司合并报表可供分配利润为</w:t>
      </w:r>
      <w:r>
        <w:rPr>
          <w:spacing w:val="-51"/>
        </w:rPr>
        <w:t> </w:t>
      </w:r>
      <w:r>
        <w:rPr/>
        <w:t>75,329,908.65</w:t>
      </w:r>
    </w:p>
    <w:p>
      <w:pPr>
        <w:pStyle w:val="BodyText"/>
        <w:spacing w:line="240" w:lineRule="auto" w:before="116"/>
        <w:ind w:left="252" w:right="0"/>
        <w:jc w:val="left"/>
      </w:pPr>
      <w:r>
        <w:rPr/>
        <w:t>元，母公司可供分配利润为</w:t>
      </w:r>
      <w:r>
        <w:rPr>
          <w:spacing w:val="-58"/>
        </w:rPr>
        <w:t> </w:t>
      </w:r>
      <w:r>
        <w:rPr/>
        <w:t>77,727,034.12</w:t>
      </w:r>
      <w:r>
        <w:rPr>
          <w:spacing w:val="-54"/>
        </w:rPr>
        <w:t> </w:t>
      </w:r>
      <w:r>
        <w:rPr/>
        <w:t>元。</w:t>
      </w:r>
    </w:p>
    <w:p>
      <w:pPr>
        <w:spacing w:line="240" w:lineRule="auto" w:before="8"/>
        <w:rPr>
          <w:rFonts w:ascii="宋体" w:hAnsi="宋体" w:cs="宋体" w:eastAsia="宋体" w:hint="default"/>
          <w:sz w:val="20"/>
          <w:szCs w:val="20"/>
        </w:rPr>
      </w:pPr>
    </w:p>
    <w:p>
      <w:pPr>
        <w:pStyle w:val="BodyText"/>
        <w:spacing w:line="338" w:lineRule="auto"/>
        <w:ind w:left="252" w:right="146" w:firstLine="422"/>
        <w:jc w:val="both"/>
      </w:pPr>
      <w:r>
        <w:rPr>
          <w:spacing w:val="5"/>
        </w:rPr>
        <w:t>经董事会研究决定，2011</w:t>
      </w:r>
      <w:r>
        <w:rPr>
          <w:spacing w:val="-55"/>
        </w:rPr>
        <w:t> </w:t>
      </w:r>
      <w:r>
        <w:rPr>
          <w:spacing w:val="6"/>
        </w:rPr>
        <w:t>年度的利润分配及资本公积转增股本预案为：公司拟以</w:t>
      </w:r>
      <w:r>
        <w:rPr>
          <w:spacing w:val="-54"/>
        </w:rPr>
        <w:t> </w:t>
      </w:r>
      <w:r>
        <w:rPr/>
        <w:t>2011</w:t>
      </w:r>
      <w:r>
        <w:rPr>
          <w:spacing w:val="-54"/>
        </w:rPr>
        <w:t> </w:t>
      </w:r>
      <w:r>
        <w:rPr>
          <w:spacing w:val="5"/>
        </w:rPr>
        <w:t>年末总股本</w:t>
      </w:r>
      <w:r>
        <w:rPr>
          <w:w w:val="99"/>
        </w:rPr>
        <w:t> 5,350</w:t>
      </w:r>
      <w:r>
        <w:rPr>
          <w:spacing w:val="-51"/>
          <w:w w:val="99"/>
        </w:rPr>
        <w:t> </w:t>
      </w:r>
      <w:r>
        <w:rPr>
          <w:spacing w:val="-3"/>
          <w:w w:val="99"/>
        </w:rPr>
        <w:t>万股为基数，向全体股东每</w:t>
      </w:r>
      <w:r>
        <w:rPr>
          <w:spacing w:val="-50"/>
          <w:w w:val="99"/>
        </w:rPr>
        <w:t> </w:t>
      </w:r>
      <w:r>
        <w:rPr>
          <w:w w:val="99"/>
        </w:rPr>
        <w:t>10</w:t>
      </w:r>
      <w:r>
        <w:rPr>
          <w:spacing w:val="-51"/>
          <w:w w:val="99"/>
        </w:rPr>
        <w:t> </w:t>
      </w:r>
      <w:r>
        <w:rPr>
          <w:spacing w:val="1"/>
          <w:w w:val="99"/>
        </w:rPr>
        <w:t>股派发现金股利人民币</w:t>
      </w:r>
      <w:r>
        <w:rPr>
          <w:spacing w:val="-47"/>
          <w:w w:val="99"/>
        </w:rPr>
        <w:t> </w:t>
      </w:r>
      <w:r>
        <w:rPr>
          <w:w w:val="99"/>
        </w:rPr>
        <w:t>1.00</w:t>
      </w:r>
      <w:r>
        <w:rPr>
          <w:spacing w:val="-48"/>
          <w:w w:val="99"/>
        </w:rPr>
        <w:t> </w:t>
      </w:r>
      <w:r>
        <w:rPr>
          <w:spacing w:val="-15"/>
          <w:w w:val="99"/>
        </w:rPr>
        <w:t>元（含税），合计派发现金</w:t>
      </w:r>
      <w:r>
        <w:rPr>
          <w:spacing w:val="-50"/>
          <w:w w:val="99"/>
        </w:rPr>
        <w:t> </w:t>
      </w:r>
      <w:r>
        <w:rPr>
          <w:w w:val="99"/>
        </w:rPr>
        <w:t>5,350,000.00</w:t>
      </w:r>
      <w:r>
        <w:rPr/>
      </w:r>
    </w:p>
    <w:p>
      <w:pPr>
        <w:pStyle w:val="BodyText"/>
        <w:spacing w:line="240" w:lineRule="auto" w:before="30"/>
        <w:ind w:left="252" w:right="0"/>
        <w:jc w:val="left"/>
      </w:pPr>
      <w:r>
        <w:rPr/>
        <w:t>元，剩余未分配利润结转下一年度；同时，拟以</w:t>
      </w:r>
      <w:r>
        <w:rPr>
          <w:spacing w:val="-59"/>
        </w:rPr>
        <w:t> </w:t>
      </w:r>
      <w:r>
        <w:rPr/>
        <w:t>2011</w:t>
      </w:r>
      <w:r>
        <w:rPr>
          <w:spacing w:val="-59"/>
        </w:rPr>
        <w:t> </w:t>
      </w:r>
      <w:r>
        <w:rPr/>
        <w:t>年末总股本</w:t>
      </w:r>
      <w:r>
        <w:rPr>
          <w:spacing w:val="-56"/>
        </w:rPr>
        <w:t> </w:t>
      </w:r>
      <w:r>
        <w:rPr/>
        <w:t>5,350</w:t>
      </w:r>
      <w:r>
        <w:rPr>
          <w:spacing w:val="-59"/>
        </w:rPr>
        <w:t> </w:t>
      </w:r>
      <w:r>
        <w:rPr/>
        <w:t>万股为基数，以资本公积每</w:t>
      </w:r>
      <w:r>
        <w:rPr>
          <w:spacing w:val="-59"/>
        </w:rPr>
        <w:t> </w:t>
      </w:r>
      <w:r>
        <w:rPr/>
        <w:t>10</w:t>
      </w:r>
      <w:r>
        <w:rPr>
          <w:spacing w:val="-57"/>
        </w:rPr>
        <w:t> </w:t>
      </w:r>
      <w:r>
        <w:rPr/>
        <w:t>股</w:t>
      </w:r>
    </w:p>
    <w:p>
      <w:pPr>
        <w:pStyle w:val="BodyText"/>
        <w:spacing w:line="240" w:lineRule="auto" w:before="114"/>
        <w:ind w:left="252" w:right="0"/>
        <w:jc w:val="left"/>
      </w:pPr>
      <w:r>
        <w:rPr/>
        <w:t>转增</w:t>
      </w:r>
      <w:r>
        <w:rPr>
          <w:spacing w:val="-55"/>
        </w:rPr>
        <w:t> </w:t>
      </w:r>
      <w:r>
        <w:rPr/>
        <w:t>10</w:t>
      </w:r>
      <w:r>
        <w:rPr>
          <w:spacing w:val="-53"/>
        </w:rPr>
        <w:t> </w:t>
      </w:r>
      <w:r>
        <w:rPr/>
        <w:t>股，共计转增</w:t>
      </w:r>
      <w:r>
        <w:rPr>
          <w:spacing w:val="-57"/>
        </w:rPr>
        <w:t> </w:t>
      </w:r>
      <w:r>
        <w:rPr/>
        <w:t>5,350</w:t>
      </w:r>
      <w:r>
        <w:rPr>
          <w:spacing w:val="-53"/>
        </w:rPr>
        <w:t> </w:t>
      </w:r>
      <w:r>
        <w:rPr/>
        <w:t>万股，转增后公司总股本将增加至</w:t>
      </w:r>
      <w:r>
        <w:rPr>
          <w:spacing w:val="-55"/>
        </w:rPr>
        <w:t> </w:t>
      </w:r>
      <w:r>
        <w:rPr/>
        <w:t>10,700</w:t>
      </w:r>
      <w:r>
        <w:rPr>
          <w:spacing w:val="-53"/>
        </w:rPr>
        <w:t> </w:t>
      </w:r>
      <w:r>
        <w:rPr/>
        <w:t>万股。</w:t>
      </w:r>
    </w:p>
    <w:p>
      <w:pPr>
        <w:spacing w:line="240" w:lineRule="auto" w:before="11"/>
        <w:rPr>
          <w:rFonts w:ascii="宋体" w:hAnsi="宋体" w:cs="宋体" w:eastAsia="宋体" w:hint="default"/>
          <w:sz w:val="20"/>
          <w:szCs w:val="20"/>
        </w:rPr>
      </w:pPr>
    </w:p>
    <w:p>
      <w:pPr>
        <w:pStyle w:val="BodyText"/>
        <w:spacing w:line="240" w:lineRule="auto"/>
        <w:ind w:left="675" w:right="0"/>
        <w:jc w:val="left"/>
      </w:pPr>
      <w:r>
        <w:rPr/>
        <w:t>上述议案尚需提交公司</w:t>
      </w:r>
      <w:r>
        <w:rPr>
          <w:spacing w:val="-58"/>
        </w:rPr>
        <w:t> </w:t>
      </w:r>
      <w:r>
        <w:rPr/>
        <w:t>2011</w:t>
      </w:r>
      <w:r>
        <w:rPr>
          <w:spacing w:val="-57"/>
        </w:rPr>
        <w:t> </w:t>
      </w:r>
      <w:r>
        <w:rPr/>
        <w:t>年度股东大会审议。</w:t>
      </w:r>
    </w:p>
    <w:p>
      <w:pPr>
        <w:spacing w:line="240" w:lineRule="auto" w:before="9"/>
        <w:rPr>
          <w:rFonts w:ascii="宋体" w:hAnsi="宋体" w:cs="宋体" w:eastAsia="宋体" w:hint="default"/>
          <w:sz w:val="15"/>
          <w:szCs w:val="15"/>
        </w:rPr>
      </w:pPr>
    </w:p>
    <w:p>
      <w:pPr>
        <w:pStyle w:val="Heading4"/>
        <w:spacing w:line="240" w:lineRule="auto"/>
        <w:ind w:left="675" w:right="0"/>
        <w:jc w:val="left"/>
        <w:rPr>
          <w:b w:val="0"/>
          <w:bCs w:val="0"/>
        </w:rPr>
      </w:pPr>
      <w:r>
        <w:rPr/>
        <w:t>（三）公司近三年利润分配情况</w:t>
      </w:r>
      <w:r>
        <w:rPr>
          <w:b w:val="0"/>
          <w:bCs w:val="0"/>
        </w:rPr>
      </w:r>
    </w:p>
    <w:p>
      <w:pPr>
        <w:spacing w:before="179"/>
        <w:ind w:left="67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2008     </w:t>
      </w:r>
      <w:r>
        <w:rPr>
          <w:rFonts w:ascii="Microsoft JhengHei" w:hAnsi="Microsoft JhengHei" w:cs="Microsoft JhengHei" w:eastAsia="Microsoft JhengHei" w:hint="default"/>
          <w:b/>
          <w:bCs/>
          <w:spacing w:val="8"/>
          <w:w w:val="95"/>
          <w:sz w:val="21"/>
          <w:szCs w:val="21"/>
        </w:rPr>
        <w:t> </w:t>
      </w:r>
      <w:r>
        <w:rPr>
          <w:rFonts w:ascii="Microsoft JhengHei" w:hAnsi="Microsoft JhengHei" w:cs="Microsoft JhengHei" w:eastAsia="Microsoft JhengHei" w:hint="default"/>
          <w:b/>
          <w:bCs/>
          <w:w w:val="95"/>
          <w:sz w:val="21"/>
          <w:szCs w:val="21"/>
        </w:rPr>
        <w:t>年度：</w:t>
      </w:r>
      <w:r>
        <w:rPr>
          <w:rFonts w:ascii="宋体" w:hAnsi="宋体" w:cs="宋体" w:eastAsia="宋体" w:hint="default"/>
          <w:w w:val="95"/>
          <w:sz w:val="21"/>
          <w:szCs w:val="21"/>
        </w:rPr>
        <w:t>公司未进行现金分红或送红股，也未使用资本公积转增股本。</w:t>
      </w:r>
      <w:r>
        <w:rPr>
          <w:rFonts w:ascii="宋体" w:hAnsi="宋体" w:cs="宋体" w:eastAsia="宋体" w:hint="default"/>
          <w:sz w:val="21"/>
          <w:szCs w:val="21"/>
        </w:rPr>
      </w:r>
    </w:p>
    <w:p>
      <w:pPr>
        <w:spacing w:line="240" w:lineRule="auto" w:before="12"/>
        <w:rPr>
          <w:rFonts w:ascii="宋体" w:hAnsi="宋体" w:cs="宋体" w:eastAsia="宋体" w:hint="default"/>
          <w:sz w:val="13"/>
          <w:szCs w:val="13"/>
        </w:rPr>
      </w:pPr>
    </w:p>
    <w:p>
      <w:pPr>
        <w:pStyle w:val="BodyText"/>
        <w:spacing w:line="319" w:lineRule="auto"/>
        <w:ind w:left="252" w:right="150" w:firstLine="422"/>
        <w:jc w:val="both"/>
      </w:pPr>
      <w:r>
        <w:rPr>
          <w:rFonts w:ascii="Microsoft JhengHei" w:hAnsi="Microsoft JhengHei" w:cs="Microsoft JhengHei" w:eastAsia="Microsoft JhengHei" w:hint="default"/>
          <w:b/>
          <w:bCs/>
        </w:rPr>
        <w:t>2009</w:t>
      </w:r>
      <w:r>
        <w:rPr>
          <w:rFonts w:ascii="Microsoft JhengHei" w:hAnsi="Microsoft JhengHei" w:cs="Microsoft JhengHei" w:eastAsia="Microsoft JhengHei" w:hint="default"/>
          <w:b/>
          <w:bCs/>
          <w:spacing w:val="-9"/>
        </w:rPr>
        <w:t> </w:t>
      </w:r>
      <w:r>
        <w:rPr>
          <w:rFonts w:ascii="Microsoft JhengHei" w:hAnsi="Microsoft JhengHei" w:cs="Microsoft JhengHei" w:eastAsia="Microsoft JhengHei" w:hint="default"/>
          <w:b/>
          <w:bCs/>
        </w:rPr>
        <w:t>年度：</w:t>
      </w:r>
      <w:r>
        <w:rPr/>
        <w:t>2010</w:t>
      </w:r>
      <w:r>
        <w:rPr>
          <w:spacing w:val="-61"/>
        </w:rPr>
        <w:t> </w:t>
      </w:r>
      <w:r>
        <w:rPr/>
        <w:t>年</w:t>
      </w:r>
      <w:r>
        <w:rPr>
          <w:spacing w:val="-62"/>
        </w:rPr>
        <w:t> </w:t>
      </w:r>
      <w:r>
        <w:rPr/>
        <w:t>11</w:t>
      </w:r>
      <w:r>
        <w:rPr>
          <w:spacing w:val="-63"/>
        </w:rPr>
        <w:t> </w:t>
      </w:r>
      <w:r>
        <w:rPr/>
        <w:t>月</w:t>
      </w:r>
      <w:r>
        <w:rPr>
          <w:spacing w:val="-60"/>
        </w:rPr>
        <w:t> </w:t>
      </w:r>
      <w:r>
        <w:rPr/>
        <w:t>8</w:t>
      </w:r>
      <w:r>
        <w:rPr>
          <w:spacing w:val="-61"/>
        </w:rPr>
        <w:t> </w:t>
      </w:r>
      <w:r>
        <w:rPr/>
        <w:t>日，公司</w:t>
      </w:r>
      <w:r>
        <w:rPr>
          <w:spacing w:val="-62"/>
        </w:rPr>
        <w:t> </w:t>
      </w:r>
      <w:r>
        <w:rPr/>
        <w:t>2010</w:t>
      </w:r>
      <w:r>
        <w:rPr>
          <w:spacing w:val="-63"/>
        </w:rPr>
        <w:t> </w:t>
      </w:r>
      <w:r>
        <w:rPr/>
        <w:t>年第一次临时股东大会审议通过了《关于公司对截止</w:t>
      </w:r>
      <w:r>
        <w:rPr>
          <w:spacing w:val="-60"/>
        </w:rPr>
        <w:t> </w:t>
      </w:r>
      <w:r>
        <w:rPr/>
        <w:t>2009</w:t>
      </w:r>
      <w:r>
        <w:rPr>
          <w:w w:val="99"/>
        </w:rPr>
        <w:t> </w:t>
      </w:r>
      <w:r>
        <w:rPr>
          <w:spacing w:val="-1"/>
          <w:w w:val="99"/>
        </w:rPr>
        <w:t>年度的滚存未分配利润进行部分分配的议案》：根据中磊会计师事务所有限责任公司出具的审计报告，公</w:t>
      </w:r>
      <w:r>
        <w:rPr>
          <w:spacing w:val="-61"/>
          <w:w w:val="99"/>
        </w:rPr>
        <w:t> </w:t>
      </w:r>
      <w:r>
        <w:rPr>
          <w:spacing w:val="-61"/>
          <w:w w:val="99"/>
        </w:rPr>
      </w:r>
      <w:r>
        <w:rPr>
          <w:spacing w:val="2"/>
        </w:rPr>
        <w:t>司截止</w:t>
      </w:r>
      <w:r>
        <w:rPr>
          <w:spacing w:val="-49"/>
        </w:rPr>
        <w:t> </w:t>
      </w:r>
      <w:r>
        <w:rPr/>
        <w:t>2009</w:t>
      </w:r>
      <w:r>
        <w:rPr>
          <w:spacing w:val="-52"/>
        </w:rPr>
        <w:t> </w:t>
      </w:r>
      <w:r>
        <w:rPr/>
        <w:t>年</w:t>
      </w:r>
      <w:r>
        <w:rPr>
          <w:spacing w:val="-51"/>
        </w:rPr>
        <w:t> </w:t>
      </w:r>
      <w:r>
        <w:rPr/>
        <w:t>12</w:t>
      </w:r>
      <w:r>
        <w:rPr>
          <w:spacing w:val="-50"/>
        </w:rPr>
        <w:t> </w:t>
      </w:r>
      <w:r>
        <w:rPr/>
        <w:t>月</w:t>
      </w:r>
      <w:r>
        <w:rPr>
          <w:spacing w:val="-51"/>
        </w:rPr>
        <w:t> </w:t>
      </w:r>
      <w:r>
        <w:rPr/>
        <w:t>31</w:t>
      </w:r>
      <w:r>
        <w:rPr>
          <w:spacing w:val="-50"/>
        </w:rPr>
        <w:t> </w:t>
      </w:r>
      <w:r>
        <w:rPr/>
        <w:t>日的未分配利润为</w:t>
      </w:r>
      <w:r>
        <w:rPr>
          <w:spacing w:val="-45"/>
        </w:rPr>
        <w:t> </w:t>
      </w:r>
      <w:r>
        <w:rPr/>
        <w:t>23,480,556.13</w:t>
      </w:r>
      <w:r>
        <w:rPr>
          <w:spacing w:val="-50"/>
        </w:rPr>
        <w:t> </w:t>
      </w:r>
      <w:r>
        <w:rPr>
          <w:spacing w:val="2"/>
        </w:rPr>
        <w:t>元。分配方案：以公司总股本</w:t>
      </w:r>
      <w:r>
        <w:rPr>
          <w:spacing w:val="-47"/>
        </w:rPr>
        <w:t> </w:t>
      </w:r>
      <w:r>
        <w:rPr/>
        <w:t>4,000</w:t>
      </w:r>
      <w:r>
        <w:rPr>
          <w:spacing w:val="-50"/>
        </w:rPr>
        <w:t> </w:t>
      </w:r>
      <w:r>
        <w:rPr/>
        <w:t>万股为基</w:t>
      </w:r>
    </w:p>
    <w:p>
      <w:pPr>
        <w:pStyle w:val="BodyText"/>
        <w:spacing w:line="338" w:lineRule="auto" w:before="47"/>
        <w:ind w:left="252" w:right="148"/>
        <w:jc w:val="left"/>
      </w:pPr>
      <w:r>
        <w:rPr>
          <w:w w:val="99"/>
        </w:rPr>
        <w:t>数，向全体股东每股派发现金红利</w:t>
      </w:r>
      <w:r>
        <w:rPr>
          <w:spacing w:val="-44"/>
          <w:w w:val="99"/>
        </w:rPr>
        <w:t> </w:t>
      </w:r>
      <w:r>
        <w:rPr>
          <w:w w:val="99"/>
        </w:rPr>
        <w:t>0.5</w:t>
      </w:r>
      <w:r>
        <w:rPr>
          <w:spacing w:val="-46"/>
          <w:w w:val="99"/>
        </w:rPr>
        <w:t> </w:t>
      </w:r>
      <w:r>
        <w:rPr>
          <w:spacing w:val="-9"/>
          <w:w w:val="99"/>
        </w:rPr>
        <w:t>元（含税），共计派发现金</w:t>
      </w:r>
      <w:r>
        <w:rPr>
          <w:spacing w:val="-48"/>
          <w:w w:val="99"/>
        </w:rPr>
        <w:t> </w:t>
      </w:r>
      <w:r>
        <w:rPr>
          <w:w w:val="99"/>
        </w:rPr>
        <w:t>2,000</w:t>
      </w:r>
      <w:r>
        <w:rPr>
          <w:spacing w:val="-46"/>
          <w:w w:val="99"/>
        </w:rPr>
        <w:t> </w:t>
      </w:r>
      <w:r>
        <w:rPr>
          <w:spacing w:val="-7"/>
          <w:w w:val="99"/>
        </w:rPr>
        <w:t>万元（含税），剩余未分配利润结</w:t>
      </w:r>
      <w:r>
        <w:rPr>
          <w:w w:val="99"/>
        </w:rPr>
        <w:t> </w:t>
      </w:r>
      <w:r>
        <w:rPr/>
        <w:t>转下一年度。未使用资本公积转增股本。</w:t>
      </w:r>
    </w:p>
    <w:p>
      <w:pPr>
        <w:pStyle w:val="BodyText"/>
        <w:spacing w:line="400" w:lineRule="auto" w:before="119"/>
        <w:ind w:left="675" w:right="360"/>
        <w:jc w:val="left"/>
      </w:pPr>
      <w:r>
        <w:rPr>
          <w:rFonts w:ascii="Microsoft JhengHei" w:hAnsi="Microsoft JhengHei" w:cs="Microsoft JhengHei" w:eastAsia="Microsoft JhengHei" w:hint="default"/>
          <w:b/>
          <w:bCs/>
          <w:w w:val="95"/>
        </w:rPr>
        <w:t>2010 年度：</w:t>
      </w:r>
      <w:r>
        <w:rPr>
          <w:w w:val="95"/>
        </w:rPr>
        <w:t>公司未进行现金分红或送红股，也未使用资本公积转增股本。</w:t>
      </w:r>
      <w:r>
        <w:rPr>
          <w:spacing w:val="-42"/>
          <w:w w:val="95"/>
        </w:rPr>
        <w:t> </w:t>
      </w:r>
      <w:r>
        <w:rPr>
          <w:spacing w:val="-42"/>
          <w:w w:val="95"/>
        </w:rPr>
      </w:r>
      <w:r>
        <w:rPr/>
        <w:t>近三年现金股利分配情况表</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421"/>
        <w:gridCol w:w="1555"/>
        <w:gridCol w:w="2554"/>
        <w:gridCol w:w="2410"/>
        <w:gridCol w:w="1879"/>
      </w:tblGrid>
      <w:tr>
        <w:trPr>
          <w:trHeight w:val="905" w:hRule="exact"/>
        </w:trPr>
        <w:tc>
          <w:tcPr>
            <w:tcW w:w="1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5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45"/>
              <w:ind w:left="232" w:right="0"/>
              <w:jc w:val="left"/>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144" w:right="0"/>
              <w:jc w:val="left"/>
              <w:rPr>
                <w:rFonts w:ascii="宋体" w:hAnsi="宋体" w:cs="宋体" w:eastAsia="宋体" w:hint="default"/>
                <w:sz w:val="18"/>
                <w:szCs w:val="18"/>
              </w:rPr>
            </w:pPr>
            <w:r>
              <w:rPr>
                <w:rFonts w:ascii="宋体" w:hAnsi="宋体" w:cs="宋体" w:eastAsia="宋体" w:hint="default"/>
                <w:sz w:val="18"/>
                <w:szCs w:val="18"/>
              </w:rPr>
              <w:t>（含税）（元）</w:t>
            </w:r>
          </w:p>
        </w:tc>
        <w:tc>
          <w:tcPr>
            <w:tcW w:w="25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16" w:lineRule="auto" w:before="145"/>
              <w:ind w:left="192" w:right="191"/>
              <w:jc w:val="left"/>
              <w:rPr>
                <w:rFonts w:ascii="宋体" w:hAnsi="宋体" w:cs="宋体" w:eastAsia="宋体" w:hint="default"/>
                <w:sz w:val="18"/>
                <w:szCs w:val="18"/>
              </w:rPr>
            </w:pPr>
            <w:r>
              <w:rPr>
                <w:rFonts w:ascii="宋体" w:hAnsi="宋体" w:cs="宋体" w:eastAsia="宋体" w:hint="default"/>
                <w:sz w:val="18"/>
                <w:szCs w:val="18"/>
              </w:rPr>
              <w:t>分红年度合并报表中归属于 母公司股东的净利润（元）</w:t>
            </w:r>
          </w:p>
        </w:tc>
        <w:tc>
          <w:tcPr>
            <w:tcW w:w="241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16" w:lineRule="auto" w:before="145"/>
              <w:ind w:left="391" w:right="119" w:hanging="272"/>
              <w:jc w:val="left"/>
              <w:rPr>
                <w:rFonts w:ascii="宋体" w:hAnsi="宋体" w:cs="宋体" w:eastAsia="宋体" w:hint="default"/>
                <w:sz w:val="18"/>
                <w:szCs w:val="18"/>
              </w:rPr>
            </w:pPr>
            <w:r>
              <w:rPr>
                <w:rFonts w:ascii="宋体" w:hAnsi="宋体" w:cs="宋体" w:eastAsia="宋体" w:hint="default"/>
                <w:sz w:val="18"/>
                <w:szCs w:val="18"/>
              </w:rPr>
              <w:t>占合并报表中归属于母公司 股东的净利润的比率</w:t>
            </w:r>
          </w:p>
        </w:tc>
        <w:tc>
          <w:tcPr>
            <w:tcW w:w="187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316" w:lineRule="auto" w:before="145"/>
              <w:ind w:left="124" w:right="122"/>
              <w:jc w:val="left"/>
              <w:rPr>
                <w:rFonts w:ascii="宋体" w:hAnsi="宋体" w:cs="宋体" w:eastAsia="宋体" w:hint="default"/>
                <w:sz w:val="18"/>
                <w:szCs w:val="18"/>
              </w:rPr>
            </w:pPr>
            <w:r>
              <w:rPr>
                <w:rFonts w:ascii="宋体" w:hAnsi="宋体" w:cs="宋体" w:eastAsia="宋体" w:hint="default"/>
                <w:sz w:val="18"/>
                <w:szCs w:val="18"/>
              </w:rPr>
              <w:t>分红年度母公司实现 的可分配利润（元）</w:t>
            </w:r>
          </w:p>
        </w:tc>
      </w:tr>
      <w:tr>
        <w:trPr>
          <w:trHeight w:val="37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294,708.65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宋体" w:hAnsi="宋体" w:cs="宋体" w:eastAsia="宋体" w:hint="default"/>
                <w:sz w:val="18"/>
                <w:szCs w:val="18"/>
              </w:rPr>
            </w:pPr>
            <w:r>
              <w:rPr>
                <w:rFonts w:ascii="宋体"/>
                <w:spacing w:val="-1"/>
                <w:sz w:val="18"/>
              </w:rPr>
              <w:t>826,037.48</w:t>
            </w:r>
          </w:p>
        </w:tc>
      </w:tr>
      <w:tr>
        <w:trPr>
          <w:trHeight w:val="37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20,000,000.00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23,940,122.00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83.54%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23,480,556.13</w:t>
            </w:r>
          </w:p>
        </w:tc>
      </w:tr>
      <w:tr>
        <w:trPr>
          <w:trHeight w:val="37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35,688,110.04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宋体" w:hAnsi="宋体" w:cs="宋体" w:eastAsia="宋体" w:hint="default"/>
                <w:sz w:val="18"/>
                <w:szCs w:val="18"/>
              </w:rPr>
            </w:pPr>
            <w:r>
              <w:rPr>
                <w:rFonts w:ascii="宋体"/>
                <w:spacing w:val="-1"/>
                <w:sz w:val="18"/>
              </w:rPr>
              <w:t>35,867,194.89</w:t>
            </w:r>
          </w:p>
        </w:tc>
      </w:tr>
      <w:tr>
        <w:trPr>
          <w:trHeight w:val="37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宋体" w:hAnsi="宋体" w:cs="宋体" w:eastAsia="宋体" w:hint="default"/>
                <w:sz w:val="18"/>
                <w:szCs w:val="18"/>
              </w:rPr>
            </w:pPr>
            <w:r>
              <w:rPr>
                <w:rFonts w:ascii="宋体"/>
                <w:spacing w:val="-1"/>
                <w:sz w:val="18"/>
              </w:rPr>
              <w:t>20,000,000.00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59,922,940.69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宋体" w:hAnsi="宋体" w:cs="宋体" w:eastAsia="宋体" w:hint="default"/>
                <w:sz w:val="18"/>
                <w:szCs w:val="18"/>
              </w:rPr>
            </w:pPr>
            <w:r>
              <w:rPr>
                <w:rFonts w:ascii="宋体"/>
                <w:spacing w:val="-1"/>
                <w:sz w:val="18"/>
              </w:rPr>
              <w:t>60,173,788.50</w:t>
            </w:r>
          </w:p>
        </w:tc>
      </w:tr>
      <w:tr>
        <w:trPr>
          <w:trHeight w:val="370" w:hRule="exact"/>
        </w:trPr>
        <w:tc>
          <w:tcPr>
            <w:tcW w:w="79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最近三年母公司实现的年均可分配利润（元）</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宋体" w:hAnsi="宋体" w:cs="宋体" w:eastAsia="宋体" w:hint="default"/>
                <w:sz w:val="18"/>
                <w:szCs w:val="18"/>
              </w:rPr>
            </w:pPr>
            <w:r>
              <w:rPr>
                <w:rFonts w:ascii="宋体"/>
                <w:spacing w:val="-1"/>
                <w:sz w:val="18"/>
              </w:rPr>
              <w:t>20,057,929.50</w:t>
            </w:r>
          </w:p>
        </w:tc>
      </w:tr>
      <w:tr>
        <w:trPr>
          <w:trHeight w:val="370" w:hRule="exact"/>
        </w:trPr>
        <w:tc>
          <w:tcPr>
            <w:tcW w:w="79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最近三年累计现金分红金额占最近三年母公司实现的年均可分配利润的比例（%）</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宋体" w:hAnsi="宋体" w:cs="宋体" w:eastAsia="宋体" w:hint="default"/>
                <w:sz w:val="18"/>
                <w:szCs w:val="18"/>
              </w:rPr>
            </w:pPr>
            <w:r>
              <w:rPr>
                <w:rFonts w:ascii="宋体"/>
                <w:sz w:val="18"/>
              </w:rPr>
              <w:t>99.717%</w:t>
            </w:r>
          </w:p>
        </w:tc>
      </w:tr>
    </w:tbl>
    <w:p>
      <w:pPr>
        <w:spacing w:line="240" w:lineRule="auto" w:before="3"/>
        <w:rPr>
          <w:rFonts w:ascii="宋体" w:hAnsi="宋体" w:cs="宋体" w:eastAsia="宋体" w:hint="default"/>
          <w:sz w:val="14"/>
          <w:szCs w:val="14"/>
        </w:rPr>
      </w:pPr>
    </w:p>
    <w:p>
      <w:pPr>
        <w:pStyle w:val="Heading4"/>
        <w:spacing w:line="333" w:lineRule="exact"/>
        <w:ind w:left="252" w:right="0"/>
        <w:jc w:val="left"/>
        <w:rPr>
          <w:b w:val="0"/>
          <w:bCs w:val="0"/>
        </w:rPr>
      </w:pPr>
      <w:r>
        <w:rPr/>
        <w:t>七、报告期内，公司不存在重大环保或其他重大社会安全问题</w:t>
      </w:r>
      <w:r>
        <w:rPr>
          <w:b w:val="0"/>
          <w:bCs w:val="0"/>
        </w:rPr>
      </w:r>
    </w:p>
    <w:p>
      <w:pPr>
        <w:spacing w:line="240" w:lineRule="auto" w:before="15"/>
        <w:rPr>
          <w:rFonts w:ascii="Microsoft JhengHei" w:hAnsi="Microsoft JhengHei" w:cs="Microsoft JhengHei" w:eastAsia="Microsoft JhengHei" w:hint="default"/>
          <w:b/>
          <w:bCs/>
          <w:sz w:val="14"/>
          <w:szCs w:val="14"/>
        </w:rPr>
      </w:pPr>
    </w:p>
    <w:p>
      <w:pPr>
        <w:pStyle w:val="Heading4"/>
        <w:spacing w:line="240" w:lineRule="auto"/>
        <w:ind w:left="252" w:right="0"/>
        <w:jc w:val="left"/>
        <w:rPr>
          <w:b w:val="0"/>
          <w:bCs w:val="0"/>
        </w:rPr>
      </w:pPr>
      <w:r>
        <w:rPr/>
        <w:t>八、报告期内，内幕信息知情人管理制度的建立和执行情况</w:t>
      </w:r>
      <w:r>
        <w:rPr>
          <w:b w:val="0"/>
          <w:bCs w:val="0"/>
        </w:rPr>
      </w:r>
    </w:p>
    <w:p>
      <w:pPr>
        <w:spacing w:line="240" w:lineRule="auto" w:before="11"/>
        <w:rPr>
          <w:rFonts w:ascii="Microsoft JhengHei" w:hAnsi="Microsoft JhengHei" w:cs="Microsoft JhengHei" w:eastAsia="Microsoft JhengHei" w:hint="default"/>
          <w:b/>
          <w:bCs/>
          <w:sz w:val="12"/>
          <w:szCs w:val="12"/>
        </w:rPr>
      </w:pPr>
    </w:p>
    <w:p>
      <w:pPr>
        <w:spacing w:line="400" w:lineRule="auto" w:before="0"/>
        <w:ind w:left="67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（一）内幕信息知情人管理制度的建设情况</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为了规范公司的内幕信息管理，加强内幕信息保密工作，维护信息披露公开、公平、公正原则，保护</w:t>
      </w:r>
      <w:r>
        <w:rPr>
          <w:rFonts w:ascii="宋体" w:hAnsi="宋体" w:cs="宋体" w:eastAsia="宋体" w:hint="default"/>
          <w:sz w:val="21"/>
          <w:szCs w:val="21"/>
        </w:rPr>
      </w:r>
    </w:p>
    <w:p>
      <w:pPr>
        <w:spacing w:after="0" w:line="400" w:lineRule="auto"/>
        <w:jc w:val="left"/>
        <w:rPr>
          <w:rFonts w:ascii="宋体" w:hAnsi="宋体" w:cs="宋体" w:eastAsia="宋体" w:hint="default"/>
          <w:sz w:val="21"/>
          <w:szCs w:val="21"/>
        </w:rPr>
        <w:sectPr>
          <w:pgSz w:w="11910" w:h="16840"/>
          <w:pgMar w:header="849" w:footer="976" w:top="1460" w:bottom="1160" w:left="880" w:right="98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bookmarkStart w:name="第四章重要事项" w:id="7"/>
                      <w:bookmarkEnd w:id="7"/>
                      <w:r>
                        <w:rPr/>
                      </w:r>
                      <w:r>
                        <w:rPr>
                          <w:rFonts w:ascii="宋体" w:hAnsi="宋体" w:cs="宋体" w:eastAsia="宋体" w:hint="default"/>
                          <w:spacing w:val="2"/>
                          <w:w w:val="99"/>
                          <w:sz w:val="21"/>
                          <w:szCs w:val="21"/>
                        </w:rPr>
                        <w:t>广</w:t>
                      </w:r>
                      <w:r>
                        <w:rPr>
                          <w:rFonts w:ascii="宋体" w:hAnsi="宋体" w:cs="宋体" w:eastAsia="宋体" w:hint="default"/>
                          <w:w w:val="99"/>
                          <w:sz w:val="21"/>
                          <w:szCs w:val="21"/>
                        </w:rPr>
                        <w:t>大</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者</w:t>
                      </w:r>
                      <w:r>
                        <w:rPr>
                          <w:rFonts w:ascii="宋体" w:hAnsi="宋体" w:cs="宋体" w:eastAsia="宋体" w:hint="default"/>
                          <w:w w:val="99"/>
                          <w:sz w:val="21"/>
                          <w:szCs w:val="21"/>
                        </w:rPr>
                        <w:t>的</w:t>
                      </w:r>
                      <w:r>
                        <w:rPr>
                          <w:rFonts w:ascii="宋体" w:hAnsi="宋体" w:cs="宋体" w:eastAsia="宋体" w:hint="default"/>
                          <w:spacing w:val="2"/>
                          <w:w w:val="99"/>
                          <w:sz w:val="21"/>
                          <w:szCs w:val="21"/>
                        </w:rPr>
                        <w:t>合</w:t>
                      </w:r>
                      <w:r>
                        <w:rPr>
                          <w:rFonts w:ascii="宋体" w:hAnsi="宋体" w:cs="宋体" w:eastAsia="宋体" w:hint="default"/>
                          <w:w w:val="99"/>
                          <w:sz w:val="21"/>
                          <w:szCs w:val="21"/>
                        </w:rPr>
                        <w:t>法</w:t>
                      </w:r>
                      <w:r>
                        <w:rPr>
                          <w:rFonts w:ascii="宋体" w:hAnsi="宋体" w:cs="宋体" w:eastAsia="宋体" w:hint="default"/>
                          <w:spacing w:val="2"/>
                          <w:w w:val="99"/>
                          <w:sz w:val="21"/>
                          <w:szCs w:val="21"/>
                        </w:rPr>
                        <w:t>权益</w:t>
                      </w:r>
                      <w:r>
                        <w:rPr>
                          <w:rFonts w:ascii="宋体" w:hAnsi="宋体" w:cs="宋体" w:eastAsia="宋体" w:hint="default"/>
                          <w:spacing w:val="-5"/>
                          <w:w w:val="99"/>
                          <w:sz w:val="21"/>
                          <w:szCs w:val="21"/>
                        </w:rPr>
                        <w:t>，</w:t>
                      </w:r>
                      <w:r>
                        <w:rPr>
                          <w:rFonts w:ascii="宋体" w:hAnsi="宋体" w:cs="宋体" w:eastAsia="宋体" w:hint="default"/>
                          <w:spacing w:val="2"/>
                          <w:w w:val="99"/>
                          <w:sz w:val="21"/>
                          <w:szCs w:val="21"/>
                        </w:rPr>
                        <w:t>根</w:t>
                      </w:r>
                      <w:r>
                        <w:rPr>
                          <w:rFonts w:ascii="宋体" w:hAnsi="宋体" w:cs="宋体" w:eastAsia="宋体" w:hint="default"/>
                          <w:spacing w:val="-3"/>
                          <w:w w:val="99"/>
                          <w:sz w:val="21"/>
                          <w:szCs w:val="21"/>
                        </w:rPr>
                        <w:t>据</w:t>
                      </w:r>
                      <w:r>
                        <w:rPr>
                          <w:rFonts w:ascii="宋体" w:hAnsi="宋体" w:cs="宋体" w:eastAsia="宋体" w:hint="default"/>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法</w:t>
                      </w:r>
                      <w:r>
                        <w:rPr>
                          <w:rFonts w:ascii="宋体" w:hAnsi="宋体" w:cs="宋体" w:eastAsia="宋体" w:hint="default"/>
                          <w:spacing w:val="-106"/>
                          <w:w w:val="99"/>
                          <w:sz w:val="21"/>
                          <w:szCs w:val="21"/>
                        </w:rPr>
                        <w:t>》</w:t>
                      </w:r>
                      <w:r>
                        <w:rPr>
                          <w:rFonts w:ascii="宋体" w:hAnsi="宋体" w:cs="宋体" w:eastAsia="宋体" w:hint="default"/>
                          <w:spacing w:val="-108"/>
                          <w:w w:val="99"/>
                          <w:sz w:val="21"/>
                          <w:szCs w:val="21"/>
                        </w:rPr>
                        <w:t>、</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法</w:t>
                      </w:r>
                      <w:r>
                        <w:rPr>
                          <w:rFonts w:ascii="宋体" w:hAnsi="宋体" w:cs="宋体" w:eastAsia="宋体" w:hint="default"/>
                          <w:spacing w:val="-106"/>
                          <w:w w:val="99"/>
                          <w:sz w:val="21"/>
                          <w:szCs w:val="21"/>
                        </w:rPr>
                        <w:t>》</w:t>
                      </w:r>
                      <w:r>
                        <w:rPr>
                          <w:rFonts w:ascii="宋体" w:hAnsi="宋体" w:cs="宋体" w:eastAsia="宋体" w:hint="default"/>
                          <w:spacing w:val="-108"/>
                          <w:w w:val="99"/>
                          <w:sz w:val="21"/>
                          <w:szCs w:val="21"/>
                        </w:rPr>
                        <w:t>、</w:t>
                      </w:r>
                      <w:r>
                        <w:rPr>
                          <w:rFonts w:ascii="宋体" w:hAnsi="宋体" w:cs="宋体" w:eastAsia="宋体" w:hint="default"/>
                          <w:spacing w:val="2"/>
                          <w:w w:val="99"/>
                          <w:sz w:val="21"/>
                          <w:szCs w:val="21"/>
                        </w:rPr>
                        <w:t>《上</w:t>
                      </w:r>
                      <w:r>
                        <w:rPr>
                          <w:rFonts w:ascii="宋体" w:hAnsi="宋体" w:cs="宋体" w:eastAsia="宋体" w:hint="default"/>
                          <w:w w:val="99"/>
                          <w:sz w:val="21"/>
                          <w:szCs w:val="21"/>
                        </w:rPr>
                        <w:t>市</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信</w:t>
                      </w:r>
                      <w:r>
                        <w:rPr>
                          <w:rFonts w:ascii="宋体" w:hAnsi="宋体" w:cs="宋体" w:eastAsia="宋体" w:hint="default"/>
                          <w:w w:val="99"/>
                          <w:sz w:val="21"/>
                          <w:szCs w:val="21"/>
                        </w:rPr>
                        <w:t>息</w:t>
                      </w:r>
                      <w:r>
                        <w:rPr>
                          <w:rFonts w:ascii="宋体" w:hAnsi="宋体" w:cs="宋体" w:eastAsia="宋体" w:hint="default"/>
                          <w:spacing w:val="2"/>
                          <w:w w:val="99"/>
                          <w:sz w:val="21"/>
                          <w:szCs w:val="21"/>
                        </w:rPr>
                        <w:t>披</w:t>
                      </w:r>
                      <w:r>
                        <w:rPr>
                          <w:rFonts w:ascii="宋体" w:hAnsi="宋体" w:cs="宋体" w:eastAsia="宋体" w:hint="default"/>
                          <w:w w:val="99"/>
                          <w:sz w:val="21"/>
                          <w:szCs w:val="21"/>
                        </w:rPr>
                        <w:t>露</w:t>
                      </w:r>
                      <w:r>
                        <w:rPr>
                          <w:rFonts w:ascii="宋体" w:hAnsi="宋体" w:cs="宋体" w:eastAsia="宋体" w:hint="default"/>
                          <w:spacing w:val="2"/>
                          <w:w w:val="99"/>
                          <w:sz w:val="21"/>
                          <w:szCs w:val="21"/>
                        </w:rPr>
                        <w:t>管</w:t>
                      </w:r>
                      <w:r>
                        <w:rPr>
                          <w:rFonts w:ascii="宋体" w:hAnsi="宋体" w:cs="宋体" w:eastAsia="宋体" w:hint="default"/>
                          <w:w w:val="99"/>
                          <w:sz w:val="21"/>
                          <w:szCs w:val="21"/>
                        </w:rPr>
                        <w:t>理</w:t>
                      </w:r>
                      <w:r>
                        <w:rPr>
                          <w:rFonts w:ascii="宋体" w:hAnsi="宋体" w:cs="宋体" w:eastAsia="宋体" w:hint="default"/>
                          <w:spacing w:val="2"/>
                          <w:w w:val="99"/>
                          <w:sz w:val="21"/>
                          <w:szCs w:val="21"/>
                        </w:rPr>
                        <w:t>办</w:t>
                      </w:r>
                      <w:r>
                        <w:rPr>
                          <w:rFonts w:ascii="宋体" w:hAnsi="宋体" w:cs="宋体" w:eastAsia="宋体" w:hint="default"/>
                          <w:w w:val="99"/>
                          <w:sz w:val="21"/>
                          <w:szCs w:val="21"/>
                        </w:rPr>
                        <w:t>法</w:t>
                      </w:r>
                      <w:r>
                        <w:rPr>
                          <w:rFonts w:ascii="宋体" w:hAnsi="宋体" w:cs="宋体" w:eastAsia="宋体" w:hint="default"/>
                          <w:spacing w:val="-104"/>
                          <w:w w:val="99"/>
                          <w:sz w:val="21"/>
                          <w:szCs w:val="21"/>
                        </w:rPr>
                        <w:t>》</w:t>
                      </w:r>
                      <w:r>
                        <w:rPr>
                          <w:rFonts w:ascii="宋体" w:hAnsi="宋体" w:cs="宋体" w:eastAsia="宋体" w:hint="default"/>
                          <w:spacing w:val="-108"/>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深</w:t>
                      </w:r>
                      <w:r>
                        <w:rPr>
                          <w:rFonts w:ascii="宋体" w:hAnsi="宋体" w:cs="宋体" w:eastAsia="宋体" w:hint="default"/>
                          <w:w w:val="99"/>
                          <w:sz w:val="21"/>
                          <w:szCs w:val="21"/>
                        </w:rPr>
                        <w:t>圳</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交</w:t>
                      </w:r>
                      <w:r>
                        <w:rPr>
                          <w:rFonts w:ascii="宋体" w:hAnsi="宋体" w:cs="宋体" w:eastAsia="宋体" w:hint="default"/>
                          <w:w w:val="99"/>
                          <w:sz w:val="21"/>
                          <w:szCs w:val="21"/>
                        </w:rPr>
                        <w:t>易</w:t>
                      </w:r>
                      <w:r>
                        <w:rPr>
                          <w:rFonts w:ascii="宋体" w:hAnsi="宋体" w:cs="宋体" w:eastAsia="宋体" w:hint="default"/>
                          <w:spacing w:val="2"/>
                          <w:w w:val="99"/>
                          <w:sz w:val="21"/>
                          <w:szCs w:val="21"/>
                        </w:rPr>
                        <w:t>所</w:t>
                      </w:r>
                      <w:r>
                        <w:rPr>
                          <w:rFonts w:ascii="宋体" w:hAnsi="宋体" w:cs="宋体" w:eastAsia="宋体" w:hint="default"/>
                          <w:w w:val="99"/>
                          <w:sz w:val="21"/>
                          <w:szCs w:val="21"/>
                        </w:rPr>
                        <w:t>创</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103"/>
        <w:jc w:val="left"/>
      </w:pPr>
      <w:r>
        <w:rPr/>
        <w:t>业板股票上市规则》等有关法律、法规、规范性文件及《公司章程》的有关规定，报告期内公司专门制定</w:t>
      </w:r>
      <w:r>
        <w:rPr>
          <w:w w:val="99"/>
        </w:rPr>
        <w:t> </w:t>
      </w:r>
      <w:r>
        <w:rPr>
          <w:spacing w:val="-12"/>
          <w:w w:val="99"/>
        </w:rPr>
        <w:t>了《内幕信息知情人登记管理制度》，并于</w:t>
      </w:r>
      <w:r>
        <w:rPr>
          <w:spacing w:val="-46"/>
          <w:w w:val="99"/>
        </w:rPr>
        <w:t> </w:t>
      </w:r>
      <w:r>
        <w:rPr>
          <w:w w:val="99"/>
        </w:rPr>
        <w:t>2011</w:t>
      </w:r>
      <w:r>
        <w:rPr>
          <w:spacing w:val="-47"/>
          <w:w w:val="99"/>
        </w:rPr>
        <w:t> </w:t>
      </w:r>
      <w:r>
        <w:rPr>
          <w:w w:val="99"/>
        </w:rPr>
        <w:t>年</w:t>
      </w:r>
      <w:r>
        <w:rPr>
          <w:spacing w:val="-46"/>
          <w:w w:val="99"/>
        </w:rPr>
        <w:t> </w:t>
      </w:r>
      <w:r>
        <w:rPr>
          <w:w w:val="99"/>
        </w:rPr>
        <w:t>11</w:t>
      </w:r>
      <w:r>
        <w:rPr>
          <w:spacing w:val="-44"/>
          <w:w w:val="99"/>
        </w:rPr>
        <w:t> </w:t>
      </w:r>
      <w:r>
        <w:rPr>
          <w:w w:val="99"/>
        </w:rPr>
        <w:t>月</w:t>
      </w:r>
      <w:r>
        <w:rPr>
          <w:spacing w:val="-46"/>
          <w:w w:val="99"/>
        </w:rPr>
        <w:t> </w:t>
      </w:r>
      <w:r>
        <w:rPr>
          <w:w w:val="99"/>
        </w:rPr>
        <w:t>28</w:t>
      </w:r>
      <w:r>
        <w:rPr>
          <w:spacing w:val="-44"/>
          <w:w w:val="99"/>
        </w:rPr>
        <w:t> </w:t>
      </w:r>
      <w:r>
        <w:rPr>
          <w:w w:val="99"/>
        </w:rPr>
        <w:t>日经公司第一届董事会第二十次会议审议通过。</w:t>
      </w:r>
      <w:r>
        <w:rPr/>
      </w:r>
    </w:p>
    <w:p>
      <w:pPr>
        <w:pStyle w:val="Heading4"/>
        <w:spacing w:line="357" w:lineRule="auto" w:before="117"/>
        <w:ind w:right="5421"/>
        <w:jc w:val="left"/>
        <w:rPr>
          <w:b w:val="0"/>
          <w:bCs w:val="0"/>
        </w:rPr>
      </w:pPr>
      <w:r>
        <w:rPr/>
        <w:t>（二）内幕信息知情人管理制度的执行情况</w:t>
      </w:r>
      <w:r>
        <w:rPr>
          <w:w w:val="99"/>
        </w:rPr>
        <w:t> </w:t>
      </w:r>
      <w:r>
        <w:rPr/>
        <w:t>1、定期报告披露期间的信息保密工作</w:t>
      </w:r>
      <w:r>
        <w:rPr>
          <w:b w:val="0"/>
          <w:bCs w:val="0"/>
        </w:rPr>
      </w:r>
    </w:p>
    <w:p>
      <w:pPr>
        <w:pStyle w:val="BodyText"/>
        <w:spacing w:line="340" w:lineRule="auto" w:before="109"/>
        <w:ind w:right="210" w:firstLine="422"/>
        <w:jc w:val="both"/>
      </w:pPr>
      <w:r>
        <w:rPr>
          <w:w w:val="95"/>
        </w:rPr>
        <w:t>报告期内，公司严格执行内幕信息保密制度，严格规范信息传递流程，在定期报告披露期间，对于未</w:t>
      </w:r>
      <w:r>
        <w:rPr>
          <w:spacing w:val="-94"/>
          <w:w w:val="95"/>
        </w:rPr>
        <w:t> </w:t>
      </w:r>
      <w:r>
        <w:rPr>
          <w:spacing w:val="-94"/>
          <w:w w:val="95"/>
        </w:rPr>
      </w:r>
      <w:r>
        <w:rPr>
          <w:spacing w:val="-2"/>
          <w:w w:val="98"/>
        </w:rPr>
        <w:t>公开信息，公司董秘办都会严格控制知情人范围并组织相关内幕信息知情人填写《内幕信息知情人档案》，</w:t>
      </w:r>
      <w:r>
        <w:rPr>
          <w:spacing w:val="-90"/>
          <w:w w:val="98"/>
        </w:rPr>
        <w:t> </w:t>
      </w:r>
      <w:r>
        <w:rPr>
          <w:spacing w:val="-90"/>
          <w:w w:val="98"/>
        </w:rPr>
      </w:r>
      <w:r>
        <w:rPr>
          <w:w w:val="95"/>
        </w:rPr>
        <w:t>如实、完整记录上述信息在公开前的所有内幕信息知情人名单，以及知情人知悉内幕信息的时间等。经公</w:t>
      </w:r>
      <w:r>
        <w:rPr>
          <w:spacing w:val="53"/>
          <w:w w:val="95"/>
        </w:rPr>
        <w:t> </w:t>
      </w:r>
      <w:r>
        <w:rPr>
          <w:spacing w:val="53"/>
          <w:w w:val="95"/>
        </w:rPr>
      </w:r>
      <w:r>
        <w:rPr>
          <w:w w:val="95"/>
        </w:rPr>
        <w:t>司董秘办核实无误后，按照相关规定在向深交所报送定期报告相关资料的同时报备内幕信息知情人登记情   </w:t>
      </w:r>
      <w:r>
        <w:rPr>
          <w:spacing w:val="52"/>
          <w:w w:val="95"/>
        </w:rPr>
        <w:t> </w:t>
      </w:r>
      <w:r>
        <w:rPr>
          <w:spacing w:val="52"/>
          <w:w w:val="95"/>
        </w:rPr>
      </w:r>
      <w:r>
        <w:rPr/>
        <w:t>况。</w:t>
      </w:r>
    </w:p>
    <w:p>
      <w:pPr>
        <w:spacing w:line="403" w:lineRule="auto" w:before="115"/>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2、投资者调研期间的信息保密工作</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在定期报告及重大事项披露期间，公司尽量避免接待投资者的调研，努力做好定期报告及重大事项披</w:t>
      </w:r>
      <w:r>
        <w:rPr>
          <w:rFonts w:ascii="宋体" w:hAnsi="宋体" w:cs="宋体" w:eastAsia="宋体" w:hint="default"/>
          <w:sz w:val="21"/>
          <w:szCs w:val="21"/>
        </w:rPr>
      </w:r>
    </w:p>
    <w:p>
      <w:pPr>
        <w:pStyle w:val="BodyText"/>
        <w:spacing w:line="246" w:lineRule="exact"/>
        <w:ind w:right="0"/>
        <w:jc w:val="both"/>
      </w:pPr>
      <w:r>
        <w:rPr/>
        <w:t>露期间的信息保密工作。在日常接待投资者调研时，公司董秘办负责履行相关的信息保密工作程序。在进</w:t>
      </w:r>
    </w:p>
    <w:p>
      <w:pPr>
        <w:pStyle w:val="BodyText"/>
        <w:spacing w:line="340" w:lineRule="auto" w:before="114"/>
        <w:ind w:right="210"/>
        <w:jc w:val="both"/>
      </w:pPr>
      <w:r>
        <w:rPr>
          <w:w w:val="95"/>
        </w:rPr>
        <w:t>行调研前，先对调研人员的个人信息进行备案，同时要求签署投资者调研登记表与保密承诺书，并承诺在</w:t>
      </w:r>
      <w:r>
        <w:rPr>
          <w:spacing w:val="53"/>
          <w:w w:val="95"/>
        </w:rPr>
        <w:t> </w:t>
      </w:r>
      <w:r>
        <w:rPr>
          <w:spacing w:val="53"/>
          <w:w w:val="95"/>
        </w:rPr>
      </w:r>
      <w:r>
        <w:rPr>
          <w:w w:val="95"/>
        </w:rPr>
        <w:t>对外出具报告前需经公司董秘办确认。在调研过程中，董秘办人员认真做好相关会议记录，并按照相关法</w:t>
      </w:r>
      <w:r>
        <w:rPr>
          <w:spacing w:val="54"/>
          <w:w w:val="95"/>
        </w:rPr>
        <w:t> </w:t>
      </w:r>
      <w:r>
        <w:rPr>
          <w:spacing w:val="54"/>
          <w:w w:val="95"/>
        </w:rPr>
      </w:r>
      <w:r>
        <w:rPr/>
        <w:t>规规定向深交所报备。</w:t>
      </w:r>
    </w:p>
    <w:p>
      <w:pPr>
        <w:spacing w:line="400" w:lineRule="auto" w:before="117"/>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3、其他重大事件的信息保密工作</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在其他重大事项（如对外投资等）未披露前，公司及相关信息披露义务人采取保密措施，签订相关保</w:t>
      </w:r>
      <w:r>
        <w:rPr>
          <w:rFonts w:ascii="宋体" w:hAnsi="宋体" w:cs="宋体" w:eastAsia="宋体" w:hint="default"/>
          <w:sz w:val="21"/>
          <w:szCs w:val="21"/>
        </w:rPr>
      </w:r>
    </w:p>
    <w:p>
      <w:pPr>
        <w:pStyle w:val="BodyText"/>
        <w:spacing w:line="250" w:lineRule="exact"/>
        <w:ind w:right="0"/>
        <w:jc w:val="both"/>
      </w:pPr>
      <w:r>
        <w:rPr/>
        <w:t>密协议，以保证信息处于可控范围。</w:t>
      </w:r>
    </w:p>
    <w:p>
      <w:pPr>
        <w:spacing w:line="240" w:lineRule="auto" w:before="9"/>
        <w:rPr>
          <w:rFonts w:ascii="宋体" w:hAnsi="宋体" w:cs="宋体" w:eastAsia="宋体" w:hint="default"/>
          <w:sz w:val="15"/>
          <w:szCs w:val="15"/>
        </w:rPr>
      </w:pPr>
    </w:p>
    <w:p>
      <w:pPr>
        <w:spacing w:line="400" w:lineRule="auto" w:before="0"/>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（三）报告期内自查内幕信息知情人涉嫌内幕交易以及监管部门的查处和整改情况</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报告期内，公司董事、监事及高级管理人员和其他相关知情人严格遵守了内幕信息知情人管理制度，</w:t>
      </w:r>
      <w:r>
        <w:rPr>
          <w:rFonts w:ascii="宋体" w:hAnsi="宋体" w:cs="宋体" w:eastAsia="宋体" w:hint="default"/>
          <w:sz w:val="21"/>
          <w:szCs w:val="21"/>
        </w:rPr>
      </w:r>
    </w:p>
    <w:p>
      <w:pPr>
        <w:pStyle w:val="BodyText"/>
        <w:spacing w:line="250" w:lineRule="exact"/>
        <w:ind w:right="0"/>
        <w:jc w:val="both"/>
      </w:pPr>
      <w:r>
        <w:rPr/>
        <w:t>未发现有内幕信息知情人利用内幕信息买卖本公司股份的情况。报告期内公司也未发生受到监管部门查处</w:t>
      </w:r>
    </w:p>
    <w:p>
      <w:pPr>
        <w:pStyle w:val="BodyText"/>
        <w:spacing w:line="240" w:lineRule="auto" w:before="114"/>
        <w:ind w:right="0"/>
        <w:jc w:val="both"/>
      </w:pPr>
      <w:r>
        <w:rPr/>
        <w:t>和整改的情形。</w:t>
      </w:r>
    </w:p>
    <w:p>
      <w:pPr>
        <w:spacing w:after="0" w:line="240" w:lineRule="auto"/>
        <w:jc w:val="both"/>
        <w:sectPr>
          <w:pgSz w:w="11910" w:h="16840"/>
          <w:pgMar w:header="849" w:footer="976" w:top="1460" w:bottom="1160" w:left="1020" w:right="920"/>
        </w:sectPr>
      </w:pPr>
    </w:p>
    <w:p>
      <w:pPr>
        <w:spacing w:line="240" w:lineRule="auto" w:before="0"/>
        <w:rPr>
          <w:rFonts w:ascii="宋体" w:hAnsi="宋体" w:cs="宋体" w:eastAsia="宋体" w:hint="default"/>
          <w:sz w:val="2"/>
          <w:szCs w:val="2"/>
        </w:rPr>
      </w:pPr>
    </w:p>
    <w:p>
      <w:pPr>
        <w:spacing w:line="247" w:lineRule="exact"/>
        <w:ind w:left="10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宋体" w:hAnsi="宋体" w:cs="宋体" w:eastAsia="宋体" w:hint="default"/>
          <w:position w:val="-4"/>
          <w:sz w:val="20"/>
          <w:szCs w:val="20"/>
        </w:rPr>
      </w:r>
    </w:p>
    <w:p>
      <w:pPr>
        <w:spacing w:line="240" w:lineRule="auto" w:before="13"/>
        <w:rPr>
          <w:rFonts w:ascii="宋体" w:hAnsi="宋体" w:cs="宋体" w:eastAsia="宋体" w:hint="default"/>
          <w:sz w:val="5"/>
          <w:szCs w:val="5"/>
        </w:rPr>
      </w:pPr>
    </w:p>
    <w:p>
      <w:pPr>
        <w:pStyle w:val="Heading1"/>
        <w:tabs>
          <w:tab w:pos="1286" w:val="left" w:leader="none"/>
        </w:tabs>
        <w:spacing w:line="240" w:lineRule="auto"/>
        <w:ind w:right="178"/>
        <w:jc w:val="center"/>
      </w:pPr>
      <w:bookmarkStart w:name="_bookmark3" w:id="8"/>
      <w:bookmarkEnd w:id="8"/>
      <w:r>
        <w:rPr/>
      </w:r>
      <w:r>
        <w:rPr/>
        <w:t>第四章</w:t>
        <w:tab/>
        <w:t>重要事项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spacing w:line="333" w:lineRule="exact"/>
        <w:ind w:left="112" w:right="484"/>
        <w:jc w:val="left"/>
        <w:rPr>
          <w:b w:val="0"/>
          <w:bCs w:val="0"/>
        </w:rPr>
      </w:pPr>
      <w:r>
        <w:rPr/>
        <w:t>一、重大诉讼、仲裁事项</w:t>
      </w:r>
      <w:r>
        <w:rPr>
          <w:b w:val="0"/>
          <w:bCs w:val="0"/>
        </w:rPr>
      </w:r>
    </w:p>
    <w:p>
      <w:pPr>
        <w:spacing w:line="240" w:lineRule="auto" w:before="8"/>
        <w:rPr>
          <w:rFonts w:ascii="Microsoft JhengHei" w:hAnsi="Microsoft JhengHei" w:cs="Microsoft JhengHei" w:eastAsia="Microsoft JhengHei" w:hint="default"/>
          <w:b/>
          <w:bCs/>
          <w:sz w:val="16"/>
          <w:szCs w:val="16"/>
        </w:rPr>
      </w:pPr>
    </w:p>
    <w:p>
      <w:pPr>
        <w:spacing w:line="453" w:lineRule="auto" w:before="0"/>
        <w:ind w:left="112" w:right="5732" w:firstLine="42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报告期内，公司无重大诉讼、仲裁事项。</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二、破产相关事项</w:t>
      </w:r>
      <w:r>
        <w:rPr>
          <w:rFonts w:ascii="Microsoft JhengHei" w:hAnsi="Microsoft JhengHei" w:cs="Microsoft JhengHei" w:eastAsia="Microsoft JhengHei" w:hint="default"/>
          <w:sz w:val="21"/>
          <w:szCs w:val="21"/>
        </w:rPr>
      </w:r>
    </w:p>
    <w:p>
      <w:pPr>
        <w:spacing w:line="453" w:lineRule="auto" w:before="36"/>
        <w:ind w:left="112" w:right="5312" w:firstLine="42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报告期内，公司未发生破产重组等相关事项。</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三、收购及出售资产、企业合并事项</w:t>
      </w:r>
      <w:r>
        <w:rPr>
          <w:rFonts w:ascii="Microsoft JhengHei" w:hAnsi="Microsoft JhengHei" w:cs="Microsoft JhengHei" w:eastAsia="Microsoft JhengHei" w:hint="default"/>
          <w:sz w:val="21"/>
          <w:szCs w:val="21"/>
        </w:rPr>
      </w:r>
    </w:p>
    <w:p>
      <w:pPr>
        <w:spacing w:line="453" w:lineRule="auto" w:before="38"/>
        <w:ind w:left="112" w:right="4262" w:firstLine="42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报告期内，公司未发生收购及出售资产、企业合并事项。</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四、股权激励计划实施情况</w:t>
      </w:r>
      <w:r>
        <w:rPr>
          <w:rFonts w:ascii="Microsoft JhengHei" w:hAnsi="Microsoft JhengHei" w:cs="Microsoft JhengHei" w:eastAsia="Microsoft JhengHei" w:hint="default"/>
          <w:sz w:val="21"/>
          <w:szCs w:val="21"/>
        </w:rPr>
      </w:r>
    </w:p>
    <w:p>
      <w:pPr>
        <w:spacing w:line="453" w:lineRule="auto" w:before="36"/>
        <w:ind w:left="112" w:right="5942" w:firstLine="42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报告期内，公司未实行股权激励计划。</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五、重大关联交易事项</w:t>
      </w:r>
      <w:r>
        <w:rPr>
          <w:rFonts w:ascii="Microsoft JhengHei" w:hAnsi="Microsoft JhengHei" w:cs="Microsoft JhengHei" w:eastAsia="Microsoft JhengHei" w:hint="default"/>
          <w:sz w:val="21"/>
          <w:szCs w:val="21"/>
        </w:rPr>
      </w:r>
    </w:p>
    <w:p>
      <w:pPr>
        <w:spacing w:line="453" w:lineRule="auto" w:before="38"/>
        <w:ind w:left="112" w:right="5522" w:firstLine="42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报告期内，公司未发生重大关联交易事项。</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六、重大合同及其履行情况</w:t>
      </w:r>
      <w:r>
        <w:rPr>
          <w:rFonts w:ascii="Microsoft JhengHei" w:hAnsi="Microsoft JhengHei" w:cs="Microsoft JhengHei" w:eastAsia="Microsoft JhengHei" w:hint="default"/>
          <w:sz w:val="21"/>
          <w:szCs w:val="21"/>
        </w:rPr>
      </w:r>
    </w:p>
    <w:p>
      <w:pPr>
        <w:pStyle w:val="Heading4"/>
        <w:spacing w:line="307" w:lineRule="auto" w:before="10"/>
        <w:ind w:left="112" w:right="484" w:firstLine="412"/>
        <w:jc w:val="left"/>
        <w:rPr>
          <w:b w:val="0"/>
          <w:bCs w:val="0"/>
        </w:rPr>
      </w:pPr>
      <w:r>
        <w:rPr>
          <w:w w:val="95"/>
        </w:rPr>
        <w:t>（一）报告期内，公司没有发生或以前期间发生但延续到报告期的托管、承包、租赁其他公司资产或</w:t>
      </w:r>
      <w:r>
        <w:rPr>
          <w:spacing w:val="-34"/>
          <w:w w:val="95"/>
        </w:rPr>
        <w:t> </w:t>
      </w:r>
      <w:r>
        <w:rPr>
          <w:spacing w:val="-34"/>
          <w:w w:val="95"/>
        </w:rPr>
      </w:r>
      <w:r>
        <w:rPr/>
        <w:t>其他公司托管、承包、租赁公司资产的事项。</w:t>
      </w:r>
      <w:r>
        <w:rPr>
          <w:b w:val="0"/>
          <w:bCs w:val="0"/>
        </w:rPr>
      </w:r>
    </w:p>
    <w:p>
      <w:pPr>
        <w:spacing w:line="240" w:lineRule="auto" w:before="6"/>
        <w:rPr>
          <w:rFonts w:ascii="Microsoft JhengHei" w:hAnsi="Microsoft JhengHei" w:cs="Microsoft JhengHei" w:eastAsia="Microsoft JhengHei" w:hint="default"/>
          <w:b/>
          <w:bCs/>
          <w:sz w:val="10"/>
          <w:szCs w:val="10"/>
        </w:rPr>
      </w:pPr>
    </w:p>
    <w:p>
      <w:pPr>
        <w:pStyle w:val="Heading4"/>
        <w:spacing w:line="240" w:lineRule="auto"/>
        <w:ind w:left="525" w:right="484"/>
        <w:jc w:val="left"/>
        <w:rPr>
          <w:b w:val="0"/>
          <w:bCs w:val="0"/>
        </w:rPr>
      </w:pPr>
      <w:r>
        <w:rPr/>
        <w:t>（二）报告期内，公司未发生对外担保事项。</w:t>
      </w:r>
      <w:r>
        <w:rPr>
          <w:b w:val="0"/>
          <w:bCs w:val="0"/>
        </w:rPr>
      </w:r>
    </w:p>
    <w:p>
      <w:pPr>
        <w:spacing w:line="240" w:lineRule="auto" w:before="15"/>
        <w:rPr>
          <w:rFonts w:ascii="Microsoft JhengHei" w:hAnsi="Microsoft JhengHei" w:cs="Microsoft JhengHei" w:eastAsia="Microsoft JhengHei" w:hint="default"/>
          <w:b/>
          <w:bCs/>
          <w:sz w:val="14"/>
          <w:szCs w:val="14"/>
        </w:rPr>
      </w:pPr>
    </w:p>
    <w:p>
      <w:pPr>
        <w:pStyle w:val="Heading4"/>
        <w:spacing w:line="410" w:lineRule="auto"/>
        <w:ind w:left="525" w:right="5741"/>
        <w:jc w:val="left"/>
        <w:rPr>
          <w:b w:val="0"/>
          <w:bCs w:val="0"/>
        </w:rPr>
      </w:pPr>
      <w:r>
        <w:rPr/>
        <w:t>（三）报告期内投资理财与委托贷款事项</w:t>
      </w:r>
      <w:r>
        <w:rPr>
          <w:spacing w:val="-43"/>
        </w:rPr>
        <w:t> </w:t>
      </w:r>
      <w:r>
        <w:rPr>
          <w:spacing w:val="-43"/>
        </w:rPr>
      </w:r>
      <w:r>
        <w:rPr/>
        <w:t>1、投资理财情况</w:t>
      </w:r>
      <w:r>
        <w:rPr>
          <w:b w:val="0"/>
          <w:bCs w:val="0"/>
        </w:rPr>
      </w:r>
    </w:p>
    <w:p>
      <w:pPr>
        <w:pStyle w:val="BodyText"/>
        <w:spacing w:line="246" w:lineRule="exact"/>
        <w:ind w:left="0" w:right="312"/>
        <w:jc w:val="right"/>
      </w:pPr>
      <w:r>
        <w:rPr>
          <w:w w:val="95"/>
        </w:rPr>
        <w:t>单位：万元</w:t>
      </w:r>
      <w:r>
        <w:rPr/>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301"/>
        <w:gridCol w:w="955"/>
        <w:gridCol w:w="1171"/>
        <w:gridCol w:w="1169"/>
        <w:gridCol w:w="1171"/>
        <w:gridCol w:w="1027"/>
        <w:gridCol w:w="1027"/>
        <w:gridCol w:w="1190"/>
        <w:gridCol w:w="830"/>
      </w:tblGrid>
      <w:tr>
        <w:trPr>
          <w:trHeight w:val="322" w:hRule="exact"/>
        </w:trPr>
        <w:tc>
          <w:tcPr>
            <w:tcW w:w="1301"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签约方</w:t>
            </w:r>
          </w:p>
        </w:tc>
        <w:tc>
          <w:tcPr>
            <w:tcW w:w="955"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171"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1027"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1027"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190"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投资盈亏金额</w:t>
            </w:r>
          </w:p>
        </w:tc>
        <w:tc>
          <w:tcPr>
            <w:tcW w:w="830"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是否涉讼</w:t>
            </w:r>
          </w:p>
        </w:tc>
      </w:tr>
      <w:tr>
        <w:trPr>
          <w:trHeight w:val="322" w:hRule="exact"/>
        </w:trPr>
        <w:tc>
          <w:tcPr>
            <w:tcW w:w="1301" w:type="dxa"/>
            <w:vMerge/>
            <w:tcBorders>
              <w:left w:val="single" w:sz="4" w:space="0" w:color="000000"/>
              <w:bottom w:val="single" w:sz="4" w:space="0" w:color="000000"/>
              <w:right w:val="single" w:sz="4" w:space="0" w:color="000000"/>
            </w:tcBorders>
            <w:shd w:val="clear" w:color="auto" w:fill="DBDBDB"/>
          </w:tcPr>
          <w:p>
            <w:pPr/>
          </w:p>
        </w:tc>
        <w:tc>
          <w:tcPr>
            <w:tcW w:w="955" w:type="dxa"/>
            <w:vMerge/>
            <w:tcBorders>
              <w:left w:val="single" w:sz="4" w:space="0" w:color="000000"/>
              <w:bottom w:val="single" w:sz="4" w:space="0" w:color="000000"/>
              <w:right w:val="single" w:sz="4" w:space="0" w:color="000000"/>
            </w:tcBorders>
            <w:shd w:val="clear" w:color="auto" w:fill="DBDBDB"/>
          </w:tcPr>
          <w:p>
            <w:pPr/>
          </w:p>
        </w:tc>
        <w:tc>
          <w:tcPr>
            <w:tcW w:w="1171" w:type="dxa"/>
            <w:vMerge/>
            <w:tcBorders>
              <w:left w:val="single" w:sz="4" w:space="0" w:color="000000"/>
              <w:bottom w:val="single" w:sz="4" w:space="0" w:color="000000"/>
              <w:right w:val="single" w:sz="4" w:space="0" w:color="000000"/>
            </w:tcBorders>
            <w:shd w:val="clear" w:color="auto" w:fill="DBDBDB"/>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027" w:type="dxa"/>
            <w:vMerge/>
            <w:tcBorders>
              <w:left w:val="single" w:sz="4" w:space="0" w:color="000000"/>
              <w:bottom w:val="single" w:sz="4" w:space="0" w:color="000000"/>
              <w:right w:val="single" w:sz="4" w:space="0" w:color="000000"/>
            </w:tcBorders>
            <w:shd w:val="clear" w:color="auto" w:fill="DBDBDB"/>
          </w:tcPr>
          <w:p>
            <w:pPr/>
          </w:p>
        </w:tc>
        <w:tc>
          <w:tcPr>
            <w:tcW w:w="1027" w:type="dxa"/>
            <w:vMerge/>
            <w:tcBorders>
              <w:left w:val="single" w:sz="4" w:space="0" w:color="000000"/>
              <w:bottom w:val="single" w:sz="4" w:space="0" w:color="000000"/>
              <w:right w:val="single" w:sz="4" w:space="0" w:color="000000"/>
            </w:tcBorders>
            <w:shd w:val="clear" w:color="auto" w:fill="DBDBDB"/>
          </w:tcPr>
          <w:p>
            <w:pPr/>
          </w:p>
        </w:tc>
        <w:tc>
          <w:tcPr>
            <w:tcW w:w="1190" w:type="dxa"/>
            <w:vMerge/>
            <w:tcBorders>
              <w:left w:val="single" w:sz="4" w:space="0" w:color="000000"/>
              <w:bottom w:val="single" w:sz="4" w:space="0" w:color="000000"/>
              <w:right w:val="single" w:sz="4" w:space="0" w:color="000000"/>
            </w:tcBorders>
            <w:shd w:val="clear" w:color="auto" w:fill="DBDBDB"/>
          </w:tcPr>
          <w:p>
            <w:pPr/>
          </w:p>
        </w:tc>
        <w:tc>
          <w:tcPr>
            <w:tcW w:w="830" w:type="dxa"/>
            <w:vMerge/>
            <w:tcBorders>
              <w:left w:val="single" w:sz="4" w:space="0" w:color="000000"/>
              <w:bottom w:val="single" w:sz="4" w:space="0" w:color="000000"/>
              <w:right w:val="single" w:sz="4" w:space="0" w:color="000000"/>
            </w:tcBorders>
            <w:shd w:val="clear" w:color="auto" w:fill="DBDBDB"/>
          </w:tcPr>
          <w:p>
            <w:pPr/>
          </w:p>
        </w:tc>
      </w:tr>
      <w:tr>
        <w:trPr>
          <w:trHeight w:val="94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both"/>
              <w:rPr>
                <w:rFonts w:ascii="宋体" w:hAnsi="宋体" w:cs="宋体" w:eastAsia="宋体" w:hint="default"/>
                <w:sz w:val="18"/>
                <w:szCs w:val="18"/>
              </w:rPr>
            </w:pPr>
            <w:r>
              <w:rPr>
                <w:rFonts w:ascii="宋体" w:hAnsi="宋体" w:cs="宋体" w:eastAsia="宋体" w:hint="default"/>
                <w:sz w:val="18"/>
                <w:szCs w:val="18"/>
              </w:rPr>
              <w:t>宁波银行股份 有限公司上海 分公司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91"/>
              <w:jc w:val="left"/>
              <w:rPr>
                <w:rFonts w:ascii="宋体" w:hAnsi="宋体" w:cs="宋体" w:eastAsia="宋体" w:hint="default"/>
                <w:sz w:val="18"/>
                <w:szCs w:val="18"/>
              </w:rPr>
            </w:pPr>
            <w:r>
              <w:rPr>
                <w:rFonts w:ascii="宋体" w:hAnsi="宋体" w:cs="宋体" w:eastAsia="宋体" w:hint="default"/>
                <w:sz w:val="18"/>
                <w:szCs w:val="18"/>
              </w:rPr>
              <w:t>非保本浮动 收益型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3.84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3.84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3.84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z w:val="18"/>
              </w:rPr>
              <w:t>3.84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1"/>
          <w:szCs w:val="11"/>
        </w:rPr>
      </w:pPr>
    </w:p>
    <w:p>
      <w:pPr>
        <w:pStyle w:val="BodyText"/>
        <w:spacing w:line="240" w:lineRule="auto" w:before="34"/>
        <w:ind w:left="535" w:right="484"/>
        <w:jc w:val="left"/>
      </w:pPr>
      <w:r>
        <w:rPr/>
        <w:t>其中：截止报告期末，逾期未收回的投资理财本金和收益累计</w:t>
      </w:r>
      <w:r>
        <w:rPr>
          <w:spacing w:val="-59"/>
        </w:rPr>
        <w:t> </w:t>
      </w:r>
      <w:r>
        <w:rPr/>
        <w:t>0.00</w:t>
      </w:r>
      <w:r>
        <w:rPr>
          <w:spacing w:val="-57"/>
        </w:rPr>
        <w:t> </w:t>
      </w:r>
      <w:r>
        <w:rPr/>
        <w:t>万元。</w:t>
      </w:r>
    </w:p>
    <w:p>
      <w:pPr>
        <w:spacing w:after="0" w:line="240" w:lineRule="auto"/>
        <w:jc w:val="left"/>
        <w:sectPr>
          <w:pgSz w:w="11910" w:h="16840"/>
          <w:pgMar w:header="849" w:footer="976" w:top="1460" w:bottom="1160" w:left="1020" w:right="8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关于投资理财的相关说明：</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0" w:firstLine="422"/>
        <w:jc w:val="left"/>
      </w:pPr>
      <w:r>
        <w:rPr>
          <w:spacing w:val="-2"/>
          <w:w w:val="99"/>
        </w:rPr>
        <w:t>（1）法定批准程序：根据公司章程、《投资管理制度》等相关规定，上述购买银行理财产品事项事先</w:t>
      </w:r>
      <w:r>
        <w:rPr>
          <w:w w:val="99"/>
        </w:rPr>
        <w:t> </w:t>
      </w:r>
      <w:r>
        <w:rPr/>
        <w:t>已经公司总经理办公会议批准。</w:t>
      </w:r>
    </w:p>
    <w:p>
      <w:pPr>
        <w:spacing w:line="240" w:lineRule="auto" w:before="1"/>
        <w:rPr>
          <w:rFonts w:ascii="宋体" w:hAnsi="宋体" w:cs="宋体" w:eastAsia="宋体" w:hint="default"/>
          <w:sz w:val="14"/>
          <w:szCs w:val="14"/>
        </w:rPr>
      </w:pPr>
    </w:p>
    <w:p>
      <w:pPr>
        <w:pStyle w:val="BodyText"/>
        <w:spacing w:line="338" w:lineRule="auto"/>
        <w:ind w:right="0" w:firstLine="422"/>
        <w:jc w:val="left"/>
      </w:pPr>
      <w:r>
        <w:rPr>
          <w:w w:val="95"/>
        </w:rPr>
        <w:t>（2）未来计划：公司将资金主要用于主营业务发展，不随意参与投资理财。如确有临时性闲余资金，</w:t>
      </w:r>
      <w:r>
        <w:rPr>
          <w:w w:val="49"/>
        </w:rPr>
        <w:t> </w:t>
      </w:r>
      <w:r>
        <w:rPr/>
        <w:t>也将在严格保证资金安全和保障收益的前提下，在经过相关法定程序批准的情况下，严格控制参与。</w:t>
      </w:r>
    </w:p>
    <w:p>
      <w:pPr>
        <w:pStyle w:val="Heading4"/>
        <w:spacing w:line="240" w:lineRule="auto" w:before="158"/>
        <w:ind w:right="0"/>
        <w:jc w:val="left"/>
        <w:rPr>
          <w:b w:val="0"/>
          <w:bCs w:val="0"/>
        </w:rPr>
      </w:pPr>
      <w:r>
        <w:rPr/>
        <w:t>2、委托贷款：公司无委托贷款事项。</w:t>
      </w:r>
      <w:r>
        <w:rPr>
          <w:b w:val="0"/>
          <w:bCs w:val="0"/>
        </w:rPr>
      </w:r>
    </w:p>
    <w:p>
      <w:pPr>
        <w:pStyle w:val="Heading4"/>
        <w:spacing w:line="410" w:lineRule="auto" w:before="102"/>
        <w:ind w:left="112" w:right="702" w:firstLine="422"/>
        <w:jc w:val="left"/>
        <w:rPr>
          <w:b w:val="0"/>
          <w:bCs w:val="0"/>
        </w:rPr>
      </w:pPr>
      <w:r>
        <w:rPr/>
        <w:t>（四）报告期内，公司不存在按深交所相关规定应披露的日常经营重大合同和其它重大合同。</w:t>
      </w:r>
      <w:r>
        <w:rPr>
          <w:w w:val="99"/>
        </w:rPr>
        <w:t> </w:t>
      </w:r>
      <w:r>
        <w:rPr/>
        <w:t>七、公司或持有公司股份5%以上的股东在报告期内发生或持续到报告期内的承诺事项</w:t>
      </w:r>
      <w:r>
        <w:rPr>
          <w:b w:val="0"/>
          <w:bCs w:val="0"/>
        </w:rPr>
      </w:r>
    </w:p>
    <w:p>
      <w:pPr>
        <w:pStyle w:val="Heading4"/>
        <w:spacing w:line="270" w:lineRule="exact"/>
        <w:ind w:right="0"/>
        <w:jc w:val="left"/>
        <w:rPr>
          <w:b w:val="0"/>
          <w:bCs w:val="0"/>
        </w:rPr>
      </w:pPr>
      <w:r>
        <w:rPr/>
        <w:t>（一）避免同业竞争的承诺</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240" w:lineRule="auto"/>
        <w:ind w:left="535" w:right="0"/>
        <w:jc w:val="left"/>
      </w:pPr>
      <w:r>
        <w:rPr/>
        <w:t>1、发行人控股股东、实际控制人周炜、王英夫妇关于避免同业竞争的承诺</w:t>
      </w:r>
    </w:p>
    <w:p>
      <w:pPr>
        <w:spacing w:line="240" w:lineRule="auto" w:before="8"/>
        <w:rPr>
          <w:rFonts w:ascii="宋体" w:hAnsi="宋体" w:cs="宋体" w:eastAsia="宋体" w:hint="default"/>
          <w:sz w:val="20"/>
          <w:szCs w:val="20"/>
        </w:rPr>
      </w:pPr>
    </w:p>
    <w:p>
      <w:pPr>
        <w:pStyle w:val="BodyText"/>
        <w:spacing w:line="340" w:lineRule="auto"/>
        <w:ind w:right="101" w:firstLine="422"/>
        <w:jc w:val="left"/>
      </w:pPr>
      <w:r>
        <w:rPr/>
        <w:t>2009</w:t>
      </w:r>
      <w:r>
        <w:rPr>
          <w:spacing w:val="-70"/>
        </w:rPr>
        <w:t> </w:t>
      </w:r>
      <w:r>
        <w:rPr/>
        <w:t>年</w:t>
      </w:r>
      <w:r>
        <w:rPr>
          <w:spacing w:val="-67"/>
        </w:rPr>
        <w:t> </w:t>
      </w:r>
      <w:r>
        <w:rPr/>
        <w:t>6</w:t>
      </w:r>
      <w:r>
        <w:rPr>
          <w:spacing w:val="-70"/>
        </w:rPr>
        <w:t> </w:t>
      </w:r>
      <w:r>
        <w:rPr/>
        <w:t>月</w:t>
      </w:r>
      <w:r>
        <w:rPr>
          <w:spacing w:val="-67"/>
        </w:rPr>
        <w:t> </w:t>
      </w:r>
      <w:r>
        <w:rPr/>
        <w:t>8</w:t>
      </w:r>
      <w:r>
        <w:rPr>
          <w:spacing w:val="-70"/>
        </w:rPr>
        <w:t> </w:t>
      </w:r>
      <w:r>
        <w:rPr/>
        <w:t>日，本公司控股股东、实际控制人周炜、王英夫妇向公司出具了避免同业竞争的《承诺</w:t>
      </w:r>
      <w:r>
        <w:rPr>
          <w:w w:val="99"/>
        </w:rPr>
        <w:t> </w:t>
      </w:r>
      <w:r>
        <w:rPr>
          <w:spacing w:val="-35"/>
          <w:w w:val="99"/>
        </w:rPr>
        <w:t>函》。</w:t>
      </w:r>
      <w:r>
        <w:rPr>
          <w:spacing w:val="-35"/>
        </w:rPr>
      </w:r>
    </w:p>
    <w:p>
      <w:pPr>
        <w:spacing w:line="240" w:lineRule="auto" w:before="12"/>
        <w:rPr>
          <w:rFonts w:ascii="宋体" w:hAnsi="宋体" w:cs="宋体" w:eastAsia="宋体" w:hint="default"/>
          <w:sz w:val="13"/>
          <w:szCs w:val="13"/>
        </w:rPr>
      </w:pPr>
    </w:p>
    <w:p>
      <w:pPr>
        <w:pStyle w:val="BodyText"/>
        <w:spacing w:line="475" w:lineRule="auto"/>
        <w:ind w:left="535" w:right="2381"/>
        <w:jc w:val="left"/>
      </w:pPr>
      <w:r>
        <w:rPr/>
        <w:t>截至本报告期末，上述承诺人严格信守承诺，未发现违反上述承诺的情况。</w:t>
      </w:r>
      <w:r>
        <w:rPr>
          <w:w w:val="99"/>
        </w:rPr>
        <w:t> </w:t>
      </w:r>
      <w:r>
        <w:rPr/>
        <w:t>2、持股超过</w:t>
      </w:r>
      <w:r>
        <w:rPr>
          <w:spacing w:val="-61"/>
        </w:rPr>
        <w:t> </w:t>
      </w:r>
      <w:r>
        <w:rPr/>
        <w:t>5%的其他主要股东关于避免同业竞争的承诺</w:t>
      </w:r>
    </w:p>
    <w:p>
      <w:pPr>
        <w:pStyle w:val="BodyText"/>
        <w:spacing w:line="338" w:lineRule="auto" w:before="66"/>
        <w:ind w:right="0" w:firstLine="422"/>
        <w:jc w:val="left"/>
      </w:pPr>
      <w:r>
        <w:rPr/>
        <w:t>2009</w:t>
      </w:r>
      <w:r>
        <w:rPr>
          <w:spacing w:val="-49"/>
        </w:rPr>
        <w:t> </w:t>
      </w:r>
      <w:r>
        <w:rPr/>
        <w:t>年</w:t>
      </w:r>
      <w:r>
        <w:rPr>
          <w:spacing w:val="-48"/>
        </w:rPr>
        <w:t> </w:t>
      </w:r>
      <w:r>
        <w:rPr/>
        <w:t>6</w:t>
      </w:r>
      <w:r>
        <w:rPr>
          <w:spacing w:val="-46"/>
        </w:rPr>
        <w:t> </w:t>
      </w:r>
      <w:r>
        <w:rPr/>
        <w:t>月</w:t>
      </w:r>
      <w:r>
        <w:rPr>
          <w:spacing w:val="-48"/>
        </w:rPr>
        <w:t> </w:t>
      </w:r>
      <w:r>
        <w:rPr/>
        <w:t>8</w:t>
      </w:r>
      <w:r>
        <w:rPr>
          <w:spacing w:val="-49"/>
        </w:rPr>
        <w:t> </w:t>
      </w:r>
      <w:r>
        <w:rPr/>
        <w:t>日，本公司持股超过</w:t>
      </w:r>
      <w:r>
        <w:rPr>
          <w:spacing w:val="-38"/>
        </w:rPr>
        <w:t> </w:t>
      </w:r>
      <w:r>
        <w:rPr/>
        <w:t>5%的其他主要股东刘宁、孙凯、张士英、陈建国、贾按师均分别</w:t>
      </w:r>
      <w:r>
        <w:rPr>
          <w:w w:val="99"/>
        </w:rPr>
        <w:t> </w:t>
      </w:r>
      <w:r>
        <w:rPr>
          <w:spacing w:val="-5"/>
          <w:w w:val="99"/>
        </w:rPr>
        <w:t>向公司出具了避免同业竞争的《承诺函》。</w:t>
      </w:r>
      <w:r>
        <w:rPr>
          <w:spacing w:val="-5"/>
        </w:rPr>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t>截至本报告期末，上述承诺人严格信守承诺，未发现违反上述承诺的情况。</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t>（二）发行人控股股东、实际控制人关于公司对外担保和资金往来的承诺</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240" w:lineRule="auto"/>
        <w:ind w:left="535" w:right="0"/>
        <w:jc w:val="left"/>
      </w:pPr>
      <w:r>
        <w:rPr/>
        <w:t>2009</w:t>
      </w:r>
      <w:r>
        <w:rPr>
          <w:spacing w:val="-71"/>
        </w:rPr>
        <w:t> </w:t>
      </w:r>
      <w:r>
        <w:rPr/>
        <w:t>年</w:t>
      </w:r>
      <w:r>
        <w:rPr>
          <w:spacing w:val="-68"/>
        </w:rPr>
        <w:t> </w:t>
      </w:r>
      <w:r>
        <w:rPr/>
        <w:t>6</w:t>
      </w:r>
      <w:r>
        <w:rPr>
          <w:spacing w:val="-71"/>
        </w:rPr>
        <w:t> </w:t>
      </w:r>
      <w:r>
        <w:rPr/>
        <w:t>月</w:t>
      </w:r>
      <w:r>
        <w:rPr>
          <w:spacing w:val="-68"/>
        </w:rPr>
        <w:t> </w:t>
      </w:r>
      <w:r>
        <w:rPr/>
        <w:t>8</w:t>
      </w:r>
      <w:r>
        <w:rPr>
          <w:spacing w:val="-71"/>
        </w:rPr>
        <w:t> </w:t>
      </w:r>
      <w:r>
        <w:rPr/>
        <w:t>日，本公司控股股东、实际控制人周炜、王英夫妇就关于公司对外担保和资金往来作出</w:t>
      </w:r>
    </w:p>
    <w:p>
      <w:pPr>
        <w:pStyle w:val="BodyText"/>
        <w:spacing w:line="477" w:lineRule="auto" w:before="114"/>
        <w:ind w:left="535" w:right="2381" w:hanging="423"/>
        <w:jc w:val="left"/>
      </w:pPr>
      <w:r>
        <w:rPr>
          <w:w w:val="99"/>
        </w:rPr>
        <w:t>《关于严格执行中国证监会【证监发（2003）56</w:t>
      </w:r>
      <w:r>
        <w:rPr>
          <w:spacing w:val="-49"/>
          <w:w w:val="99"/>
        </w:rPr>
        <w:t> </w:t>
      </w:r>
      <w:r>
        <w:rPr>
          <w:spacing w:val="-8"/>
          <w:w w:val="99"/>
        </w:rPr>
        <w:t>号】文有关规定的承诺函》。</w:t>
      </w:r>
      <w:r>
        <w:rPr>
          <w:spacing w:val="-78"/>
          <w:w w:val="99"/>
        </w:rPr>
        <w:t> </w:t>
      </w:r>
      <w:r>
        <w:rPr>
          <w:spacing w:val="-78"/>
          <w:w w:val="99"/>
        </w:rPr>
      </w:r>
      <w:r>
        <w:rPr/>
        <w:t>截至本报告期末，上述承诺人严格信守承诺，未发现违反上述承诺的情况。</w:t>
      </w:r>
    </w:p>
    <w:p>
      <w:pPr>
        <w:spacing w:line="427" w:lineRule="auto" w:before="33"/>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（三）首次公开发行前股东所持股份的流通限制和自愿锁定股份的承诺</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1、本公司控股股东周炜、王英夫妇和股东刘宁承诺：自发行人股票上市之日起三十六个月内，不转</w:t>
      </w:r>
    </w:p>
    <w:p>
      <w:pPr>
        <w:pStyle w:val="BodyText"/>
        <w:spacing w:line="227" w:lineRule="exact"/>
        <w:ind w:right="0"/>
        <w:jc w:val="left"/>
      </w:pPr>
      <w:r>
        <w:rPr/>
        <w:t>让或者委托他人管理其直接或者间接持有的发行人公开发行股票前已发行的股份，也不由发行人回购其直</w:t>
      </w:r>
    </w:p>
    <w:p>
      <w:pPr>
        <w:pStyle w:val="BodyText"/>
        <w:spacing w:line="240" w:lineRule="auto" w:before="114"/>
        <w:ind w:right="0"/>
        <w:jc w:val="left"/>
      </w:pPr>
      <w:r>
        <w:rPr/>
        <w:t>接或者间接持有的发行人公开发行股票前已发行的股份。</w:t>
      </w:r>
    </w:p>
    <w:p>
      <w:pPr>
        <w:spacing w:line="240" w:lineRule="auto" w:before="11"/>
        <w:rPr>
          <w:rFonts w:ascii="宋体" w:hAnsi="宋体" w:cs="宋体" w:eastAsia="宋体" w:hint="default"/>
          <w:sz w:val="20"/>
          <w:szCs w:val="20"/>
        </w:rPr>
      </w:pPr>
    </w:p>
    <w:p>
      <w:pPr>
        <w:pStyle w:val="BodyText"/>
        <w:spacing w:line="338" w:lineRule="auto"/>
        <w:ind w:right="110" w:firstLine="422"/>
        <w:jc w:val="both"/>
      </w:pPr>
      <w:r>
        <w:rPr/>
        <w:t>2、本公司股东孙凯、张士英、陈建国、贾按师、凌红、胡美珍、范钧、曾刚琴、韩伟、黄晓怡、靳</w:t>
      </w:r>
      <w:r>
        <w:rPr>
          <w:w w:val="99"/>
        </w:rPr>
        <w:t> </w:t>
      </w:r>
      <w:r>
        <w:rPr>
          <w:w w:val="95"/>
        </w:rPr>
        <w:t>茂、周洪、付春林、付晖、黄克华、孙超仁、邓荣华、陈军华、熊海浪、艾国光、汪国亮、阚家平、李继</w:t>
      </w:r>
      <w:r>
        <w:rPr>
          <w:spacing w:val="56"/>
          <w:w w:val="95"/>
        </w:rPr>
        <w:t> </w:t>
      </w:r>
      <w:r>
        <w:rPr>
          <w:spacing w:val="56"/>
          <w:w w:val="95"/>
        </w:rPr>
      </w:r>
      <w:r>
        <w:rPr>
          <w:w w:val="95"/>
        </w:rPr>
        <w:t>东均承诺：自股票上市之日起十二个月内，不转让或者委托他人管理其直接或者间接持有的发行人公开发</w:t>
      </w:r>
      <w:r>
        <w:rPr/>
      </w:r>
    </w:p>
    <w:p>
      <w:pPr>
        <w:spacing w:after="0" w:line="338" w:lineRule="auto"/>
        <w:jc w:val="both"/>
        <w:sectPr>
          <w:footerReference w:type="default" r:id="rId20"/>
          <w:pgSz w:w="11910" w:h="16840"/>
          <w:pgMar w:footer="976" w:header="849" w:top="1460" w:bottom="1160" w:left="1020" w:right="1020"/>
          <w:pgNumType w:start="4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15" w:firstLine="0"/>
                        <w:jc w:val="left"/>
                        <w:rPr>
                          <w:rFonts w:ascii="宋体" w:hAnsi="宋体" w:cs="宋体" w:eastAsia="宋体" w:hint="default"/>
                          <w:sz w:val="21"/>
                          <w:szCs w:val="21"/>
                        </w:rPr>
                      </w:pPr>
                      <w:r>
                        <w:rPr>
                          <w:rFonts w:ascii="宋体" w:hAnsi="宋体" w:cs="宋体" w:eastAsia="宋体" w:hint="default"/>
                          <w:w w:val="95"/>
                          <w:sz w:val="21"/>
                          <w:szCs w:val="21"/>
                        </w:rPr>
                        <w:t>行股票前已发行的股份，也不由发行人回购其直接或者间接持有的发行人公开发行股票前已发行的股份。</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209" w:firstLine="422"/>
        <w:jc w:val="both"/>
      </w:pPr>
      <w:r>
        <w:rPr>
          <w:w w:val="98"/>
        </w:rPr>
        <w:t>3、同时，担任公司董事、监事、高级管理人员的周炜、刘宁、孙凯、靳茂、张士英、黄克华还承诺：</w:t>
      </w:r>
      <w:r>
        <w:rPr>
          <w:w w:val="49"/>
        </w:rPr>
        <w:t> </w:t>
      </w:r>
      <w:r>
        <w:rPr>
          <w:w w:val="95"/>
        </w:rPr>
        <w:t>除前述锁定期外，在其任职期间每年转让的股份不超过其所持有发行人股份总数的百分之二十五，离职后</w:t>
      </w:r>
      <w:r>
        <w:rPr>
          <w:spacing w:val="51"/>
          <w:w w:val="95"/>
        </w:rPr>
        <w:t> </w:t>
      </w:r>
      <w:r>
        <w:rPr>
          <w:spacing w:val="51"/>
          <w:w w:val="95"/>
        </w:rPr>
      </w:r>
      <w:r>
        <w:rPr>
          <w:w w:val="95"/>
        </w:rPr>
        <w:t>六个月内，不转让其所持有的发行人股份。在首次公开发行股票上市之日起六个月内申报离职的，自申报</w:t>
      </w:r>
      <w:r>
        <w:rPr>
          <w:spacing w:val="51"/>
          <w:w w:val="95"/>
        </w:rPr>
        <w:t> </w:t>
      </w:r>
      <w:r>
        <w:rPr>
          <w:spacing w:val="51"/>
          <w:w w:val="95"/>
        </w:rPr>
      </w:r>
      <w:r>
        <w:rPr>
          <w:w w:val="95"/>
        </w:rPr>
        <w:t>离职之日起十八个月内不得转让其直接持有的公司股份；在首次公开发行股票上市之日起第七个月至第十</w:t>
      </w:r>
      <w:r>
        <w:rPr>
          <w:spacing w:val="52"/>
          <w:w w:val="95"/>
        </w:rPr>
        <w:t> </w:t>
      </w:r>
      <w:r>
        <w:rPr>
          <w:spacing w:val="52"/>
          <w:w w:val="95"/>
        </w:rPr>
      </w:r>
      <w:r>
        <w:rPr>
          <w:w w:val="95"/>
        </w:rPr>
        <w:t>二个月之间申报离职的，自申报离职之日起十二个月内不得转让其直接持有的公司股份。公司董事周炜之</w:t>
      </w:r>
      <w:r>
        <w:rPr>
          <w:spacing w:val="52"/>
          <w:w w:val="95"/>
        </w:rPr>
        <w:t> </w:t>
      </w:r>
      <w:r>
        <w:rPr>
          <w:spacing w:val="52"/>
          <w:w w:val="95"/>
        </w:rPr>
      </w:r>
      <w:r>
        <w:rPr>
          <w:spacing w:val="-2"/>
          <w:w w:val="98"/>
        </w:rPr>
        <w:t>关联方王英还承诺：在周炜担任公司董事、监事或高级管理人员期间，其持有的公司股份按照对公司董事、</w:t>
      </w:r>
      <w:r>
        <w:rPr>
          <w:spacing w:val="-90"/>
          <w:w w:val="98"/>
        </w:rPr>
        <w:t> </w:t>
      </w:r>
      <w:r>
        <w:rPr>
          <w:spacing w:val="-90"/>
          <w:w w:val="98"/>
        </w:rPr>
      </w:r>
      <w:r>
        <w:rPr/>
        <w:t>监事及高级管理人员的股份减持的规定执行。</w:t>
      </w:r>
    </w:p>
    <w:p>
      <w:pPr>
        <w:spacing w:line="240" w:lineRule="auto" w:before="1"/>
        <w:rPr>
          <w:rFonts w:ascii="宋体" w:hAnsi="宋体" w:cs="宋体" w:eastAsia="宋体" w:hint="default"/>
          <w:sz w:val="14"/>
          <w:szCs w:val="14"/>
        </w:rPr>
      </w:pPr>
    </w:p>
    <w:p>
      <w:pPr>
        <w:pStyle w:val="BodyText"/>
        <w:spacing w:line="240" w:lineRule="auto"/>
        <w:ind w:left="535" w:right="103"/>
        <w:jc w:val="left"/>
      </w:pPr>
      <w:r>
        <w:rPr/>
        <w:t>截至本报告期末，上述承诺人严格信守承诺，未发现违反上述承诺的情况。</w:t>
      </w:r>
    </w:p>
    <w:p>
      <w:pPr>
        <w:spacing w:line="240" w:lineRule="auto" w:before="8"/>
        <w:rPr>
          <w:rFonts w:ascii="宋体" w:hAnsi="宋体" w:cs="宋体" w:eastAsia="宋体" w:hint="default"/>
          <w:sz w:val="18"/>
          <w:szCs w:val="18"/>
        </w:rPr>
      </w:pPr>
    </w:p>
    <w:p>
      <w:pPr>
        <w:spacing w:line="427" w:lineRule="auto" w:before="0"/>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（四）主要股东关于承担发行人相关税收补缴责任的承诺</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周炜、王英和刘宁作为发行人实际控制人及主要股东，就发行人成立以来所涉及的企业所得税缴纳事</w:t>
      </w:r>
      <w:r>
        <w:rPr>
          <w:rFonts w:ascii="宋体" w:hAnsi="宋体" w:cs="宋体" w:eastAsia="宋体" w:hint="default"/>
          <w:sz w:val="21"/>
          <w:szCs w:val="21"/>
        </w:rPr>
      </w:r>
    </w:p>
    <w:p>
      <w:pPr>
        <w:pStyle w:val="BodyText"/>
        <w:spacing w:line="225" w:lineRule="exact"/>
        <w:ind w:right="103"/>
        <w:jc w:val="left"/>
      </w:pPr>
      <w:r>
        <w:rPr>
          <w:spacing w:val="2"/>
          <w:w w:val="99"/>
        </w:rPr>
        <w:t>项，出具了《承诺</w:t>
      </w:r>
      <w:r>
        <w:rPr>
          <w:spacing w:val="12"/>
          <w:w w:val="99"/>
        </w:rPr>
        <w:t>书</w:t>
      </w:r>
      <w:r>
        <w:rPr>
          <w:spacing w:val="-104"/>
          <w:w w:val="99"/>
        </w:rPr>
        <w:t>》</w:t>
      </w:r>
      <w:r>
        <w:rPr>
          <w:spacing w:val="2"/>
          <w:w w:val="99"/>
        </w:rPr>
        <w:t>，承诺如果税务机关认定发行人需要补</w:t>
      </w:r>
      <w:r>
        <w:rPr>
          <w:w w:val="99"/>
        </w:rPr>
        <w:t>交</w:t>
      </w:r>
      <w:r>
        <w:rPr>
          <w:spacing w:val="-36"/>
        </w:rPr>
        <w:t> </w:t>
      </w:r>
      <w:r>
        <w:rPr>
          <w:spacing w:val="1"/>
          <w:w w:val="99"/>
        </w:rPr>
        <w:t>200</w:t>
      </w:r>
      <w:r>
        <w:rPr>
          <w:w w:val="99"/>
        </w:rPr>
        <w:t>4</w:t>
      </w:r>
      <w:r>
        <w:rPr>
          <w:spacing w:val="-51"/>
        </w:rPr>
        <w:t> </w:t>
      </w:r>
      <w:r>
        <w:rPr>
          <w:spacing w:val="2"/>
          <w:w w:val="99"/>
        </w:rPr>
        <w:t>年</w:t>
      </w:r>
      <w:r>
        <w:rPr>
          <w:w w:val="99"/>
        </w:rPr>
        <w:t>至</w:t>
      </w:r>
      <w:r>
        <w:rPr>
          <w:spacing w:val="-50"/>
        </w:rPr>
        <w:t> </w:t>
      </w:r>
      <w:r>
        <w:rPr>
          <w:spacing w:val="1"/>
          <w:w w:val="99"/>
        </w:rPr>
        <w:t>200</w:t>
      </w:r>
      <w:r>
        <w:rPr>
          <w:w w:val="99"/>
        </w:rPr>
        <w:t>8</w:t>
      </w:r>
      <w:r>
        <w:rPr>
          <w:spacing w:val="-51"/>
        </w:rPr>
        <w:t> </w:t>
      </w:r>
      <w:r>
        <w:rPr>
          <w:spacing w:val="2"/>
          <w:w w:val="99"/>
        </w:rPr>
        <w:t>年度已享受减免的企业</w:t>
      </w:r>
      <w:r>
        <w:rPr>
          <w:w w:val="99"/>
        </w:rPr>
        <w:t>所</w:t>
      </w:r>
      <w:r>
        <w:rPr/>
      </w:r>
    </w:p>
    <w:p>
      <w:pPr>
        <w:pStyle w:val="BodyText"/>
        <w:spacing w:line="475" w:lineRule="auto" w:before="116"/>
        <w:ind w:left="535" w:right="103" w:hanging="423"/>
        <w:jc w:val="left"/>
      </w:pPr>
      <w:r>
        <w:rPr>
          <w:spacing w:val="-2"/>
          <w:w w:val="95"/>
        </w:rPr>
        <w:t>得税税款，则该等需要补交的税款将由承诺人周炜、刘宁、王英按照其持有的发行人的股权比例共同承担。</w:t>
      </w:r>
      <w:r>
        <w:rPr>
          <w:spacing w:val="52"/>
          <w:w w:val="95"/>
        </w:rPr>
        <w:t> </w:t>
      </w:r>
      <w:r>
        <w:rPr>
          <w:spacing w:val="52"/>
          <w:w w:val="95"/>
        </w:rPr>
      </w:r>
      <w:r>
        <w:rPr/>
        <w:t>截至本报告期末，上述承诺人严格信守承诺，未发现违反上述承诺的情况。</w:t>
      </w:r>
    </w:p>
    <w:p>
      <w:pPr>
        <w:pStyle w:val="Heading4"/>
        <w:spacing w:line="363" w:lineRule="exact"/>
        <w:ind w:left="112" w:right="103"/>
        <w:jc w:val="left"/>
        <w:rPr>
          <w:b w:val="0"/>
          <w:bCs w:val="0"/>
        </w:rPr>
      </w:pPr>
      <w:r>
        <w:rPr/>
        <w:t>八、聘任、解聘会计师事务所情况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210" w:firstLine="422"/>
        <w:jc w:val="both"/>
      </w:pPr>
      <w:r>
        <w:rPr/>
        <w:t>中磊会计师事务所有限责任公司自</w:t>
      </w:r>
      <w:r>
        <w:rPr>
          <w:spacing w:val="-59"/>
        </w:rPr>
        <w:t> </w:t>
      </w:r>
      <w:r>
        <w:rPr/>
        <w:t>2008</w:t>
      </w:r>
      <w:r>
        <w:rPr>
          <w:spacing w:val="-62"/>
        </w:rPr>
        <w:t> </w:t>
      </w:r>
      <w:r>
        <w:rPr/>
        <w:t>年开始为公司提供审计服务。经公司</w:t>
      </w:r>
      <w:r>
        <w:rPr>
          <w:spacing w:val="-59"/>
        </w:rPr>
        <w:t> </w:t>
      </w:r>
      <w:r>
        <w:rPr/>
        <w:t>2010</w:t>
      </w:r>
      <w:r>
        <w:rPr>
          <w:spacing w:val="-62"/>
        </w:rPr>
        <w:t> </w:t>
      </w:r>
      <w:r>
        <w:rPr/>
        <w:t>年度股东大会审议</w:t>
      </w:r>
      <w:r>
        <w:rPr>
          <w:w w:val="99"/>
        </w:rPr>
        <w:t> </w:t>
      </w:r>
      <w:r>
        <w:rPr/>
        <w:t>通过，聘任中磊会计师事务所有限责任公司为公司</w:t>
      </w:r>
      <w:r>
        <w:rPr>
          <w:spacing w:val="-54"/>
        </w:rPr>
        <w:t> </w:t>
      </w:r>
      <w:r>
        <w:rPr/>
        <w:t>2011</w:t>
      </w:r>
      <w:r>
        <w:rPr>
          <w:spacing w:val="-55"/>
        </w:rPr>
        <w:t> </w:t>
      </w:r>
      <w:r>
        <w:rPr/>
        <w:t>年度审计机构，聘期一年，2011</w:t>
      </w:r>
      <w:r>
        <w:rPr>
          <w:spacing w:val="-55"/>
        </w:rPr>
        <w:t> </w:t>
      </w:r>
      <w:r>
        <w:rPr/>
        <w:t>年度审计费用为</w:t>
      </w:r>
      <w:r>
        <w:rPr>
          <w:w w:val="99"/>
        </w:rPr>
        <w:t> </w:t>
      </w:r>
      <w:r>
        <w:rPr/>
        <w:t>25</w:t>
      </w:r>
      <w:r>
        <w:rPr>
          <w:spacing w:val="-53"/>
        </w:rPr>
        <w:t> </w:t>
      </w:r>
      <w:r>
        <w:rPr/>
        <w:t>万元。</w:t>
      </w:r>
    </w:p>
    <w:p>
      <w:pPr>
        <w:spacing w:line="240" w:lineRule="auto" w:before="1"/>
        <w:rPr>
          <w:rFonts w:ascii="宋体" w:hAnsi="宋体" w:cs="宋体" w:eastAsia="宋体" w:hint="default"/>
          <w:sz w:val="14"/>
          <w:szCs w:val="14"/>
        </w:rPr>
      </w:pPr>
    </w:p>
    <w:p>
      <w:pPr>
        <w:pStyle w:val="BodyText"/>
        <w:spacing w:line="340" w:lineRule="auto"/>
        <w:ind w:right="210" w:firstLine="422"/>
        <w:jc w:val="both"/>
      </w:pPr>
      <w:r>
        <w:rPr>
          <w:spacing w:val="2"/>
        </w:rPr>
        <w:t>因中磊会计师事务所有限责任公司在担任公司</w:t>
      </w:r>
      <w:r>
        <w:rPr>
          <w:spacing w:val="-46"/>
        </w:rPr>
        <w:t> </w:t>
      </w:r>
      <w:r>
        <w:rPr/>
        <w:t>2011</w:t>
      </w:r>
      <w:r>
        <w:rPr>
          <w:spacing w:val="-52"/>
        </w:rPr>
        <w:t> </w:t>
      </w:r>
      <w:r>
        <w:rPr/>
        <w:t>年度财务报告审计服务和公司上市审计服务过程</w:t>
      </w:r>
      <w:r>
        <w:rPr>
          <w:w w:val="99"/>
        </w:rPr>
        <w:t> </w:t>
      </w:r>
      <w:r>
        <w:rPr>
          <w:w w:val="95"/>
        </w:rPr>
        <w:t>中，能够认真履行其审计职责，并通过实施审计工作，客观评价公司财务状况和经营成果，独立发表审计</w:t>
      </w:r>
      <w:r>
        <w:rPr>
          <w:spacing w:val="54"/>
          <w:w w:val="95"/>
        </w:rPr>
        <w:t> </w:t>
      </w:r>
      <w:r>
        <w:rPr>
          <w:spacing w:val="54"/>
          <w:w w:val="95"/>
        </w:rPr>
      </w:r>
      <w:r>
        <w:rPr/>
        <w:t>意见，据此，公司董事会同意向</w:t>
      </w:r>
      <w:r>
        <w:rPr>
          <w:spacing w:val="-55"/>
        </w:rPr>
        <w:t> </w:t>
      </w:r>
      <w:r>
        <w:rPr/>
        <w:t>2011</w:t>
      </w:r>
      <w:r>
        <w:rPr>
          <w:spacing w:val="-56"/>
        </w:rPr>
        <w:t> </w:t>
      </w:r>
      <w:r>
        <w:rPr/>
        <w:t>年度股东大会提议聘任中磊会计师事务所有限责任公司为公司</w:t>
      </w:r>
      <w:r>
        <w:rPr>
          <w:spacing w:val="-55"/>
        </w:rPr>
        <w:t> </w:t>
      </w:r>
      <w:r>
        <w:rPr/>
        <w:t>2012</w:t>
      </w:r>
      <w:r>
        <w:rPr>
          <w:w w:val="99"/>
        </w:rPr>
        <w:t> </w:t>
      </w:r>
      <w:r>
        <w:rPr/>
        <w:t>年度审计机构。</w:t>
      </w:r>
    </w:p>
    <w:p>
      <w:pPr>
        <w:spacing w:line="400" w:lineRule="auto" w:before="117"/>
        <w:ind w:left="535" w:right="103"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九、受监管部门处罚的情况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报告期内，公司及其董事、监事、高级管理人员、公司控股股东、实际控制人未发生受有权机关调查、</w:t>
      </w:r>
      <w:r>
        <w:rPr>
          <w:rFonts w:ascii="宋体" w:hAnsi="宋体" w:cs="宋体" w:eastAsia="宋体" w:hint="default"/>
          <w:spacing w:val="-2"/>
          <w:sz w:val="21"/>
          <w:szCs w:val="21"/>
        </w:rPr>
      </w:r>
    </w:p>
    <w:p>
      <w:pPr>
        <w:pStyle w:val="BodyText"/>
        <w:spacing w:line="250" w:lineRule="exact"/>
        <w:ind w:right="103"/>
        <w:jc w:val="left"/>
      </w:pPr>
      <w:r>
        <w:rPr/>
        <w:t>司法纪检部门采取强制措施、被移送司法机关或追究刑事责任、中国证监会稽查、中国证监会行政处罚、</w:t>
      </w:r>
    </w:p>
    <w:p>
      <w:pPr>
        <w:pStyle w:val="BodyText"/>
        <w:spacing w:line="240" w:lineRule="auto" w:before="114"/>
        <w:ind w:right="103"/>
        <w:jc w:val="left"/>
      </w:pPr>
      <w:r>
        <w:rPr/>
        <w:t>证券市场禁入、认定为不适当人选被其他行政管理部门处罚及证券交易所公开谴责的情形。</w:t>
      </w:r>
    </w:p>
    <w:p>
      <w:pPr>
        <w:spacing w:line="240" w:lineRule="auto" w:before="9"/>
        <w:rPr>
          <w:rFonts w:ascii="宋体" w:hAnsi="宋体" w:cs="宋体" w:eastAsia="宋体" w:hint="default"/>
          <w:sz w:val="15"/>
          <w:szCs w:val="15"/>
        </w:rPr>
      </w:pPr>
    </w:p>
    <w:p>
      <w:pPr>
        <w:pStyle w:val="Heading4"/>
        <w:spacing w:line="254" w:lineRule="auto"/>
        <w:ind w:left="112" w:right="103"/>
        <w:jc w:val="left"/>
        <w:rPr>
          <w:b w:val="0"/>
          <w:bCs w:val="0"/>
        </w:rPr>
      </w:pPr>
      <w:r>
        <w:rPr>
          <w:spacing w:val="2"/>
          <w:w w:val="99"/>
        </w:rPr>
        <w:t>十、报告期内，公司未发生《证券法》第六十七条</w:t>
      </w:r>
      <w:r>
        <w:rPr>
          <w:spacing w:val="-10"/>
          <w:w w:val="99"/>
        </w:rPr>
        <w:t> </w:t>
      </w:r>
      <w:r>
        <w:rPr>
          <w:spacing w:val="-3"/>
          <w:w w:val="99"/>
        </w:rPr>
        <w:t>、《上市公司信息披露管理办法》第三十条所列的重大</w:t>
      </w:r>
      <w:r>
        <w:rPr>
          <w:spacing w:val="-45"/>
          <w:w w:val="99"/>
        </w:rPr>
        <w:t> </w:t>
      </w:r>
      <w:r>
        <w:rPr>
          <w:spacing w:val="-45"/>
          <w:w w:val="99"/>
        </w:rPr>
      </w:r>
      <w:r>
        <w:rPr/>
        <w:t>事件，以及公司董事会判断为重大事件的事项。</w:t>
      </w:r>
      <w:r>
        <w:rPr>
          <w:b w:val="0"/>
          <w:bCs w:val="0"/>
        </w:rPr>
      </w:r>
    </w:p>
    <w:p>
      <w:pPr>
        <w:pStyle w:val="Heading4"/>
        <w:spacing w:line="240" w:lineRule="auto" w:before="165"/>
        <w:ind w:left="112" w:right="103"/>
        <w:jc w:val="left"/>
        <w:rPr>
          <w:b w:val="0"/>
          <w:bCs w:val="0"/>
        </w:rPr>
      </w:pPr>
      <w:r>
        <w:rPr/>
        <w:t>十一、报告期内信息披露索引</w:t>
      </w:r>
      <w:r>
        <w:rPr>
          <w:b w:val="0"/>
          <w:bCs w:val="0"/>
        </w:rPr>
      </w:r>
    </w:p>
    <w:p>
      <w:pPr>
        <w:spacing w:after="0" w:line="240" w:lineRule="auto"/>
        <w:jc w:val="left"/>
        <w:sectPr>
          <w:pgSz w:w="11910" w:h="16840"/>
          <w:pgMar w:header="849" w:footer="976" w:top="1460" w:bottom="1160" w:left="1020" w:right="920"/>
        </w:sectPr>
      </w:pPr>
    </w:p>
    <w:p>
      <w:pPr>
        <w:spacing w:line="240" w:lineRule="auto" w:before="2"/>
        <w:rPr>
          <w:rFonts w:ascii="Times New Roman" w:hAnsi="Times New Roman" w:cs="Times New Roman" w:eastAsia="Times New Roman" w:hint="default"/>
          <w:sz w:val="3"/>
          <w:szCs w:val="3"/>
        </w:rPr>
      </w:pPr>
      <w:r>
        <w:rPr/>
        <w:pict>
          <v:group style="position:absolute;margin-left:56.639999pt;margin-top:75.120026pt;width:63.15pt;height:12.4pt;mso-position-horizontal-relative:page;mso-position-vertical-relative:page;z-index:-632920"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682"/>
        <w:gridCol w:w="1260"/>
        <w:gridCol w:w="1116"/>
        <w:gridCol w:w="4320"/>
        <w:gridCol w:w="1898"/>
        <w:gridCol w:w="504"/>
      </w:tblGrid>
      <w:tr>
        <w:trPr>
          <w:trHeight w:val="486" w:hRule="exact"/>
        </w:trPr>
        <w:tc>
          <w:tcPr>
            <w:tcW w:w="682"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right="0"/>
              <w:jc w:val="center"/>
              <w:rPr>
                <w:rFonts w:ascii="宋体" w:hAnsi="宋体" w:cs="宋体" w:eastAsia="宋体" w:hint="default"/>
                <w:sz w:val="18"/>
                <w:szCs w:val="18"/>
              </w:rPr>
            </w:pPr>
            <w:bookmarkStart w:name="第五章股本变动及股东情况" w:id="9"/>
            <w:bookmarkEnd w:id="9"/>
            <w:r>
              <w:rPr/>
            </w:r>
            <w:r>
              <w:rPr>
                <w:rFonts w:ascii="宋体" w:hAnsi="宋体" w:cs="宋体" w:eastAsia="宋体" w:hint="default"/>
                <w:sz w:val="18"/>
                <w:szCs w:val="18"/>
              </w:rPr>
              <w:t>序号</w:t>
            </w:r>
          </w:p>
        </w:tc>
        <w:tc>
          <w:tcPr>
            <w:tcW w:w="1260"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公告时间</w:t>
            </w:r>
          </w:p>
        </w:tc>
        <w:tc>
          <w:tcPr>
            <w:tcW w:w="1116"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4320"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898"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刊登媒体</w:t>
            </w:r>
          </w:p>
        </w:tc>
        <w:tc>
          <w:tcPr>
            <w:tcW w:w="504" w:type="dxa"/>
            <w:vMerge w:val="restart"/>
            <w:tcBorders>
              <w:top w:val="single" w:sz="6" w:space="0" w:color="000000"/>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2011-09-10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2011-001</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第一届董事会第十八次会议决议公告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2011-09-10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2011-002</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关于签署募集资金三方监管协议的公告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2011-09-14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2011-003</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关于独立董事辞职的公告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2011-10-12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2011-004</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2011年前三季度业绩预告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94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 w:right="0"/>
              <w:jc w:val="center"/>
              <w:rPr>
                <w:rFonts w:ascii="宋体" w:hAnsi="宋体" w:cs="宋体" w:eastAsia="宋体" w:hint="default"/>
                <w:sz w:val="18"/>
                <w:szCs w:val="18"/>
              </w:rPr>
            </w:pPr>
            <w:r>
              <w:rPr>
                <w:rFonts w:ascii="宋体"/>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 w:right="0"/>
              <w:jc w:val="center"/>
              <w:rPr>
                <w:rFonts w:ascii="宋体" w:hAnsi="宋体" w:cs="宋体" w:eastAsia="宋体" w:hint="default"/>
                <w:sz w:val="18"/>
                <w:szCs w:val="18"/>
              </w:rPr>
            </w:pPr>
            <w:r>
              <w:rPr>
                <w:rFonts w:ascii="宋体"/>
                <w:sz w:val="18"/>
              </w:rPr>
              <w:t>2011-10-26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94" w:right="0"/>
              <w:jc w:val="left"/>
              <w:rPr>
                <w:rFonts w:ascii="宋体" w:hAnsi="宋体" w:cs="宋体" w:eastAsia="宋体" w:hint="default"/>
                <w:sz w:val="18"/>
                <w:szCs w:val="18"/>
              </w:rPr>
            </w:pPr>
            <w:r>
              <w:rPr>
                <w:rFonts w:ascii="宋体"/>
                <w:sz w:val="18"/>
              </w:rPr>
              <w:t>2011-005</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3" w:right="0"/>
              <w:jc w:val="left"/>
              <w:rPr>
                <w:rFonts w:ascii="宋体" w:hAnsi="宋体" w:cs="宋体" w:eastAsia="宋体" w:hint="default"/>
                <w:sz w:val="18"/>
                <w:szCs w:val="18"/>
              </w:rPr>
            </w:pPr>
            <w:hyperlink r:id="rId21">
              <w:r>
                <w:rPr>
                  <w:rFonts w:ascii="宋体" w:hAnsi="宋体" w:cs="宋体" w:eastAsia="宋体" w:hint="default"/>
                  <w:sz w:val="18"/>
                  <w:szCs w:val="18"/>
                </w:rPr>
                <w:t>2011年第三季度报告正文</w:t>
              </w:r>
            </w:hyperlink>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3" w:right="163"/>
              <w:jc w:val="both"/>
              <w:rPr>
                <w:rFonts w:ascii="宋体" w:hAnsi="宋体" w:cs="宋体" w:eastAsia="宋体" w:hint="default"/>
                <w:sz w:val="18"/>
                <w:szCs w:val="18"/>
              </w:rPr>
            </w:pPr>
            <w:r>
              <w:rPr>
                <w:rFonts w:ascii="宋体" w:hAnsi="宋体" w:cs="宋体" w:eastAsia="宋体" w:hint="default"/>
                <w:sz w:val="18"/>
                <w:szCs w:val="18"/>
              </w:rPr>
              <w:t>巨潮资讯网、证券时 报、中国证券报、上 海证券报、证券日报</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2011-10-26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2011-006</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关于使用募集资金置换先期投入的公告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2011-10-26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2011-007</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第一届董事会第十九次会议决议公告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2011-10-26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2011-008</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第一届监事会第九次会议决议公告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514"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宋体" w:hAnsi="宋体" w:cs="宋体" w:eastAsia="宋体" w:hint="default"/>
                <w:sz w:val="18"/>
                <w:szCs w:val="18"/>
              </w:rPr>
            </w:pPr>
            <w:r>
              <w:rPr>
                <w:rFonts w:ascii="宋体"/>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2011-11-09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94" w:right="0"/>
              <w:jc w:val="left"/>
              <w:rPr>
                <w:rFonts w:ascii="宋体" w:hAnsi="宋体" w:cs="宋体" w:eastAsia="宋体" w:hint="default"/>
                <w:sz w:val="18"/>
                <w:szCs w:val="18"/>
              </w:rPr>
            </w:pPr>
            <w:r>
              <w:rPr>
                <w:rFonts w:ascii="宋体"/>
                <w:sz w:val="18"/>
              </w:rPr>
              <w:t>2011-009</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2011-11-11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2011-010</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董事会换届选举并征集候选人的公告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2011-11-11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2011-011</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监事会换届选举并征集候选人的公告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2011-11-17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2011-012</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关于网下配售股份上市流通的提示性公告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8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2011-11-30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left"/>
              <w:rPr>
                <w:rFonts w:ascii="宋体" w:hAnsi="宋体" w:cs="宋体" w:eastAsia="宋体" w:hint="default"/>
                <w:sz w:val="18"/>
                <w:szCs w:val="18"/>
              </w:rPr>
            </w:pPr>
            <w:r>
              <w:rPr>
                <w:rFonts w:ascii="宋体"/>
                <w:sz w:val="18"/>
              </w:rPr>
              <w:t>2011-013</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第一届董事会第二十次会议决议公告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7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2011-11-30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2011-014</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第一届监事会第十次会议决议公告</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right w:val="nil" w:sz="6" w:space="0" w:color="auto"/>
            </w:tcBorders>
          </w:tcPr>
          <w:p>
            <w:pPr/>
          </w:p>
        </w:tc>
      </w:tr>
      <w:tr>
        <w:trPr>
          <w:trHeight w:val="494"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sz w:val="18"/>
              </w:rPr>
              <w:t>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sz w:val="18"/>
              </w:rPr>
              <w:t>2011-11-30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4" w:right="0"/>
              <w:jc w:val="left"/>
              <w:rPr>
                <w:rFonts w:ascii="宋体" w:hAnsi="宋体" w:cs="宋体" w:eastAsia="宋体" w:hint="default"/>
                <w:sz w:val="18"/>
                <w:szCs w:val="18"/>
              </w:rPr>
            </w:pPr>
            <w:r>
              <w:rPr>
                <w:rFonts w:ascii="宋体"/>
                <w:sz w:val="18"/>
              </w:rPr>
              <w:t>2011-015</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504" w:type="dxa"/>
            <w:vMerge/>
            <w:tcBorders>
              <w:left w:val="single" w:sz="4" w:space="0" w:color="000000"/>
              <w:bottom w:val="nil" w:sz="6" w:space="0" w:color="auto"/>
              <w:right w:val="nil" w:sz="6" w:space="0" w:color="auto"/>
            </w:tcBorders>
          </w:tcPr>
          <w:p>
            <w:pPr/>
          </w:p>
        </w:tc>
      </w:tr>
    </w:tbl>
    <w:p>
      <w:pPr>
        <w:spacing w:after="0"/>
        <w:sectPr>
          <w:pgSz w:w="11910" w:h="16840"/>
          <w:pgMar w:header="849" w:footer="976" w:top="1460" w:bottom="1160" w:left="880" w:right="1020"/>
        </w:sectPr>
      </w:pPr>
    </w:p>
    <w:p>
      <w:pPr>
        <w:spacing w:line="240" w:lineRule="auto" w:before="2"/>
        <w:rPr>
          <w:rFonts w:ascii="Times New Roman" w:hAnsi="Times New Roman" w:cs="Times New Roman" w:eastAsia="Times New Roman" w:hint="default"/>
          <w:sz w:val="2"/>
          <w:szCs w:val="2"/>
        </w:rPr>
      </w:pPr>
    </w:p>
    <w:p>
      <w:pPr>
        <w:spacing w:line="247" w:lineRule="exact"/>
        <w:ind w:left="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Times New Roman" w:hAnsi="Times New Roman" w:cs="Times New Roman" w:eastAsia="Times New Roman" w:hint="default"/>
          <w:position w:val="-4"/>
          <w:sz w:val="20"/>
          <w:szCs w:val="20"/>
        </w:rPr>
      </w:r>
    </w:p>
    <w:p>
      <w:pPr>
        <w:spacing w:line="240" w:lineRule="auto" w:before="6"/>
        <w:rPr>
          <w:rFonts w:ascii="Times New Roman" w:hAnsi="Times New Roman" w:cs="Times New Roman" w:eastAsia="Times New Roman" w:hint="default"/>
          <w:sz w:val="20"/>
          <w:szCs w:val="20"/>
        </w:rPr>
      </w:pPr>
    </w:p>
    <w:p>
      <w:pPr>
        <w:pStyle w:val="Heading1"/>
        <w:tabs>
          <w:tab w:pos="4142" w:val="left" w:leader="none"/>
        </w:tabs>
        <w:spacing w:line="240" w:lineRule="auto"/>
        <w:ind w:left="2855" w:right="0"/>
        <w:jc w:val="left"/>
      </w:pPr>
      <w:bookmarkStart w:name="_bookmark4" w:id="10"/>
      <w:bookmarkEnd w:id="10"/>
      <w:r>
        <w:rPr/>
      </w:r>
      <w:r>
        <w:rPr/>
        <w:t>第五章</w:t>
        <w:tab/>
        <w:t>股本变动及股东情况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333" w:lineRule="exact"/>
        <w:ind w:left="112" w:right="0"/>
        <w:jc w:val="left"/>
        <w:rPr>
          <w:b w:val="0"/>
          <w:bCs w:val="0"/>
        </w:rPr>
      </w:pPr>
      <w:r>
        <w:rPr/>
        <w:t>一、股份变动情况</w:t>
      </w:r>
      <w:r>
        <w:rPr>
          <w:b w:val="0"/>
          <w:bCs w:val="0"/>
        </w:rPr>
      </w:r>
    </w:p>
    <w:p>
      <w:pPr>
        <w:pStyle w:val="Heading4"/>
        <w:spacing w:line="240" w:lineRule="auto" w:before="179"/>
        <w:ind w:left="525" w:right="0"/>
        <w:jc w:val="left"/>
        <w:rPr>
          <w:b w:val="0"/>
          <w:bCs w:val="0"/>
        </w:rPr>
      </w:pPr>
      <w:r>
        <w:rPr/>
        <w:t>（一）股份变动情况表</w:t>
      </w:r>
      <w:r>
        <w:rPr>
          <w:b w:val="0"/>
          <w:bCs w:val="0"/>
        </w:rPr>
      </w:r>
    </w:p>
    <w:p>
      <w:pPr>
        <w:spacing w:line="240" w:lineRule="auto" w:before="2"/>
        <w:rPr>
          <w:rFonts w:ascii="Microsoft JhengHei" w:hAnsi="Microsoft JhengHei" w:cs="Microsoft JhengHei" w:eastAsia="Microsoft JhengHei" w:hint="default"/>
          <w:b/>
          <w:bCs/>
          <w:sz w:val="10"/>
          <w:szCs w:val="10"/>
        </w:rPr>
      </w:pPr>
    </w:p>
    <w:p>
      <w:pPr>
        <w:pStyle w:val="Heading4"/>
        <w:spacing w:line="333" w:lineRule="exact"/>
        <w:ind w:left="0" w:right="612"/>
        <w:jc w:val="right"/>
        <w:rPr>
          <w:b w:val="0"/>
          <w:bCs w:val="0"/>
        </w:rPr>
      </w:pPr>
      <w:r>
        <w:rPr>
          <w:w w:val="95"/>
        </w:rPr>
        <w:t>单位：股</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1639"/>
        <w:gridCol w:w="986"/>
        <w:gridCol w:w="910"/>
        <w:gridCol w:w="986"/>
        <w:gridCol w:w="910"/>
        <w:gridCol w:w="910"/>
        <w:gridCol w:w="910"/>
        <w:gridCol w:w="986"/>
        <w:gridCol w:w="986"/>
        <w:gridCol w:w="910"/>
      </w:tblGrid>
      <w:tr>
        <w:trPr>
          <w:trHeight w:val="324" w:hRule="exact"/>
        </w:trPr>
        <w:tc>
          <w:tcPr>
            <w:tcW w:w="1639" w:type="dxa"/>
            <w:vMerge w:val="restart"/>
            <w:tcBorders>
              <w:top w:val="single" w:sz="4" w:space="0" w:color="000000"/>
              <w:left w:val="single" w:sz="4" w:space="0" w:color="000000"/>
              <w:right w:val="single" w:sz="4" w:space="0" w:color="000000"/>
            </w:tcBorders>
            <w:shd w:val="clear" w:color="auto" w:fill="DBDBDB"/>
          </w:tcPr>
          <w:p>
            <w:pPr/>
          </w:p>
        </w:tc>
        <w:tc>
          <w:tcPr>
            <w:tcW w:w="189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49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02"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14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4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4" w:hRule="exact"/>
        </w:trPr>
        <w:tc>
          <w:tcPr>
            <w:tcW w:w="1639" w:type="dxa"/>
            <w:vMerge/>
            <w:tcBorders>
              <w:left w:val="single" w:sz="4" w:space="0" w:color="000000"/>
              <w:bottom w:val="single" w:sz="4" w:space="0" w:color="000000"/>
              <w:right w:val="single" w:sz="4" w:space="0" w:color="000000"/>
            </w:tcBorders>
            <w:shd w:val="clear" w:color="auto" w:fill="DBDBDB"/>
          </w:tcPr>
          <w:p>
            <w:pPr/>
          </w:p>
        </w:tc>
        <w:tc>
          <w:tcPr>
            <w:tcW w:w="9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360" w:right="86"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74.77%</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74.77%</w:t>
            </w:r>
          </w:p>
        </w:tc>
      </w:tr>
      <w:tr>
        <w:trPr>
          <w:trHeight w:val="63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3"/>
              <w:ind w:left="24" w:right="72"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r>
      <w:tr>
        <w:trPr>
          <w:trHeight w:val="63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74.77%</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9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r>
      <w:tr>
        <w:trPr>
          <w:trHeight w:val="63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72"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r>
      <w:tr>
        <w:trPr>
          <w:trHeight w:val="63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5、高管股份</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r>
      <w:tr>
        <w:trPr>
          <w:trHeight w:val="32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13,500,000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25.23%</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13,500,000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25.23%</w:t>
            </w:r>
          </w:p>
        </w:tc>
      </w:tr>
      <w:tr>
        <w:trPr>
          <w:trHeight w:val="63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72"/>
              <w:jc w:val="left"/>
              <w:rPr>
                <w:rFonts w:ascii="宋体" w:hAnsi="宋体" w:cs="宋体" w:eastAsia="宋体" w:hint="default"/>
                <w:sz w:val="18"/>
                <w:szCs w:val="18"/>
              </w:rPr>
            </w:pPr>
            <w:r>
              <w:rPr>
                <w:rFonts w:ascii="宋体" w:hAnsi="宋体" w:cs="宋体" w:eastAsia="宋体" w:hint="default"/>
                <w:sz w:val="18"/>
                <w:szCs w:val="18"/>
              </w:rPr>
              <w:t>2、境内上市的外资 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r>
      <w:tr>
        <w:trPr>
          <w:trHeight w:val="63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24" w:right="72"/>
              <w:jc w:val="left"/>
              <w:rPr>
                <w:rFonts w:ascii="宋体" w:hAnsi="宋体" w:cs="宋体" w:eastAsia="宋体" w:hint="default"/>
                <w:sz w:val="18"/>
                <w:szCs w:val="18"/>
              </w:rPr>
            </w:pPr>
            <w:r>
              <w:rPr>
                <w:rFonts w:ascii="宋体" w:hAnsi="宋体" w:cs="宋体" w:eastAsia="宋体" w:hint="default"/>
                <w:sz w:val="18"/>
                <w:szCs w:val="18"/>
              </w:rPr>
              <w:t>3、境外上市的外资 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0.00%</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0.00%</w:t>
            </w:r>
          </w:p>
        </w:tc>
      </w:tr>
      <w:tr>
        <w:trPr>
          <w:trHeight w:val="32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40,000,000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13,500,000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100.00%</w:t>
            </w:r>
          </w:p>
        </w:tc>
      </w:tr>
    </w:tbl>
    <w:p>
      <w:pPr>
        <w:spacing w:line="240" w:lineRule="auto" w:before="17"/>
        <w:rPr>
          <w:rFonts w:ascii="Microsoft JhengHei" w:hAnsi="Microsoft JhengHei" w:cs="Microsoft JhengHei" w:eastAsia="Microsoft JhengHei" w:hint="default"/>
          <w:b/>
          <w:bCs/>
          <w:sz w:val="7"/>
          <w:szCs w:val="7"/>
        </w:rPr>
      </w:pPr>
    </w:p>
    <w:p>
      <w:pPr>
        <w:pStyle w:val="Heading4"/>
        <w:spacing w:line="333" w:lineRule="exact"/>
        <w:ind w:left="525" w:right="0"/>
        <w:jc w:val="left"/>
        <w:rPr>
          <w:b w:val="0"/>
          <w:bCs w:val="0"/>
        </w:rPr>
      </w:pPr>
      <w:r>
        <w:rPr/>
        <w:t>（二）限售股份变动情况</w:t>
      </w:r>
      <w:r>
        <w:rPr>
          <w:b w:val="0"/>
          <w:bCs w:val="0"/>
        </w:rPr>
      </w:r>
    </w:p>
    <w:p>
      <w:pPr>
        <w:spacing w:line="240" w:lineRule="auto" w:before="17"/>
        <w:rPr>
          <w:rFonts w:ascii="Microsoft JhengHei" w:hAnsi="Microsoft JhengHei" w:cs="Microsoft JhengHei" w:eastAsia="Microsoft JhengHei" w:hint="default"/>
          <w:b/>
          <w:bCs/>
          <w:sz w:val="9"/>
          <w:szCs w:val="9"/>
        </w:rPr>
      </w:pPr>
    </w:p>
    <w:p>
      <w:pPr>
        <w:pStyle w:val="BodyText"/>
        <w:spacing w:line="240" w:lineRule="auto" w:before="34"/>
        <w:ind w:left="0" w:right="612"/>
        <w:jc w:val="right"/>
      </w:pPr>
      <w:r>
        <w:rPr>
          <w:w w:val="95"/>
        </w:rPr>
        <w:t>单位：股</w:t>
      </w:r>
      <w:r>
        <w:rPr/>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607" w:right="65"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609" w:right="62"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8,857,047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8,857,047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7,484,605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7,484,605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6,642,785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6,642,785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3,908,555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3,908,555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49" w:footer="976" w:top="1460" w:bottom="1160" w:left="1020" w:right="520"/>
        </w:sectPr>
      </w:pPr>
    </w:p>
    <w:p>
      <w:pPr>
        <w:spacing w:line="240" w:lineRule="auto" w:before="5"/>
        <w:rPr>
          <w:rFonts w:ascii="Times New Roman" w:hAnsi="Times New Roman" w:cs="Times New Roman" w:eastAsia="Times New Roman" w:hint="default"/>
          <w:sz w:val="17"/>
          <w:szCs w:val="17"/>
        </w:rPr>
      </w:pPr>
      <w:r>
        <w:rPr/>
        <w:pict>
          <v:group style="position:absolute;margin-left:56.639999pt;margin-top:75.120026pt;width:63.15pt;height:12.4pt;mso-position-horizontal-relative:page;mso-position-vertical-relative:page;z-index:2944"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r>
        <w:rPr/>
        <w:pict>
          <v:shape style="position:absolute;margin-left:56.399998pt;margin-top:75.720024pt;width:492.15pt;height:623.65pt;mso-position-horizontal-relative:page;mso-position-vertical-relative:page;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642" w:hRule="exact"/>
                    </w:trPr>
                    <w:tc>
                      <w:tcPr>
                        <w:tcW w:w="140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607" w:right="65"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609" w:right="62"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11"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3,105,741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3,105,741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陈建国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2,578,732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2,578,732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贾按师</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2,530,286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2,530,286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凌红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1,874,476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1,874,476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19"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国泰中小盘成长 股票型证券投资</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定向发行限售</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17"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基金（LOF）</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宝盈增强收益债 券型证券投资基</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定向发行限售</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17"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浙商证券－光大</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－浙商金惠引航 集合资产管理计</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定向发行限售</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17"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国都证券有限责 任公司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定向发行限售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胡美珍</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617,760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617,760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范钧</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341,328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341,328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曾刚琴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239,431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239,431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韩伟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220,008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220,008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黄晓怡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205,920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205,920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202,893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202,893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周洪</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159,094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159,094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付春林</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133,299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133,299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付晖</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131,280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131,280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125,643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125,643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孙超仁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117,680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117,680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邓荣华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87,520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87,520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陈军华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85,837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85,837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艾国光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李继东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阚家平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熊海浪</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汪国亮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70,016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IPO</w:t>
                        </w:r>
                        <w:r>
                          <w:rPr>
                            <w:rFonts w:ascii="宋体" w:hAnsi="宋体" w:cs="宋体" w:eastAsia="宋体" w:hint="default"/>
                            <w:spacing w:val="-47"/>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40,000,000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49" w:footer="976" w:top="1520" w:bottom="1160" w:left="1020" w:right="820"/>
        </w:sectPr>
      </w:pPr>
    </w:p>
    <w:p>
      <w:pPr>
        <w:spacing w:line="240" w:lineRule="auto" w:before="2"/>
        <w:rPr>
          <w:rFonts w:ascii="Times New Roman" w:hAnsi="Times New Roman" w:cs="Times New Roman" w:eastAsia="Times New Roman" w:hint="default"/>
          <w:sz w:val="2"/>
          <w:szCs w:val="2"/>
        </w:rPr>
      </w:pPr>
    </w:p>
    <w:p>
      <w:pPr>
        <w:spacing w:line="247" w:lineRule="exact"/>
        <w:ind w:left="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Times New Roman" w:hAnsi="Times New Roman" w:cs="Times New Roman" w:eastAsia="Times New Roman" w:hint="default"/>
          <w:position w:val="-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Heading4"/>
        <w:spacing w:line="333" w:lineRule="exact"/>
        <w:ind w:left="112" w:right="4131"/>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389" w:firstLine="422"/>
        <w:jc w:val="both"/>
      </w:pPr>
      <w:r>
        <w:rPr/>
        <w:t>公司经中国证券监督管理委员会证监许可[2011]1129</w:t>
      </w:r>
      <w:r>
        <w:rPr>
          <w:spacing w:val="-71"/>
        </w:rPr>
        <w:t> </w:t>
      </w:r>
      <w:r>
        <w:rPr>
          <w:spacing w:val="-3"/>
        </w:rPr>
        <w:t>号文《关于核准上海金仕达卫宁软件股份有限公</w:t>
      </w:r>
      <w:r>
        <w:rPr>
          <w:w w:val="99"/>
        </w:rPr>
        <w:t> </w:t>
      </w:r>
      <w:r>
        <w:rPr/>
        <w:t>司首次公开发行股票并在创业板上市的批复》核准，首次公开发行人民币普通股（A</w:t>
      </w:r>
      <w:r>
        <w:rPr>
          <w:spacing w:val="-64"/>
        </w:rPr>
        <w:t> </w:t>
      </w:r>
      <w:r>
        <w:rPr/>
        <w:t>股）1350</w:t>
      </w:r>
      <w:r>
        <w:rPr>
          <w:spacing w:val="-66"/>
        </w:rPr>
        <w:t> </w:t>
      </w:r>
      <w:r>
        <w:rPr/>
        <w:t>万股，每股</w:t>
      </w:r>
      <w:r>
        <w:rPr>
          <w:w w:val="99"/>
        </w:rPr>
        <w:t> </w:t>
      </w:r>
      <w:r>
        <w:rPr/>
        <w:t>面值</w:t>
      </w:r>
      <w:r>
        <w:rPr>
          <w:spacing w:val="-51"/>
        </w:rPr>
        <w:t> </w:t>
      </w:r>
      <w:r>
        <w:rPr/>
        <w:t>1</w:t>
      </w:r>
      <w:r>
        <w:rPr>
          <w:spacing w:val="-52"/>
        </w:rPr>
        <w:t> </w:t>
      </w:r>
      <w:r>
        <w:rPr>
          <w:spacing w:val="3"/>
        </w:rPr>
        <w:t>元，发行后总股本为</w:t>
      </w:r>
      <w:r>
        <w:rPr>
          <w:spacing w:val="-53"/>
        </w:rPr>
        <w:t> </w:t>
      </w:r>
      <w:r>
        <w:rPr/>
        <w:t>5350</w:t>
      </w:r>
      <w:r>
        <w:rPr>
          <w:spacing w:val="-52"/>
        </w:rPr>
        <w:t> </w:t>
      </w:r>
      <w:r>
        <w:rPr>
          <w:spacing w:val="3"/>
        </w:rPr>
        <w:t>万元。此次变更已经中磊会计师事务所有限责任公司于</w:t>
      </w:r>
      <w:r>
        <w:rPr>
          <w:spacing w:val="-53"/>
        </w:rPr>
        <w:t> </w:t>
      </w:r>
      <w:r>
        <w:rPr/>
        <w:t>2011</w:t>
      </w:r>
      <w:r>
        <w:rPr>
          <w:spacing w:val="-52"/>
        </w:rPr>
        <w:t> </w:t>
      </w:r>
      <w:r>
        <w:rPr/>
        <w:t>年</w:t>
      </w:r>
      <w:r>
        <w:rPr>
          <w:spacing w:val="-51"/>
        </w:rPr>
        <w:t> </w:t>
      </w:r>
      <w:r>
        <w:rPr/>
        <w:t>8</w:t>
      </w:r>
      <w:r>
        <w:rPr>
          <w:spacing w:val="-52"/>
        </w:rPr>
        <w:t> </w:t>
      </w:r>
      <w:r>
        <w:rPr/>
        <w:t>月</w:t>
      </w:r>
      <w:r>
        <w:rPr>
          <w:spacing w:val="-51"/>
        </w:rPr>
        <w:t> </w:t>
      </w:r>
      <w:r>
        <w:rPr/>
        <w:t>10</w:t>
      </w:r>
    </w:p>
    <w:p>
      <w:pPr>
        <w:pStyle w:val="BodyText"/>
        <w:spacing w:line="240" w:lineRule="auto" w:before="25"/>
        <w:ind w:right="4131"/>
        <w:jc w:val="left"/>
      </w:pPr>
      <w:r>
        <w:rPr/>
        <w:t>日出具的中磊验字[2011]第</w:t>
      </w:r>
      <w:r>
        <w:rPr>
          <w:spacing w:val="-56"/>
        </w:rPr>
        <w:t> </w:t>
      </w:r>
      <w:r>
        <w:rPr/>
        <w:t>0067</w:t>
      </w:r>
      <w:r>
        <w:rPr>
          <w:spacing w:val="-57"/>
        </w:rPr>
        <w:t> </w:t>
      </w:r>
      <w:r>
        <w:rPr/>
        <w:t>号验资报告验证。</w:t>
      </w:r>
    </w:p>
    <w:p>
      <w:pPr>
        <w:spacing w:line="240" w:lineRule="auto" w:before="11"/>
        <w:rPr>
          <w:rFonts w:ascii="宋体" w:hAnsi="宋体" w:cs="宋体" w:eastAsia="宋体" w:hint="default"/>
          <w:sz w:val="20"/>
          <w:szCs w:val="20"/>
        </w:rPr>
      </w:pPr>
    </w:p>
    <w:p>
      <w:pPr>
        <w:pStyle w:val="BodyText"/>
        <w:spacing w:line="340" w:lineRule="auto"/>
        <w:ind w:right="390" w:firstLine="422"/>
        <w:jc w:val="both"/>
      </w:pPr>
      <w:r>
        <w:rPr/>
        <w:t>经深圳证券交易所深证上[2011]244</w:t>
      </w:r>
      <w:r>
        <w:rPr>
          <w:spacing w:val="-40"/>
        </w:rPr>
        <w:t> </w:t>
      </w:r>
      <w:r>
        <w:rPr/>
        <w:t>号文《关于上海金仕达卫宁软件股份有限公司人民币普通股股票</w:t>
      </w:r>
      <w:r>
        <w:rPr>
          <w:w w:val="99"/>
        </w:rPr>
        <w:t> </w:t>
      </w:r>
      <w:r>
        <w:rPr/>
        <w:t>在创业板上市的通知》同意，公司发行的人民币普通股股票于</w:t>
      </w:r>
      <w:r>
        <w:rPr>
          <w:spacing w:val="-58"/>
        </w:rPr>
        <w:t> </w:t>
      </w:r>
      <w:r>
        <w:rPr/>
        <w:t>2011</w:t>
      </w:r>
      <w:r>
        <w:rPr>
          <w:spacing w:val="-59"/>
        </w:rPr>
        <w:t> </w:t>
      </w:r>
      <w:r>
        <w:rPr/>
        <w:t>年</w:t>
      </w:r>
      <w:r>
        <w:rPr>
          <w:spacing w:val="-56"/>
        </w:rPr>
        <w:t> </w:t>
      </w:r>
      <w:r>
        <w:rPr/>
        <w:t>8</w:t>
      </w:r>
      <w:r>
        <w:rPr>
          <w:spacing w:val="-59"/>
        </w:rPr>
        <w:t> </w:t>
      </w:r>
      <w:r>
        <w:rPr/>
        <w:t>月</w:t>
      </w:r>
      <w:r>
        <w:rPr>
          <w:spacing w:val="-56"/>
        </w:rPr>
        <w:t> </w:t>
      </w:r>
      <w:r>
        <w:rPr/>
        <w:t>18</w:t>
      </w:r>
      <w:r>
        <w:rPr>
          <w:spacing w:val="-59"/>
        </w:rPr>
        <w:t> </w:t>
      </w:r>
      <w:r>
        <w:rPr/>
        <w:t>日在深圳证券交易所创业板</w:t>
      </w:r>
      <w:r>
        <w:rPr>
          <w:w w:val="99"/>
        </w:rPr>
        <w:t> </w:t>
      </w:r>
      <w:r>
        <w:rPr/>
        <w:t>挂牌上市。</w:t>
      </w:r>
    </w:p>
    <w:p>
      <w:pPr>
        <w:pStyle w:val="Heading4"/>
        <w:spacing w:line="240" w:lineRule="auto" w:before="115"/>
        <w:ind w:left="112" w:right="4131"/>
        <w:jc w:val="left"/>
        <w:rPr>
          <w:b w:val="0"/>
          <w:bCs w:val="0"/>
        </w:rPr>
      </w:pPr>
      <w:r>
        <w:rPr/>
        <w:t>二、股东和实际控制人情况</w:t>
      </w:r>
      <w:r>
        <w:rPr>
          <w:b w:val="0"/>
          <w:bCs w:val="0"/>
        </w:rPr>
      </w:r>
    </w:p>
    <w:p>
      <w:pPr>
        <w:spacing w:line="240" w:lineRule="auto" w:before="8"/>
        <w:rPr>
          <w:rFonts w:ascii="Microsoft JhengHei" w:hAnsi="Microsoft JhengHei" w:cs="Microsoft JhengHei" w:eastAsia="Microsoft JhengHei" w:hint="default"/>
          <w:b/>
          <w:bCs/>
          <w:sz w:val="10"/>
          <w:szCs w:val="10"/>
        </w:rPr>
      </w:pPr>
    </w:p>
    <w:p>
      <w:pPr>
        <w:pStyle w:val="Heading4"/>
        <w:spacing w:line="240" w:lineRule="auto"/>
        <w:ind w:right="4131"/>
        <w:jc w:val="left"/>
        <w:rPr>
          <w:b w:val="0"/>
          <w:bCs w:val="0"/>
        </w:rPr>
      </w:pPr>
      <w:r>
        <w:rPr/>
        <w:t>（一）前</w:t>
      </w:r>
      <w:r>
        <w:rPr>
          <w:spacing w:val="-21"/>
        </w:rPr>
        <w:t> </w:t>
      </w:r>
      <w:r>
        <w:rPr/>
        <w:t>10</w:t>
      </w:r>
      <w:r>
        <w:rPr>
          <w:spacing w:val="-22"/>
        </w:rPr>
        <w:t> </w:t>
      </w:r>
      <w:r>
        <w:rPr/>
        <w:t>名股东、前</w:t>
      </w:r>
      <w:r>
        <w:rPr>
          <w:spacing w:val="-17"/>
        </w:rPr>
        <w:t> </w:t>
      </w:r>
      <w:r>
        <w:rPr/>
        <w:t>10</w:t>
      </w:r>
      <w:r>
        <w:rPr>
          <w:spacing w:val="-21"/>
        </w:rPr>
        <w:t> </w:t>
      </w:r>
      <w:r>
        <w:rPr/>
        <w:t>名无限售条件股东持股情况表</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left="0" w:right="392"/>
        <w:jc w:val="right"/>
      </w:pPr>
      <w:r>
        <w:rPr>
          <w:w w:val="95"/>
        </w:rPr>
        <w:t>单位：股</w:t>
      </w:r>
      <w:r>
        <w:rPr/>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340"/>
        <w:gridCol w:w="1301"/>
        <w:gridCol w:w="1039"/>
        <w:gridCol w:w="262"/>
        <w:gridCol w:w="1298"/>
        <w:gridCol w:w="521"/>
        <w:gridCol w:w="1056"/>
        <w:gridCol w:w="319"/>
        <w:gridCol w:w="1769"/>
      </w:tblGrid>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年末股东总数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3,332</w:t>
            </w:r>
          </w:p>
        </w:tc>
        <w:tc>
          <w:tcPr>
            <w:tcW w:w="3137"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c>
        <w:tc>
          <w:tcPr>
            <w:tcW w:w="2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2,851</w:t>
            </w:r>
          </w:p>
        </w:tc>
      </w:tr>
      <w:tr>
        <w:trPr>
          <w:trHeight w:val="322" w:hRule="exact"/>
        </w:trPr>
        <w:tc>
          <w:tcPr>
            <w:tcW w:w="9905"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9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854" w:right="41" w:hanging="812"/>
              <w:jc w:val="left"/>
              <w:rPr>
                <w:rFonts w:ascii="宋体" w:hAnsi="宋体" w:cs="宋体" w:eastAsia="宋体" w:hint="default"/>
                <w:sz w:val="18"/>
                <w:szCs w:val="18"/>
              </w:rPr>
            </w:pPr>
            <w:r>
              <w:rPr>
                <w:rFonts w:ascii="宋体" w:hAnsi="宋体" w:cs="宋体" w:eastAsia="宋体" w:hint="default"/>
                <w:sz w:val="18"/>
                <w:szCs w:val="18"/>
              </w:rPr>
              <w:t>持有有限售条件股份数 量</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0"/>
              <w:ind w:left="789" w:right="67" w:hanging="720"/>
              <w:jc w:val="left"/>
              <w:rPr>
                <w:rFonts w:ascii="宋体" w:hAnsi="宋体" w:cs="宋体" w:eastAsia="宋体" w:hint="default"/>
                <w:sz w:val="18"/>
                <w:szCs w:val="18"/>
              </w:rPr>
            </w:pPr>
            <w:r>
              <w:rPr>
                <w:rFonts w:ascii="宋体" w:hAnsi="宋体" w:cs="宋体" w:eastAsia="宋体" w:hint="default"/>
                <w:sz w:val="18"/>
                <w:szCs w:val="18"/>
              </w:rPr>
              <w:t>质押或冻结的股份数 量</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27" w:right="0"/>
              <w:jc w:val="left"/>
              <w:rPr>
                <w:rFonts w:ascii="宋体" w:hAnsi="宋体" w:cs="宋体" w:eastAsia="宋体" w:hint="default"/>
                <w:sz w:val="18"/>
                <w:szCs w:val="18"/>
              </w:rPr>
            </w:pPr>
            <w:r>
              <w:rPr>
                <w:rFonts w:ascii="宋体"/>
                <w:sz w:val="18"/>
              </w:rPr>
              <w:t>16.56%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8,857,047</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3" w:right="0"/>
              <w:jc w:val="left"/>
              <w:rPr>
                <w:rFonts w:ascii="宋体" w:hAnsi="宋体" w:cs="宋体" w:eastAsia="宋体" w:hint="default"/>
                <w:sz w:val="18"/>
                <w:szCs w:val="18"/>
              </w:rPr>
            </w:pPr>
            <w:r>
              <w:rPr>
                <w:rFonts w:ascii="宋体"/>
                <w:sz w:val="18"/>
              </w:rPr>
              <w:t>8,857,047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7" w:right="0"/>
              <w:jc w:val="left"/>
              <w:rPr>
                <w:rFonts w:ascii="宋体" w:hAnsi="宋体" w:cs="宋体" w:eastAsia="宋体" w:hint="default"/>
                <w:sz w:val="18"/>
                <w:szCs w:val="18"/>
              </w:rPr>
            </w:pPr>
            <w:r>
              <w:rPr>
                <w:rFonts w:ascii="宋体"/>
                <w:sz w:val="18"/>
              </w:rPr>
              <w:t>13.99%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7,484,605</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3" w:right="0"/>
              <w:jc w:val="left"/>
              <w:rPr>
                <w:rFonts w:ascii="宋体" w:hAnsi="宋体" w:cs="宋体" w:eastAsia="宋体" w:hint="default"/>
                <w:sz w:val="18"/>
                <w:szCs w:val="18"/>
              </w:rPr>
            </w:pPr>
            <w:r>
              <w:rPr>
                <w:rFonts w:ascii="宋体"/>
                <w:sz w:val="18"/>
              </w:rPr>
              <w:t>7,484,605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7" w:right="0"/>
              <w:jc w:val="left"/>
              <w:rPr>
                <w:rFonts w:ascii="宋体" w:hAnsi="宋体" w:cs="宋体" w:eastAsia="宋体" w:hint="default"/>
                <w:sz w:val="18"/>
                <w:szCs w:val="18"/>
              </w:rPr>
            </w:pPr>
            <w:r>
              <w:rPr>
                <w:rFonts w:ascii="宋体"/>
                <w:sz w:val="18"/>
              </w:rPr>
              <w:t>12.42%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6,642,785</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3" w:right="0"/>
              <w:jc w:val="left"/>
              <w:rPr>
                <w:rFonts w:ascii="宋体" w:hAnsi="宋体" w:cs="宋体" w:eastAsia="宋体" w:hint="default"/>
                <w:sz w:val="18"/>
                <w:szCs w:val="18"/>
              </w:rPr>
            </w:pPr>
            <w:r>
              <w:rPr>
                <w:rFonts w:ascii="宋体"/>
                <w:sz w:val="18"/>
              </w:rPr>
              <w:t>6,642,785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8" w:right="0"/>
              <w:jc w:val="left"/>
              <w:rPr>
                <w:rFonts w:ascii="宋体" w:hAnsi="宋体" w:cs="宋体" w:eastAsia="宋体" w:hint="default"/>
                <w:sz w:val="18"/>
                <w:szCs w:val="18"/>
              </w:rPr>
            </w:pPr>
            <w:r>
              <w:rPr>
                <w:rFonts w:ascii="宋体"/>
                <w:sz w:val="18"/>
              </w:rPr>
              <w:t>7.31%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3,908,555</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3" w:right="0"/>
              <w:jc w:val="left"/>
              <w:rPr>
                <w:rFonts w:ascii="宋体" w:hAnsi="宋体" w:cs="宋体" w:eastAsia="宋体" w:hint="default"/>
                <w:sz w:val="18"/>
                <w:szCs w:val="18"/>
              </w:rPr>
            </w:pPr>
            <w:r>
              <w:rPr>
                <w:rFonts w:ascii="宋体"/>
                <w:sz w:val="18"/>
              </w:rPr>
              <w:t>3,908,555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8" w:right="0"/>
              <w:jc w:val="left"/>
              <w:rPr>
                <w:rFonts w:ascii="宋体" w:hAnsi="宋体" w:cs="宋体" w:eastAsia="宋体" w:hint="default"/>
                <w:sz w:val="18"/>
                <w:szCs w:val="18"/>
              </w:rPr>
            </w:pPr>
            <w:r>
              <w:rPr>
                <w:rFonts w:ascii="宋体"/>
                <w:sz w:val="18"/>
              </w:rPr>
              <w:t>5.81%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3,105,741</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3" w:right="0"/>
              <w:jc w:val="left"/>
              <w:rPr>
                <w:rFonts w:ascii="宋体" w:hAnsi="宋体" w:cs="宋体" w:eastAsia="宋体" w:hint="default"/>
                <w:sz w:val="18"/>
                <w:szCs w:val="18"/>
              </w:rPr>
            </w:pPr>
            <w:r>
              <w:rPr>
                <w:rFonts w:ascii="宋体"/>
                <w:sz w:val="18"/>
              </w:rPr>
              <w:t>3,105,741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陈建国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8" w:right="0"/>
              <w:jc w:val="left"/>
              <w:rPr>
                <w:rFonts w:ascii="宋体" w:hAnsi="宋体" w:cs="宋体" w:eastAsia="宋体" w:hint="default"/>
                <w:sz w:val="18"/>
                <w:szCs w:val="18"/>
              </w:rPr>
            </w:pPr>
            <w:r>
              <w:rPr>
                <w:rFonts w:ascii="宋体"/>
                <w:sz w:val="18"/>
              </w:rPr>
              <w:t>4.82%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2,578,732</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3" w:right="0"/>
              <w:jc w:val="left"/>
              <w:rPr>
                <w:rFonts w:ascii="宋体" w:hAnsi="宋体" w:cs="宋体" w:eastAsia="宋体" w:hint="default"/>
                <w:sz w:val="18"/>
                <w:szCs w:val="18"/>
              </w:rPr>
            </w:pPr>
            <w:r>
              <w:rPr>
                <w:rFonts w:ascii="宋体"/>
                <w:sz w:val="18"/>
              </w:rPr>
              <w:t>2,578,732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贾按师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18" w:right="0"/>
              <w:jc w:val="left"/>
              <w:rPr>
                <w:rFonts w:ascii="宋体" w:hAnsi="宋体" w:cs="宋体" w:eastAsia="宋体" w:hint="default"/>
                <w:sz w:val="18"/>
                <w:szCs w:val="18"/>
              </w:rPr>
            </w:pPr>
            <w:r>
              <w:rPr>
                <w:rFonts w:ascii="宋体"/>
                <w:sz w:val="18"/>
              </w:rPr>
              <w:t>4.73%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pacing w:val="-1"/>
                <w:sz w:val="18"/>
              </w:rPr>
              <w:t>2,530,286</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3" w:right="0"/>
              <w:jc w:val="left"/>
              <w:rPr>
                <w:rFonts w:ascii="宋体" w:hAnsi="宋体" w:cs="宋体" w:eastAsia="宋体" w:hint="default"/>
                <w:sz w:val="18"/>
                <w:szCs w:val="18"/>
              </w:rPr>
            </w:pPr>
            <w:r>
              <w:rPr>
                <w:rFonts w:ascii="宋体"/>
                <w:sz w:val="18"/>
              </w:rPr>
              <w:t>2,530,286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凌红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8" w:right="0"/>
              <w:jc w:val="left"/>
              <w:rPr>
                <w:rFonts w:ascii="宋体" w:hAnsi="宋体" w:cs="宋体" w:eastAsia="宋体" w:hint="default"/>
                <w:sz w:val="18"/>
                <w:szCs w:val="18"/>
              </w:rPr>
            </w:pPr>
            <w:r>
              <w:rPr>
                <w:rFonts w:ascii="宋体"/>
                <w:sz w:val="18"/>
              </w:rPr>
              <w:t>3.50%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1,874,476</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3" w:right="0"/>
              <w:jc w:val="left"/>
              <w:rPr>
                <w:rFonts w:ascii="宋体" w:hAnsi="宋体" w:cs="宋体" w:eastAsia="宋体" w:hint="default"/>
                <w:sz w:val="18"/>
                <w:szCs w:val="18"/>
              </w:rPr>
            </w:pPr>
            <w:r>
              <w:rPr>
                <w:rFonts w:ascii="宋体"/>
                <w:sz w:val="18"/>
              </w:rPr>
              <w:t>1,874,476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44"/>
              <w:jc w:val="left"/>
              <w:rPr>
                <w:rFonts w:ascii="宋体" w:hAnsi="宋体" w:cs="宋体" w:eastAsia="宋体" w:hint="default"/>
                <w:sz w:val="18"/>
                <w:szCs w:val="18"/>
              </w:rPr>
            </w:pPr>
            <w:r>
              <w:rPr>
                <w:rFonts w:ascii="宋体" w:hAnsi="宋体" w:cs="宋体" w:eastAsia="宋体" w:hint="default"/>
                <w:sz w:val="18"/>
                <w:szCs w:val="18"/>
              </w:rPr>
              <w:t>中国建设银行－银河行业优 选股票型证券投资基金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18" w:right="0"/>
              <w:jc w:val="left"/>
              <w:rPr>
                <w:rFonts w:ascii="宋体" w:hAnsi="宋体" w:cs="宋体" w:eastAsia="宋体" w:hint="default"/>
                <w:sz w:val="18"/>
                <w:szCs w:val="18"/>
              </w:rPr>
            </w:pPr>
            <w:r>
              <w:rPr>
                <w:rFonts w:ascii="宋体"/>
                <w:sz w:val="18"/>
              </w:rPr>
              <w:t>3.01%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1,608,398</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胡美珍</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8" w:right="0"/>
              <w:jc w:val="left"/>
              <w:rPr>
                <w:rFonts w:ascii="宋体" w:hAnsi="宋体" w:cs="宋体" w:eastAsia="宋体" w:hint="default"/>
                <w:sz w:val="18"/>
                <w:szCs w:val="18"/>
              </w:rPr>
            </w:pPr>
            <w:r>
              <w:rPr>
                <w:rFonts w:ascii="宋体"/>
                <w:sz w:val="18"/>
              </w:rPr>
              <w:t>1.15%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617,760</w:t>
            </w:r>
          </w:p>
        </w:tc>
        <w:tc>
          <w:tcPr>
            <w:tcW w:w="1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3" w:right="0"/>
              <w:jc w:val="left"/>
              <w:rPr>
                <w:rFonts w:ascii="宋体" w:hAnsi="宋体" w:cs="宋体" w:eastAsia="宋体" w:hint="default"/>
                <w:sz w:val="18"/>
                <w:szCs w:val="18"/>
              </w:rPr>
            </w:pPr>
            <w:r>
              <w:rPr>
                <w:rFonts w:ascii="宋体"/>
                <w:sz w:val="18"/>
              </w:rPr>
              <w:t>617,760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9905"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14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636"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185"/>
              <w:jc w:val="left"/>
              <w:rPr>
                <w:rFonts w:ascii="宋体" w:hAnsi="宋体" w:cs="宋体" w:eastAsia="宋体" w:hint="default"/>
                <w:sz w:val="18"/>
                <w:szCs w:val="18"/>
              </w:rPr>
            </w:pPr>
            <w:r>
              <w:rPr>
                <w:rFonts w:ascii="宋体" w:hAnsi="宋体" w:cs="宋体" w:eastAsia="宋体" w:hint="default"/>
                <w:sz w:val="18"/>
                <w:szCs w:val="18"/>
              </w:rPr>
              <w:t>中国建设银行－银河行业优选股票型证券投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1,608,398</w:t>
            </w:r>
          </w:p>
        </w:tc>
        <w:tc>
          <w:tcPr>
            <w:tcW w:w="31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中国建设银行－海富通风格优势股票型证券 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617,213</w:t>
            </w:r>
          </w:p>
        </w:tc>
        <w:tc>
          <w:tcPr>
            <w:tcW w:w="31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中国建设银行－宝盈增强收益债券型证券投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575,000</w:t>
            </w:r>
          </w:p>
        </w:tc>
        <w:tc>
          <w:tcPr>
            <w:tcW w:w="31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中国建设银行－国泰中小盘成长股票型证券 投资基金（LOF）</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518,642</w:t>
            </w:r>
          </w:p>
        </w:tc>
        <w:tc>
          <w:tcPr>
            <w:tcW w:w="31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849" w:footer="976" w:top="1460" w:bottom="1160" w:left="1020" w:right="740"/>
        </w:sectPr>
      </w:pPr>
    </w:p>
    <w:p>
      <w:pPr>
        <w:spacing w:line="240" w:lineRule="auto" w:before="11"/>
        <w:rPr>
          <w:rFonts w:ascii="宋体" w:hAnsi="宋体" w:cs="宋体" w:eastAsia="宋体" w:hint="default"/>
          <w:sz w:val="2"/>
          <w:szCs w:val="2"/>
        </w:rPr>
      </w:pPr>
      <w:r>
        <w:rPr/>
        <w:pict>
          <v:group style="position:absolute;margin-left:56.639999pt;margin-top:75.120026pt;width:63.15pt;height:12.4pt;mso-position-horizontal-relative:page;mso-position-vertical-relative:page;z-index:-632800"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2340"/>
        <w:gridCol w:w="1301"/>
        <w:gridCol w:w="3120"/>
        <w:gridCol w:w="3144"/>
      </w:tblGrid>
      <w:tr>
        <w:trPr>
          <w:trHeight w:val="642" w:hRule="exact"/>
        </w:trPr>
        <w:tc>
          <w:tcPr>
            <w:tcW w:w="3641" w:type="dxa"/>
            <w:gridSpan w:val="2"/>
            <w:tcBorders>
              <w:top w:val="single" w:sz="11"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中国工商银行－南方绩优成长股票型证券投 资基金</w:t>
            </w:r>
          </w:p>
        </w:tc>
        <w:tc>
          <w:tcPr>
            <w:tcW w:w="3120"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482,204</w:t>
            </w:r>
          </w:p>
        </w:tc>
        <w:tc>
          <w:tcPr>
            <w:tcW w:w="3144"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浙商证券－光大－浙商金惠引航集合资产管 理计划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招商银行－富国低碳环保股票型证券投资基 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436,009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招商银行股份有限公司－华富成长趋势股票 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434,921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中国农业银行－富国天源平衡混合型证券投 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6"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185"/>
              <w:jc w:val="left"/>
              <w:rPr>
                <w:rFonts w:ascii="宋体" w:hAnsi="宋体" w:cs="宋体" w:eastAsia="宋体" w:hint="default"/>
                <w:sz w:val="18"/>
                <w:szCs w:val="18"/>
              </w:rPr>
            </w:pPr>
            <w:r>
              <w:rPr>
                <w:rFonts w:ascii="宋体" w:hAnsi="宋体" w:cs="宋体" w:eastAsia="宋体" w:hint="default"/>
                <w:sz w:val="18"/>
                <w:szCs w:val="18"/>
              </w:rPr>
              <w:t>兴业银行股份有限公司－万家和谐增长混合 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249,902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06" w:right="83"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56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both"/>
              <w:rPr>
                <w:rFonts w:ascii="宋体" w:hAnsi="宋体" w:cs="宋体" w:eastAsia="宋体" w:hint="default"/>
                <w:sz w:val="18"/>
                <w:szCs w:val="18"/>
              </w:rPr>
            </w:pPr>
            <w:r>
              <w:rPr>
                <w:rFonts w:ascii="宋体" w:hAnsi="宋体" w:cs="宋体" w:eastAsia="宋体" w:hint="default"/>
                <w:spacing w:val="-2"/>
                <w:sz w:val="18"/>
                <w:szCs w:val="18"/>
              </w:rPr>
              <w:t>公司控股股东、实际控制人为周炜、王英夫妇；上述其他股东与公司控股股东、实际控制人均无</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关联关系，也不属于一致行动人，公司未知上述其他股东之间是否存在关联关系或属于一致行动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人。</w:t>
            </w:r>
          </w:p>
        </w:tc>
      </w:tr>
    </w:tbl>
    <w:p>
      <w:pPr>
        <w:spacing w:line="240" w:lineRule="auto" w:before="1"/>
        <w:rPr>
          <w:rFonts w:ascii="宋体" w:hAnsi="宋体" w:cs="宋体" w:eastAsia="宋体" w:hint="default"/>
          <w:sz w:val="11"/>
          <w:szCs w:val="11"/>
        </w:rPr>
      </w:pPr>
    </w:p>
    <w:p>
      <w:pPr>
        <w:pStyle w:val="Heading4"/>
        <w:spacing w:line="333" w:lineRule="exact"/>
        <w:ind w:right="4131"/>
        <w:jc w:val="left"/>
        <w:rPr>
          <w:b w:val="0"/>
          <w:bCs w:val="0"/>
        </w:rPr>
      </w:pPr>
      <w:r>
        <w:rPr/>
        <w:t>（二）公司控股股东及实际控制人情况</w:t>
      </w:r>
      <w:r>
        <w:rPr>
          <w:b w:val="0"/>
          <w:bCs w:val="0"/>
        </w:rPr>
      </w:r>
    </w:p>
    <w:p>
      <w:pPr>
        <w:spacing w:line="240" w:lineRule="auto" w:before="8"/>
        <w:rPr>
          <w:rFonts w:ascii="Microsoft JhengHei" w:hAnsi="Microsoft JhengHei" w:cs="Microsoft JhengHei" w:eastAsia="Microsoft JhengHei" w:hint="default"/>
          <w:b/>
          <w:bCs/>
          <w:sz w:val="10"/>
          <w:szCs w:val="10"/>
        </w:rPr>
      </w:pPr>
    </w:p>
    <w:p>
      <w:pPr>
        <w:spacing w:line="400" w:lineRule="auto" w:before="0"/>
        <w:ind w:left="535" w:right="413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1、控股股东及实际控制人具体情况介绍</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公司控股股东及实际控制人为周炜、王英夫妇，简历如下：</w:t>
      </w:r>
    </w:p>
    <w:p>
      <w:pPr>
        <w:pStyle w:val="BodyText"/>
        <w:spacing w:line="340" w:lineRule="auto" w:before="131"/>
        <w:ind w:right="390" w:firstLine="422"/>
        <w:jc w:val="both"/>
      </w:pPr>
      <w:r>
        <w:rPr>
          <w:spacing w:val="-3"/>
          <w:w w:val="95"/>
        </w:rPr>
        <w:t>周炜，男，1967</w:t>
      </w:r>
      <w:r>
        <w:rPr>
          <w:spacing w:val="43"/>
          <w:w w:val="95"/>
        </w:rPr>
        <w:t> </w:t>
      </w:r>
      <w:r>
        <w:rPr>
          <w:w w:val="95"/>
        </w:rPr>
        <w:t>年出生，中国国籍，无境外永久居留权。中欧国际工商学院高级管理人员工商管理硕</w:t>
      </w:r>
      <w:r>
        <w:rPr>
          <w:w w:val="99"/>
        </w:rPr>
        <w:t> </w:t>
      </w:r>
      <w:r>
        <w:rPr>
          <w:spacing w:val="-4"/>
          <w:w w:val="99"/>
        </w:rPr>
        <w:t>士（EMBA）、高级工程师、高级经济师。1993</w:t>
      </w:r>
      <w:r>
        <w:rPr>
          <w:spacing w:val="-44"/>
          <w:w w:val="99"/>
        </w:rPr>
        <w:t> </w:t>
      </w:r>
      <w:r>
        <w:rPr>
          <w:spacing w:val="1"/>
          <w:w w:val="99"/>
        </w:rPr>
        <w:t>年至</w:t>
      </w:r>
      <w:r>
        <w:rPr>
          <w:spacing w:val="-47"/>
          <w:w w:val="99"/>
        </w:rPr>
        <w:t> </w:t>
      </w:r>
      <w:r>
        <w:rPr>
          <w:w w:val="99"/>
        </w:rPr>
        <w:t>2004</w:t>
      </w:r>
      <w:r>
        <w:rPr>
          <w:spacing w:val="-44"/>
          <w:w w:val="99"/>
        </w:rPr>
        <w:t> </w:t>
      </w:r>
      <w:r>
        <w:rPr>
          <w:spacing w:val="-3"/>
          <w:w w:val="99"/>
        </w:rPr>
        <w:t>年，先后担任上海泰格新技术开发公司总经理、上</w:t>
      </w:r>
      <w:r>
        <w:rPr>
          <w:spacing w:val="-102"/>
          <w:w w:val="99"/>
        </w:rPr>
        <w:t> </w:t>
      </w:r>
      <w:r>
        <w:rPr>
          <w:spacing w:val="-102"/>
          <w:w w:val="99"/>
        </w:rPr>
      </w:r>
      <w:r>
        <w:rPr>
          <w:w w:val="95"/>
        </w:rPr>
        <w:t>海金仕达卫宁医疗信息技术有限公司董事长兼总裁；2004 年起加入上海金仕达卫宁软件有限公司，历任董</w:t>
      </w:r>
      <w:r>
        <w:rPr>
          <w:spacing w:val="51"/>
          <w:w w:val="95"/>
        </w:rPr>
        <w:t> </w:t>
      </w:r>
      <w:r>
        <w:rPr>
          <w:spacing w:val="51"/>
          <w:w w:val="95"/>
        </w:rPr>
      </w:r>
      <w:r>
        <w:rPr>
          <w:spacing w:val="-3"/>
          <w:w w:val="95"/>
        </w:rPr>
        <w:t>事长、总裁。2000 </w:t>
      </w:r>
      <w:r>
        <w:rPr>
          <w:w w:val="95"/>
        </w:rPr>
        <w:t>年被评选为上海市虹口区优秀科技工作者，并被选举为上海市虹口区政协委员、青联委</w:t>
      </w:r>
      <w:r>
        <w:rPr>
          <w:spacing w:val="-8"/>
          <w:w w:val="95"/>
        </w:rPr>
        <w:t> </w:t>
      </w:r>
      <w:r>
        <w:rPr>
          <w:spacing w:val="-8"/>
          <w:w w:val="95"/>
        </w:rPr>
      </w:r>
      <w:r>
        <w:rPr>
          <w:spacing w:val="2"/>
        </w:rPr>
        <w:t>员、科技企业联合会副会长，2009</w:t>
      </w:r>
      <w:r>
        <w:rPr>
          <w:spacing w:val="-60"/>
        </w:rPr>
        <w:t> </w:t>
      </w:r>
      <w:r>
        <w:rPr>
          <w:spacing w:val="2"/>
        </w:rPr>
        <w:t>年被评为上海市优秀软件企业家，2011</w:t>
      </w:r>
      <w:r>
        <w:rPr>
          <w:spacing w:val="-58"/>
        </w:rPr>
        <w:t> </w:t>
      </w:r>
      <w:r>
        <w:rPr/>
        <w:t>年被选举为上海市浦东新区工</w:t>
      </w:r>
      <w:r>
        <w:rPr>
          <w:w w:val="99"/>
        </w:rPr>
        <w:t> </w:t>
      </w:r>
      <w:r>
        <w:rPr/>
        <w:t>商业联合会（商会）常委。现任本公司董事长，上海金仕达卫宁软件科技有限公司董事长。</w:t>
      </w:r>
    </w:p>
    <w:p>
      <w:pPr>
        <w:spacing w:line="240" w:lineRule="auto" w:before="1"/>
        <w:rPr>
          <w:rFonts w:ascii="宋体" w:hAnsi="宋体" w:cs="宋体" w:eastAsia="宋体" w:hint="default"/>
          <w:sz w:val="14"/>
          <w:szCs w:val="14"/>
        </w:rPr>
      </w:pPr>
    </w:p>
    <w:p>
      <w:pPr>
        <w:pStyle w:val="BodyText"/>
        <w:spacing w:line="340" w:lineRule="auto"/>
        <w:ind w:right="392" w:firstLine="422"/>
        <w:jc w:val="both"/>
      </w:pPr>
      <w:r>
        <w:rPr>
          <w:w w:val="95"/>
        </w:rPr>
        <w:t>王英，女，1968</w:t>
      </w:r>
      <w:r>
        <w:rPr>
          <w:spacing w:val="30"/>
          <w:w w:val="95"/>
        </w:rPr>
        <w:t> </w:t>
      </w:r>
      <w:r>
        <w:rPr>
          <w:w w:val="95"/>
        </w:rPr>
        <w:t>年出生，中国国籍，无境外永久居留权。毕业于上海纺织工业大学化学工程专业，亚</w:t>
      </w:r>
      <w:r>
        <w:rPr>
          <w:w w:val="99"/>
        </w:rPr>
        <w:t> </w:t>
      </w:r>
      <w:r>
        <w:rPr>
          <w:spacing w:val="-2"/>
          <w:w w:val="99"/>
        </w:rPr>
        <w:t>洲（澳门）国际公开大学工商管理硕士（MBA）、工程师。1989</w:t>
      </w:r>
      <w:r>
        <w:rPr>
          <w:spacing w:val="-49"/>
          <w:w w:val="99"/>
        </w:rPr>
        <w:t> </w:t>
      </w:r>
      <w:r>
        <w:rPr>
          <w:w w:val="99"/>
        </w:rPr>
        <w:t>至</w:t>
      </w:r>
      <w:r>
        <w:rPr>
          <w:spacing w:val="-45"/>
          <w:w w:val="99"/>
        </w:rPr>
        <w:t> </w:t>
      </w:r>
      <w:r>
        <w:rPr>
          <w:w w:val="99"/>
        </w:rPr>
        <w:t>1994</w:t>
      </w:r>
      <w:r>
        <w:rPr>
          <w:spacing w:val="-46"/>
          <w:w w:val="99"/>
        </w:rPr>
        <w:t> </w:t>
      </w:r>
      <w:r>
        <w:rPr>
          <w:w w:val="99"/>
        </w:rPr>
        <w:t>年担任上海大华纺织装饰用品厂质</w:t>
      </w:r>
      <w:r>
        <w:rPr>
          <w:spacing w:val="-102"/>
          <w:w w:val="99"/>
        </w:rPr>
        <w:t> </w:t>
      </w:r>
      <w:r>
        <w:rPr>
          <w:spacing w:val="-102"/>
          <w:w w:val="99"/>
        </w:rPr>
      </w:r>
      <w:r>
        <w:rPr/>
        <w:t>管员；1994</w:t>
      </w:r>
      <w:r>
        <w:rPr>
          <w:spacing w:val="-48"/>
        </w:rPr>
        <w:t> </w:t>
      </w:r>
      <w:r>
        <w:rPr/>
        <w:t>至</w:t>
      </w:r>
      <w:r>
        <w:rPr>
          <w:spacing w:val="-45"/>
        </w:rPr>
        <w:t> </w:t>
      </w:r>
      <w:r>
        <w:rPr/>
        <w:t>1998</w:t>
      </w:r>
      <w:r>
        <w:rPr>
          <w:spacing w:val="-52"/>
        </w:rPr>
        <w:t> </w:t>
      </w:r>
      <w:r>
        <w:rPr/>
        <w:t>年担任上海泰格新技术开发公司行政部经理；</w:t>
      </w:r>
      <w:r>
        <w:rPr>
          <w:spacing w:val="-81"/>
        </w:rPr>
        <w:t> </w:t>
      </w:r>
      <w:r>
        <w:rPr/>
        <w:t>1998</w:t>
      </w:r>
      <w:r>
        <w:rPr>
          <w:spacing w:val="-46"/>
        </w:rPr>
        <w:t> </w:t>
      </w:r>
      <w:r>
        <w:rPr/>
        <w:t>年至</w:t>
      </w:r>
      <w:r>
        <w:rPr>
          <w:spacing w:val="-47"/>
        </w:rPr>
        <w:t> </w:t>
      </w:r>
      <w:r>
        <w:rPr/>
        <w:t>2004</w:t>
      </w:r>
      <w:r>
        <w:rPr>
          <w:spacing w:val="-48"/>
        </w:rPr>
        <w:t> </w:t>
      </w:r>
      <w:r>
        <w:rPr/>
        <w:t>年担任上海金仕达卫宁</w:t>
      </w:r>
      <w:r>
        <w:rPr>
          <w:w w:val="99"/>
        </w:rPr>
        <w:t> </w:t>
      </w:r>
      <w:r>
        <w:rPr/>
        <w:t>医疗信息技术有限公司总裁助理；2004</w:t>
      </w:r>
      <w:r>
        <w:rPr>
          <w:spacing w:val="-62"/>
        </w:rPr>
        <w:t> </w:t>
      </w:r>
      <w:r>
        <w:rPr/>
        <w:t>年起加入上海金仕达卫宁软件有限公司，从事行政工作。</w:t>
      </w:r>
    </w:p>
    <w:p>
      <w:pPr>
        <w:pStyle w:val="Heading4"/>
        <w:spacing w:line="240" w:lineRule="auto" w:before="117"/>
        <w:ind w:right="4131"/>
        <w:jc w:val="left"/>
        <w:rPr>
          <w:b w:val="0"/>
          <w:bCs w:val="0"/>
        </w:rPr>
      </w:pPr>
      <w:r>
        <w:rPr/>
        <w:t>2、公司与实际控制人之间的产权及控制关系的方框图</w:t>
      </w:r>
      <w:r>
        <w:rPr>
          <w:b w:val="0"/>
          <w:bCs w:val="0"/>
        </w:rPr>
      </w:r>
    </w:p>
    <w:p>
      <w:pPr>
        <w:spacing w:after="0" w:line="240" w:lineRule="auto"/>
        <w:jc w:val="left"/>
        <w:sectPr>
          <w:pgSz w:w="11910" w:h="16840"/>
          <w:pgMar w:header="849" w:footer="976" w:top="1460" w:bottom="1160" w:left="1020" w:right="740"/>
        </w:sectPr>
      </w:pPr>
    </w:p>
    <w:p>
      <w:pPr>
        <w:spacing w:line="240" w:lineRule="auto" w:before="2"/>
        <w:rPr>
          <w:rFonts w:ascii="Times New Roman" w:hAnsi="Times New Roman" w:cs="Times New Roman" w:eastAsia="Times New Roman" w:hint="default"/>
          <w:sz w:val="2"/>
          <w:szCs w:val="2"/>
        </w:rPr>
      </w:pPr>
    </w:p>
    <w:p>
      <w:pPr>
        <w:spacing w:line="4015" w:lineRule="exact"/>
        <w:ind w:left="105" w:right="0" w:firstLine="0"/>
        <w:rPr>
          <w:rFonts w:ascii="Times New Roman" w:hAnsi="Times New Roman" w:cs="Times New Roman" w:eastAsia="Times New Roman" w:hint="default"/>
          <w:sz w:val="20"/>
          <w:szCs w:val="20"/>
        </w:rPr>
      </w:pPr>
      <w:bookmarkStart w:name="第六章董事、监事、高级管理人员和员工情况" w:id="11"/>
      <w:bookmarkEnd w:id="11"/>
      <w:r>
        <w:rPr/>
      </w:r>
      <w:r>
        <w:rPr>
          <w:rFonts w:ascii="Times New Roman" w:hAnsi="Times New Roman" w:cs="Times New Roman" w:eastAsia="Times New Roman" w:hint="default"/>
          <w:position w:val="-79"/>
          <w:sz w:val="20"/>
          <w:szCs w:val="20"/>
        </w:rPr>
        <w:pict>
          <v:group style="width:482.65pt;height:200.8pt;mso-position-horizontal-relative:char;mso-position-vertical-relative:line" coordorigin="0,0" coordsize="9653,4016">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10;top:98;width:7757;height:3917" type="#_x0000_t75" stroked="false">
                <v:imagedata r:id="rId22" o:title=""/>
              </v:shape>
            </v:group>
          </v:group>
        </w:pict>
      </w:r>
      <w:r>
        <w:rPr>
          <w:rFonts w:ascii="Times New Roman" w:hAnsi="Times New Roman" w:cs="Times New Roman" w:eastAsia="Times New Roman" w:hint="default"/>
          <w:position w:val="-79"/>
          <w:sz w:val="20"/>
          <w:szCs w:val="20"/>
        </w:rPr>
      </w:r>
    </w:p>
    <w:p>
      <w:pPr>
        <w:spacing w:after="0" w:line="4015" w:lineRule="exact"/>
        <w:rPr>
          <w:rFonts w:ascii="Times New Roman" w:hAnsi="Times New Roman" w:cs="Times New Roman" w:eastAsia="Times New Roman" w:hint="default"/>
          <w:sz w:val="20"/>
          <w:szCs w:val="20"/>
        </w:rPr>
        <w:sectPr>
          <w:pgSz w:w="11910" w:h="16840"/>
          <w:pgMar w:header="849" w:footer="976" w:top="1460" w:bottom="1160" w:left="1020" w:right="1020"/>
        </w:sectPr>
      </w:pPr>
    </w:p>
    <w:p>
      <w:pPr>
        <w:spacing w:line="240" w:lineRule="auto" w:before="2"/>
        <w:rPr>
          <w:rFonts w:ascii="Times New Roman" w:hAnsi="Times New Roman" w:cs="Times New Roman" w:eastAsia="Times New Roman" w:hint="default"/>
          <w:sz w:val="2"/>
          <w:szCs w:val="2"/>
        </w:rPr>
      </w:pPr>
    </w:p>
    <w:p>
      <w:pPr>
        <w:spacing w:line="247" w:lineRule="exact"/>
        <w:ind w:left="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Times New Roman" w:hAnsi="Times New Roman" w:cs="Times New Roman" w:eastAsia="Times New Roman" w:hint="default"/>
          <w:position w:val="-4"/>
          <w:sz w:val="20"/>
          <w:szCs w:val="20"/>
        </w:rPr>
      </w:r>
    </w:p>
    <w:p>
      <w:pPr>
        <w:spacing w:line="240" w:lineRule="auto" w:before="6"/>
        <w:rPr>
          <w:rFonts w:ascii="Times New Roman" w:hAnsi="Times New Roman" w:cs="Times New Roman" w:eastAsia="Times New Roman" w:hint="default"/>
          <w:sz w:val="20"/>
          <w:szCs w:val="20"/>
        </w:rPr>
      </w:pPr>
    </w:p>
    <w:p>
      <w:pPr>
        <w:pStyle w:val="Heading1"/>
        <w:tabs>
          <w:tab w:pos="2858" w:val="left" w:leader="none"/>
        </w:tabs>
        <w:spacing w:line="240" w:lineRule="auto"/>
        <w:ind w:left="1571" w:right="484"/>
        <w:jc w:val="left"/>
      </w:pPr>
      <w:bookmarkStart w:name="_bookmark5" w:id="12"/>
      <w:bookmarkEnd w:id="12"/>
      <w:r>
        <w:rPr/>
      </w:r>
      <w:r>
        <w:rPr/>
        <w:t>第六章</w:t>
        <w:tab/>
        <w:t>董事、监事、高级管理人员和员工情况</w:t>
      </w:r>
    </w:p>
    <w:p>
      <w:pPr>
        <w:spacing w:line="240" w:lineRule="auto" w:before="5"/>
        <w:rPr>
          <w:rFonts w:ascii="宋体" w:hAnsi="宋体" w:cs="宋体" w:eastAsia="宋体" w:hint="default"/>
          <w:sz w:val="38"/>
          <w:szCs w:val="38"/>
        </w:rPr>
      </w:pPr>
    </w:p>
    <w:p>
      <w:pPr>
        <w:pStyle w:val="Heading4"/>
        <w:spacing w:line="240" w:lineRule="auto"/>
        <w:ind w:left="112" w:right="484"/>
        <w:jc w:val="left"/>
        <w:rPr>
          <w:b w:val="0"/>
          <w:bCs w:val="0"/>
        </w:rPr>
      </w:pPr>
      <w:r>
        <w:rPr/>
        <w:t>一、董事、监事和高级管理人员的基本情况</w:t>
      </w:r>
      <w:r>
        <w:rPr>
          <w:b w:val="0"/>
          <w:bCs w:val="0"/>
        </w:rPr>
      </w:r>
    </w:p>
    <w:p>
      <w:pPr>
        <w:pStyle w:val="Heading4"/>
        <w:spacing w:line="240" w:lineRule="auto" w:before="179"/>
        <w:ind w:right="484"/>
        <w:jc w:val="left"/>
        <w:rPr>
          <w:b w:val="0"/>
          <w:bCs w:val="0"/>
        </w:rPr>
      </w:pPr>
      <w:r>
        <w:rPr/>
        <w:pict>
          <v:shape style="position:absolute;margin-left:501.959991pt;margin-top:38.834427pt;width:46pt;height:78.150pt;mso-position-horizontal-relative:page;mso-position-vertical-relative:paragraph;z-index:-632728"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8"/>
                    <w:rPr>
                      <w:rFonts w:ascii="Microsoft JhengHei" w:hAnsi="Microsoft JhengHei" w:cs="Microsoft JhengHei" w:eastAsia="Microsoft JhengHei" w:hint="default"/>
                      <w:b/>
                      <w:bCs/>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（一）董事、监事、高级管理人员的持股变动及报酬情况</w:t>
      </w:r>
      <w:r>
        <w:rPr>
          <w:b w:val="0"/>
          <w:bCs w:val="0"/>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780"/>
        <w:gridCol w:w="1042"/>
        <w:gridCol w:w="518"/>
        <w:gridCol w:w="521"/>
        <w:gridCol w:w="1169"/>
        <w:gridCol w:w="1171"/>
        <w:gridCol w:w="910"/>
        <w:gridCol w:w="910"/>
        <w:gridCol w:w="1118"/>
        <w:gridCol w:w="883"/>
        <w:gridCol w:w="806"/>
      </w:tblGrid>
      <w:tr>
        <w:trPr>
          <w:trHeight w:val="1572"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316" w:lineRule="auto"/>
              <w:ind w:left="360" w:right="86"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316" w:lineRule="auto"/>
              <w:ind w:left="360" w:right="86"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3"/>
              <w:ind w:left="24" w:right="74"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33"/>
                <w:sz w:val="18"/>
                <w:szCs w:val="18"/>
              </w:rPr>
              <w:t>元）（税前</w:t>
            </w:r>
          </w:p>
        </w:tc>
        <w:tc>
          <w:tcPr>
            <w:tcW w:w="8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6" w:lineRule="auto" w:before="13"/>
              <w:ind w:left="40" w:right="35"/>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8,857,047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8,857,047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4"/>
                <w:sz w:val="18"/>
                <w:szCs w:val="18"/>
              </w:rPr>
              <w:t>董事、</w:t>
            </w:r>
            <w:r>
              <w:rPr>
                <w:rFonts w:ascii="宋体" w:hAnsi="宋体" w:cs="宋体" w:eastAsia="宋体" w:hint="default"/>
                <w:spacing w:val="-69"/>
                <w:sz w:val="18"/>
                <w:szCs w:val="18"/>
              </w:rPr>
              <w:t> </w:t>
            </w:r>
            <w:r>
              <w:rPr>
                <w:rFonts w:ascii="宋体" w:hAnsi="宋体" w:cs="宋体" w:eastAsia="宋体" w:hint="default"/>
                <w:spacing w:val="10"/>
                <w:sz w:val="18"/>
                <w:szCs w:val="18"/>
              </w:rPr>
              <w:t>总经</w:t>
            </w:r>
            <w:r>
              <w:rPr>
                <w:rFonts w:ascii="宋体" w:hAnsi="宋体" w:cs="宋体" w:eastAsia="宋体" w:hint="default"/>
                <w:sz w:val="18"/>
                <w:szCs w:val="18"/>
              </w:rPr>
              <w:t> 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7,484,605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7,484,605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3,908,555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3,908,555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both"/>
              <w:rPr>
                <w:rFonts w:ascii="宋体" w:hAnsi="宋体" w:cs="宋体" w:eastAsia="宋体" w:hint="default"/>
                <w:sz w:val="18"/>
                <w:szCs w:val="18"/>
              </w:rPr>
            </w:pPr>
            <w:r>
              <w:rPr>
                <w:rFonts w:ascii="宋体" w:hAnsi="宋体" w:cs="宋体" w:eastAsia="宋体" w:hint="default"/>
                <w:spacing w:val="14"/>
                <w:sz w:val="18"/>
                <w:szCs w:val="18"/>
              </w:rPr>
              <w:t>董事、</w:t>
            </w:r>
            <w:r>
              <w:rPr>
                <w:rFonts w:ascii="宋体" w:hAnsi="宋体" w:cs="宋体" w:eastAsia="宋体" w:hint="default"/>
                <w:spacing w:val="-69"/>
                <w:sz w:val="18"/>
                <w:szCs w:val="18"/>
              </w:rPr>
              <w:t> </w:t>
            </w:r>
            <w:r>
              <w:rPr>
                <w:rFonts w:ascii="宋体" w:hAnsi="宋体" w:cs="宋体" w:eastAsia="宋体" w:hint="default"/>
                <w:spacing w:val="10"/>
                <w:sz w:val="18"/>
                <w:szCs w:val="18"/>
              </w:rPr>
              <w:t>财务</w:t>
            </w:r>
            <w:r>
              <w:rPr>
                <w:rFonts w:ascii="宋体" w:hAnsi="宋体" w:cs="宋体" w:eastAsia="宋体" w:hint="default"/>
                <w:sz w:val="18"/>
                <w:szCs w:val="18"/>
              </w:rPr>
              <w:t> </w:t>
            </w:r>
            <w:r>
              <w:rPr>
                <w:rFonts w:ascii="宋体" w:hAnsi="宋体" w:cs="宋体" w:eastAsia="宋体" w:hint="default"/>
                <w:spacing w:val="15"/>
                <w:sz w:val="18"/>
                <w:szCs w:val="18"/>
              </w:rPr>
              <w:t>负责人、</w:t>
            </w:r>
            <w:r>
              <w:rPr>
                <w:rFonts w:ascii="宋体" w:hAnsi="宋体" w:cs="宋体" w:eastAsia="宋体" w:hint="default"/>
                <w:spacing w:val="-68"/>
                <w:sz w:val="18"/>
                <w:szCs w:val="18"/>
              </w:rPr>
              <w:t> </w:t>
            </w:r>
            <w:r>
              <w:rPr>
                <w:rFonts w:ascii="宋体" w:hAnsi="宋体" w:cs="宋体" w:eastAsia="宋体" w:hint="default"/>
                <w:sz w:val="18"/>
                <w:szCs w:val="18"/>
              </w:rPr>
              <w:t>董</w:t>
            </w:r>
            <w:r>
              <w:rPr>
                <w:rFonts w:ascii="宋体" w:hAnsi="宋体" w:cs="宋体" w:eastAsia="宋体" w:hint="default"/>
                <w:sz w:val="18"/>
                <w:szCs w:val="18"/>
              </w:rPr>
              <w:t> 事会秘书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202,893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202,893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王绍东</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4" w:right="19"/>
              <w:jc w:val="left"/>
              <w:rPr>
                <w:rFonts w:ascii="宋体" w:hAnsi="宋体" w:cs="宋体" w:eastAsia="宋体" w:hint="default"/>
                <w:sz w:val="18"/>
                <w:szCs w:val="18"/>
              </w:rPr>
            </w:pPr>
            <w:r>
              <w:rPr>
                <w:rFonts w:ascii="宋体" w:hAnsi="宋体" w:cs="宋体" w:eastAsia="宋体" w:hint="default"/>
                <w:spacing w:val="16"/>
                <w:sz w:val="18"/>
                <w:szCs w:val="18"/>
              </w:rPr>
              <w:t>新任独立董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6"/>
                <w:sz w:val="18"/>
                <w:szCs w:val="18"/>
              </w:rPr>
              <w:t>新任独立董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6"/>
                <w:sz w:val="18"/>
                <w:szCs w:val="18"/>
              </w:rPr>
              <w:t>离任独立董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王贤安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6"/>
                <w:sz w:val="18"/>
                <w:szCs w:val="18"/>
              </w:rPr>
              <w:t>离任独立董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张士英</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3,105,741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3,105,741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10.23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125,643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125,643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19.57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合计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23,684,48</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23,684,48</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157.46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49" w:footer="976" w:top="1460" w:bottom="1160" w:left="1020" w:right="820"/>
        </w:sectPr>
      </w:pPr>
    </w:p>
    <w:p>
      <w:pPr>
        <w:spacing w:line="240" w:lineRule="auto" w:before="0"/>
        <w:rPr>
          <w:rFonts w:ascii="Microsoft JhengHei" w:hAnsi="Microsoft JhengHei" w:cs="Microsoft JhengHei" w:eastAsia="Microsoft JhengHei" w:hint="default"/>
          <w:b/>
          <w:bCs/>
          <w:sz w:val="2"/>
          <w:szCs w:val="2"/>
        </w:rPr>
      </w:pPr>
    </w:p>
    <w:p>
      <w:pPr>
        <w:spacing w:line="326"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line="327" w:lineRule="exact" w:before="0"/>
                        <w:ind w:left="42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（二）现任董事、监事、高级管理人员最近 5</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年的主要工作经历</w:t>
                      </w:r>
                      <w:r>
                        <w:rPr>
                          <w:rFonts w:ascii="Microsoft JhengHei" w:hAnsi="Microsoft JhengHei" w:cs="Microsoft JhengHei" w:eastAsia="Microsoft JhengHei" w:hint="default"/>
                          <w:sz w:val="21"/>
                          <w:szCs w:val="21"/>
                        </w:rPr>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1"/>
        <w:rPr>
          <w:rFonts w:ascii="Microsoft JhengHei" w:hAnsi="Microsoft JhengHei" w:cs="Microsoft JhengHei" w:eastAsia="Microsoft JhengHei" w:hint="default"/>
          <w:b/>
          <w:bCs/>
          <w:sz w:val="13"/>
          <w:szCs w:val="13"/>
        </w:rPr>
      </w:pPr>
    </w:p>
    <w:p>
      <w:pPr>
        <w:pStyle w:val="Heading4"/>
        <w:spacing w:line="333" w:lineRule="exact"/>
        <w:ind w:right="0"/>
        <w:jc w:val="left"/>
        <w:rPr>
          <w:b w:val="0"/>
          <w:bCs w:val="0"/>
        </w:rPr>
      </w:pPr>
      <w:r>
        <w:rPr/>
        <w:t>1、董事会成员</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公司第二届董事会由</w:t>
      </w:r>
      <w:r>
        <w:rPr>
          <w:spacing w:val="-40"/>
        </w:rPr>
        <w:t> </w:t>
      </w:r>
      <w:r>
        <w:rPr/>
        <w:t>7</w:t>
      </w:r>
      <w:r>
        <w:rPr>
          <w:spacing w:val="-48"/>
        </w:rPr>
        <w:t> </w:t>
      </w:r>
      <w:r>
        <w:rPr/>
        <w:t>名董事组成，其中独立董事</w:t>
      </w:r>
      <w:r>
        <w:rPr>
          <w:spacing w:val="-38"/>
        </w:rPr>
        <w:t> </w:t>
      </w:r>
      <w:r>
        <w:rPr/>
        <w:t>3</w:t>
      </w:r>
      <w:r>
        <w:rPr>
          <w:spacing w:val="-46"/>
        </w:rPr>
        <w:t> </w:t>
      </w:r>
      <w:r>
        <w:rPr/>
        <w:t>名。各董事由公司董事会提名，经公司</w:t>
      </w:r>
      <w:r>
        <w:rPr>
          <w:spacing w:val="-32"/>
        </w:rPr>
        <w:t> </w:t>
      </w:r>
      <w:r>
        <w:rPr/>
        <w:t>2012</w:t>
      </w:r>
      <w:r>
        <w:rPr>
          <w:spacing w:val="-48"/>
        </w:rPr>
        <w:t> </w:t>
      </w:r>
      <w:r>
        <w:rPr/>
        <w:t>年</w:t>
      </w:r>
    </w:p>
    <w:p>
      <w:pPr>
        <w:pStyle w:val="BodyText"/>
        <w:spacing w:line="240" w:lineRule="auto" w:before="116"/>
        <w:ind w:right="0"/>
        <w:jc w:val="left"/>
      </w:pPr>
      <w:r>
        <w:rPr/>
        <w:t>第一次临时股东大会选举产生，本届董事会任期自</w:t>
      </w:r>
      <w:r>
        <w:rPr>
          <w:spacing w:val="-54"/>
        </w:rPr>
        <w:t> </w:t>
      </w:r>
      <w:r>
        <w:rPr/>
        <w:t>2012</w:t>
      </w:r>
      <w:r>
        <w:rPr>
          <w:spacing w:val="-55"/>
        </w:rPr>
        <w:t> </w:t>
      </w:r>
      <w:r>
        <w:rPr/>
        <w:t>年</w:t>
      </w:r>
      <w:r>
        <w:rPr>
          <w:spacing w:val="-54"/>
        </w:rPr>
        <w:t> </w:t>
      </w:r>
      <w:r>
        <w:rPr/>
        <w:t>4</w:t>
      </w:r>
      <w:r>
        <w:rPr>
          <w:spacing w:val="-52"/>
        </w:rPr>
        <w:t> </w:t>
      </w:r>
      <w:r>
        <w:rPr/>
        <w:t>月</w:t>
      </w:r>
      <w:r>
        <w:rPr>
          <w:spacing w:val="-54"/>
        </w:rPr>
        <w:t> </w:t>
      </w:r>
      <w:r>
        <w:rPr/>
        <w:t>2</w:t>
      </w:r>
      <w:r>
        <w:rPr>
          <w:spacing w:val="-52"/>
        </w:rPr>
        <w:t> </w:t>
      </w:r>
      <w:r>
        <w:rPr/>
        <w:t>日至</w:t>
      </w:r>
      <w:r>
        <w:rPr>
          <w:spacing w:val="-54"/>
        </w:rPr>
        <w:t> </w:t>
      </w:r>
      <w:r>
        <w:rPr/>
        <w:t>2015</w:t>
      </w:r>
      <w:r>
        <w:rPr>
          <w:spacing w:val="-55"/>
        </w:rPr>
        <w:t> </w:t>
      </w:r>
      <w:r>
        <w:rPr/>
        <w:t>年</w:t>
      </w:r>
      <w:r>
        <w:rPr>
          <w:spacing w:val="-54"/>
        </w:rPr>
        <w:t> </w:t>
      </w:r>
      <w:r>
        <w:rPr/>
        <w:t>4</w:t>
      </w:r>
      <w:r>
        <w:rPr>
          <w:spacing w:val="-52"/>
        </w:rPr>
        <w:t> </w:t>
      </w:r>
      <w:r>
        <w:rPr/>
        <w:t>月</w:t>
      </w:r>
      <w:r>
        <w:rPr>
          <w:spacing w:val="-54"/>
        </w:rPr>
        <w:t> </w:t>
      </w:r>
      <w:r>
        <w:rPr/>
        <w:t>1</w:t>
      </w:r>
      <w:r>
        <w:rPr>
          <w:spacing w:val="-52"/>
        </w:rPr>
        <w:t> </w:t>
      </w:r>
      <w:r>
        <w:rPr/>
        <w:t>日。</w:t>
      </w:r>
    </w:p>
    <w:p>
      <w:pPr>
        <w:spacing w:line="240" w:lineRule="auto" w:before="8"/>
        <w:rPr>
          <w:rFonts w:ascii="宋体" w:hAnsi="宋体" w:cs="宋体" w:eastAsia="宋体" w:hint="default"/>
          <w:sz w:val="20"/>
          <w:szCs w:val="20"/>
        </w:rPr>
      </w:pPr>
    </w:p>
    <w:p>
      <w:pPr>
        <w:pStyle w:val="BodyText"/>
        <w:spacing w:line="340" w:lineRule="auto"/>
        <w:ind w:right="112" w:firstLine="422"/>
        <w:jc w:val="both"/>
      </w:pPr>
      <w:r>
        <w:rPr/>
        <w:t>（1）周炜，男，1967</w:t>
      </w:r>
      <w:r>
        <w:rPr>
          <w:spacing w:val="-48"/>
        </w:rPr>
        <w:t> </w:t>
      </w:r>
      <w:r>
        <w:rPr/>
        <w:t>年出生，中国国籍，无境外永久居留权。中欧国际工商学院高级管理人员工商</w:t>
      </w:r>
      <w:r>
        <w:rPr>
          <w:w w:val="99"/>
        </w:rPr>
        <w:t> </w:t>
      </w:r>
      <w:r>
        <w:rPr>
          <w:spacing w:val="-6"/>
          <w:w w:val="99"/>
        </w:rPr>
        <w:t>管理硕士（EMBA）、高级工程师、高级经济师。1993</w:t>
      </w:r>
      <w:r>
        <w:rPr>
          <w:spacing w:val="-47"/>
          <w:w w:val="99"/>
        </w:rPr>
        <w:t> </w:t>
      </w:r>
      <w:r>
        <w:rPr>
          <w:spacing w:val="1"/>
          <w:w w:val="99"/>
        </w:rPr>
        <w:t>年至</w:t>
      </w:r>
      <w:r>
        <w:rPr>
          <w:spacing w:val="-46"/>
          <w:w w:val="99"/>
        </w:rPr>
        <w:t> </w:t>
      </w:r>
      <w:r>
        <w:rPr>
          <w:w w:val="99"/>
        </w:rPr>
        <w:t>2004</w:t>
      </w:r>
      <w:r>
        <w:rPr>
          <w:spacing w:val="-44"/>
          <w:w w:val="99"/>
        </w:rPr>
        <w:t> </w:t>
      </w:r>
      <w:r>
        <w:rPr>
          <w:w w:val="99"/>
        </w:rPr>
        <w:t>年，先后担任上海泰格新技术开发公司总经</w:t>
      </w:r>
      <w:r>
        <w:rPr>
          <w:spacing w:val="-102"/>
          <w:w w:val="99"/>
        </w:rPr>
        <w:t> </w:t>
      </w:r>
      <w:r>
        <w:rPr>
          <w:spacing w:val="-102"/>
          <w:w w:val="99"/>
        </w:rPr>
      </w:r>
      <w:r>
        <w:rPr>
          <w:w w:val="95"/>
        </w:rPr>
        <w:t>理、上海金仕达卫宁医疗信息技术有限公司董事长兼总裁；2004 年起加入上海金仕达卫宁软件有限公司，</w:t>
      </w:r>
      <w:r>
        <w:rPr>
          <w:spacing w:val="51"/>
          <w:w w:val="95"/>
        </w:rPr>
        <w:t> </w:t>
      </w:r>
      <w:r>
        <w:rPr>
          <w:spacing w:val="51"/>
          <w:w w:val="95"/>
        </w:rPr>
      </w:r>
      <w:r>
        <w:rPr>
          <w:w w:val="95"/>
        </w:rPr>
        <w:t>历任董事长、总裁。2000 年被评选为上海市虹口区优秀科技工作者，并被选举为上海市虹口区政协委员、</w:t>
      </w:r>
      <w:r>
        <w:rPr>
          <w:spacing w:val="50"/>
          <w:w w:val="95"/>
        </w:rPr>
        <w:t> </w:t>
      </w:r>
      <w:r>
        <w:rPr>
          <w:spacing w:val="50"/>
          <w:w w:val="95"/>
        </w:rPr>
      </w:r>
      <w:r>
        <w:rPr>
          <w:spacing w:val="2"/>
        </w:rPr>
        <w:t>青联委员、科技企业联合会副会长，2009</w:t>
      </w:r>
      <w:r>
        <w:rPr>
          <w:spacing w:val="-62"/>
        </w:rPr>
        <w:t> </w:t>
      </w:r>
      <w:r>
        <w:rPr>
          <w:spacing w:val="2"/>
        </w:rPr>
        <w:t>年被评为上海市优秀软件企业家，2011</w:t>
      </w:r>
      <w:r>
        <w:rPr>
          <w:spacing w:val="-59"/>
        </w:rPr>
        <w:t> </w:t>
      </w:r>
      <w:r>
        <w:rPr/>
        <w:t>年被选举为上海市浦东</w:t>
      </w:r>
      <w:r>
        <w:rPr>
          <w:w w:val="99"/>
        </w:rPr>
        <w:t> </w:t>
      </w:r>
      <w:r>
        <w:rPr/>
        <w:t>新区工商业联合会（商会）常委。现任本公司董事长，上海金仕达卫宁软件科技有限公司董事长。</w:t>
      </w:r>
    </w:p>
    <w:p>
      <w:pPr>
        <w:spacing w:line="240" w:lineRule="auto" w:before="12"/>
        <w:rPr>
          <w:rFonts w:ascii="宋体" w:hAnsi="宋体" w:cs="宋体" w:eastAsia="宋体" w:hint="default"/>
          <w:sz w:val="13"/>
          <w:szCs w:val="13"/>
        </w:rPr>
      </w:pPr>
    </w:p>
    <w:p>
      <w:pPr>
        <w:pStyle w:val="BodyText"/>
        <w:spacing w:line="340" w:lineRule="auto"/>
        <w:ind w:right="111" w:firstLine="422"/>
        <w:jc w:val="both"/>
      </w:pPr>
      <w:r>
        <w:rPr/>
        <w:t>（2）刘宁，男，1963</w:t>
      </w:r>
      <w:r>
        <w:rPr>
          <w:spacing w:val="-57"/>
        </w:rPr>
        <w:t> </w:t>
      </w:r>
      <w:r>
        <w:rPr/>
        <w:t>年出生，中国国籍，无境外永久居留权。复旦大学应用数学专业硕士、高级工</w:t>
      </w:r>
      <w:r>
        <w:rPr>
          <w:w w:val="99"/>
        </w:rPr>
        <w:t> </w:t>
      </w:r>
      <w:r>
        <w:rPr>
          <w:w w:val="95"/>
        </w:rPr>
        <w:t>程师。1991</w:t>
      </w:r>
      <w:r>
        <w:rPr>
          <w:spacing w:val="33"/>
          <w:w w:val="95"/>
        </w:rPr>
        <w:t> </w:t>
      </w:r>
      <w:r>
        <w:rPr>
          <w:w w:val="95"/>
        </w:rPr>
        <w:t>年至</w:t>
      </w:r>
      <w:r>
        <w:rPr>
          <w:spacing w:val="44"/>
          <w:w w:val="95"/>
        </w:rPr>
        <w:t> </w:t>
      </w:r>
      <w:r>
        <w:rPr>
          <w:w w:val="95"/>
        </w:rPr>
        <w:t>2004</w:t>
      </w:r>
      <w:r>
        <w:rPr>
          <w:spacing w:val="33"/>
          <w:w w:val="95"/>
        </w:rPr>
        <w:t> </w:t>
      </w:r>
      <w:r>
        <w:rPr>
          <w:w w:val="95"/>
        </w:rPr>
        <w:t>年，历任美国惠普（HP）公司技术员、上海金仕达卫宁医疗信息技术有限公司董事、</w:t>
      </w:r>
      <w:r>
        <w:rPr>
          <w:spacing w:val="-63"/>
          <w:w w:val="95"/>
        </w:rPr>
        <w:t> </w:t>
      </w:r>
      <w:r>
        <w:rPr>
          <w:spacing w:val="-63"/>
          <w:w w:val="95"/>
        </w:rPr>
      </w:r>
      <w:r>
        <w:rPr>
          <w:spacing w:val="-3"/>
          <w:w w:val="95"/>
        </w:rPr>
        <w:t>副总裁。2004 </w:t>
      </w:r>
      <w:r>
        <w:rPr>
          <w:w w:val="95"/>
        </w:rPr>
        <w:t>年起加入上海金仕达卫宁软件有限公司，任副总裁。长期从事医疗信息行业应用软件及解决</w:t>
      </w:r>
      <w:r>
        <w:rPr>
          <w:spacing w:val="-12"/>
          <w:w w:val="95"/>
        </w:rPr>
        <w:t> </w:t>
      </w:r>
      <w:r>
        <w:rPr>
          <w:spacing w:val="-12"/>
          <w:w w:val="95"/>
        </w:rPr>
      </w:r>
      <w:r>
        <w:rPr>
          <w:w w:val="95"/>
        </w:rPr>
        <w:t>方案的开发，主持完成了公司核心产品医院信息管理系统的开发工作，主持开发的医技信息管理软件荣获   </w:t>
      </w:r>
      <w:r>
        <w:rPr>
          <w:spacing w:val="52"/>
          <w:w w:val="95"/>
        </w:rPr>
        <w:t> </w:t>
      </w:r>
      <w:r>
        <w:rPr>
          <w:spacing w:val="52"/>
          <w:w w:val="95"/>
        </w:rPr>
      </w:r>
      <w:r>
        <w:rPr>
          <w:w w:val="95"/>
        </w:rPr>
        <w:t>2008 年国家级火炬计划项目；对医疗卫生行业业务流程及信息化有深刻的理解，发表论文数篇，并参编医</w:t>
      </w:r>
      <w:r>
        <w:rPr>
          <w:spacing w:val="52"/>
          <w:w w:val="95"/>
        </w:rPr>
        <w:t> </w:t>
      </w:r>
      <w:r>
        <w:rPr>
          <w:spacing w:val="52"/>
          <w:w w:val="95"/>
        </w:rPr>
      </w:r>
      <w:r>
        <w:rPr>
          <w:w w:val="95"/>
        </w:rPr>
        <w:t>学信息学等教材；擅长业务需求分析、项目管理，主导并建立了公司整套开发、维护、服务及管理流程。   </w:t>
      </w:r>
      <w:r>
        <w:rPr>
          <w:spacing w:val="51"/>
          <w:w w:val="95"/>
        </w:rPr>
        <w:t> </w:t>
      </w:r>
      <w:r>
        <w:rPr>
          <w:spacing w:val="51"/>
          <w:w w:val="95"/>
        </w:rPr>
      </w:r>
      <w:r>
        <w:rPr>
          <w:w w:val="95"/>
        </w:rPr>
        <w:t>2010 年被评为上海市优秀软件企业家，2010 年被评为上海市计算机行业创新领军人物。现任本公司董事、</w:t>
      </w:r>
      <w:r>
        <w:rPr>
          <w:spacing w:val="-48"/>
          <w:w w:val="95"/>
        </w:rPr>
        <w:t> </w:t>
      </w:r>
      <w:r>
        <w:rPr>
          <w:spacing w:val="-48"/>
          <w:w w:val="95"/>
        </w:rPr>
      </w:r>
      <w:r>
        <w:rPr/>
        <w:t>总经理，上海金仕达卫宁软件科技有限公司董事，卫宁信息执行董事兼总经理。</w:t>
      </w:r>
    </w:p>
    <w:p>
      <w:pPr>
        <w:spacing w:line="240" w:lineRule="auto" w:before="1"/>
        <w:rPr>
          <w:rFonts w:ascii="宋体" w:hAnsi="宋体" w:cs="宋体" w:eastAsia="宋体" w:hint="default"/>
          <w:sz w:val="14"/>
          <w:szCs w:val="14"/>
        </w:rPr>
      </w:pPr>
    </w:p>
    <w:p>
      <w:pPr>
        <w:pStyle w:val="BodyText"/>
        <w:spacing w:line="340" w:lineRule="auto"/>
        <w:ind w:right="110" w:firstLine="422"/>
        <w:jc w:val="both"/>
      </w:pPr>
      <w:r>
        <w:rPr>
          <w:spacing w:val="2"/>
        </w:rPr>
        <w:t>（3）孙凯，男，1972</w:t>
      </w:r>
      <w:r>
        <w:rPr>
          <w:spacing w:val="-56"/>
        </w:rPr>
        <w:t> </w:t>
      </w:r>
      <w:r>
        <w:rPr>
          <w:spacing w:val="3"/>
        </w:rPr>
        <w:t>年出生，中国国籍，无境外永久居留权。大学本科，工程师。1998</w:t>
      </w:r>
      <w:r>
        <w:rPr>
          <w:spacing w:val="-56"/>
        </w:rPr>
        <w:t> </w:t>
      </w:r>
      <w:r>
        <w:rPr/>
        <w:t>年至</w:t>
      </w:r>
      <w:r>
        <w:rPr>
          <w:spacing w:val="-55"/>
        </w:rPr>
        <w:t> </w:t>
      </w:r>
      <w:r>
        <w:rPr/>
        <w:t>2004</w:t>
      </w:r>
      <w:r>
        <w:rPr>
          <w:w w:val="99"/>
        </w:rPr>
        <w:t> </w:t>
      </w:r>
      <w:r>
        <w:rPr>
          <w:w w:val="95"/>
        </w:rPr>
        <w:t>年，历任上海金仕达卫宁医疗信息技术有限公司工程师、主管、开发部经理等职。2004 年起加入上海金仕</w:t>
      </w:r>
      <w:r>
        <w:rPr>
          <w:spacing w:val="-46"/>
          <w:w w:val="95"/>
        </w:rPr>
        <w:t> </w:t>
      </w:r>
      <w:r>
        <w:rPr>
          <w:spacing w:val="-46"/>
          <w:w w:val="95"/>
        </w:rPr>
      </w:r>
      <w:r>
        <w:rPr/>
        <w:t>达卫宁软件有限公司，历任医技事业部产品总监、副总经理、总经理。2004</w:t>
      </w:r>
      <w:r>
        <w:rPr>
          <w:spacing w:val="-68"/>
        </w:rPr>
        <w:t> </w:t>
      </w:r>
      <w:r>
        <w:rPr/>
        <w:t>年-2006</w:t>
      </w:r>
      <w:r>
        <w:rPr>
          <w:spacing w:val="-66"/>
        </w:rPr>
        <w:t> </w:t>
      </w:r>
      <w:r>
        <w:rPr/>
        <w:t>年度被评为“上海市</w:t>
      </w:r>
      <w:r>
        <w:rPr>
          <w:w w:val="99"/>
        </w:rPr>
        <w:t> </w:t>
      </w:r>
      <w:r>
        <w:rPr>
          <w:spacing w:val="-13"/>
          <w:w w:val="99"/>
        </w:rPr>
        <w:t>劳动模范”，2008</w:t>
      </w:r>
      <w:r>
        <w:rPr>
          <w:spacing w:val="-41"/>
          <w:w w:val="99"/>
        </w:rPr>
        <w:t> </w:t>
      </w:r>
      <w:r>
        <w:rPr>
          <w:spacing w:val="-2"/>
          <w:w w:val="99"/>
        </w:rPr>
        <w:t>年当选上海市工会第十二次代表大会代表，荣获“2009</w:t>
      </w:r>
      <w:r>
        <w:rPr>
          <w:spacing w:val="-44"/>
          <w:w w:val="99"/>
        </w:rPr>
        <w:t> </w:t>
      </w:r>
      <w:r>
        <w:rPr>
          <w:spacing w:val="-2"/>
          <w:w w:val="96"/>
        </w:rPr>
        <w:t>年度上海市软件行业标兵”称号。</w:t>
      </w:r>
      <w:r>
        <w:rPr>
          <w:spacing w:val="-97"/>
          <w:w w:val="96"/>
        </w:rPr>
        <w:t> </w:t>
      </w:r>
      <w:r>
        <w:rPr>
          <w:spacing w:val="-97"/>
          <w:w w:val="96"/>
        </w:rPr>
      </w:r>
      <w:r>
        <w:rPr>
          <w:w w:val="95"/>
        </w:rPr>
        <w:t>长期从事医疗信息行业应用软件及解决方案的开发，参与主持完成了公司医技信息管理系列软件的开发工</w:t>
      </w:r>
      <w:r>
        <w:rPr>
          <w:spacing w:val="52"/>
          <w:w w:val="95"/>
        </w:rPr>
        <w:t> </w:t>
      </w:r>
      <w:r>
        <w:rPr>
          <w:spacing w:val="52"/>
          <w:w w:val="95"/>
        </w:rPr>
      </w:r>
      <w:r>
        <w:rPr/>
        <w:t>作，参与主持开发的医技信息管理软件荣获</w:t>
      </w:r>
      <w:r>
        <w:rPr>
          <w:spacing w:val="-24"/>
        </w:rPr>
        <w:t> </w:t>
      </w:r>
      <w:r>
        <w:rPr/>
        <w:t>2008</w:t>
      </w:r>
      <w:r>
        <w:rPr>
          <w:spacing w:val="-42"/>
        </w:rPr>
        <w:t> </w:t>
      </w:r>
      <w:r>
        <w:rPr/>
        <w:t>年国家级火炬计划项目，获得信息产业部高级项目经理</w:t>
      </w:r>
      <w:r>
        <w:rPr>
          <w:spacing w:val="-97"/>
        </w:rPr>
        <w:t> </w:t>
      </w:r>
      <w:r>
        <w:rPr>
          <w:spacing w:val="-97"/>
        </w:rPr>
      </w:r>
      <w:r>
        <w:rPr/>
        <w:t>证书，擅长软件技术开发、项目管理，尤擅长</w:t>
      </w:r>
      <w:r>
        <w:rPr>
          <w:spacing w:val="-25"/>
        </w:rPr>
        <w:t> </w:t>
      </w:r>
      <w:r>
        <w:rPr/>
        <w:t>PACS、LIMS、MIIS</w:t>
      </w:r>
      <w:r>
        <w:rPr>
          <w:spacing w:val="-48"/>
        </w:rPr>
        <w:t> </w:t>
      </w:r>
      <w:r>
        <w:rPr/>
        <w:t>技术架构及设计，对</w:t>
      </w:r>
      <w:r>
        <w:rPr>
          <w:spacing w:val="-38"/>
        </w:rPr>
        <w:t> </w:t>
      </w:r>
      <w:r>
        <w:rPr/>
        <w:t>HL7</w:t>
      </w:r>
      <w:r>
        <w:rPr>
          <w:spacing w:val="-48"/>
        </w:rPr>
        <w:t> </w:t>
      </w:r>
      <w:r>
        <w:rPr/>
        <w:t>及</w:t>
      </w:r>
      <w:r>
        <w:rPr>
          <w:spacing w:val="-47"/>
        </w:rPr>
        <w:t> </w:t>
      </w:r>
      <w:r>
        <w:rPr/>
        <w:t>IHE</w:t>
      </w:r>
      <w:r>
        <w:rPr>
          <w:spacing w:val="-48"/>
        </w:rPr>
        <w:t> </w:t>
      </w:r>
      <w:r>
        <w:rPr/>
        <w:t>有深刻</w:t>
      </w:r>
      <w:r>
        <w:rPr>
          <w:w w:val="99"/>
        </w:rPr>
        <w:t> </w:t>
      </w:r>
      <w:r>
        <w:rPr/>
        <w:t>理解，主导了公司多项核心技术开发工作。现任本公司董事，江苏卫宁执行董事兼总经理。</w:t>
      </w:r>
    </w:p>
    <w:p>
      <w:pPr>
        <w:spacing w:line="240" w:lineRule="auto" w:before="12"/>
        <w:rPr>
          <w:rFonts w:ascii="宋体" w:hAnsi="宋体" w:cs="宋体" w:eastAsia="宋体" w:hint="default"/>
          <w:sz w:val="13"/>
          <w:szCs w:val="13"/>
        </w:rPr>
      </w:pPr>
    </w:p>
    <w:p>
      <w:pPr>
        <w:pStyle w:val="BodyText"/>
        <w:spacing w:line="340" w:lineRule="auto"/>
        <w:ind w:right="112" w:firstLine="422"/>
        <w:jc w:val="both"/>
      </w:pPr>
      <w:r>
        <w:rPr>
          <w:spacing w:val="1"/>
          <w:w w:val="99"/>
        </w:rPr>
        <w:t>（4）靳茂，男，1974</w:t>
      </w:r>
      <w:r>
        <w:rPr>
          <w:spacing w:val="-37"/>
          <w:w w:val="99"/>
        </w:rPr>
        <w:t> </w:t>
      </w:r>
      <w:r>
        <w:rPr>
          <w:w w:val="99"/>
        </w:rPr>
        <w:t>年出生，中国国籍，无境外永久居留权。复旦大学工商管理硕士（</w:t>
      </w:r>
      <w:r>
        <w:rPr>
          <w:spacing w:val="-73"/>
          <w:w w:val="99"/>
        </w:rPr>
        <w:t> </w:t>
      </w:r>
      <w:r>
        <w:rPr>
          <w:spacing w:val="-15"/>
          <w:w w:val="99"/>
        </w:rPr>
        <w:t>MBA）。已取</w:t>
      </w:r>
      <w:r>
        <w:rPr>
          <w:w w:val="99"/>
        </w:rPr>
        <w:t> </w:t>
      </w:r>
      <w:r>
        <w:rPr/>
        <w:t>得深圳证券交易所颁发的董事会秘书资格证书。1996</w:t>
      </w:r>
      <w:r>
        <w:rPr>
          <w:spacing w:val="-49"/>
        </w:rPr>
        <w:t> </w:t>
      </w:r>
      <w:r>
        <w:rPr/>
        <w:t>年至</w:t>
      </w:r>
      <w:r>
        <w:rPr>
          <w:spacing w:val="-51"/>
        </w:rPr>
        <w:t> </w:t>
      </w:r>
      <w:r>
        <w:rPr/>
        <w:t>2004</w:t>
      </w:r>
      <w:r>
        <w:rPr>
          <w:spacing w:val="-52"/>
        </w:rPr>
        <w:t> </w:t>
      </w:r>
      <w:r>
        <w:rPr/>
        <w:t>年，历任万向集团公司发展部项目经理、</w:t>
      </w:r>
      <w:r>
        <w:rPr>
          <w:w w:val="99"/>
        </w:rPr>
        <w:t> </w:t>
      </w:r>
      <w:r>
        <w:rPr>
          <w:w w:val="95"/>
        </w:rPr>
        <w:t>上海超凡电子有限公司副总经理、上海双威科技投资管理有限公司项目投资部副总监、上海金仕达卫宁医</w:t>
      </w:r>
      <w:r>
        <w:rPr>
          <w:spacing w:val="52"/>
          <w:w w:val="95"/>
        </w:rPr>
        <w:t> </w:t>
      </w:r>
      <w:r>
        <w:rPr>
          <w:spacing w:val="52"/>
          <w:w w:val="95"/>
        </w:rPr>
      </w:r>
      <w:r>
        <w:rPr>
          <w:w w:val="95"/>
        </w:rPr>
        <w:t>疗信息技术有限公司总裁办主任。2004 年起加入上海金仕达卫宁软件有限公司，任总裁办公室主任。现任</w:t>
      </w:r>
      <w:r>
        <w:rPr>
          <w:spacing w:val="-48"/>
          <w:w w:val="95"/>
        </w:rPr>
        <w:t> </w:t>
      </w:r>
      <w:r>
        <w:rPr>
          <w:spacing w:val="-48"/>
          <w:w w:val="95"/>
        </w:rPr>
      </w:r>
      <w:r>
        <w:rPr/>
        <w:t>本公司董事、财务负责人、董事会秘书。</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（5）王绍东，男，1972</w:t>
      </w:r>
      <w:r>
        <w:rPr>
          <w:spacing w:val="-70"/>
        </w:rPr>
        <w:t> </w:t>
      </w:r>
      <w:r>
        <w:rPr/>
        <w:t>年出生，中国国籍，无境外永久居留权。硕士研究生，注册会计师。1990</w:t>
      </w:r>
      <w:r>
        <w:rPr>
          <w:spacing w:val="-70"/>
        </w:rPr>
        <w:t> </w:t>
      </w:r>
      <w:r>
        <w:rPr/>
        <w:t>年</w:t>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月，任西安铁路局财务主管；2005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月，任中信会计师事务所审计经</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right="0"/>
        <w:jc w:val="both"/>
      </w:pPr>
      <w:r>
        <w:rPr/>
        <w:t>理；2006</w:t>
      </w:r>
      <w:r>
        <w:rPr>
          <w:spacing w:val="-57"/>
        </w:rPr>
        <w:t> </w:t>
      </w:r>
      <w:r>
        <w:rPr/>
        <w:t>年</w:t>
      </w:r>
      <w:r>
        <w:rPr>
          <w:spacing w:val="-53"/>
        </w:rPr>
        <w:t> </w:t>
      </w:r>
      <w:r>
        <w:rPr/>
        <w:t>11</w:t>
      </w:r>
      <w:r>
        <w:rPr>
          <w:spacing w:val="-57"/>
        </w:rPr>
        <w:t> </w:t>
      </w:r>
      <w:r>
        <w:rPr/>
        <w:t>月至</w:t>
      </w:r>
      <w:r>
        <w:rPr>
          <w:spacing w:val="-56"/>
        </w:rPr>
        <w:t> </w:t>
      </w:r>
      <w:r>
        <w:rPr/>
        <w:t>2008</w:t>
      </w:r>
      <w:r>
        <w:rPr>
          <w:spacing w:val="-57"/>
        </w:rPr>
        <w:t> </w:t>
      </w:r>
      <w:r>
        <w:rPr/>
        <w:t>年</w:t>
      </w:r>
      <w:r>
        <w:rPr>
          <w:spacing w:val="-53"/>
        </w:rPr>
        <w:t> </w:t>
      </w:r>
      <w:r>
        <w:rPr/>
        <w:t>1</w:t>
      </w:r>
      <w:r>
        <w:rPr>
          <w:spacing w:val="-57"/>
        </w:rPr>
        <w:t> </w:t>
      </w:r>
      <w:r>
        <w:rPr/>
        <w:t>月，任上海宝联投资公司投资经理；2008</w:t>
      </w:r>
      <w:r>
        <w:rPr>
          <w:spacing w:val="-57"/>
        </w:rPr>
        <w:t> </w:t>
      </w:r>
      <w:r>
        <w:rPr/>
        <w:t>年</w:t>
      </w:r>
      <w:r>
        <w:rPr>
          <w:spacing w:val="-53"/>
        </w:rPr>
        <w:t> </w:t>
      </w:r>
      <w:r>
        <w:rPr/>
        <w:t>2</w:t>
      </w:r>
      <w:r>
        <w:rPr>
          <w:spacing w:val="-54"/>
        </w:rPr>
        <w:t> </w:t>
      </w:r>
      <w:r>
        <w:rPr/>
        <w:t>月至</w:t>
      </w:r>
      <w:r>
        <w:rPr>
          <w:spacing w:val="-56"/>
        </w:rPr>
        <w:t> </w:t>
      </w:r>
      <w:r>
        <w:rPr/>
        <w:t>2010</w:t>
      </w:r>
      <w:r>
        <w:rPr>
          <w:spacing w:val="-57"/>
        </w:rPr>
        <w:t> </w:t>
      </w:r>
      <w:r>
        <w:rPr/>
        <w:t>年</w:t>
      </w:r>
      <w:r>
        <w:rPr>
          <w:spacing w:val="-53"/>
        </w:rPr>
        <w:t> </w:t>
      </w:r>
      <w:r>
        <w:rPr/>
        <w:t>6</w:t>
      </w:r>
      <w:r>
        <w:rPr>
          <w:spacing w:val="-54"/>
        </w:rPr>
        <w:t> </w:t>
      </w:r>
      <w:r>
        <w:rPr/>
        <w:t>月，任上海美</w:t>
      </w:r>
    </w:p>
    <w:p>
      <w:pPr>
        <w:pStyle w:val="BodyText"/>
        <w:spacing w:line="340" w:lineRule="auto" w:before="116"/>
        <w:ind w:right="110"/>
        <w:jc w:val="both"/>
      </w:pPr>
      <w:r>
        <w:rPr/>
        <w:t>都太盈创业投资有限公司投资副总监、总监；2010</w:t>
      </w:r>
      <w:r>
        <w:rPr>
          <w:spacing w:val="-65"/>
        </w:rPr>
        <w:t> </w:t>
      </w:r>
      <w:r>
        <w:rPr/>
        <w:t>年</w:t>
      </w:r>
      <w:r>
        <w:rPr>
          <w:spacing w:val="-62"/>
        </w:rPr>
        <w:t> </w:t>
      </w:r>
      <w:r>
        <w:rPr/>
        <w:t>6</w:t>
      </w:r>
      <w:r>
        <w:rPr>
          <w:spacing w:val="-63"/>
        </w:rPr>
        <w:t> </w:t>
      </w:r>
      <w:r>
        <w:rPr/>
        <w:t>月至</w:t>
      </w:r>
      <w:r>
        <w:rPr>
          <w:spacing w:val="-66"/>
        </w:rPr>
        <w:t> </w:t>
      </w:r>
      <w:r>
        <w:rPr/>
        <w:t>2011</w:t>
      </w:r>
      <w:r>
        <w:rPr>
          <w:spacing w:val="-65"/>
        </w:rPr>
        <w:t> </w:t>
      </w:r>
      <w:r>
        <w:rPr/>
        <w:t>年</w:t>
      </w:r>
      <w:r>
        <w:rPr>
          <w:spacing w:val="-65"/>
        </w:rPr>
        <w:t> </w:t>
      </w:r>
      <w:r>
        <w:rPr/>
        <w:t>10</w:t>
      </w:r>
      <w:r>
        <w:rPr>
          <w:spacing w:val="-63"/>
        </w:rPr>
        <w:t> </w:t>
      </w:r>
      <w:r>
        <w:rPr/>
        <w:t>月，任江苏沙钢集团董事局投资部</w:t>
      </w:r>
      <w:r>
        <w:rPr>
          <w:w w:val="99"/>
        </w:rPr>
        <w:t> </w:t>
      </w:r>
      <w:r>
        <w:rPr/>
        <w:t>副部长；2011</w:t>
      </w:r>
      <w:r>
        <w:rPr>
          <w:spacing w:val="-57"/>
        </w:rPr>
        <w:t> </w:t>
      </w:r>
      <w:r>
        <w:rPr/>
        <w:t>年</w:t>
      </w:r>
      <w:r>
        <w:rPr>
          <w:spacing w:val="-53"/>
        </w:rPr>
        <w:t> </w:t>
      </w:r>
      <w:r>
        <w:rPr/>
        <w:t>11</w:t>
      </w:r>
      <w:r>
        <w:rPr>
          <w:spacing w:val="-57"/>
        </w:rPr>
        <w:t> </w:t>
      </w:r>
      <w:r>
        <w:rPr/>
        <w:t>月至今任沙钢新业投资公司总经理。2009</w:t>
      </w:r>
      <w:r>
        <w:rPr>
          <w:spacing w:val="-54"/>
        </w:rPr>
        <w:t> </w:t>
      </w:r>
      <w:r>
        <w:rPr/>
        <w:t>年起担任本公司独立董事。</w:t>
      </w:r>
    </w:p>
    <w:p>
      <w:pPr>
        <w:spacing w:line="240" w:lineRule="auto" w:before="12"/>
        <w:rPr>
          <w:rFonts w:ascii="宋体" w:hAnsi="宋体" w:cs="宋体" w:eastAsia="宋体" w:hint="default"/>
          <w:sz w:val="13"/>
          <w:szCs w:val="13"/>
        </w:rPr>
      </w:pPr>
    </w:p>
    <w:p>
      <w:pPr>
        <w:pStyle w:val="BodyText"/>
        <w:spacing w:line="340" w:lineRule="auto"/>
        <w:ind w:right="105" w:firstLine="422"/>
        <w:jc w:val="both"/>
      </w:pPr>
      <w:r>
        <w:rPr/>
        <w:t>（6）徐劲科，男，1973</w:t>
      </w:r>
      <w:r>
        <w:rPr>
          <w:spacing w:val="-62"/>
        </w:rPr>
        <w:t> </w:t>
      </w:r>
      <w:r>
        <w:rPr/>
        <w:t>年出生，中国国籍，无境外永久居留权。法学硕士，执业律师。1995</w:t>
      </w:r>
      <w:r>
        <w:rPr>
          <w:spacing w:val="-62"/>
        </w:rPr>
        <w:t> </w:t>
      </w:r>
      <w:r>
        <w:rPr/>
        <w:t>年</w:t>
      </w:r>
      <w:r>
        <w:rPr>
          <w:spacing w:val="-58"/>
        </w:rPr>
        <w:t> </w:t>
      </w:r>
      <w:r>
        <w:rPr/>
        <w:t>7</w:t>
      </w:r>
      <w:r>
        <w:rPr>
          <w:spacing w:val="-59"/>
        </w:rPr>
        <w:t> </w:t>
      </w:r>
      <w:r>
        <w:rPr/>
        <w:t>月</w:t>
      </w:r>
      <w:r>
        <w:rPr>
          <w:w w:val="99"/>
        </w:rPr>
        <w:t> </w:t>
      </w:r>
      <w:r>
        <w:rPr/>
        <w:t>至</w:t>
      </w:r>
      <w:r>
        <w:rPr>
          <w:spacing w:val="-58"/>
        </w:rPr>
        <w:t> </w:t>
      </w:r>
      <w:r>
        <w:rPr/>
        <w:t>1997</w:t>
      </w:r>
      <w:r>
        <w:rPr>
          <w:spacing w:val="-59"/>
        </w:rPr>
        <w:t> </w:t>
      </w:r>
      <w:r>
        <w:rPr/>
        <w:t>年</w:t>
      </w:r>
      <w:r>
        <w:rPr>
          <w:spacing w:val="-61"/>
        </w:rPr>
        <w:t> </w:t>
      </w:r>
      <w:r>
        <w:rPr/>
        <w:t>5</w:t>
      </w:r>
      <w:r>
        <w:rPr>
          <w:spacing w:val="-59"/>
        </w:rPr>
        <w:t> </w:t>
      </w:r>
      <w:r>
        <w:rPr/>
        <w:t>月，任职于上海建工集团材料公司；1997</w:t>
      </w:r>
      <w:r>
        <w:rPr>
          <w:spacing w:val="-62"/>
        </w:rPr>
        <w:t> </w:t>
      </w:r>
      <w:r>
        <w:rPr/>
        <w:t>年</w:t>
      </w:r>
      <w:r>
        <w:rPr>
          <w:spacing w:val="-61"/>
        </w:rPr>
        <w:t> </w:t>
      </w:r>
      <w:r>
        <w:rPr/>
        <w:t>6</w:t>
      </w:r>
      <w:r>
        <w:rPr>
          <w:spacing w:val="-59"/>
        </w:rPr>
        <w:t> </w:t>
      </w:r>
      <w:r>
        <w:rPr/>
        <w:t>月至</w:t>
      </w:r>
      <w:r>
        <w:rPr>
          <w:spacing w:val="-61"/>
        </w:rPr>
        <w:t> </w:t>
      </w:r>
      <w:r>
        <w:rPr/>
        <w:t>2001</w:t>
      </w:r>
      <w:r>
        <w:rPr>
          <w:spacing w:val="-62"/>
        </w:rPr>
        <w:t> </w:t>
      </w:r>
      <w:r>
        <w:rPr/>
        <w:t>年</w:t>
      </w:r>
      <w:r>
        <w:rPr>
          <w:spacing w:val="-58"/>
        </w:rPr>
        <w:t> </w:t>
      </w:r>
      <w:r>
        <w:rPr/>
        <w:t>4</w:t>
      </w:r>
      <w:r>
        <w:rPr>
          <w:spacing w:val="-62"/>
        </w:rPr>
        <w:t> </w:t>
      </w:r>
      <w:r>
        <w:rPr/>
        <w:t>月，任上海市光大律师事务所律</w:t>
      </w:r>
      <w:r>
        <w:rPr>
          <w:w w:val="99"/>
        </w:rPr>
        <w:t> </w:t>
      </w:r>
      <w:r>
        <w:rPr>
          <w:spacing w:val="-4"/>
        </w:rPr>
        <w:t>师助理、律师；2001</w:t>
      </w:r>
      <w:r>
        <w:rPr>
          <w:spacing w:val="-73"/>
        </w:rPr>
        <w:t> </w:t>
      </w:r>
      <w:r>
        <w:rPr/>
        <w:t>年</w:t>
      </w:r>
      <w:r>
        <w:rPr>
          <w:spacing w:val="-74"/>
        </w:rPr>
        <w:t> </w:t>
      </w:r>
      <w:r>
        <w:rPr/>
        <w:t>4</w:t>
      </w:r>
      <w:r>
        <w:rPr>
          <w:spacing w:val="-73"/>
        </w:rPr>
        <w:t> </w:t>
      </w:r>
      <w:r>
        <w:rPr/>
        <w:t>月至今，任上海和华利盛律师事务所合伙人、律师。2009</w:t>
      </w:r>
      <w:r>
        <w:rPr>
          <w:spacing w:val="-74"/>
        </w:rPr>
        <w:t> </w:t>
      </w:r>
      <w:r>
        <w:rPr/>
        <w:t>年起担任天顺风能（苏</w:t>
      </w:r>
      <w:r>
        <w:rPr>
          <w:w w:val="99"/>
        </w:rPr>
        <w:t> </w:t>
      </w:r>
      <w:r>
        <w:rPr/>
        <w:t>州）股份有限公司独立董事。2012</w:t>
      </w:r>
      <w:r>
        <w:rPr>
          <w:spacing w:val="-58"/>
        </w:rPr>
        <w:t> </w:t>
      </w:r>
      <w:r>
        <w:rPr/>
        <w:t>年起担任本公司独立董事。</w:t>
      </w:r>
    </w:p>
    <w:p>
      <w:pPr>
        <w:spacing w:line="240" w:lineRule="auto" w:before="1"/>
        <w:rPr>
          <w:rFonts w:ascii="宋体" w:hAnsi="宋体" w:cs="宋体" w:eastAsia="宋体" w:hint="default"/>
          <w:sz w:val="14"/>
          <w:szCs w:val="14"/>
        </w:rPr>
      </w:pPr>
    </w:p>
    <w:p>
      <w:pPr>
        <w:pStyle w:val="BodyText"/>
        <w:spacing w:line="340" w:lineRule="auto"/>
        <w:ind w:right="111" w:firstLine="422"/>
        <w:jc w:val="both"/>
      </w:pPr>
      <w:r>
        <w:rPr/>
        <w:t>（7）程焱，男，1974</w:t>
      </w:r>
      <w:r>
        <w:rPr>
          <w:spacing w:val="-57"/>
        </w:rPr>
        <w:t> </w:t>
      </w:r>
      <w:r>
        <w:rPr/>
        <w:t>年出生，中国国籍，无境外永久居留权。大学本科，高级管理人员工商管理硕</w:t>
      </w:r>
      <w:r>
        <w:rPr>
          <w:w w:val="99"/>
        </w:rPr>
        <w:t> </w:t>
      </w:r>
      <w:r>
        <w:rPr>
          <w:spacing w:val="2"/>
        </w:rPr>
        <w:t>士（EMBA）在读，高级经济师。1995</w:t>
      </w:r>
      <w:r>
        <w:rPr>
          <w:spacing w:val="-54"/>
        </w:rPr>
        <w:t> </w:t>
      </w:r>
      <w:r>
        <w:rPr/>
        <w:t>年至</w:t>
      </w:r>
      <w:r>
        <w:rPr>
          <w:spacing w:val="-51"/>
        </w:rPr>
        <w:t> </w:t>
      </w:r>
      <w:r>
        <w:rPr/>
        <w:t>1997</w:t>
      </w:r>
      <w:r>
        <w:rPr>
          <w:spacing w:val="-52"/>
        </w:rPr>
        <w:t> </w:t>
      </w:r>
      <w:r>
        <w:rPr>
          <w:spacing w:val="3"/>
        </w:rPr>
        <w:t>年，任国家超细粉末工程研究中心员工；1997</w:t>
      </w:r>
      <w:r>
        <w:rPr>
          <w:spacing w:val="-54"/>
        </w:rPr>
        <w:t> </w:t>
      </w:r>
      <w:r>
        <w:rPr/>
        <w:t>年至</w:t>
      </w:r>
      <w:r>
        <w:rPr>
          <w:spacing w:val="-51"/>
        </w:rPr>
        <w:t> </w:t>
      </w:r>
      <w:r>
        <w:rPr/>
        <w:t>2006</w:t>
      </w:r>
      <w:r>
        <w:rPr>
          <w:w w:val="99"/>
        </w:rPr>
        <w:t> </w:t>
      </w:r>
      <w:r>
        <w:rPr/>
        <w:t>年，任上海卓越纳米新材料股份有限公司财务负责人；</w:t>
      </w:r>
      <w:r>
        <w:rPr>
          <w:spacing w:val="-88"/>
        </w:rPr>
        <w:t> </w:t>
      </w:r>
      <w:r>
        <w:rPr/>
        <w:t>2006</w:t>
      </w:r>
      <w:r>
        <w:rPr>
          <w:spacing w:val="-57"/>
        </w:rPr>
        <w:t> </w:t>
      </w:r>
      <w:r>
        <w:rPr/>
        <w:t>年至</w:t>
      </w:r>
      <w:r>
        <w:rPr>
          <w:spacing w:val="-53"/>
        </w:rPr>
        <w:t> </w:t>
      </w:r>
      <w:r>
        <w:rPr/>
        <w:t>2007</w:t>
      </w:r>
      <w:r>
        <w:rPr>
          <w:spacing w:val="-54"/>
        </w:rPr>
        <w:t> </w:t>
      </w:r>
      <w:r>
        <w:rPr/>
        <w:t>年，任上海延华智能科技股份有限</w:t>
      </w:r>
      <w:r>
        <w:rPr>
          <w:w w:val="99"/>
        </w:rPr>
        <w:t> </w:t>
      </w:r>
      <w:r>
        <w:rPr/>
        <w:t>公司财务部副经理、商务部副经理；2007</w:t>
      </w:r>
      <w:r>
        <w:rPr>
          <w:spacing w:val="-51"/>
        </w:rPr>
        <w:t> </w:t>
      </w:r>
      <w:r>
        <w:rPr/>
        <w:t>年至</w:t>
      </w:r>
      <w:r>
        <w:rPr>
          <w:spacing w:val="-53"/>
        </w:rPr>
        <w:t> </w:t>
      </w:r>
      <w:r>
        <w:rPr/>
        <w:t>2010</w:t>
      </w:r>
      <w:r>
        <w:rPr>
          <w:spacing w:val="-51"/>
        </w:rPr>
        <w:t> </w:t>
      </w:r>
      <w:r>
        <w:rPr/>
        <w:t>年</w:t>
      </w:r>
      <w:r>
        <w:rPr>
          <w:spacing w:val="-53"/>
        </w:rPr>
        <w:t> </w:t>
      </w:r>
      <w:r>
        <w:rPr/>
        <w:t>4</w:t>
      </w:r>
      <w:r>
        <w:rPr>
          <w:spacing w:val="-51"/>
        </w:rPr>
        <w:t> </w:t>
      </w:r>
      <w:r>
        <w:rPr/>
        <w:t>月，任上海开能环保设备股份有限公司财务部经</w:t>
      </w:r>
    </w:p>
    <w:p>
      <w:pPr>
        <w:pStyle w:val="BodyText"/>
        <w:spacing w:line="340" w:lineRule="auto" w:before="25"/>
        <w:ind w:right="111"/>
        <w:jc w:val="both"/>
      </w:pPr>
      <w:r>
        <w:rPr/>
        <w:t>理、投资发展部经理；2010</w:t>
      </w:r>
      <w:r>
        <w:rPr>
          <w:spacing w:val="-55"/>
        </w:rPr>
        <w:t> </w:t>
      </w:r>
      <w:r>
        <w:rPr/>
        <w:t>年</w:t>
      </w:r>
      <w:r>
        <w:rPr>
          <w:spacing w:val="-54"/>
        </w:rPr>
        <w:t> </w:t>
      </w:r>
      <w:r>
        <w:rPr/>
        <w:t>5</w:t>
      </w:r>
      <w:r>
        <w:rPr>
          <w:spacing w:val="-50"/>
        </w:rPr>
        <w:t> </w:t>
      </w:r>
      <w:r>
        <w:rPr/>
        <w:t>月至</w:t>
      </w:r>
      <w:r>
        <w:rPr>
          <w:spacing w:val="-54"/>
        </w:rPr>
        <w:t> </w:t>
      </w:r>
      <w:r>
        <w:rPr/>
        <w:t>2010</w:t>
      </w:r>
      <w:r>
        <w:rPr>
          <w:spacing w:val="-55"/>
        </w:rPr>
        <w:t> </w:t>
      </w:r>
      <w:r>
        <w:rPr/>
        <w:t>年</w:t>
      </w:r>
      <w:r>
        <w:rPr>
          <w:spacing w:val="-51"/>
        </w:rPr>
        <w:t> </w:t>
      </w:r>
      <w:r>
        <w:rPr/>
        <w:t>8</w:t>
      </w:r>
      <w:r>
        <w:rPr>
          <w:spacing w:val="-52"/>
        </w:rPr>
        <w:t> </w:t>
      </w:r>
      <w:r>
        <w:rPr/>
        <w:t>月，任江苏考普乐新材料有限公司董事、副总经理、董事</w:t>
      </w:r>
      <w:r>
        <w:rPr>
          <w:w w:val="99"/>
        </w:rPr>
        <w:t> </w:t>
      </w:r>
      <w:r>
        <w:rPr/>
        <w:t>会秘书、财务负责人；2010</w:t>
      </w:r>
      <w:r>
        <w:rPr>
          <w:spacing w:val="-79"/>
        </w:rPr>
        <w:t> </w:t>
      </w:r>
      <w:r>
        <w:rPr/>
        <w:t>年</w:t>
      </w:r>
      <w:r>
        <w:rPr>
          <w:spacing w:val="-77"/>
        </w:rPr>
        <w:t> </w:t>
      </w:r>
      <w:r>
        <w:rPr/>
        <w:t>9</w:t>
      </w:r>
      <w:r>
        <w:rPr>
          <w:spacing w:val="-78"/>
        </w:rPr>
        <w:t> </w:t>
      </w:r>
      <w:r>
        <w:rPr/>
        <w:t>月至今任江苏考普乐新材料股份有限公司董事、副总经理、董事会秘书、</w:t>
      </w:r>
      <w:r>
        <w:rPr>
          <w:w w:val="63"/>
        </w:rPr>
        <w:t> </w:t>
      </w:r>
      <w:r>
        <w:rPr/>
        <w:t>财务负责人。2012</w:t>
      </w:r>
      <w:r>
        <w:rPr>
          <w:spacing w:val="-58"/>
        </w:rPr>
        <w:t> </w:t>
      </w:r>
      <w:r>
        <w:rPr/>
        <w:t>年起担任本公司独立董事。</w:t>
      </w:r>
    </w:p>
    <w:p>
      <w:pPr>
        <w:pStyle w:val="Heading4"/>
        <w:spacing w:line="240" w:lineRule="auto" w:before="115"/>
        <w:ind w:right="0"/>
        <w:jc w:val="left"/>
        <w:rPr>
          <w:b w:val="0"/>
          <w:bCs w:val="0"/>
        </w:rPr>
      </w:pPr>
      <w:r>
        <w:rPr/>
        <w:t>2、监事会成员</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本公司第二届监事会由</w:t>
      </w:r>
      <w:r>
        <w:rPr>
          <w:spacing w:val="-70"/>
        </w:rPr>
        <w:t> </w:t>
      </w:r>
      <w:r>
        <w:rPr/>
        <w:t>3</w:t>
      </w:r>
      <w:r>
        <w:rPr>
          <w:spacing w:val="-71"/>
        </w:rPr>
        <w:t> </w:t>
      </w:r>
      <w:r>
        <w:rPr/>
        <w:t>名监事组成，其中张士英为职工监事，由职工代表大会选派产生，沈亦宁和</w:t>
      </w:r>
    </w:p>
    <w:p>
      <w:pPr>
        <w:pStyle w:val="BodyText"/>
        <w:spacing w:line="240" w:lineRule="auto" w:before="114"/>
        <w:ind w:right="0"/>
        <w:jc w:val="both"/>
      </w:pPr>
      <w:r>
        <w:rPr/>
        <w:t>黄克华由公司监事会提名，经公司</w:t>
      </w:r>
      <w:r>
        <w:rPr>
          <w:spacing w:val="-59"/>
        </w:rPr>
        <w:t> </w:t>
      </w:r>
      <w:r>
        <w:rPr/>
        <w:t>2012</w:t>
      </w:r>
      <w:r>
        <w:rPr>
          <w:spacing w:val="-57"/>
        </w:rPr>
        <w:t> </w:t>
      </w:r>
      <w:r>
        <w:rPr/>
        <w:t>年第一次临时股东大会选举产生，本届监事会任期自</w:t>
      </w:r>
      <w:r>
        <w:rPr>
          <w:spacing w:val="-59"/>
        </w:rPr>
        <w:t> </w:t>
      </w:r>
      <w:r>
        <w:rPr/>
        <w:t>2012</w:t>
      </w:r>
      <w:r>
        <w:rPr>
          <w:spacing w:val="-60"/>
        </w:rPr>
        <w:t> </w:t>
      </w:r>
      <w:r>
        <w:rPr/>
        <w:t>年</w:t>
      </w:r>
      <w:r>
        <w:rPr>
          <w:spacing w:val="-59"/>
        </w:rPr>
        <w:t> </w:t>
      </w:r>
      <w:r>
        <w:rPr/>
        <w:t>4</w:t>
      </w:r>
      <w:r>
        <w:rPr>
          <w:spacing w:val="-57"/>
        </w:rPr>
        <w:t> </w:t>
      </w:r>
      <w:r>
        <w:rPr/>
        <w:t>月</w:t>
      </w:r>
    </w:p>
    <w:p>
      <w:pPr>
        <w:pStyle w:val="BodyText"/>
        <w:spacing w:line="240" w:lineRule="auto" w:before="116"/>
        <w:ind w:right="0"/>
        <w:jc w:val="both"/>
      </w:pPr>
      <w:r>
        <w:rPr/>
        <w:t>2</w:t>
      </w:r>
      <w:r>
        <w:rPr>
          <w:spacing w:val="-52"/>
        </w:rPr>
        <w:t> </w:t>
      </w:r>
      <w:r>
        <w:rPr/>
        <w:t>日至</w:t>
      </w:r>
      <w:r>
        <w:rPr>
          <w:spacing w:val="-54"/>
        </w:rPr>
        <w:t> </w:t>
      </w:r>
      <w:r>
        <w:rPr/>
        <w:t>2015</w:t>
      </w:r>
      <w:r>
        <w:rPr>
          <w:spacing w:val="-55"/>
        </w:rPr>
        <w:t> </w:t>
      </w:r>
      <w:r>
        <w:rPr/>
        <w:t>年</w:t>
      </w:r>
      <w:r>
        <w:rPr>
          <w:spacing w:val="-54"/>
        </w:rPr>
        <w:t> </w:t>
      </w:r>
      <w:r>
        <w:rPr/>
        <w:t>4</w:t>
      </w:r>
      <w:r>
        <w:rPr>
          <w:spacing w:val="-52"/>
        </w:rPr>
        <w:t> </w:t>
      </w:r>
      <w:r>
        <w:rPr/>
        <w:t>月</w:t>
      </w:r>
      <w:r>
        <w:rPr>
          <w:spacing w:val="-54"/>
        </w:rPr>
        <w:t> </w:t>
      </w:r>
      <w:r>
        <w:rPr/>
        <w:t>1</w:t>
      </w:r>
      <w:r>
        <w:rPr>
          <w:spacing w:val="-52"/>
        </w:rPr>
        <w:t> </w:t>
      </w:r>
      <w:r>
        <w:rPr/>
        <w:t>日。</w:t>
      </w:r>
    </w:p>
    <w:p>
      <w:pPr>
        <w:spacing w:line="240" w:lineRule="auto" w:before="11"/>
        <w:rPr>
          <w:rFonts w:ascii="宋体" w:hAnsi="宋体" w:cs="宋体" w:eastAsia="宋体" w:hint="default"/>
          <w:sz w:val="20"/>
          <w:szCs w:val="20"/>
        </w:rPr>
      </w:pPr>
    </w:p>
    <w:p>
      <w:pPr>
        <w:pStyle w:val="BodyText"/>
        <w:spacing w:line="340" w:lineRule="auto"/>
        <w:ind w:right="106" w:firstLine="422"/>
        <w:jc w:val="both"/>
      </w:pPr>
      <w:r>
        <w:rPr/>
        <w:t>（1）张士英，女，1946</w:t>
      </w:r>
      <w:r>
        <w:rPr>
          <w:spacing w:val="-78"/>
        </w:rPr>
        <w:t> </w:t>
      </w:r>
      <w:r>
        <w:rPr/>
        <w:t>年出生，中国国籍，无境外永久居留权。大学本科、工程师。1969</w:t>
      </w:r>
      <w:r>
        <w:rPr>
          <w:spacing w:val="-78"/>
        </w:rPr>
        <w:t> </w:t>
      </w:r>
      <w:r>
        <w:rPr/>
        <w:t>年至</w:t>
      </w:r>
      <w:r>
        <w:rPr>
          <w:spacing w:val="-78"/>
        </w:rPr>
        <w:t> </w:t>
      </w:r>
      <w:r>
        <w:rPr/>
        <w:t>2004</w:t>
      </w:r>
      <w:r>
        <w:rPr>
          <w:w w:val="99"/>
        </w:rPr>
        <w:t> </w:t>
      </w:r>
      <w:r>
        <w:rPr/>
        <w:t>年，历任京字</w:t>
      </w:r>
      <w:r>
        <w:rPr>
          <w:spacing w:val="-67"/>
        </w:rPr>
        <w:t> </w:t>
      </w:r>
      <w:r>
        <w:rPr/>
        <w:t>414</w:t>
      </w:r>
      <w:r>
        <w:rPr>
          <w:spacing w:val="-65"/>
        </w:rPr>
        <w:t> </w:t>
      </w:r>
      <w:r>
        <w:rPr/>
        <w:t>部队医院检验士、上海港医院信息科科长、上海高沧电脑技术有限公司总经理助理、上</w:t>
      </w:r>
      <w:r>
        <w:rPr>
          <w:w w:val="99"/>
        </w:rPr>
        <w:t> </w:t>
      </w:r>
      <w:r>
        <w:rPr>
          <w:w w:val="95"/>
        </w:rPr>
        <w:t>海金仕达卫宁医疗信息技术有限公司行政部经理。2004 年起加入上海金仕达卫宁软件有限公司，任行政部</w:t>
      </w:r>
      <w:r>
        <w:rPr>
          <w:spacing w:val="54"/>
          <w:w w:val="95"/>
        </w:rPr>
        <w:t> </w:t>
      </w:r>
      <w:r>
        <w:rPr>
          <w:spacing w:val="54"/>
          <w:w w:val="95"/>
        </w:rPr>
      </w:r>
      <w:r>
        <w:rPr/>
        <w:t>经理。现任本公司监事会主席、行政部经理、工会主席。</w:t>
      </w:r>
    </w:p>
    <w:p>
      <w:pPr>
        <w:spacing w:line="240" w:lineRule="auto" w:before="1"/>
        <w:rPr>
          <w:rFonts w:ascii="宋体" w:hAnsi="宋体" w:cs="宋体" w:eastAsia="宋体" w:hint="default"/>
          <w:sz w:val="14"/>
          <w:szCs w:val="14"/>
        </w:rPr>
      </w:pPr>
    </w:p>
    <w:p>
      <w:pPr>
        <w:pStyle w:val="BodyText"/>
        <w:spacing w:line="340" w:lineRule="auto"/>
        <w:ind w:right="110" w:firstLine="422"/>
        <w:jc w:val="both"/>
      </w:pPr>
      <w:r>
        <w:rPr>
          <w:spacing w:val="2"/>
        </w:rPr>
        <w:t>（2）沈亦宁，女，1966</w:t>
      </w:r>
      <w:r>
        <w:rPr>
          <w:spacing w:val="-51"/>
        </w:rPr>
        <w:t> </w:t>
      </w:r>
      <w:r>
        <w:rPr/>
        <w:t>年出生，中国国籍，无境外永久居留权。大专、统计师。</w:t>
      </w:r>
      <w:r>
        <w:rPr>
          <w:spacing w:val="-79"/>
        </w:rPr>
        <w:t> </w:t>
      </w:r>
      <w:r>
        <w:rPr/>
        <w:t>2000</w:t>
      </w:r>
      <w:r>
        <w:rPr>
          <w:spacing w:val="-51"/>
        </w:rPr>
        <w:t> </w:t>
      </w:r>
      <w:r>
        <w:rPr/>
        <w:t>年至</w:t>
      </w:r>
      <w:r>
        <w:rPr>
          <w:spacing w:val="-48"/>
        </w:rPr>
        <w:t> </w:t>
      </w:r>
      <w:r>
        <w:rPr/>
        <w:t>2004</w:t>
      </w:r>
      <w:r>
        <w:rPr>
          <w:spacing w:val="-49"/>
        </w:rPr>
        <w:t> </w:t>
      </w:r>
      <w:r>
        <w:rPr/>
        <w:t>年</w:t>
      </w:r>
      <w:r>
        <w:rPr>
          <w:w w:val="99"/>
        </w:rPr>
        <w:t> </w:t>
      </w:r>
      <w:r>
        <w:rPr>
          <w:w w:val="95"/>
        </w:rPr>
        <w:t>任上海金仕达卫宁医疗信息技术有限公司会计。2004 年起加入上海金仕达卫宁软件有限公司。现任本公司</w:t>
      </w:r>
      <w:r>
        <w:rPr>
          <w:spacing w:val="51"/>
          <w:w w:val="95"/>
        </w:rPr>
        <w:t> </w:t>
      </w:r>
      <w:r>
        <w:rPr>
          <w:spacing w:val="51"/>
          <w:w w:val="95"/>
        </w:rPr>
      </w:r>
      <w:r>
        <w:rPr/>
        <w:t>监事。</w:t>
      </w:r>
    </w:p>
    <w:p>
      <w:pPr>
        <w:spacing w:line="240" w:lineRule="auto" w:before="12"/>
        <w:rPr>
          <w:rFonts w:ascii="宋体" w:hAnsi="宋体" w:cs="宋体" w:eastAsia="宋体" w:hint="default"/>
          <w:sz w:val="13"/>
          <w:szCs w:val="13"/>
        </w:rPr>
      </w:pPr>
    </w:p>
    <w:p>
      <w:pPr>
        <w:pStyle w:val="BodyText"/>
        <w:spacing w:line="340" w:lineRule="auto"/>
        <w:ind w:right="106" w:firstLine="422"/>
        <w:jc w:val="both"/>
      </w:pPr>
      <w:r>
        <w:rPr/>
        <w:t>（3）黄克华，男，1964</w:t>
      </w:r>
      <w:r>
        <w:rPr>
          <w:spacing w:val="-78"/>
        </w:rPr>
        <w:t> </w:t>
      </w:r>
      <w:r>
        <w:rPr/>
        <w:t>年出生，中国国籍，无境外永久居留权。大学本科、工程师。1999</w:t>
      </w:r>
      <w:r>
        <w:rPr>
          <w:spacing w:val="-78"/>
        </w:rPr>
        <w:t> </w:t>
      </w:r>
      <w:r>
        <w:rPr/>
        <w:t>年至</w:t>
      </w:r>
      <w:r>
        <w:rPr>
          <w:spacing w:val="-78"/>
        </w:rPr>
        <w:t> </w:t>
      </w:r>
      <w:r>
        <w:rPr/>
        <w:t>2004</w:t>
      </w:r>
      <w:r>
        <w:rPr>
          <w:w w:val="99"/>
        </w:rPr>
        <w:t> </w:t>
      </w:r>
      <w:r>
        <w:rPr>
          <w:w w:val="95"/>
        </w:rPr>
        <w:t>年在上海金仕达卫宁医疗信息技术有限公司工作，2004 年起加入上海金仕达卫宁软件有限公司，任项目管</w:t>
      </w:r>
      <w:r>
        <w:rPr>
          <w:spacing w:val="54"/>
          <w:w w:val="95"/>
        </w:rPr>
        <w:t> </w:t>
      </w:r>
      <w:r>
        <w:rPr>
          <w:spacing w:val="54"/>
          <w:w w:val="95"/>
        </w:rPr>
      </w:r>
      <w:r>
        <w:rPr/>
        <w:t>理部经理。现任本公司监事、项目管理部经理。</w:t>
      </w:r>
    </w:p>
    <w:p>
      <w:pPr>
        <w:pStyle w:val="Heading4"/>
        <w:spacing w:line="240" w:lineRule="auto" w:before="117"/>
        <w:ind w:right="0"/>
        <w:jc w:val="left"/>
        <w:rPr>
          <w:b w:val="0"/>
          <w:bCs w:val="0"/>
        </w:rPr>
      </w:pPr>
      <w:r>
        <w:rPr/>
        <w:t>3、高级管理人员</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（1）刘宁，总经理兼董事，简历见上。</w:t>
      </w:r>
    </w:p>
    <w:p>
      <w:pPr>
        <w:spacing w:after="0" w:line="240" w:lineRule="auto"/>
        <w:jc w:val="left"/>
        <w:sectPr>
          <w:footerReference w:type="default" r:id="rId23"/>
          <w:pgSz w:w="11910" w:h="16840"/>
          <w:pgMar w:footer="976" w:header="849" w:top="1460" w:bottom="1160" w:left="1020" w:right="1020"/>
          <w:pgNumType w:start="5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（2）靳茂，财务负责人、董事会秘书兼董事，简历见上。</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Heading4"/>
        <w:spacing w:line="333" w:lineRule="exact"/>
        <w:ind w:right="0"/>
        <w:jc w:val="left"/>
        <w:rPr>
          <w:b w:val="0"/>
          <w:bCs w:val="0"/>
        </w:rPr>
      </w:pPr>
      <w:r>
        <w:rPr/>
        <w:t>（三）报告期内公司董事、监事、高级管理人员变动情况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110" w:firstLine="422"/>
        <w:jc w:val="both"/>
      </w:pPr>
      <w:r>
        <w:rPr>
          <w:spacing w:val="-4"/>
        </w:rPr>
        <w:t>1、2011</w:t>
      </w:r>
      <w:r>
        <w:rPr>
          <w:spacing w:val="-66"/>
        </w:rPr>
        <w:t> </w:t>
      </w:r>
      <w:r>
        <w:rPr/>
        <w:t>年</w:t>
      </w:r>
      <w:r>
        <w:rPr>
          <w:spacing w:val="-63"/>
        </w:rPr>
        <w:t> </w:t>
      </w:r>
      <w:r>
        <w:rPr/>
        <w:t>9</w:t>
      </w:r>
      <w:r>
        <w:rPr>
          <w:spacing w:val="-66"/>
        </w:rPr>
        <w:t> </w:t>
      </w:r>
      <w:r>
        <w:rPr/>
        <w:t>月</w:t>
      </w:r>
      <w:r>
        <w:rPr>
          <w:spacing w:val="-63"/>
        </w:rPr>
        <w:t> </w:t>
      </w:r>
      <w:r>
        <w:rPr/>
        <w:t>13</w:t>
      </w:r>
      <w:r>
        <w:rPr>
          <w:spacing w:val="-66"/>
        </w:rPr>
        <w:t> </w:t>
      </w:r>
      <w:r>
        <w:rPr/>
        <w:t>日，公司董事会收到独立董事杨峰（其任职于中信证券股份有限公司企业发展融资</w:t>
      </w:r>
      <w:r>
        <w:rPr>
          <w:w w:val="99"/>
        </w:rPr>
        <w:t> </w:t>
      </w:r>
      <w:r>
        <w:rPr>
          <w:w w:val="95"/>
        </w:rPr>
        <w:t>部）提交的书面辞职信。杨峰提出辞去独立董事职务的原因是基于中信证券股份有限公司合规部《关于公</w:t>
      </w:r>
      <w:r>
        <w:rPr>
          <w:spacing w:val="51"/>
          <w:w w:val="95"/>
        </w:rPr>
        <w:t> </w:t>
      </w:r>
      <w:r>
        <w:rPr>
          <w:spacing w:val="51"/>
          <w:w w:val="95"/>
        </w:rPr>
      </w:r>
      <w:r>
        <w:rPr>
          <w:spacing w:val="-2"/>
          <w:w w:val="99"/>
        </w:rPr>
        <w:t>司员工不得兼任上市公司独立董事的通知》（信证合字[2011]20</w:t>
      </w:r>
      <w:r>
        <w:rPr>
          <w:spacing w:val="-45"/>
          <w:w w:val="99"/>
        </w:rPr>
        <w:t> </w:t>
      </w:r>
      <w:r>
        <w:rPr>
          <w:spacing w:val="1"/>
          <w:w w:val="99"/>
        </w:rPr>
        <w:t>号）的相关规定，其辞职后将不在公司担</w:t>
      </w:r>
      <w:r>
        <w:rPr>
          <w:spacing w:val="-101"/>
          <w:w w:val="99"/>
        </w:rPr>
        <w:t> </w:t>
      </w:r>
      <w:r>
        <w:rPr>
          <w:spacing w:val="-101"/>
          <w:w w:val="99"/>
        </w:rPr>
      </w:r>
      <w:r>
        <w:rPr/>
        <w:t>任任何职务。</w:t>
      </w:r>
    </w:p>
    <w:p>
      <w:pPr>
        <w:spacing w:line="240" w:lineRule="auto" w:before="1"/>
        <w:rPr>
          <w:rFonts w:ascii="宋体" w:hAnsi="宋体" w:cs="宋体" w:eastAsia="宋体" w:hint="default"/>
          <w:sz w:val="14"/>
          <w:szCs w:val="14"/>
        </w:rPr>
      </w:pPr>
    </w:p>
    <w:p>
      <w:pPr>
        <w:pStyle w:val="BodyText"/>
        <w:spacing w:line="340" w:lineRule="auto"/>
        <w:ind w:right="105" w:firstLine="422"/>
        <w:jc w:val="both"/>
      </w:pPr>
      <w:r>
        <w:rPr>
          <w:w w:val="99"/>
        </w:rPr>
        <w:t>2、2011</w:t>
      </w:r>
      <w:r>
        <w:rPr>
          <w:spacing w:val="-53"/>
          <w:w w:val="99"/>
        </w:rPr>
        <w:t> </w:t>
      </w:r>
      <w:r>
        <w:rPr>
          <w:w w:val="99"/>
        </w:rPr>
        <w:t>年</w:t>
      </w:r>
      <w:r>
        <w:rPr>
          <w:spacing w:val="-49"/>
          <w:w w:val="99"/>
        </w:rPr>
        <w:t> </w:t>
      </w:r>
      <w:r>
        <w:rPr>
          <w:w w:val="99"/>
        </w:rPr>
        <w:t>11</w:t>
      </w:r>
      <w:r>
        <w:rPr>
          <w:spacing w:val="-53"/>
          <w:w w:val="99"/>
        </w:rPr>
        <w:t> </w:t>
      </w:r>
      <w:r>
        <w:rPr>
          <w:w w:val="99"/>
        </w:rPr>
        <w:t>月</w:t>
      </w:r>
      <w:r>
        <w:rPr>
          <w:spacing w:val="-49"/>
          <w:w w:val="99"/>
        </w:rPr>
        <w:t> </w:t>
      </w:r>
      <w:r>
        <w:rPr>
          <w:w w:val="99"/>
        </w:rPr>
        <w:t>28</w:t>
      </w:r>
      <w:r>
        <w:rPr>
          <w:spacing w:val="-53"/>
          <w:w w:val="99"/>
        </w:rPr>
        <w:t> </w:t>
      </w:r>
      <w:r>
        <w:rPr>
          <w:spacing w:val="-2"/>
          <w:w w:val="98"/>
        </w:rPr>
        <w:t>日，公司第一届董事会第二十次会议审议通过了《关于董事会换届选举的议案》，</w:t>
      </w:r>
      <w:r>
        <w:rPr>
          <w:w w:val="63"/>
        </w:rPr>
        <w:t> </w:t>
      </w:r>
      <w:r>
        <w:rPr>
          <w:w w:val="95"/>
        </w:rPr>
        <w:t>提名第二届董事会董事候选人为：周炜、刘宁、孙凯、靳茂、王绍东、王贤安、程焱，其中王绍东、王贤</w:t>
      </w:r>
      <w:r>
        <w:rPr>
          <w:spacing w:val="53"/>
          <w:w w:val="95"/>
        </w:rPr>
        <w:t> </w:t>
      </w:r>
      <w:r>
        <w:rPr>
          <w:spacing w:val="53"/>
          <w:w w:val="95"/>
        </w:rPr>
      </w:r>
      <w:r>
        <w:rPr/>
        <w:t>安、程焱为独立董事候选人。2012</w:t>
      </w:r>
      <w:r>
        <w:rPr>
          <w:spacing w:val="-49"/>
        </w:rPr>
        <w:t> </w:t>
      </w:r>
      <w:r>
        <w:rPr/>
        <w:t>年</w:t>
      </w:r>
      <w:r>
        <w:rPr>
          <w:spacing w:val="-48"/>
        </w:rPr>
        <w:t> </w:t>
      </w:r>
      <w:r>
        <w:rPr/>
        <w:t>3</w:t>
      </w:r>
      <w:r>
        <w:rPr>
          <w:spacing w:val="-49"/>
        </w:rPr>
        <w:t> </w:t>
      </w:r>
      <w:r>
        <w:rPr/>
        <w:t>月</w:t>
      </w:r>
      <w:r>
        <w:rPr>
          <w:spacing w:val="-48"/>
        </w:rPr>
        <w:t> </w:t>
      </w:r>
      <w:r>
        <w:rPr/>
        <w:t>15</w:t>
      </w:r>
      <w:r>
        <w:rPr>
          <w:spacing w:val="-52"/>
        </w:rPr>
        <w:t> </w:t>
      </w:r>
      <w:r>
        <w:rPr/>
        <w:t>日，公司第一届董事会第二十一次会议审议通过了《关于修</w:t>
      </w:r>
      <w:r>
        <w:rPr>
          <w:w w:val="99"/>
        </w:rPr>
        <w:t> </w:t>
      </w:r>
      <w:r>
        <w:rPr>
          <w:spacing w:val="-1"/>
          <w:w w:val="99"/>
        </w:rPr>
        <w:t>订董事会换届选举的议案》，公司第一届董事会独立董事、原公司第二届董事会独立董事候选人王贤安因</w:t>
      </w:r>
      <w:r>
        <w:rPr>
          <w:spacing w:val="-65"/>
          <w:w w:val="99"/>
        </w:rPr>
        <w:t> </w:t>
      </w:r>
      <w:r>
        <w:rPr>
          <w:spacing w:val="-65"/>
          <w:w w:val="99"/>
        </w:rPr>
      </w:r>
      <w:r>
        <w:rPr>
          <w:w w:val="95"/>
        </w:rPr>
        <w:t>工作繁忙，提出其公司第一届董事会独立董事任期届满换届选举时不再担任公司第二届董事会独立董事候</w:t>
      </w:r>
      <w:r>
        <w:rPr>
          <w:spacing w:val="52"/>
          <w:w w:val="95"/>
        </w:rPr>
        <w:t> </w:t>
      </w:r>
      <w:r>
        <w:rPr>
          <w:spacing w:val="52"/>
          <w:w w:val="95"/>
        </w:rPr>
      </w:r>
      <w:r>
        <w:rPr>
          <w:w w:val="95"/>
        </w:rPr>
        <w:t>选人，公司董事会同意其请求并提名徐劲科为公司第二届董事会独立董事候选人，提名第二届董事会董事</w:t>
      </w:r>
      <w:r>
        <w:rPr>
          <w:spacing w:val="52"/>
          <w:w w:val="95"/>
        </w:rPr>
        <w:t> </w:t>
      </w:r>
      <w:r>
        <w:rPr>
          <w:spacing w:val="52"/>
          <w:w w:val="95"/>
        </w:rPr>
      </w:r>
      <w:r>
        <w:rPr>
          <w:w w:val="95"/>
        </w:rPr>
        <w:t>候选人修订为：周炜、刘宁、孙凯、靳茂、王绍东、徐劲科、程焱，其中王绍东、徐劲科、程焱为独立董</w:t>
      </w:r>
      <w:r>
        <w:rPr>
          <w:spacing w:val="59"/>
          <w:w w:val="95"/>
        </w:rPr>
        <w:t> </w:t>
      </w:r>
      <w:r>
        <w:rPr>
          <w:spacing w:val="59"/>
          <w:w w:val="95"/>
        </w:rPr>
      </w:r>
      <w:r>
        <w:rPr/>
        <w:t>事候选人。上述事项已由</w:t>
      </w:r>
      <w:r>
        <w:rPr>
          <w:spacing w:val="-55"/>
        </w:rPr>
        <w:t> </w:t>
      </w:r>
      <w:r>
        <w:rPr/>
        <w:t>2012</w:t>
      </w:r>
      <w:r>
        <w:rPr>
          <w:spacing w:val="-58"/>
        </w:rPr>
        <w:t> </w:t>
      </w:r>
      <w:r>
        <w:rPr/>
        <w:t>年</w:t>
      </w:r>
      <w:r>
        <w:rPr>
          <w:spacing w:val="-57"/>
        </w:rPr>
        <w:t> </w:t>
      </w:r>
      <w:r>
        <w:rPr/>
        <w:t>4</w:t>
      </w:r>
      <w:r>
        <w:rPr>
          <w:spacing w:val="-56"/>
        </w:rPr>
        <w:t> </w:t>
      </w:r>
      <w:r>
        <w:rPr/>
        <w:t>月</w:t>
      </w:r>
      <w:r>
        <w:rPr>
          <w:spacing w:val="-57"/>
        </w:rPr>
        <w:t> </w:t>
      </w:r>
      <w:r>
        <w:rPr/>
        <w:t>2</w:t>
      </w:r>
      <w:r>
        <w:rPr>
          <w:spacing w:val="-56"/>
        </w:rPr>
        <w:t> </w:t>
      </w:r>
      <w:r>
        <w:rPr/>
        <w:t>日召开的公司</w:t>
      </w:r>
      <w:r>
        <w:rPr>
          <w:spacing w:val="-57"/>
        </w:rPr>
        <w:t> </w:t>
      </w:r>
      <w:r>
        <w:rPr/>
        <w:t>2012</w:t>
      </w:r>
      <w:r>
        <w:rPr>
          <w:spacing w:val="-58"/>
        </w:rPr>
        <w:t> </w:t>
      </w:r>
      <w:r>
        <w:rPr/>
        <w:t>年第一次临时股东大会审议通过（披露日期：</w:t>
      </w:r>
    </w:p>
    <w:p>
      <w:pPr>
        <w:pStyle w:val="BodyText"/>
        <w:spacing w:line="240" w:lineRule="auto" w:before="25"/>
        <w:ind w:right="0"/>
        <w:jc w:val="left"/>
      </w:pPr>
      <w:r>
        <w:rPr>
          <w:spacing w:val="1"/>
          <w:w w:val="99"/>
        </w:rPr>
        <w:t>201</w:t>
      </w:r>
      <w:r>
        <w:rPr>
          <w:w w:val="99"/>
        </w:rPr>
        <w:t>2</w:t>
      </w:r>
      <w:r>
        <w:rPr>
          <w:spacing w:val="-54"/>
        </w:rPr>
        <w:t> </w:t>
      </w:r>
      <w:r>
        <w:rPr>
          <w:w w:val="99"/>
        </w:rPr>
        <w:t>年</w:t>
      </w:r>
      <w:r>
        <w:rPr>
          <w:spacing w:val="-50"/>
        </w:rPr>
        <w:t> </w:t>
      </w:r>
      <w:r>
        <w:rPr>
          <w:w w:val="99"/>
        </w:rPr>
        <w:t>4</w:t>
      </w:r>
      <w:r>
        <w:rPr>
          <w:spacing w:val="-54"/>
        </w:rPr>
        <w:t> </w:t>
      </w:r>
      <w:r>
        <w:rPr>
          <w:w w:val="99"/>
        </w:rPr>
        <w:t>月</w:t>
      </w:r>
      <w:r>
        <w:rPr>
          <w:spacing w:val="-50"/>
        </w:rPr>
        <w:t> </w:t>
      </w:r>
      <w:r>
        <w:rPr>
          <w:w w:val="99"/>
        </w:rPr>
        <w:t>6</w:t>
      </w:r>
      <w:r>
        <w:rPr>
          <w:spacing w:val="-54"/>
        </w:rPr>
        <w:t> </w:t>
      </w:r>
      <w:r>
        <w:rPr>
          <w:spacing w:val="2"/>
          <w:w w:val="99"/>
        </w:rPr>
        <w:t>日</w:t>
      </w:r>
      <w:r>
        <w:rPr>
          <w:spacing w:val="-106"/>
          <w:w w:val="99"/>
        </w:rPr>
        <w:t>）</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2"/>
          <w:w w:val="99"/>
        </w:rPr>
        <w:t>3</w:t>
      </w:r>
      <w:r>
        <w:rPr>
          <w:spacing w:val="2"/>
          <w:w w:val="99"/>
        </w:rPr>
        <w:t>、</w:t>
      </w:r>
      <w:r>
        <w:rPr>
          <w:spacing w:val="1"/>
          <w:w w:val="99"/>
        </w:rPr>
        <w:t>20</w:t>
      </w:r>
      <w:r>
        <w:rPr>
          <w:spacing w:val="-2"/>
          <w:w w:val="99"/>
        </w:rPr>
        <w:t>1</w:t>
      </w:r>
      <w:r>
        <w:rPr>
          <w:w w:val="99"/>
        </w:rPr>
        <w:t>1</w:t>
      </w:r>
      <w:r>
        <w:rPr>
          <w:spacing w:val="-54"/>
        </w:rPr>
        <w:t> </w:t>
      </w:r>
      <w:r>
        <w:rPr>
          <w:w w:val="99"/>
        </w:rPr>
        <w:t>年</w:t>
      </w:r>
      <w:r>
        <w:rPr>
          <w:spacing w:val="-50"/>
        </w:rPr>
        <w:t> </w:t>
      </w:r>
      <w:r>
        <w:rPr>
          <w:spacing w:val="1"/>
          <w:w w:val="99"/>
        </w:rPr>
        <w:t>1</w:t>
      </w:r>
      <w:r>
        <w:rPr>
          <w:w w:val="99"/>
        </w:rPr>
        <w:t>1</w:t>
      </w:r>
      <w:r>
        <w:rPr>
          <w:spacing w:val="-54"/>
        </w:rPr>
        <w:t> </w:t>
      </w:r>
      <w:r>
        <w:rPr>
          <w:w w:val="99"/>
        </w:rPr>
        <w:t>月</w:t>
      </w:r>
      <w:r>
        <w:rPr>
          <w:spacing w:val="-50"/>
        </w:rPr>
        <w:t> </w:t>
      </w:r>
      <w:r>
        <w:rPr>
          <w:spacing w:val="1"/>
          <w:w w:val="99"/>
        </w:rPr>
        <w:t>2</w:t>
      </w:r>
      <w:r>
        <w:rPr>
          <w:w w:val="99"/>
        </w:rPr>
        <w:t>8</w:t>
      </w:r>
      <w:r>
        <w:rPr>
          <w:spacing w:val="-54"/>
        </w:rPr>
        <w:t> </w:t>
      </w:r>
      <w:r>
        <w:rPr>
          <w:spacing w:val="2"/>
          <w:w w:val="99"/>
        </w:rPr>
        <w:t>日</w:t>
      </w:r>
      <w:r>
        <w:rPr>
          <w:w w:val="99"/>
        </w:rPr>
        <w:t>，</w:t>
      </w:r>
      <w:r>
        <w:rPr>
          <w:spacing w:val="2"/>
          <w:w w:val="99"/>
        </w:rPr>
        <w:t>公</w:t>
      </w:r>
      <w:r>
        <w:rPr>
          <w:w w:val="99"/>
        </w:rPr>
        <w:t>司</w:t>
      </w:r>
      <w:r>
        <w:rPr>
          <w:spacing w:val="2"/>
          <w:w w:val="99"/>
        </w:rPr>
        <w:t>第一</w:t>
      </w:r>
      <w:r>
        <w:rPr>
          <w:w w:val="99"/>
        </w:rPr>
        <w:t>届</w:t>
      </w:r>
      <w:r>
        <w:rPr>
          <w:spacing w:val="2"/>
          <w:w w:val="99"/>
        </w:rPr>
        <w:t>监</w:t>
      </w:r>
      <w:r>
        <w:rPr>
          <w:w w:val="99"/>
        </w:rPr>
        <w:t>事</w:t>
      </w:r>
      <w:r>
        <w:rPr>
          <w:spacing w:val="2"/>
          <w:w w:val="99"/>
        </w:rPr>
        <w:t>会</w:t>
      </w:r>
      <w:r>
        <w:rPr>
          <w:w w:val="99"/>
        </w:rPr>
        <w:t>第</w:t>
      </w:r>
      <w:r>
        <w:rPr>
          <w:spacing w:val="2"/>
          <w:w w:val="99"/>
        </w:rPr>
        <w:t>十</w:t>
      </w:r>
      <w:r>
        <w:rPr>
          <w:w w:val="99"/>
        </w:rPr>
        <w:t>次</w:t>
      </w:r>
      <w:r>
        <w:rPr>
          <w:spacing w:val="2"/>
          <w:w w:val="99"/>
        </w:rPr>
        <w:t>会</w:t>
      </w:r>
      <w:r>
        <w:rPr>
          <w:w w:val="99"/>
        </w:rPr>
        <w:t>议</w:t>
      </w: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关</w:t>
      </w:r>
      <w:r>
        <w:rPr>
          <w:w w:val="99"/>
        </w:rPr>
        <w:t>于</w:t>
      </w:r>
      <w:r>
        <w:rPr>
          <w:spacing w:val="2"/>
          <w:w w:val="99"/>
        </w:rPr>
        <w:t>监</w:t>
      </w:r>
      <w:r>
        <w:rPr>
          <w:w w:val="99"/>
        </w:rPr>
        <w:t>事</w:t>
      </w:r>
      <w:r>
        <w:rPr>
          <w:spacing w:val="2"/>
          <w:w w:val="99"/>
        </w:rPr>
        <w:t>会</w:t>
      </w:r>
      <w:r>
        <w:rPr>
          <w:w w:val="99"/>
        </w:rPr>
        <w:t>换</w:t>
      </w:r>
      <w:r>
        <w:rPr>
          <w:spacing w:val="2"/>
          <w:w w:val="99"/>
        </w:rPr>
        <w:t>届</w:t>
      </w:r>
      <w:r>
        <w:rPr>
          <w:w w:val="99"/>
        </w:rPr>
        <w:t>选</w:t>
      </w:r>
      <w:r>
        <w:rPr>
          <w:spacing w:val="2"/>
          <w:w w:val="99"/>
        </w:rPr>
        <w:t>举</w:t>
      </w:r>
      <w:r>
        <w:rPr>
          <w:w w:val="99"/>
        </w:rPr>
        <w:t>的</w:t>
      </w:r>
      <w:r>
        <w:rPr>
          <w:spacing w:val="2"/>
          <w:w w:val="99"/>
        </w:rPr>
        <w:t>议案</w:t>
      </w:r>
      <w:r>
        <w:rPr>
          <w:spacing w:val="-106"/>
          <w:w w:val="99"/>
        </w:rPr>
        <w:t>》</w:t>
      </w:r>
      <w:r>
        <w:rPr>
          <w:spacing w:val="-72"/>
          <w:w w:val="99"/>
        </w:rPr>
        <w:t>，</w:t>
      </w:r>
      <w:r>
        <w:rPr>
          <w:w w:val="99"/>
        </w:rPr>
        <w:t>提</w:t>
      </w:r>
      <w:r>
        <w:rPr/>
      </w:r>
    </w:p>
    <w:p>
      <w:pPr>
        <w:pStyle w:val="BodyText"/>
        <w:spacing w:line="240" w:lineRule="auto" w:before="116"/>
        <w:ind w:right="0"/>
        <w:jc w:val="left"/>
      </w:pPr>
      <w:r>
        <w:rPr>
          <w:spacing w:val="2"/>
        </w:rPr>
        <w:t>名第二届监事会非职工代表监事候选人为：沈亦宁、黄克华。上述事项已由</w:t>
      </w:r>
      <w:r>
        <w:rPr>
          <w:spacing w:val="-53"/>
        </w:rPr>
        <w:t> </w:t>
      </w:r>
      <w:r>
        <w:rPr/>
        <w:t>2012</w:t>
      </w:r>
      <w:r>
        <w:rPr>
          <w:spacing w:val="-56"/>
        </w:rPr>
        <w:t> </w:t>
      </w:r>
      <w:r>
        <w:rPr/>
        <w:t>年</w:t>
      </w:r>
      <w:r>
        <w:rPr>
          <w:spacing w:val="-55"/>
        </w:rPr>
        <w:t> </w:t>
      </w:r>
      <w:r>
        <w:rPr/>
        <w:t>4</w:t>
      </w:r>
      <w:r>
        <w:rPr>
          <w:spacing w:val="-54"/>
        </w:rPr>
        <w:t> </w:t>
      </w:r>
      <w:r>
        <w:rPr/>
        <w:t>月</w:t>
      </w:r>
      <w:r>
        <w:rPr>
          <w:spacing w:val="-55"/>
        </w:rPr>
        <w:t> </w:t>
      </w:r>
      <w:r>
        <w:rPr/>
        <w:t>2</w:t>
      </w:r>
      <w:r>
        <w:rPr>
          <w:spacing w:val="-56"/>
        </w:rPr>
        <w:t> </w:t>
      </w:r>
      <w:r>
        <w:rPr>
          <w:spacing w:val="2"/>
        </w:rPr>
        <w:t>日召开的公司</w:t>
      </w:r>
    </w:p>
    <w:p>
      <w:pPr>
        <w:pStyle w:val="BodyText"/>
        <w:spacing w:line="340" w:lineRule="auto" w:before="114"/>
        <w:ind w:right="0"/>
        <w:jc w:val="left"/>
      </w:pPr>
      <w:r>
        <w:rPr>
          <w:w w:val="99"/>
        </w:rPr>
        <w:t>2012</w:t>
      </w:r>
      <w:r>
        <w:rPr>
          <w:spacing w:val="-52"/>
          <w:w w:val="99"/>
        </w:rPr>
        <w:t> </w:t>
      </w:r>
      <w:r>
        <w:rPr>
          <w:w w:val="99"/>
        </w:rPr>
        <w:t>年第一次临时股东大会审议通过（披露日期：2012</w:t>
      </w:r>
      <w:r>
        <w:rPr>
          <w:spacing w:val="-49"/>
          <w:w w:val="99"/>
        </w:rPr>
        <w:t> </w:t>
      </w:r>
      <w:r>
        <w:rPr>
          <w:w w:val="99"/>
        </w:rPr>
        <w:t>年</w:t>
      </w:r>
      <w:r>
        <w:rPr>
          <w:spacing w:val="-51"/>
          <w:w w:val="99"/>
        </w:rPr>
        <w:t> </w:t>
      </w:r>
      <w:r>
        <w:rPr>
          <w:w w:val="99"/>
        </w:rPr>
        <w:t>4</w:t>
      </w:r>
      <w:r>
        <w:rPr>
          <w:spacing w:val="-49"/>
          <w:w w:val="99"/>
        </w:rPr>
        <w:t> </w:t>
      </w:r>
      <w:r>
        <w:rPr>
          <w:w w:val="99"/>
        </w:rPr>
        <w:t>月</w:t>
      </w:r>
      <w:r>
        <w:rPr>
          <w:spacing w:val="-51"/>
          <w:w w:val="99"/>
        </w:rPr>
        <w:t> </w:t>
      </w:r>
      <w:r>
        <w:rPr>
          <w:w w:val="99"/>
        </w:rPr>
        <w:t>6</w:t>
      </w:r>
      <w:r>
        <w:rPr>
          <w:spacing w:val="-49"/>
          <w:w w:val="99"/>
        </w:rPr>
        <w:t> </w:t>
      </w:r>
      <w:r>
        <w:rPr>
          <w:spacing w:val="-22"/>
          <w:w w:val="99"/>
        </w:rPr>
        <w:t>日），并与</w:t>
      </w:r>
      <w:r>
        <w:rPr>
          <w:spacing w:val="-51"/>
          <w:w w:val="99"/>
        </w:rPr>
        <w:t> </w:t>
      </w:r>
      <w:r>
        <w:rPr>
          <w:w w:val="99"/>
        </w:rPr>
        <w:t>2012</w:t>
      </w:r>
      <w:r>
        <w:rPr>
          <w:spacing w:val="-52"/>
          <w:w w:val="99"/>
        </w:rPr>
        <w:t> </w:t>
      </w:r>
      <w:r>
        <w:rPr>
          <w:w w:val="99"/>
        </w:rPr>
        <w:t>年</w:t>
      </w:r>
      <w:r>
        <w:rPr>
          <w:spacing w:val="-51"/>
          <w:w w:val="99"/>
        </w:rPr>
        <w:t> </w:t>
      </w:r>
      <w:r>
        <w:rPr>
          <w:w w:val="99"/>
        </w:rPr>
        <w:t>3</w:t>
      </w:r>
      <w:r>
        <w:rPr>
          <w:spacing w:val="-49"/>
          <w:w w:val="99"/>
        </w:rPr>
        <w:t> </w:t>
      </w:r>
      <w:r>
        <w:rPr>
          <w:w w:val="99"/>
        </w:rPr>
        <w:t>月</w:t>
      </w:r>
      <w:r>
        <w:rPr>
          <w:spacing w:val="-48"/>
          <w:w w:val="99"/>
        </w:rPr>
        <w:t> </w:t>
      </w:r>
      <w:r>
        <w:rPr>
          <w:w w:val="99"/>
        </w:rPr>
        <w:t>29</w:t>
      </w:r>
      <w:r>
        <w:rPr>
          <w:spacing w:val="-52"/>
          <w:w w:val="99"/>
        </w:rPr>
        <w:t> </w:t>
      </w:r>
      <w:r>
        <w:rPr>
          <w:spacing w:val="1"/>
          <w:w w:val="99"/>
        </w:rPr>
        <w:t>日公司职工代</w:t>
      </w:r>
      <w:r>
        <w:rPr>
          <w:w w:val="99"/>
        </w:rPr>
        <w:t> </w:t>
      </w:r>
      <w:r>
        <w:rPr/>
        <w:t>表大会选派的公司第二届监事会职工代表监事张士英一起组成公司第二届监事会。</w:t>
      </w:r>
    </w:p>
    <w:p>
      <w:pPr>
        <w:spacing w:line="350" w:lineRule="auto" w:before="155"/>
        <w:ind w:left="535" w:right="5321"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二、报告期内公司核心技术人员变动情况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报告期内，公司核心技术人员未发生变动。</w:t>
      </w:r>
    </w:p>
    <w:p>
      <w:pPr>
        <w:pStyle w:val="Heading4"/>
        <w:spacing w:line="240" w:lineRule="auto" w:before="29"/>
        <w:ind w:left="112" w:right="0"/>
        <w:jc w:val="left"/>
        <w:rPr>
          <w:b w:val="0"/>
          <w:bCs w:val="0"/>
        </w:rPr>
      </w:pPr>
      <w:r>
        <w:rPr/>
        <w:t>三、公司员工情况</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240" w:lineRule="auto"/>
        <w:ind w:left="535" w:right="0"/>
        <w:jc w:val="left"/>
      </w:pPr>
      <w:r>
        <w:rPr/>
        <w:t>截至</w:t>
      </w:r>
      <w:r>
        <w:rPr>
          <w:spacing w:val="-57"/>
        </w:rPr>
        <w:t> </w:t>
      </w:r>
      <w:r>
        <w:rPr/>
        <w:t>2011</w:t>
      </w:r>
      <w:r>
        <w:rPr>
          <w:spacing w:val="-56"/>
        </w:rPr>
        <w:t> </w:t>
      </w:r>
      <w:r>
        <w:rPr/>
        <w:t>年底，公司及全资子公司员工数量为</w:t>
      </w:r>
      <w:r>
        <w:rPr>
          <w:spacing w:val="-55"/>
        </w:rPr>
        <w:t> </w:t>
      </w:r>
      <w:r>
        <w:rPr/>
        <w:t>638</w:t>
      </w:r>
      <w:r>
        <w:rPr>
          <w:spacing w:val="-56"/>
        </w:rPr>
        <w:t> </w:t>
      </w:r>
      <w:r>
        <w:rPr/>
        <w:t>人。员工基本构成如下：</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t>（一）员工专业结构</w:t>
      </w:r>
      <w:r>
        <w:rPr>
          <w:b w:val="0"/>
          <w:bCs w:val="0"/>
        </w:rPr>
      </w:r>
    </w:p>
    <w:p>
      <w:pPr>
        <w:spacing w:line="240" w:lineRule="auto" w:before="14"/>
        <w:rPr>
          <w:rFonts w:ascii="Microsoft JhengHei" w:hAnsi="Microsoft JhengHei" w:cs="Microsoft JhengHei" w:eastAsia="Microsoft JhengHei" w:hint="default"/>
          <w:b/>
          <w:bCs/>
          <w:sz w:val="12"/>
          <w:szCs w:val="12"/>
        </w:rPr>
      </w:pPr>
    </w:p>
    <w:tbl>
      <w:tblPr>
        <w:tblW w:w="0" w:type="auto"/>
        <w:jc w:val="left"/>
        <w:tblInd w:w="698" w:type="dxa"/>
        <w:tblLayout w:type="fixed"/>
        <w:tblCellMar>
          <w:top w:w="0" w:type="dxa"/>
          <w:left w:w="0" w:type="dxa"/>
          <w:bottom w:w="0" w:type="dxa"/>
          <w:right w:w="0" w:type="dxa"/>
        </w:tblCellMar>
        <w:tblLook w:val="01E0"/>
      </w:tblPr>
      <w:tblGrid>
        <w:gridCol w:w="2844"/>
        <w:gridCol w:w="2844"/>
        <w:gridCol w:w="2772"/>
      </w:tblGrid>
      <w:tr>
        <w:trPr>
          <w:trHeight w:val="398" w:hRule="exact"/>
        </w:trPr>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职工专业构成</w:t>
            </w:r>
          </w:p>
        </w:tc>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研究开发人员</w:t>
            </w:r>
          </w:p>
        </w:tc>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1"/>
              <w:jc w:val="center"/>
              <w:rPr>
                <w:rFonts w:ascii="宋体" w:hAnsi="宋体" w:cs="宋体" w:eastAsia="宋体" w:hint="default"/>
                <w:sz w:val="18"/>
                <w:szCs w:val="18"/>
              </w:rPr>
            </w:pPr>
            <w:r>
              <w:rPr>
                <w:rFonts w:ascii="宋体"/>
                <w:sz w:val="18"/>
              </w:rPr>
              <w:t>140</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21.94</w:t>
            </w:r>
          </w:p>
        </w:tc>
      </w:tr>
      <w:tr>
        <w:trPr>
          <w:trHeight w:val="398" w:hRule="exact"/>
        </w:trPr>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实施、二次开发人员</w:t>
            </w:r>
          </w:p>
        </w:tc>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1"/>
              <w:jc w:val="center"/>
              <w:rPr>
                <w:rFonts w:ascii="宋体" w:hAnsi="宋体" w:cs="宋体" w:eastAsia="宋体" w:hint="default"/>
                <w:sz w:val="18"/>
                <w:szCs w:val="18"/>
              </w:rPr>
            </w:pPr>
            <w:r>
              <w:rPr>
                <w:rFonts w:ascii="宋体"/>
                <w:sz w:val="18"/>
              </w:rPr>
              <w:t>284</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left="1" w:right="0"/>
              <w:jc w:val="center"/>
              <w:rPr>
                <w:rFonts w:ascii="宋体" w:hAnsi="宋体" w:cs="宋体" w:eastAsia="宋体" w:hint="default"/>
                <w:sz w:val="18"/>
                <w:szCs w:val="18"/>
              </w:rPr>
            </w:pPr>
            <w:r>
              <w:rPr>
                <w:rFonts w:ascii="宋体"/>
                <w:sz w:val="18"/>
              </w:rPr>
              <w:t>44.52</w:t>
            </w:r>
          </w:p>
        </w:tc>
      </w:tr>
      <w:tr>
        <w:trPr>
          <w:trHeight w:val="401" w:hRule="exact"/>
        </w:trPr>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left="1" w:right="0"/>
              <w:jc w:val="center"/>
              <w:rPr>
                <w:rFonts w:ascii="宋体" w:hAnsi="宋体" w:cs="宋体" w:eastAsia="宋体" w:hint="default"/>
                <w:sz w:val="18"/>
                <w:szCs w:val="18"/>
              </w:rPr>
            </w:pPr>
            <w:r>
              <w:rPr>
                <w:rFonts w:ascii="宋体"/>
                <w:sz w:val="18"/>
              </w:rPr>
              <w:t>46</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1"/>
              <w:jc w:val="center"/>
              <w:rPr>
                <w:rFonts w:ascii="宋体" w:hAnsi="宋体" w:cs="宋体" w:eastAsia="宋体" w:hint="default"/>
                <w:sz w:val="18"/>
                <w:szCs w:val="18"/>
              </w:rPr>
            </w:pPr>
            <w:r>
              <w:rPr>
                <w:rFonts w:ascii="宋体"/>
                <w:sz w:val="18"/>
              </w:rPr>
              <w:t>7.21</w:t>
            </w:r>
          </w:p>
        </w:tc>
      </w:tr>
      <w:tr>
        <w:trPr>
          <w:trHeight w:val="398" w:hRule="exact"/>
        </w:trPr>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销售、服务人员</w:t>
            </w:r>
          </w:p>
        </w:tc>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5"/>
              <w:ind w:right="1"/>
              <w:jc w:val="center"/>
              <w:rPr>
                <w:rFonts w:ascii="宋体" w:hAnsi="宋体" w:cs="宋体" w:eastAsia="宋体" w:hint="default"/>
                <w:sz w:val="18"/>
                <w:szCs w:val="18"/>
              </w:rPr>
            </w:pPr>
            <w:r>
              <w:rPr>
                <w:rFonts w:ascii="宋体"/>
                <w:sz w:val="18"/>
              </w:rPr>
              <w:t>168</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5"/>
              <w:ind w:left="1" w:right="0"/>
              <w:jc w:val="center"/>
              <w:rPr>
                <w:rFonts w:ascii="宋体" w:hAnsi="宋体" w:cs="宋体" w:eastAsia="宋体" w:hint="default"/>
                <w:sz w:val="18"/>
                <w:szCs w:val="18"/>
              </w:rPr>
            </w:pPr>
            <w:r>
              <w:rPr>
                <w:rFonts w:ascii="宋体"/>
                <w:sz w:val="18"/>
              </w:rPr>
              <w:t>26.33</w:t>
            </w:r>
          </w:p>
        </w:tc>
      </w:tr>
      <w:tr>
        <w:trPr>
          <w:trHeight w:val="400" w:hRule="exact"/>
        </w:trPr>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1"/>
              <w:jc w:val="center"/>
              <w:rPr>
                <w:rFonts w:ascii="宋体" w:hAnsi="宋体" w:cs="宋体" w:eastAsia="宋体" w:hint="default"/>
                <w:sz w:val="18"/>
                <w:szCs w:val="18"/>
              </w:rPr>
            </w:pPr>
            <w:r>
              <w:rPr>
                <w:rFonts w:ascii="宋体"/>
                <w:sz w:val="18"/>
              </w:rPr>
              <w:t>638</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left="1" w:right="0"/>
              <w:jc w:val="center"/>
              <w:rPr>
                <w:rFonts w:ascii="宋体" w:hAnsi="宋体" w:cs="宋体" w:eastAsia="宋体" w:hint="default"/>
                <w:sz w:val="18"/>
                <w:szCs w:val="18"/>
              </w:rPr>
            </w:pPr>
            <w:r>
              <w:rPr>
                <w:rFonts w:ascii="宋体"/>
                <w:sz w:val="18"/>
              </w:rPr>
              <w:t>100.00</w:t>
            </w:r>
          </w:p>
        </w:tc>
      </w:tr>
    </w:tbl>
    <w:p>
      <w:pPr>
        <w:spacing w:line="240" w:lineRule="auto" w:before="7"/>
        <w:rPr>
          <w:rFonts w:ascii="Microsoft JhengHei" w:hAnsi="Microsoft JhengHei" w:cs="Microsoft JhengHei" w:eastAsia="Microsoft JhengHei" w:hint="default"/>
          <w:b/>
          <w:bCs/>
          <w:sz w:val="8"/>
          <w:szCs w:val="8"/>
        </w:rPr>
      </w:pPr>
    </w:p>
    <w:p>
      <w:pPr>
        <w:pStyle w:val="Heading4"/>
        <w:spacing w:line="333" w:lineRule="exact"/>
        <w:ind w:right="0"/>
        <w:jc w:val="left"/>
        <w:rPr>
          <w:b w:val="0"/>
          <w:bCs w:val="0"/>
        </w:rPr>
      </w:pPr>
      <w:r>
        <w:rPr/>
        <w:t>（二）员工受教育程度水平</w:t>
      </w:r>
      <w:r>
        <w:rPr>
          <w:b w:val="0"/>
          <w:bCs w:val="0"/>
        </w:rPr>
      </w:r>
    </w:p>
    <w:p>
      <w:pPr>
        <w:spacing w:after="0" w:line="333" w:lineRule="exact"/>
        <w:jc w:val="left"/>
        <w:sectPr>
          <w:pgSz w:w="11910" w:h="16840"/>
          <w:pgMar w:header="849" w:footer="976" w:top="1460" w:bottom="1160" w:left="1020" w:right="1020"/>
        </w:sectPr>
      </w:pPr>
    </w:p>
    <w:p>
      <w:pPr>
        <w:spacing w:line="240" w:lineRule="auto" w:before="2"/>
        <w:rPr>
          <w:rFonts w:ascii="Microsoft JhengHei" w:hAnsi="Microsoft JhengHei" w:cs="Microsoft JhengHei" w:eastAsia="Microsoft JhengHei" w:hint="default"/>
          <w:b/>
          <w:bCs/>
          <w:sz w:val="2"/>
          <w:szCs w:val="2"/>
        </w:rPr>
      </w:pPr>
      <w:r>
        <w:rPr/>
        <w:pict>
          <v:group style="position:absolute;margin-left:56.639999pt;margin-top:75.120026pt;width:63.15pt;height:12.4pt;mso-position-horizontal-relative:page;mso-position-vertical-relative:page;z-index:-632560"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588"/>
        <w:gridCol w:w="2844"/>
        <w:gridCol w:w="2846"/>
        <w:gridCol w:w="2772"/>
        <w:gridCol w:w="588"/>
      </w:tblGrid>
      <w:tr>
        <w:trPr>
          <w:trHeight w:val="407" w:hRule="exact"/>
        </w:trPr>
        <w:tc>
          <w:tcPr>
            <w:tcW w:w="588" w:type="dxa"/>
            <w:vMerge w:val="restart"/>
            <w:tcBorders>
              <w:top w:val="single" w:sz="6" w:space="0" w:color="000000"/>
              <w:left w:val="nil" w:sz="6" w:space="0" w:color="auto"/>
              <w:right w:val="single" w:sz="4" w:space="0" w:color="000000"/>
            </w:tcBorders>
          </w:tcPr>
          <w:p>
            <w:pPr/>
          </w:p>
        </w:tc>
        <w:tc>
          <w:tcPr>
            <w:tcW w:w="2844"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5"/>
              <w:ind w:left="2" w:right="0"/>
              <w:jc w:val="center"/>
              <w:rPr>
                <w:rFonts w:ascii="宋体" w:hAnsi="宋体" w:cs="宋体" w:eastAsia="宋体" w:hint="default"/>
                <w:sz w:val="18"/>
                <w:szCs w:val="18"/>
              </w:rPr>
            </w:pPr>
            <w:bookmarkStart w:name="第七章公司治理" w:id="13"/>
            <w:bookmarkEnd w:id="13"/>
            <w:r>
              <w:rPr/>
            </w:r>
            <w:r>
              <w:rPr>
                <w:rFonts w:ascii="宋体" w:hAnsi="宋体" w:cs="宋体" w:eastAsia="宋体" w:hint="default"/>
                <w:sz w:val="18"/>
                <w:szCs w:val="18"/>
              </w:rPr>
              <w:t>教育程度</w:t>
            </w:r>
          </w:p>
        </w:tc>
        <w:tc>
          <w:tcPr>
            <w:tcW w:w="2846"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772"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588" w:type="dxa"/>
            <w:vMerge w:val="restart"/>
            <w:tcBorders>
              <w:top w:val="single" w:sz="6" w:space="0" w:color="000000"/>
              <w:left w:val="single" w:sz="4" w:space="0" w:color="000000"/>
              <w:right w:val="nil" w:sz="6" w:space="0" w:color="auto"/>
            </w:tcBorders>
          </w:tcPr>
          <w:p>
            <w:pPr/>
          </w:p>
        </w:tc>
      </w:tr>
      <w:tr>
        <w:trPr>
          <w:trHeight w:val="398" w:hRule="exact"/>
        </w:trPr>
        <w:tc>
          <w:tcPr>
            <w:tcW w:w="588" w:type="dxa"/>
            <w:vMerge/>
            <w:tcBorders>
              <w:left w:val="nil" w:sz="6" w:space="0" w:color="auto"/>
              <w:right w:val="single" w:sz="4" w:space="0" w:color="000000"/>
            </w:tcBorders>
          </w:tcPr>
          <w:p>
            <w:pP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20</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3.13</w:t>
            </w:r>
          </w:p>
        </w:tc>
        <w:tc>
          <w:tcPr>
            <w:tcW w:w="588" w:type="dxa"/>
            <w:vMerge/>
            <w:tcBorders>
              <w:left w:val="single" w:sz="4" w:space="0" w:color="000000"/>
              <w:right w:val="nil" w:sz="6" w:space="0" w:color="auto"/>
            </w:tcBorders>
          </w:tcPr>
          <w:p>
            <w:pPr/>
          </w:p>
        </w:tc>
      </w:tr>
      <w:tr>
        <w:trPr>
          <w:trHeight w:val="400" w:hRule="exact"/>
        </w:trPr>
        <w:tc>
          <w:tcPr>
            <w:tcW w:w="588" w:type="dxa"/>
            <w:vMerge/>
            <w:tcBorders>
              <w:left w:val="nil" w:sz="6" w:space="0" w:color="auto"/>
              <w:right w:val="single" w:sz="4" w:space="0" w:color="000000"/>
            </w:tcBorders>
          </w:tcPr>
          <w:p>
            <w:pP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328</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51.41</w:t>
            </w:r>
          </w:p>
        </w:tc>
        <w:tc>
          <w:tcPr>
            <w:tcW w:w="588" w:type="dxa"/>
            <w:vMerge/>
            <w:tcBorders>
              <w:left w:val="single" w:sz="4" w:space="0" w:color="000000"/>
              <w:right w:val="nil" w:sz="6" w:space="0" w:color="auto"/>
            </w:tcBorders>
          </w:tcPr>
          <w:p>
            <w:pPr/>
          </w:p>
        </w:tc>
      </w:tr>
      <w:tr>
        <w:trPr>
          <w:trHeight w:val="400" w:hRule="exact"/>
        </w:trPr>
        <w:tc>
          <w:tcPr>
            <w:tcW w:w="588" w:type="dxa"/>
            <w:vMerge/>
            <w:tcBorders>
              <w:left w:val="nil" w:sz="6" w:space="0" w:color="auto"/>
              <w:right w:val="single" w:sz="4" w:space="0" w:color="000000"/>
            </w:tcBorders>
          </w:tcPr>
          <w:p>
            <w:pP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8"/>
                <w:szCs w:val="18"/>
              </w:rPr>
            </w:pPr>
            <w:r>
              <w:rPr>
                <w:rFonts w:ascii="宋体"/>
                <w:sz w:val="18"/>
              </w:rPr>
              <w:t>262</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8"/>
                <w:szCs w:val="18"/>
              </w:rPr>
            </w:pPr>
            <w:r>
              <w:rPr>
                <w:rFonts w:ascii="宋体"/>
                <w:sz w:val="18"/>
              </w:rPr>
              <w:t>41.07</w:t>
            </w:r>
          </w:p>
        </w:tc>
        <w:tc>
          <w:tcPr>
            <w:tcW w:w="588" w:type="dxa"/>
            <w:vMerge/>
            <w:tcBorders>
              <w:left w:val="single" w:sz="4" w:space="0" w:color="000000"/>
              <w:right w:val="nil" w:sz="6" w:space="0" w:color="auto"/>
            </w:tcBorders>
          </w:tcPr>
          <w:p>
            <w:pPr/>
          </w:p>
        </w:tc>
      </w:tr>
      <w:tr>
        <w:trPr>
          <w:trHeight w:val="400" w:hRule="exact"/>
        </w:trPr>
        <w:tc>
          <w:tcPr>
            <w:tcW w:w="588" w:type="dxa"/>
            <w:vMerge/>
            <w:tcBorders>
              <w:left w:val="nil" w:sz="6" w:space="0" w:color="auto"/>
              <w:right w:val="single" w:sz="4" w:space="0" w:color="000000"/>
            </w:tcBorders>
          </w:tcPr>
          <w:p>
            <w:pP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28</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4.39</w:t>
            </w:r>
          </w:p>
        </w:tc>
        <w:tc>
          <w:tcPr>
            <w:tcW w:w="588" w:type="dxa"/>
            <w:vMerge/>
            <w:tcBorders>
              <w:left w:val="single" w:sz="4" w:space="0" w:color="000000"/>
              <w:right w:val="nil" w:sz="6" w:space="0" w:color="auto"/>
            </w:tcBorders>
          </w:tcPr>
          <w:p>
            <w:pPr/>
          </w:p>
        </w:tc>
      </w:tr>
      <w:tr>
        <w:trPr>
          <w:trHeight w:val="400" w:hRule="exact"/>
        </w:trPr>
        <w:tc>
          <w:tcPr>
            <w:tcW w:w="588" w:type="dxa"/>
            <w:vMerge/>
            <w:tcBorders>
              <w:left w:val="nil" w:sz="6" w:space="0" w:color="auto"/>
              <w:bottom w:val="nil" w:sz="6" w:space="0" w:color="auto"/>
              <w:right w:val="single" w:sz="4" w:space="0" w:color="000000"/>
            </w:tcBorders>
          </w:tcPr>
          <w:p>
            <w:pP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8"/>
                <w:szCs w:val="18"/>
              </w:rPr>
            </w:pPr>
            <w:r>
              <w:rPr>
                <w:rFonts w:ascii="宋体"/>
                <w:sz w:val="18"/>
              </w:rPr>
              <w:t>638</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8"/>
                <w:szCs w:val="18"/>
              </w:rPr>
            </w:pPr>
            <w:r>
              <w:rPr>
                <w:rFonts w:ascii="宋体"/>
                <w:sz w:val="18"/>
              </w:rPr>
              <w:t>100.00</w:t>
            </w:r>
          </w:p>
        </w:tc>
        <w:tc>
          <w:tcPr>
            <w:tcW w:w="588" w:type="dxa"/>
            <w:vMerge/>
            <w:tcBorders>
              <w:left w:val="single" w:sz="4" w:space="0" w:color="000000"/>
              <w:bottom w:val="nil" w:sz="6" w:space="0" w:color="auto"/>
              <w:right w:val="nil" w:sz="6" w:space="0" w:color="auto"/>
            </w:tcBorders>
          </w:tcPr>
          <w:p>
            <w:pPr/>
          </w:p>
        </w:tc>
      </w:tr>
    </w:tbl>
    <w:p>
      <w:pPr>
        <w:spacing w:line="240" w:lineRule="auto" w:before="4"/>
        <w:rPr>
          <w:rFonts w:ascii="Microsoft JhengHei" w:hAnsi="Microsoft JhengHei" w:cs="Microsoft JhengHei" w:eastAsia="Microsoft JhengHei" w:hint="default"/>
          <w:b/>
          <w:bCs/>
          <w:sz w:val="8"/>
          <w:szCs w:val="8"/>
        </w:rPr>
      </w:pPr>
    </w:p>
    <w:p>
      <w:pPr>
        <w:pStyle w:val="Heading4"/>
        <w:spacing w:line="333" w:lineRule="exact"/>
        <w:ind w:right="0"/>
        <w:jc w:val="left"/>
        <w:rPr>
          <w:b w:val="0"/>
          <w:bCs w:val="0"/>
        </w:rPr>
      </w:pPr>
      <w:r>
        <w:rPr/>
        <w:t>（三）员工年龄结构</w:t>
      </w:r>
      <w:r>
        <w:rPr>
          <w:b w:val="0"/>
          <w:bCs w:val="0"/>
        </w:rPr>
      </w:r>
    </w:p>
    <w:p>
      <w:pPr>
        <w:spacing w:line="240" w:lineRule="auto" w:before="16"/>
        <w:rPr>
          <w:rFonts w:ascii="Microsoft JhengHei" w:hAnsi="Microsoft JhengHei" w:cs="Microsoft JhengHei" w:eastAsia="Microsoft JhengHei" w:hint="default"/>
          <w:b/>
          <w:bCs/>
          <w:sz w:val="12"/>
          <w:szCs w:val="12"/>
        </w:rPr>
      </w:pPr>
    </w:p>
    <w:tbl>
      <w:tblPr>
        <w:tblW w:w="0" w:type="auto"/>
        <w:jc w:val="left"/>
        <w:tblInd w:w="698" w:type="dxa"/>
        <w:tblLayout w:type="fixed"/>
        <w:tblCellMar>
          <w:top w:w="0" w:type="dxa"/>
          <w:left w:w="0" w:type="dxa"/>
          <w:bottom w:w="0" w:type="dxa"/>
          <w:right w:w="0" w:type="dxa"/>
        </w:tblCellMar>
        <w:tblLook w:val="01E0"/>
      </w:tblPr>
      <w:tblGrid>
        <w:gridCol w:w="2844"/>
        <w:gridCol w:w="2844"/>
        <w:gridCol w:w="2772"/>
      </w:tblGrid>
      <w:tr>
        <w:trPr>
          <w:trHeight w:val="398" w:hRule="exact"/>
        </w:trPr>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8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岁以下</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433</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67.87</w:t>
            </w:r>
          </w:p>
        </w:tc>
      </w:tr>
      <w:tr>
        <w:trPr>
          <w:trHeight w:val="398"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30—40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170</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26.65</w:t>
            </w:r>
          </w:p>
        </w:tc>
      </w:tr>
      <w:tr>
        <w:trPr>
          <w:trHeight w:val="398"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40—50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31</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4.85</w:t>
            </w:r>
          </w:p>
        </w:tc>
      </w:tr>
      <w:tr>
        <w:trPr>
          <w:trHeight w:val="401"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岁以上</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4</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0.63</w:t>
            </w:r>
          </w:p>
        </w:tc>
      </w:tr>
      <w:tr>
        <w:trPr>
          <w:trHeight w:val="398" w:hRule="exact"/>
        </w:trPr>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638</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100.00</w:t>
            </w:r>
          </w:p>
        </w:tc>
      </w:tr>
    </w:tbl>
    <w:p>
      <w:pPr>
        <w:spacing w:line="240" w:lineRule="auto" w:before="9"/>
        <w:rPr>
          <w:rFonts w:ascii="Microsoft JhengHei" w:hAnsi="Microsoft JhengHei" w:cs="Microsoft JhengHei" w:eastAsia="Microsoft JhengHei" w:hint="default"/>
          <w:b/>
          <w:bCs/>
          <w:sz w:val="8"/>
          <w:szCs w:val="8"/>
        </w:rPr>
      </w:pPr>
    </w:p>
    <w:p>
      <w:pPr>
        <w:pStyle w:val="Heading4"/>
        <w:spacing w:line="333" w:lineRule="exact"/>
        <w:ind w:right="0"/>
        <w:jc w:val="left"/>
        <w:rPr>
          <w:b w:val="0"/>
          <w:bCs w:val="0"/>
        </w:rPr>
      </w:pPr>
      <w:r>
        <w:rPr/>
        <w:t>（四）公司没有需要承担费用的离退休人员。</w:t>
      </w:r>
      <w:r>
        <w:rPr>
          <w:b w:val="0"/>
          <w:bCs w:val="0"/>
        </w:rPr>
      </w:r>
    </w:p>
    <w:p>
      <w:pPr>
        <w:spacing w:after="0" w:line="333" w:lineRule="exact"/>
        <w:jc w:val="left"/>
        <w:sectPr>
          <w:pgSz w:w="11910" w:h="16840"/>
          <w:pgMar w:header="849" w:footer="976" w:top="1460" w:bottom="1160" w:left="1020" w:right="1020"/>
        </w:sectPr>
      </w:pPr>
    </w:p>
    <w:p>
      <w:pPr>
        <w:spacing w:line="240" w:lineRule="auto" w:before="0"/>
        <w:rPr>
          <w:rFonts w:ascii="Microsoft JhengHei" w:hAnsi="Microsoft JhengHei" w:cs="Microsoft JhengHei" w:eastAsia="Microsoft JhengHei" w:hint="default"/>
          <w:b/>
          <w:bCs/>
          <w:sz w:val="2"/>
          <w:szCs w:val="2"/>
        </w:rPr>
      </w:pPr>
    </w:p>
    <w:p>
      <w:pPr>
        <w:spacing w:line="247"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Microsoft JhengHei" w:hAnsi="Microsoft JhengHei" w:cs="Microsoft JhengHei" w:eastAsia="Microsoft JhengHei" w:hint="default"/>
          <w:position w:val="-4"/>
          <w:sz w:val="20"/>
          <w:szCs w:val="20"/>
        </w:rPr>
      </w:r>
    </w:p>
    <w:p>
      <w:pPr>
        <w:spacing w:line="240" w:lineRule="auto" w:before="11"/>
        <w:rPr>
          <w:rFonts w:ascii="Microsoft JhengHei" w:hAnsi="Microsoft JhengHei" w:cs="Microsoft JhengHei" w:eastAsia="Microsoft JhengHei" w:hint="default"/>
          <w:b/>
          <w:bCs/>
          <w:sz w:val="3"/>
          <w:szCs w:val="3"/>
        </w:rPr>
      </w:pPr>
    </w:p>
    <w:p>
      <w:pPr>
        <w:pStyle w:val="Heading1"/>
        <w:tabs>
          <w:tab w:pos="1286" w:val="left" w:leader="none"/>
        </w:tabs>
        <w:spacing w:line="426" w:lineRule="exact"/>
        <w:ind w:right="0"/>
        <w:jc w:val="center"/>
      </w:pPr>
      <w:bookmarkStart w:name="_bookmark6" w:id="14"/>
      <w:bookmarkEnd w:id="14"/>
      <w:r>
        <w:rPr/>
      </w:r>
      <w:r>
        <w:rPr/>
        <w:t>第七章</w:t>
        <w:tab/>
        <w:t>公</w:t>
      </w:r>
      <w:r>
        <w:rPr>
          <w:position w:val="1"/>
        </w:rPr>
        <w:t>司</w:t>
      </w:r>
      <w:r>
        <w:rPr/>
        <w:t>治理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333" w:lineRule="exact"/>
        <w:ind w:left="112" w:right="0"/>
        <w:jc w:val="left"/>
        <w:rPr>
          <w:b w:val="0"/>
          <w:bCs w:val="0"/>
        </w:rPr>
      </w:pPr>
      <w:r>
        <w:rPr/>
        <w:t>一、公司治理情况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right="130" w:firstLine="422"/>
        <w:jc w:val="both"/>
      </w:pPr>
      <w:r>
        <w:rPr>
          <w:spacing w:val="-13"/>
          <w:w w:val="99"/>
        </w:rPr>
        <w:t>报告期内，公司严格按照《公司法》、《证券法》、《上市公司治理准则》、《深圳证券交易所创业板股票</w:t>
      </w:r>
      <w:r>
        <w:rPr>
          <w:w w:val="99"/>
        </w:rPr>
        <w:t> </w:t>
      </w:r>
      <w:r>
        <w:rPr>
          <w:spacing w:val="-4"/>
          <w:w w:val="99"/>
        </w:rPr>
        <w:t>上市规则》、《深圳证券交易所创业板上市公司规范运作指引》等法律、法规和中国证监会有关法律法规等</w:t>
      </w:r>
      <w:r>
        <w:rPr>
          <w:w w:val="99"/>
        </w:rPr>
        <w:t> </w:t>
      </w:r>
      <w:r>
        <w:rPr>
          <w:w w:val="95"/>
        </w:rPr>
        <w:t>的要求，不断完善公司的法人治理结构，建立健全公司内部管理和控制制度，规范运作，严格进行信息披</w:t>
      </w:r>
      <w:r>
        <w:rPr>
          <w:spacing w:val="52"/>
          <w:w w:val="95"/>
        </w:rPr>
        <w:t> </w:t>
      </w:r>
      <w:r>
        <w:rPr>
          <w:spacing w:val="52"/>
          <w:w w:val="95"/>
        </w:rPr>
      </w:r>
      <w:r>
        <w:rPr/>
        <w:t>露工作，保护广大投资者利益。</w:t>
      </w:r>
    </w:p>
    <w:p>
      <w:pPr>
        <w:pStyle w:val="BodyText"/>
        <w:spacing w:line="355" w:lineRule="auto" w:before="124"/>
        <w:ind w:right="126" w:firstLine="422"/>
        <w:jc w:val="both"/>
      </w:pPr>
      <w:r>
        <w:rPr>
          <w:w w:val="95"/>
        </w:rPr>
        <w:t>截至报告期末，公司治理的实际情况基本符合中国证监会发布的有关上市公司治理的规范性文件的要</w:t>
      </w:r>
      <w:r>
        <w:rPr>
          <w:spacing w:val="-93"/>
          <w:w w:val="95"/>
        </w:rPr>
        <w:t> </w:t>
      </w:r>
      <w:r>
        <w:rPr>
          <w:spacing w:val="-93"/>
          <w:w w:val="95"/>
        </w:rPr>
      </w:r>
      <w:r>
        <w:rPr>
          <w:spacing w:val="-2"/>
          <w:w w:val="95"/>
        </w:rPr>
        <w:t>求，已经形成了权力机构、决策机构、监督机构与管理层之间权责分明、各司其职、相互制衡、科学决策、</w:t>
      </w:r>
      <w:r>
        <w:rPr>
          <w:spacing w:val="49"/>
          <w:w w:val="95"/>
        </w:rPr>
        <w:t> </w:t>
      </w:r>
      <w:r>
        <w:rPr>
          <w:spacing w:val="49"/>
          <w:w w:val="95"/>
        </w:rPr>
      </w:r>
      <w:r>
        <w:rPr/>
        <w:t>协调运作的法人治理结构。</w:t>
      </w:r>
    </w:p>
    <w:p>
      <w:pPr>
        <w:spacing w:line="240" w:lineRule="auto" w:before="11"/>
        <w:rPr>
          <w:rFonts w:ascii="宋体" w:hAnsi="宋体" w:cs="宋体" w:eastAsia="宋体" w:hint="default"/>
          <w:sz w:val="13"/>
          <w:szCs w:val="13"/>
        </w:rPr>
      </w:pPr>
    </w:p>
    <w:p>
      <w:pPr>
        <w:spacing w:line="403" w:lineRule="auto" w:before="0"/>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（一）关于股东与股东大会</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11"/>
          <w:w w:val="98"/>
          <w:sz w:val="21"/>
          <w:szCs w:val="21"/>
        </w:rPr>
        <w:t>公司股东大会均严格按照《上市公司股东大会规则》、《公司章程》、《股东大会议事规则》等规定召集、</w:t>
      </w:r>
      <w:r>
        <w:rPr>
          <w:rFonts w:ascii="宋体" w:hAnsi="宋体" w:cs="宋体" w:eastAsia="宋体" w:hint="default"/>
          <w:spacing w:val="-11"/>
          <w:sz w:val="21"/>
          <w:szCs w:val="21"/>
        </w:rPr>
      </w:r>
    </w:p>
    <w:p>
      <w:pPr>
        <w:pStyle w:val="BodyText"/>
        <w:spacing w:line="246" w:lineRule="exact"/>
        <w:ind w:right="0"/>
        <w:jc w:val="left"/>
      </w:pPr>
      <w:r>
        <w:rPr/>
        <w:t>召开，平等对待所有股东，并尽可能为股东参加股东大会提供便利，使其充分行使股东权利。同时，公司</w:t>
      </w:r>
    </w:p>
    <w:p>
      <w:pPr>
        <w:pStyle w:val="BodyText"/>
        <w:spacing w:line="240" w:lineRule="auto" w:before="116"/>
        <w:ind w:right="0"/>
        <w:jc w:val="left"/>
      </w:pPr>
      <w:r>
        <w:rPr/>
        <w:t>聘请专业律师见证股东大会，确保会议召集召开以及表决程序符合相关法律规定，维护股东的合法权益。</w:t>
      </w:r>
    </w:p>
    <w:p>
      <w:pPr>
        <w:spacing w:line="240" w:lineRule="auto" w:before="7"/>
        <w:rPr>
          <w:rFonts w:ascii="宋体" w:hAnsi="宋体" w:cs="宋体" w:eastAsia="宋体" w:hint="default"/>
          <w:sz w:val="15"/>
          <w:szCs w:val="15"/>
        </w:rPr>
      </w:pPr>
    </w:p>
    <w:p>
      <w:pPr>
        <w:spacing w:line="403" w:lineRule="auto" w:before="0"/>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（二）关于公司与控股股东、实际控制人</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宋体" w:hAnsi="宋体" w:cs="宋体" w:eastAsia="宋体" w:hint="default"/>
          <w:w w:val="95"/>
          <w:sz w:val="21"/>
          <w:szCs w:val="21"/>
        </w:rPr>
        <w:t>公司控股股东、实际控制人严格规范自己的行为，没有超越股东大会直接或间接干预公司的决策和经</w:t>
      </w:r>
      <w:r>
        <w:rPr>
          <w:rFonts w:ascii="宋体" w:hAnsi="宋体" w:cs="宋体" w:eastAsia="宋体" w:hint="default"/>
          <w:sz w:val="21"/>
          <w:szCs w:val="21"/>
        </w:rPr>
      </w:r>
    </w:p>
    <w:p>
      <w:pPr>
        <w:pStyle w:val="BodyText"/>
        <w:spacing w:line="246" w:lineRule="exact"/>
        <w:ind w:right="0"/>
        <w:jc w:val="left"/>
      </w:pPr>
      <w:r>
        <w:rPr/>
        <w:t>营活动，未损害公司及其他股东的利益，不存在控股股东占用公司资金的现象，公司亦无为控股股东提供</w:t>
      </w:r>
    </w:p>
    <w:p>
      <w:pPr>
        <w:pStyle w:val="BodyText"/>
        <w:spacing w:line="338" w:lineRule="auto" w:before="116"/>
        <w:ind w:right="0"/>
        <w:jc w:val="left"/>
      </w:pPr>
      <w:r>
        <w:rPr>
          <w:w w:val="95"/>
        </w:rPr>
        <w:t>担保的情形。公司拥有独立完整的业务和自主经营能力，在业务、人员、资产、机构、财务上独立于控股</w:t>
      </w:r>
      <w:r>
        <w:rPr>
          <w:spacing w:val="52"/>
          <w:w w:val="95"/>
        </w:rPr>
        <w:t> </w:t>
      </w:r>
      <w:r>
        <w:rPr>
          <w:spacing w:val="52"/>
          <w:w w:val="95"/>
        </w:rPr>
      </w:r>
      <w:r>
        <w:rPr/>
        <w:t>股东，公司董事会、监事会和内部机构独立运作。</w:t>
      </w:r>
    </w:p>
    <w:p>
      <w:pPr>
        <w:pStyle w:val="Heading4"/>
        <w:spacing w:line="240" w:lineRule="auto" w:before="119"/>
        <w:ind w:right="0"/>
        <w:jc w:val="left"/>
        <w:rPr>
          <w:b w:val="0"/>
          <w:bCs w:val="0"/>
        </w:rPr>
      </w:pPr>
      <w:r>
        <w:rPr/>
        <w:t>（三）关于董事和董事会</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right="129" w:firstLine="422"/>
        <w:jc w:val="both"/>
      </w:pPr>
      <w:r>
        <w:rPr/>
        <w:t>公司董事会设董事</w:t>
      </w:r>
      <w:r>
        <w:rPr>
          <w:spacing w:val="-83"/>
        </w:rPr>
        <w:t> </w:t>
      </w:r>
      <w:r>
        <w:rPr/>
        <w:t>7</w:t>
      </w:r>
      <w:r>
        <w:rPr>
          <w:spacing w:val="-83"/>
        </w:rPr>
        <w:t> </w:t>
      </w:r>
      <w:r>
        <w:rPr>
          <w:spacing w:val="-4"/>
        </w:rPr>
        <w:t>名，其中独立董事</w:t>
      </w:r>
      <w:r>
        <w:rPr>
          <w:spacing w:val="-83"/>
        </w:rPr>
        <w:t> </w:t>
      </w:r>
      <w:r>
        <w:rPr/>
        <w:t>3</w:t>
      </w:r>
      <w:r>
        <w:rPr>
          <w:spacing w:val="-82"/>
        </w:rPr>
        <w:t> </w:t>
      </w:r>
      <w:r>
        <w:rPr>
          <w:spacing w:val="-3"/>
        </w:rPr>
        <w:t>名，董事会的人数及人员构成符合法律、法规和《公司章程》</w:t>
      </w:r>
      <w:r>
        <w:rPr>
          <w:w w:val="49"/>
        </w:rPr>
        <w:t> </w:t>
      </w:r>
      <w:r>
        <w:rPr>
          <w:spacing w:val="-9"/>
          <w:w w:val="99"/>
        </w:rPr>
        <w:t>的要求。公司董事能够依据《深圳证券交易所创业板上市公司规范运作指引》、《董事会议事规则》、《独立</w:t>
      </w:r>
      <w:r>
        <w:rPr>
          <w:spacing w:val="-66"/>
          <w:w w:val="99"/>
        </w:rPr>
        <w:t> </w:t>
      </w:r>
      <w:r>
        <w:rPr>
          <w:spacing w:val="-66"/>
          <w:w w:val="99"/>
        </w:rPr>
      </w:r>
      <w:r>
        <w:rPr>
          <w:w w:val="95"/>
        </w:rPr>
        <w:t>董事工作制度》等开展工作，出席董事会和股东大会，勤勉尽责地履行职责和义务，同时积极参加相关培</w:t>
      </w:r>
      <w:r>
        <w:rPr>
          <w:spacing w:val="51"/>
          <w:w w:val="95"/>
        </w:rPr>
        <w:t> </w:t>
      </w:r>
      <w:r>
        <w:rPr>
          <w:spacing w:val="51"/>
          <w:w w:val="95"/>
        </w:rPr>
      </w:r>
      <w:r>
        <w:rPr/>
        <w:t>训，熟悉相关法律法规。</w:t>
      </w:r>
    </w:p>
    <w:p>
      <w:pPr>
        <w:pStyle w:val="Heading4"/>
        <w:spacing w:line="240" w:lineRule="auto" w:before="115"/>
        <w:ind w:right="0"/>
        <w:jc w:val="left"/>
        <w:rPr>
          <w:b w:val="0"/>
          <w:bCs w:val="0"/>
        </w:rPr>
      </w:pPr>
      <w:r>
        <w:rPr/>
        <w:t>（四）关于监事和监事会</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129" w:firstLine="422"/>
        <w:jc w:val="both"/>
      </w:pPr>
      <w:r>
        <w:rPr/>
        <w:t>公司监事会设监事</w:t>
      </w:r>
      <w:r>
        <w:rPr>
          <w:spacing w:val="-60"/>
        </w:rPr>
        <w:t> </w:t>
      </w:r>
      <w:r>
        <w:rPr/>
        <w:t>3</w:t>
      </w:r>
      <w:r>
        <w:rPr>
          <w:spacing w:val="-61"/>
        </w:rPr>
        <w:t> </w:t>
      </w:r>
      <w:r>
        <w:rPr/>
        <w:t>名，其中职工监事</w:t>
      </w:r>
      <w:r>
        <w:rPr>
          <w:spacing w:val="-60"/>
        </w:rPr>
        <w:t> </w:t>
      </w:r>
      <w:r>
        <w:rPr/>
        <w:t>1</w:t>
      </w:r>
      <w:r>
        <w:rPr>
          <w:spacing w:val="-59"/>
        </w:rPr>
        <w:t> </w:t>
      </w:r>
      <w:r>
        <w:rPr/>
        <w:t>名，监事会的人数和构成符合法律、法规的要求。公司监事</w:t>
      </w:r>
      <w:r>
        <w:rPr>
          <w:w w:val="99"/>
        </w:rPr>
        <w:t> </w:t>
      </w:r>
      <w:r>
        <w:rPr>
          <w:spacing w:val="-4"/>
          <w:w w:val="99"/>
        </w:rPr>
        <w:t>能够按照《深圳证券交易所创业板上市公司规范运作指引》、《监事会议事规则》的要求，认真履行自己的</w:t>
      </w:r>
      <w:r>
        <w:rPr>
          <w:w w:val="99"/>
        </w:rPr>
        <w:t> </w:t>
      </w:r>
      <w:r>
        <w:rPr>
          <w:w w:val="95"/>
        </w:rPr>
        <w:t>职责，对公司重大事项、财务状况、董事和高级管理人员的履行职责的合法合规性进行监督，维护公司及</w:t>
      </w:r>
      <w:r>
        <w:rPr>
          <w:spacing w:val="52"/>
          <w:w w:val="95"/>
        </w:rPr>
        <w:t> </w:t>
      </w:r>
      <w:r>
        <w:rPr>
          <w:spacing w:val="52"/>
          <w:w w:val="95"/>
        </w:rPr>
      </w:r>
      <w:r>
        <w:rPr/>
        <w:t>股东的合法权益。</w:t>
      </w:r>
    </w:p>
    <w:p>
      <w:pPr>
        <w:spacing w:after="0" w:line="340" w:lineRule="auto"/>
        <w:jc w:val="both"/>
        <w:sectPr>
          <w:pgSz w:w="11910" w:h="16840"/>
          <w:pgMar w:header="849" w:footer="976" w:top="1460" w:bottom="1160" w:left="1020" w:right="100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line="327" w:lineRule="exact" w:before="0"/>
                        <w:ind w:left="42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（五）关于绩效评价与激励约束机制</w:t>
                      </w:r>
                      <w:r>
                        <w:rPr>
                          <w:rFonts w:ascii="Microsoft JhengHei" w:hAnsi="Microsoft JhengHei" w:cs="Microsoft JhengHei" w:eastAsia="Microsoft JhengHei"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110" w:firstLine="422"/>
        <w:jc w:val="both"/>
      </w:pPr>
      <w:r>
        <w:rPr>
          <w:w w:val="95"/>
        </w:rPr>
        <w:t>公司已建立企业绩效激励与评价体系，并不断完善。公司董事、监事和高级管理人员的绩效评价标准</w:t>
      </w:r>
      <w:r>
        <w:rPr>
          <w:spacing w:val="-92"/>
          <w:w w:val="95"/>
        </w:rPr>
        <w:t> </w:t>
      </w:r>
      <w:r>
        <w:rPr>
          <w:spacing w:val="-92"/>
          <w:w w:val="95"/>
        </w:rPr>
      </w:r>
      <w:r>
        <w:rPr>
          <w:w w:val="95"/>
        </w:rPr>
        <w:t>和激励约束机制公开、透明，符合法律、法规的规定。公司董事会设立了薪酬与考核委员会，负责薪酬政</w:t>
      </w:r>
      <w:r>
        <w:rPr>
          <w:spacing w:val="53"/>
          <w:w w:val="95"/>
        </w:rPr>
        <w:t> </w:t>
      </w:r>
      <w:r>
        <w:rPr>
          <w:spacing w:val="53"/>
          <w:w w:val="95"/>
        </w:rPr>
      </w:r>
      <w:r>
        <w:rPr>
          <w:w w:val="95"/>
        </w:rPr>
        <w:t>策及方案的制定与审定。公司高级管理人员均认真履行工作职责，较好地完成了董事会制定的经营管理任   </w:t>
      </w:r>
      <w:r>
        <w:rPr>
          <w:spacing w:val="52"/>
          <w:w w:val="95"/>
        </w:rPr>
        <w:t> </w:t>
      </w:r>
      <w:r>
        <w:rPr>
          <w:spacing w:val="52"/>
          <w:w w:val="95"/>
        </w:rPr>
      </w:r>
      <w:r>
        <w:rPr/>
        <w:t>务。</w:t>
      </w:r>
    </w:p>
    <w:p>
      <w:pPr>
        <w:spacing w:line="403" w:lineRule="auto" w:before="11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（六）关于信息披露与透明度</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1"/>
          <w:w w:val="99"/>
          <w:sz w:val="21"/>
          <w:szCs w:val="21"/>
        </w:rPr>
        <w:t>公司严格按照《上市公司信息披露管理办法》、深圳证券交易所创业板上市公司的信息披露格式指引</w:t>
      </w:r>
      <w:r>
        <w:rPr>
          <w:rFonts w:ascii="宋体" w:hAnsi="宋体" w:cs="宋体" w:eastAsia="宋体" w:hint="default"/>
          <w:spacing w:val="-1"/>
          <w:sz w:val="21"/>
          <w:szCs w:val="21"/>
        </w:rPr>
      </w:r>
    </w:p>
    <w:p>
      <w:pPr>
        <w:pStyle w:val="BodyText"/>
        <w:spacing w:line="248" w:lineRule="exact"/>
        <w:ind w:right="0"/>
        <w:jc w:val="both"/>
      </w:pPr>
      <w:r>
        <w:rPr/>
        <w:t>等规定以及公司制定的《信息披露制度》等要求，真实、准确、及时、公平、完整地披露有关信息；并指</w:t>
      </w:r>
    </w:p>
    <w:p>
      <w:pPr>
        <w:pStyle w:val="BodyText"/>
        <w:spacing w:line="340" w:lineRule="auto" w:before="114"/>
        <w:ind w:right="111"/>
        <w:jc w:val="both"/>
      </w:pPr>
      <w:r>
        <w:rPr>
          <w:spacing w:val="2"/>
          <w:w w:val="95"/>
        </w:rPr>
        <w:t>定公司董事会秘书负责信息披露工作，协调公司与投资者的关系,接待股东来访，回答投资者咨询；并指</w:t>
      </w:r>
      <w:r>
        <w:rPr>
          <w:spacing w:val="38"/>
          <w:w w:val="95"/>
        </w:rPr>
        <w:t> </w:t>
      </w:r>
      <w:r>
        <w:rPr>
          <w:spacing w:val="38"/>
          <w:w w:val="95"/>
        </w:rPr>
      </w:r>
      <w:r>
        <w:rPr>
          <w:spacing w:val="-18"/>
          <w:w w:val="98"/>
        </w:rPr>
        <w:t>定《证券时报》、《上海证券报》、《中国证券报》、《证券日报》等法定报纸和巨潮资讯网（</w:t>
      </w:r>
      <w:hyperlink r:id="rId12">
        <w:r>
          <w:rPr>
            <w:spacing w:val="-18"/>
            <w:w w:val="98"/>
          </w:rPr>
          <w:t>www.cninfo.com.cn</w:t>
        </w:r>
      </w:hyperlink>
      <w:r>
        <w:rPr>
          <w:spacing w:val="-18"/>
          <w:w w:val="98"/>
        </w:rPr>
        <w:t>）</w:t>
      </w:r>
      <w:r>
        <w:rPr>
          <w:spacing w:val="-66"/>
          <w:w w:val="98"/>
        </w:rPr>
        <w:t> </w:t>
      </w:r>
      <w:r>
        <w:rPr>
          <w:spacing w:val="-66"/>
          <w:w w:val="98"/>
        </w:rPr>
      </w:r>
      <w:r>
        <w:rPr/>
        <w:t>为公司信息披露的指定报纸和网站，确保公司所有股东能够以平等的机会获得信息。</w:t>
      </w:r>
    </w:p>
    <w:p>
      <w:pPr>
        <w:pStyle w:val="BodyText"/>
        <w:spacing w:line="400" w:lineRule="auto" w:before="117"/>
        <w:ind w:left="535" w:right="0"/>
        <w:jc w:val="left"/>
      </w:pPr>
      <w:r>
        <w:rPr>
          <w:rFonts w:ascii="Microsoft JhengHei" w:hAnsi="Microsoft JhengHei" w:cs="Microsoft JhengHei" w:eastAsia="Microsoft JhengHei" w:hint="default"/>
          <w:b/>
          <w:bCs/>
        </w:rPr>
        <w:t>（七）关于相关利益者</w:t>
      </w:r>
      <w:r>
        <w:rPr>
          <w:rFonts w:ascii="Microsoft JhengHei" w:hAnsi="Microsoft JhengHei" w:cs="Microsoft JhengHei" w:eastAsia="Microsoft JhengHei" w:hint="default"/>
          <w:b/>
          <w:bCs/>
          <w:w w:val="99"/>
        </w:rPr>
        <w:t> </w:t>
      </w:r>
      <w:r>
        <w:rPr>
          <w:spacing w:val="-2"/>
          <w:w w:val="95"/>
        </w:rPr>
        <w:t>公司充分尊重和维护相关利益者的合法权益，实现社会、股东、公司、员工等各方面利益的协调平衡，</w:t>
      </w:r>
      <w:r>
        <w:rPr>
          <w:spacing w:val="-2"/>
        </w:rPr>
      </w:r>
    </w:p>
    <w:p>
      <w:pPr>
        <w:pStyle w:val="BodyText"/>
        <w:spacing w:line="248" w:lineRule="exact"/>
        <w:ind w:right="0"/>
        <w:jc w:val="both"/>
      </w:pPr>
      <w:r>
        <w:rPr/>
        <w:t>诚信对待供应商和客户，坚持与相关利益者互利共赢的原则，共同推动公司持续、稳健发展。</w:t>
      </w:r>
    </w:p>
    <w:p>
      <w:pPr>
        <w:spacing w:line="240" w:lineRule="auto" w:before="9"/>
        <w:rPr>
          <w:rFonts w:ascii="宋体" w:hAnsi="宋体" w:cs="宋体" w:eastAsia="宋体" w:hint="default"/>
          <w:sz w:val="15"/>
          <w:szCs w:val="15"/>
        </w:rPr>
      </w:pPr>
    </w:p>
    <w:p>
      <w:pPr>
        <w:pStyle w:val="Heading4"/>
        <w:spacing w:line="240" w:lineRule="auto"/>
        <w:ind w:left="112" w:right="0"/>
        <w:jc w:val="both"/>
        <w:rPr>
          <w:b w:val="0"/>
          <w:bCs w:val="0"/>
        </w:rPr>
      </w:pPr>
      <w:r>
        <w:rPr/>
        <w:t>二、公司董事长、独立董事及其他董事履行职责情况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right="110" w:firstLine="422"/>
        <w:jc w:val="both"/>
      </w:pPr>
      <w:r>
        <w:rPr>
          <w:spacing w:val="-14"/>
          <w:w w:val="99"/>
        </w:rPr>
        <w:t>（一）报告期内，公司全体董事严格按照《公司法》、《证券法》、《上市公司治理准则》、《深圳证券交</w:t>
      </w:r>
      <w:r>
        <w:rPr>
          <w:w w:val="99"/>
        </w:rPr>
        <w:t> </w:t>
      </w:r>
      <w:r>
        <w:rPr>
          <w:spacing w:val="-2"/>
          <w:w w:val="98"/>
        </w:rPr>
        <w:t>易所创业板上市公司规范运作指引》等有关法律法规和《公司章程》的规定，勤勉尽责地履行董事的职责，</w:t>
      </w:r>
      <w:r>
        <w:rPr>
          <w:spacing w:val="-91"/>
          <w:w w:val="98"/>
        </w:rPr>
        <w:t> </w:t>
      </w:r>
      <w:r>
        <w:rPr>
          <w:spacing w:val="-91"/>
          <w:w w:val="98"/>
        </w:rPr>
      </w:r>
      <w:r>
        <w:rPr>
          <w:w w:val="95"/>
        </w:rPr>
        <w:t>持续关注公司经营状况，遵守董事行为规范，积极参加相关培训，提高规范运作水平，发挥各自的专业特</w:t>
      </w:r>
      <w:r>
        <w:rPr>
          <w:spacing w:val="54"/>
          <w:w w:val="95"/>
        </w:rPr>
        <w:t> </w:t>
      </w:r>
      <w:r>
        <w:rPr>
          <w:spacing w:val="54"/>
          <w:w w:val="95"/>
        </w:rPr>
      </w:r>
      <w:r>
        <w:rPr>
          <w:w w:val="95"/>
        </w:rPr>
        <w:t>长，积极地履行职责。董事在董事会会议投票表决重大事项或其他对公司有重大影响的事项时，严格遵循</w:t>
      </w:r>
      <w:r>
        <w:rPr>
          <w:spacing w:val="52"/>
          <w:w w:val="95"/>
        </w:rPr>
        <w:t> </w:t>
      </w:r>
      <w:r>
        <w:rPr>
          <w:spacing w:val="52"/>
          <w:w w:val="95"/>
        </w:rPr>
      </w:r>
      <w:r>
        <w:rPr/>
        <w:t>公司董事会议事规则的有关审议规定，审慎决策，切实保护公司和股东特别是社会公众股股东的利益。</w:t>
      </w:r>
    </w:p>
    <w:p>
      <w:pPr>
        <w:spacing w:line="240" w:lineRule="auto" w:before="12"/>
        <w:rPr>
          <w:rFonts w:ascii="宋体" w:hAnsi="宋体" w:cs="宋体" w:eastAsia="宋体" w:hint="default"/>
          <w:sz w:val="13"/>
          <w:szCs w:val="13"/>
        </w:rPr>
      </w:pPr>
    </w:p>
    <w:p>
      <w:pPr>
        <w:pStyle w:val="BodyText"/>
        <w:spacing w:line="340" w:lineRule="auto"/>
        <w:ind w:right="112" w:firstLine="422"/>
        <w:jc w:val="both"/>
      </w:pPr>
      <w:r>
        <w:rPr>
          <w:w w:val="95"/>
        </w:rPr>
        <w:t>（二）报告期内，公司董事长严格按照法律法规和《公司章程》的要求，依法行使权力，履行职责：</w:t>
      </w:r>
      <w:r>
        <w:rPr>
          <w:spacing w:val="-95"/>
          <w:w w:val="95"/>
        </w:rPr>
        <w:t> </w:t>
      </w:r>
      <w:r>
        <w:rPr>
          <w:spacing w:val="-95"/>
          <w:w w:val="95"/>
        </w:rPr>
      </w:r>
      <w:r>
        <w:rPr>
          <w:w w:val="95"/>
        </w:rPr>
        <w:t>全力加强董事会建设，依法召集、主持董事会会议并督促董事亲自出席，严格执行董事会集体决策机制，</w:t>
      </w:r>
      <w:r>
        <w:rPr>
          <w:spacing w:val="51"/>
          <w:w w:val="95"/>
        </w:rPr>
        <w:t> </w:t>
      </w:r>
      <w:r>
        <w:rPr>
          <w:spacing w:val="51"/>
          <w:w w:val="95"/>
        </w:rPr>
      </w:r>
      <w:r>
        <w:rPr>
          <w:w w:val="95"/>
        </w:rPr>
        <w:t>并为独立董事和董事会秘书履行职责创造良好条件。积极推动公司治理工作和内部控制建设，督促执行股</w:t>
      </w:r>
      <w:r>
        <w:rPr>
          <w:spacing w:val="52"/>
          <w:w w:val="95"/>
        </w:rPr>
        <w:t> </w:t>
      </w:r>
      <w:r>
        <w:rPr>
          <w:spacing w:val="52"/>
          <w:w w:val="95"/>
        </w:rPr>
      </w:r>
      <w:r>
        <w:rPr/>
        <w:t>东大会和董事会各项决议，确保董事会依法正常运作。</w:t>
      </w:r>
    </w:p>
    <w:p>
      <w:pPr>
        <w:spacing w:line="240" w:lineRule="auto" w:before="12"/>
        <w:rPr>
          <w:rFonts w:ascii="宋体" w:hAnsi="宋体" w:cs="宋体" w:eastAsia="宋体" w:hint="default"/>
          <w:sz w:val="13"/>
          <w:szCs w:val="13"/>
        </w:rPr>
      </w:pPr>
    </w:p>
    <w:p>
      <w:pPr>
        <w:pStyle w:val="BodyText"/>
        <w:spacing w:line="340" w:lineRule="auto"/>
        <w:ind w:right="109" w:firstLine="422"/>
        <w:jc w:val="both"/>
      </w:pPr>
      <w:r>
        <w:rPr>
          <w:spacing w:val="-9"/>
          <w:w w:val="99"/>
        </w:rPr>
        <w:t>（三）报告期内，公司独立董事杨峰、王绍东、王贤安能够严格按照有关法律法规、《公司章程》、《独</w:t>
      </w:r>
      <w:r>
        <w:rPr>
          <w:w w:val="99"/>
        </w:rPr>
        <w:t> </w:t>
      </w:r>
      <w:r>
        <w:rPr>
          <w:w w:val="95"/>
        </w:rPr>
        <w:t>立董事工作制度》等的规定，本着对公司、股东负责的态度，勤勉尽责，忠实履行职责，积极出席相关会</w:t>
      </w:r>
      <w:r>
        <w:rPr>
          <w:spacing w:val="50"/>
          <w:w w:val="95"/>
        </w:rPr>
        <w:t> </w:t>
      </w:r>
      <w:r>
        <w:rPr>
          <w:spacing w:val="50"/>
          <w:w w:val="95"/>
        </w:rPr>
      </w:r>
      <w:r>
        <w:rPr>
          <w:w w:val="95"/>
        </w:rPr>
        <w:t>议，认真审议各项议案，客观地发表自己的看法及观点，深入了解公司运营状况、内部控制的建设及董事</w:t>
      </w:r>
      <w:r>
        <w:rPr>
          <w:spacing w:val="54"/>
          <w:w w:val="95"/>
        </w:rPr>
        <w:t> </w:t>
      </w:r>
      <w:r>
        <w:rPr>
          <w:spacing w:val="54"/>
          <w:w w:val="95"/>
        </w:rPr>
      </w:r>
      <w:r>
        <w:rPr>
          <w:w w:val="95"/>
        </w:rPr>
        <w:t>会决议、股东会决议的执行情况，并利用自己的专业知识做出独立、公正的判断。在报告期内，对公司发</w:t>
      </w:r>
      <w:r>
        <w:rPr>
          <w:spacing w:val="53"/>
          <w:w w:val="95"/>
        </w:rPr>
        <w:t> </w:t>
      </w:r>
      <w:r>
        <w:rPr>
          <w:spacing w:val="53"/>
          <w:w w:val="95"/>
        </w:rPr>
      </w:r>
      <w:r>
        <w:rPr>
          <w:w w:val="95"/>
        </w:rPr>
        <w:t>生的凡需要独立董事发表意见的事项发表独立董事意见，不受公司和控股股东的影响，切实维护了中小股</w:t>
      </w:r>
      <w:r>
        <w:rPr>
          <w:spacing w:val="52"/>
          <w:w w:val="95"/>
        </w:rPr>
        <w:t> </w:t>
      </w:r>
      <w:r>
        <w:rPr>
          <w:spacing w:val="52"/>
          <w:w w:val="95"/>
        </w:rPr>
      </w:r>
      <w:r>
        <w:rPr/>
        <w:t>东的利益。报告期内，公司三名独立董事对公司董事会的议案及公司其他事项均没有提出异议。</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（四）报告期内，公司董事出席董事会情况如下：</w:t>
      </w:r>
    </w:p>
    <w:p>
      <w:pPr>
        <w:spacing w:after="0" w:line="240" w:lineRule="auto"/>
        <w:jc w:val="left"/>
        <w:sectPr>
          <w:pgSz w:w="11910" w:h="16840"/>
          <w:pgMar w:header="849" w:footer="976" w:top="1460" w:bottom="1160" w:left="1020" w:right="1020"/>
        </w:sectPr>
      </w:pPr>
    </w:p>
    <w:p>
      <w:pPr>
        <w:spacing w:line="240" w:lineRule="auto" w:before="11"/>
        <w:rPr>
          <w:rFonts w:ascii="宋体" w:hAnsi="宋体" w:cs="宋体" w:eastAsia="宋体" w:hint="default"/>
          <w:sz w:val="2"/>
          <w:szCs w:val="2"/>
        </w:rPr>
      </w:pPr>
      <w:r>
        <w:rPr/>
        <w:pict>
          <v:group style="position:absolute;margin-left:56.639999pt;margin-top:75.120026pt;width:63.15pt;height:12.4pt;mso-position-horizontal-relative:page;mso-position-vertical-relative:page;z-index:-632464"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989"/>
        <w:gridCol w:w="1056"/>
        <w:gridCol w:w="919"/>
        <w:gridCol w:w="979"/>
        <w:gridCol w:w="1106"/>
        <w:gridCol w:w="744"/>
        <w:gridCol w:w="1510"/>
        <w:gridCol w:w="2635"/>
      </w:tblGrid>
      <w:tr>
        <w:trPr>
          <w:trHeight w:val="601" w:hRule="exact"/>
        </w:trPr>
        <w:tc>
          <w:tcPr>
            <w:tcW w:w="989"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056"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19"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08" w:lineRule="exact"/>
              <w:ind w:left="276" w:right="0" w:hanging="92"/>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40" w:lineRule="auto" w:before="55"/>
              <w:ind w:left="276"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979"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亲自出席</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106"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744"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08" w:lineRule="exact"/>
              <w:ind w:left="187" w:right="0"/>
              <w:jc w:val="left"/>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40" w:lineRule="auto" w:before="55"/>
              <w:ind w:left="187"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1510"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08" w:lineRule="exact"/>
              <w:ind w:left="208" w:right="0" w:hanging="89"/>
              <w:jc w:val="left"/>
              <w:rPr>
                <w:rFonts w:ascii="宋体" w:hAnsi="宋体" w:cs="宋体" w:eastAsia="宋体" w:hint="default"/>
                <w:sz w:val="18"/>
                <w:szCs w:val="18"/>
              </w:rPr>
            </w:pPr>
            <w:r>
              <w:rPr>
                <w:rFonts w:ascii="宋体" w:hAnsi="宋体" w:cs="宋体" w:eastAsia="宋体" w:hint="default"/>
                <w:sz w:val="18"/>
                <w:szCs w:val="18"/>
              </w:rPr>
              <w:t>是否连续两次未</w:t>
            </w:r>
          </w:p>
          <w:p>
            <w:pPr>
              <w:pStyle w:val="TableParagraph"/>
              <w:spacing w:line="240" w:lineRule="auto" w:before="55"/>
              <w:ind w:left="208" w:right="0"/>
              <w:jc w:val="left"/>
              <w:rPr>
                <w:rFonts w:ascii="宋体" w:hAnsi="宋体" w:cs="宋体" w:eastAsia="宋体" w:hint="default"/>
                <w:sz w:val="18"/>
                <w:szCs w:val="18"/>
              </w:rPr>
            </w:pPr>
            <w:r>
              <w:rPr>
                <w:rFonts w:ascii="宋体" w:hAnsi="宋体" w:cs="宋体" w:eastAsia="宋体" w:hint="default"/>
                <w:sz w:val="18"/>
                <w:szCs w:val="18"/>
              </w:rPr>
              <w:t>亲自出席会议</w:t>
            </w:r>
          </w:p>
        </w:tc>
        <w:tc>
          <w:tcPr>
            <w:tcW w:w="2635" w:type="dxa"/>
            <w:tcBorders>
              <w:top w:val="single" w:sz="11"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周炜</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0"/>
              <w:jc w:val="right"/>
              <w:rPr>
                <w:rFonts w:ascii="宋体" w:hAnsi="宋体" w:cs="宋体" w:eastAsia="宋体" w:hint="default"/>
                <w:sz w:val="18"/>
                <w:szCs w:val="18"/>
              </w:rPr>
            </w:pPr>
            <w:r>
              <w:rPr>
                <w:rFonts w:ascii="宋体"/>
                <w:sz w:val="18"/>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刘宁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20"/>
              <w:jc w:val="right"/>
              <w:rPr>
                <w:rFonts w:ascii="宋体" w:hAnsi="宋体" w:cs="宋体" w:eastAsia="宋体" w:hint="default"/>
                <w:sz w:val="18"/>
                <w:szCs w:val="18"/>
              </w:rPr>
            </w:pPr>
            <w:r>
              <w:rPr>
                <w:rFonts w:ascii="宋体"/>
                <w:sz w:val="18"/>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孙凯</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0"/>
              <w:jc w:val="right"/>
              <w:rPr>
                <w:rFonts w:ascii="宋体" w:hAnsi="宋体" w:cs="宋体" w:eastAsia="宋体" w:hint="default"/>
                <w:sz w:val="18"/>
                <w:szCs w:val="18"/>
              </w:rPr>
            </w:pPr>
            <w:r>
              <w:rPr>
                <w:rFonts w:ascii="宋体"/>
                <w:sz w:val="18"/>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靳茂</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0"/>
              <w:jc w:val="right"/>
              <w:rPr>
                <w:rFonts w:ascii="宋体" w:hAnsi="宋体" w:cs="宋体" w:eastAsia="宋体" w:hint="default"/>
                <w:sz w:val="18"/>
                <w:szCs w:val="18"/>
              </w:rPr>
            </w:pPr>
            <w:r>
              <w:rPr>
                <w:rFonts w:ascii="宋体"/>
                <w:sz w:val="18"/>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杨峰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0"/>
              <w:jc w:val="right"/>
              <w:rPr>
                <w:rFonts w:ascii="宋体" w:hAnsi="宋体" w:cs="宋体" w:eastAsia="宋体" w:hint="default"/>
                <w:sz w:val="18"/>
                <w:szCs w:val="18"/>
              </w:rPr>
            </w:pPr>
            <w:r>
              <w:rPr>
                <w:rFonts w:ascii="宋体"/>
                <w:sz w:val="18"/>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王绍东</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0"/>
              <w:jc w:val="right"/>
              <w:rPr>
                <w:rFonts w:ascii="宋体" w:hAnsi="宋体" w:cs="宋体" w:eastAsia="宋体" w:hint="default"/>
                <w:sz w:val="18"/>
                <w:szCs w:val="18"/>
              </w:rPr>
            </w:pPr>
            <w:r>
              <w:rPr>
                <w:rFonts w:ascii="宋体"/>
                <w:sz w:val="18"/>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王贤安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0"/>
              <w:jc w:val="right"/>
              <w:rPr>
                <w:rFonts w:ascii="宋体" w:hAnsi="宋体" w:cs="宋体" w:eastAsia="宋体" w:hint="default"/>
                <w:sz w:val="18"/>
                <w:szCs w:val="18"/>
              </w:rPr>
            </w:pPr>
            <w:r>
              <w:rPr>
                <w:rFonts w:ascii="宋体"/>
                <w:sz w:val="18"/>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Heading4"/>
        <w:spacing w:line="333" w:lineRule="exact"/>
        <w:ind w:left="272" w:right="0"/>
        <w:jc w:val="left"/>
        <w:rPr>
          <w:b w:val="0"/>
          <w:bCs w:val="0"/>
        </w:rPr>
      </w:pPr>
      <w:r>
        <w:rPr/>
        <w:t>三、股东大会运行情况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left="272" w:right="0" w:firstLine="422"/>
        <w:jc w:val="left"/>
      </w:pPr>
      <w:r>
        <w:rPr>
          <w:spacing w:val="-4"/>
          <w:w w:val="99"/>
        </w:rPr>
        <w:t>报告期内，公司共召开了两次股东大会。会议的召集、召开与表决程序符合《公司法》、《公司章程》</w:t>
      </w:r>
      <w:r>
        <w:rPr>
          <w:w w:val="88"/>
        </w:rPr>
        <w:t> </w:t>
      </w:r>
      <w:r>
        <w:rPr/>
        <w:t>等法律、法规及规范性文件的规定。股东大会召开情况如下：</w:t>
      </w:r>
    </w:p>
    <w:p>
      <w:pPr>
        <w:pStyle w:val="Heading4"/>
        <w:spacing w:line="240" w:lineRule="auto" w:before="115"/>
        <w:ind w:left="695" w:right="0"/>
        <w:jc w:val="left"/>
        <w:rPr>
          <w:b w:val="0"/>
          <w:bCs w:val="0"/>
        </w:rPr>
      </w:pPr>
      <w:r>
        <w:rPr>
          <w:w w:val="95"/>
        </w:rPr>
        <w:t>（一）2011 </w:t>
      </w:r>
      <w:r>
        <w:rPr>
          <w:spacing w:val="33"/>
          <w:w w:val="95"/>
        </w:rPr>
        <w:t> </w:t>
      </w:r>
      <w:r>
        <w:rPr>
          <w:w w:val="95"/>
        </w:rPr>
        <w:t>年第一次临时股东大会</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695" w:right="0"/>
        <w:jc w:val="left"/>
      </w:pPr>
      <w:r>
        <w:rPr>
          <w:w w:val="99"/>
        </w:rPr>
        <w:t>公司</w:t>
      </w:r>
      <w:r>
        <w:rPr>
          <w:spacing w:val="-62"/>
        </w:rPr>
        <w:t> </w:t>
      </w:r>
      <w:r>
        <w:rPr>
          <w:spacing w:val="1"/>
          <w:w w:val="99"/>
        </w:rPr>
        <w:t>20</w:t>
      </w:r>
      <w:r>
        <w:rPr>
          <w:spacing w:val="-2"/>
          <w:w w:val="99"/>
        </w:rPr>
        <w:t>1</w:t>
      </w:r>
      <w:r>
        <w:rPr>
          <w:w w:val="99"/>
        </w:rPr>
        <w:t>1</w:t>
      </w:r>
      <w:r>
        <w:rPr>
          <w:spacing w:val="-61"/>
        </w:rPr>
        <w:t> </w:t>
      </w:r>
      <w:r>
        <w:rPr>
          <w:spacing w:val="2"/>
          <w:w w:val="99"/>
        </w:rPr>
        <w:t>年</w:t>
      </w:r>
      <w:r>
        <w:rPr>
          <w:w w:val="99"/>
        </w:rPr>
        <w:t>第</w:t>
      </w:r>
      <w:r>
        <w:rPr>
          <w:spacing w:val="2"/>
          <w:w w:val="99"/>
        </w:rPr>
        <w:t>一</w:t>
      </w:r>
      <w:r>
        <w:rPr>
          <w:w w:val="99"/>
        </w:rPr>
        <w:t>次</w:t>
      </w:r>
      <w:r>
        <w:rPr>
          <w:spacing w:val="2"/>
          <w:w w:val="99"/>
        </w:rPr>
        <w:t>临</w:t>
      </w:r>
      <w:r>
        <w:rPr>
          <w:w w:val="99"/>
        </w:rPr>
        <w:t>时</w:t>
      </w:r>
      <w:r>
        <w:rPr>
          <w:spacing w:val="2"/>
          <w:w w:val="99"/>
        </w:rPr>
        <w:t>股</w:t>
      </w:r>
      <w:r>
        <w:rPr>
          <w:w w:val="99"/>
        </w:rPr>
        <w:t>东</w:t>
      </w:r>
      <w:r>
        <w:rPr>
          <w:spacing w:val="2"/>
          <w:w w:val="99"/>
        </w:rPr>
        <w:t>大会</w:t>
      </w:r>
      <w:r>
        <w:rPr>
          <w:w w:val="99"/>
        </w:rPr>
        <w:t>于</w:t>
      </w:r>
      <w:r>
        <w:rPr>
          <w:spacing w:val="-62"/>
        </w:rPr>
        <w:t> </w:t>
      </w:r>
      <w:r>
        <w:rPr>
          <w:spacing w:val="1"/>
          <w:w w:val="99"/>
        </w:rPr>
        <w:t>20</w:t>
      </w:r>
      <w:r>
        <w:rPr>
          <w:spacing w:val="-2"/>
          <w:w w:val="99"/>
        </w:rPr>
        <w:t>1</w:t>
      </w:r>
      <w:r>
        <w:rPr>
          <w:w w:val="99"/>
        </w:rPr>
        <w:t>1</w:t>
      </w:r>
      <w:r>
        <w:rPr>
          <w:spacing w:val="-63"/>
        </w:rPr>
        <w:t> </w:t>
      </w:r>
      <w:r>
        <w:rPr>
          <w:w w:val="99"/>
        </w:rPr>
        <w:t>年</w:t>
      </w:r>
      <w:r>
        <w:rPr>
          <w:spacing w:val="-60"/>
        </w:rPr>
        <w:t> </w:t>
      </w:r>
      <w:r>
        <w:rPr>
          <w:w w:val="99"/>
        </w:rPr>
        <w:t>1</w:t>
      </w:r>
      <w:r>
        <w:rPr>
          <w:spacing w:val="-63"/>
        </w:rPr>
        <w:t> </w:t>
      </w:r>
      <w:r>
        <w:rPr>
          <w:w w:val="99"/>
        </w:rPr>
        <w:t>月</w:t>
      </w:r>
      <w:r>
        <w:rPr>
          <w:spacing w:val="-62"/>
        </w:rPr>
        <w:t> </w:t>
      </w:r>
      <w:r>
        <w:rPr>
          <w:spacing w:val="1"/>
          <w:w w:val="99"/>
        </w:rPr>
        <w:t>1</w:t>
      </w:r>
      <w:r>
        <w:rPr>
          <w:w w:val="99"/>
        </w:rPr>
        <w:t>9</w:t>
      </w:r>
      <w:r>
        <w:rPr>
          <w:spacing w:val="-63"/>
        </w:rPr>
        <w:t> </w:t>
      </w:r>
      <w:r>
        <w:rPr>
          <w:spacing w:val="2"/>
          <w:w w:val="99"/>
        </w:rPr>
        <w:t>日</w:t>
      </w:r>
      <w:r>
        <w:rPr>
          <w:w w:val="99"/>
        </w:rPr>
        <w:t>在</w:t>
      </w:r>
      <w:r>
        <w:rPr>
          <w:spacing w:val="2"/>
          <w:w w:val="99"/>
        </w:rPr>
        <w:t>上</w:t>
      </w:r>
      <w:r>
        <w:rPr>
          <w:w w:val="99"/>
        </w:rPr>
        <w:t>海</w:t>
      </w:r>
      <w:r>
        <w:rPr>
          <w:spacing w:val="2"/>
          <w:w w:val="99"/>
        </w:rPr>
        <w:t>市</w:t>
      </w:r>
      <w:r>
        <w:rPr>
          <w:w w:val="99"/>
        </w:rPr>
        <w:t>共</w:t>
      </w:r>
      <w:r>
        <w:rPr>
          <w:spacing w:val="2"/>
          <w:w w:val="99"/>
        </w:rPr>
        <w:t>和新</w:t>
      </w:r>
      <w:r>
        <w:rPr>
          <w:w w:val="99"/>
        </w:rPr>
        <w:t>路</w:t>
      </w:r>
      <w:r>
        <w:rPr>
          <w:spacing w:val="-62"/>
        </w:rPr>
        <w:t> </w:t>
      </w:r>
      <w:r>
        <w:rPr>
          <w:spacing w:val="1"/>
          <w:w w:val="99"/>
        </w:rPr>
        <w:t>33</w:t>
      </w:r>
      <w:r>
        <w:rPr>
          <w:spacing w:val="-2"/>
          <w:w w:val="99"/>
        </w:rPr>
        <w:t>8</w:t>
      </w:r>
      <w:r>
        <w:rPr>
          <w:w w:val="99"/>
        </w:rPr>
        <w:t>8</w:t>
      </w:r>
      <w:r>
        <w:rPr>
          <w:spacing w:val="-61"/>
        </w:rPr>
        <w:t> </w:t>
      </w:r>
      <w:r>
        <w:rPr>
          <w:w w:val="99"/>
        </w:rPr>
        <w:t>号</w:t>
      </w:r>
      <w:r>
        <w:rPr>
          <w:spacing w:val="-62"/>
        </w:rPr>
        <w:t> </w:t>
      </w:r>
      <w:r>
        <w:rPr>
          <w:w w:val="99"/>
        </w:rPr>
        <w:t>8</w:t>
      </w:r>
      <w:r>
        <w:rPr>
          <w:spacing w:val="-63"/>
        </w:rPr>
        <w:t> </w:t>
      </w:r>
      <w:r>
        <w:rPr>
          <w:spacing w:val="2"/>
          <w:w w:val="99"/>
        </w:rPr>
        <w:t>楼</w:t>
      </w:r>
      <w:r>
        <w:rPr>
          <w:w w:val="99"/>
        </w:rPr>
        <w:t>公</w:t>
      </w:r>
      <w:r>
        <w:rPr>
          <w:spacing w:val="2"/>
          <w:w w:val="99"/>
        </w:rPr>
        <w:t>司</w:t>
      </w:r>
      <w:r>
        <w:rPr>
          <w:w w:val="99"/>
        </w:rPr>
        <w:t>会</w:t>
      </w:r>
      <w:r>
        <w:rPr>
          <w:spacing w:val="2"/>
          <w:w w:val="99"/>
        </w:rPr>
        <w:t>议</w:t>
      </w:r>
      <w:r>
        <w:rPr>
          <w:w w:val="99"/>
        </w:rPr>
        <w:t>室</w:t>
      </w:r>
      <w:r>
        <w:rPr>
          <w:spacing w:val="2"/>
          <w:w w:val="99"/>
        </w:rPr>
        <w:t>召开</w:t>
      </w:r>
      <w:r>
        <w:rPr>
          <w:w w:val="49"/>
        </w:rPr>
        <w:t>。</w:t>
      </w:r>
      <w:r>
        <w:rPr/>
      </w:r>
    </w:p>
    <w:p>
      <w:pPr>
        <w:pStyle w:val="BodyText"/>
        <w:spacing w:line="340" w:lineRule="auto" w:before="114"/>
        <w:ind w:left="272" w:right="266"/>
        <w:jc w:val="left"/>
      </w:pPr>
      <w:r>
        <w:rPr/>
        <w:t>参加本次股东大会的股东及股东代表</w:t>
      </w:r>
      <w:r>
        <w:rPr>
          <w:spacing w:val="-57"/>
        </w:rPr>
        <w:t> </w:t>
      </w:r>
      <w:r>
        <w:rPr/>
        <w:t>26</w:t>
      </w:r>
      <w:r>
        <w:rPr>
          <w:spacing w:val="-60"/>
        </w:rPr>
        <w:t> </w:t>
      </w:r>
      <w:r>
        <w:rPr>
          <w:spacing w:val="-4"/>
        </w:rPr>
        <w:t>名，代表股份</w:t>
      </w:r>
      <w:r>
        <w:rPr>
          <w:spacing w:val="-59"/>
        </w:rPr>
        <w:t> </w:t>
      </w:r>
      <w:r>
        <w:rPr/>
        <w:t>4000</w:t>
      </w:r>
      <w:r>
        <w:rPr>
          <w:spacing w:val="-60"/>
        </w:rPr>
        <w:t> </w:t>
      </w:r>
      <w:r>
        <w:rPr/>
        <w:t>万股，占公司有表决权股份总数的</w:t>
      </w:r>
      <w:r>
        <w:rPr>
          <w:spacing w:val="-59"/>
        </w:rPr>
        <w:t> </w:t>
      </w:r>
      <w:r>
        <w:rPr>
          <w:spacing w:val="-4"/>
        </w:rPr>
        <w:t>100%。会议</w:t>
      </w:r>
      <w:r>
        <w:rPr>
          <w:w w:val="99"/>
        </w:rPr>
        <w:t> </w:t>
      </w:r>
      <w:r>
        <w:rPr/>
        <w:t>审议通过了以下议案：</w:t>
      </w:r>
    </w:p>
    <w:p>
      <w:pPr>
        <w:spacing w:line="240" w:lineRule="auto" w:before="12"/>
        <w:rPr>
          <w:rFonts w:ascii="宋体" w:hAnsi="宋体" w:cs="宋体" w:eastAsia="宋体" w:hint="default"/>
          <w:sz w:val="13"/>
          <w:szCs w:val="13"/>
        </w:rPr>
      </w:pPr>
    </w:p>
    <w:p>
      <w:pPr>
        <w:pStyle w:val="BodyText"/>
        <w:spacing w:line="240" w:lineRule="auto"/>
        <w:ind w:left="695" w:right="0"/>
        <w:jc w:val="left"/>
      </w:pPr>
      <w:r>
        <w:rPr>
          <w:spacing w:val="-2"/>
          <w:w w:val="99"/>
        </w:rPr>
        <w:t>1</w:t>
      </w:r>
      <w:r>
        <w:rPr>
          <w:spacing w:val="-104"/>
          <w:w w:val="99"/>
        </w:rPr>
        <w:t>、</w:t>
      </w:r>
      <w:r>
        <w:rPr>
          <w:spacing w:val="2"/>
          <w:w w:val="99"/>
        </w:rPr>
        <w:t>《</w:t>
      </w:r>
      <w:r>
        <w:rPr>
          <w:w w:val="99"/>
        </w:rPr>
        <w:t>关</w:t>
      </w:r>
      <w:r>
        <w:rPr>
          <w:spacing w:val="2"/>
          <w:w w:val="99"/>
        </w:rPr>
        <w:t>于</w:t>
      </w:r>
      <w:r>
        <w:rPr>
          <w:w w:val="99"/>
        </w:rPr>
        <w:t>公</w:t>
      </w:r>
      <w:r>
        <w:rPr>
          <w:spacing w:val="2"/>
          <w:w w:val="99"/>
        </w:rPr>
        <w:t>司</w:t>
      </w:r>
      <w:r>
        <w:rPr>
          <w:w w:val="99"/>
        </w:rPr>
        <w:t>符</w:t>
      </w:r>
      <w:r>
        <w:rPr>
          <w:spacing w:val="2"/>
          <w:w w:val="99"/>
        </w:rPr>
        <w:t>合</w:t>
      </w:r>
      <w:r>
        <w:rPr>
          <w:w w:val="99"/>
        </w:rPr>
        <w:t>首</w:t>
      </w:r>
      <w:r>
        <w:rPr>
          <w:spacing w:val="2"/>
          <w:w w:val="99"/>
        </w:rPr>
        <w:t>次</w:t>
      </w:r>
      <w:r>
        <w:rPr>
          <w:w w:val="99"/>
        </w:rPr>
        <w:t>公</w:t>
      </w:r>
      <w:r>
        <w:rPr>
          <w:spacing w:val="2"/>
          <w:w w:val="99"/>
        </w:rPr>
        <w:t>开</w:t>
      </w:r>
      <w:r>
        <w:rPr>
          <w:w w:val="99"/>
        </w:rPr>
        <w:t>发</w:t>
      </w:r>
      <w:r>
        <w:rPr>
          <w:spacing w:val="2"/>
          <w:w w:val="99"/>
        </w:rPr>
        <w:t>行</w:t>
      </w:r>
      <w:r>
        <w:rPr>
          <w:w w:val="99"/>
        </w:rPr>
        <w:t>人</w:t>
      </w:r>
      <w:r>
        <w:rPr>
          <w:spacing w:val="2"/>
          <w:w w:val="99"/>
        </w:rPr>
        <w:t>民</w:t>
      </w:r>
      <w:r>
        <w:rPr>
          <w:w w:val="99"/>
        </w:rPr>
        <w:t>币</w:t>
      </w:r>
      <w:r>
        <w:rPr>
          <w:spacing w:val="2"/>
          <w:w w:val="99"/>
        </w:rPr>
        <w:t>普</w:t>
      </w:r>
      <w:r>
        <w:rPr>
          <w:w w:val="99"/>
        </w:rPr>
        <w:t>通</w:t>
      </w:r>
      <w:r>
        <w:rPr>
          <w:spacing w:val="2"/>
          <w:w w:val="99"/>
        </w:rPr>
        <w:t>股</w:t>
      </w:r>
      <w:r>
        <w:rPr>
          <w:w w:val="99"/>
        </w:rPr>
        <w:t>（A</w:t>
      </w:r>
      <w:r>
        <w:rPr>
          <w:spacing w:val="-54"/>
        </w:rPr>
        <w:t> </w:t>
      </w:r>
      <w:r>
        <w:rPr>
          <w:spacing w:val="2"/>
          <w:w w:val="99"/>
        </w:rPr>
        <w:t>股</w:t>
      </w:r>
      <w:r>
        <w:rPr>
          <w:w w:val="99"/>
        </w:rPr>
        <w:t>）</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条</w:t>
      </w:r>
      <w:r>
        <w:rPr>
          <w:spacing w:val="2"/>
          <w:w w:val="99"/>
        </w:rPr>
        <w:t>件</w:t>
      </w:r>
      <w:r>
        <w:rPr>
          <w:w w:val="99"/>
        </w:rPr>
        <w:t>的</w:t>
      </w:r>
      <w:r>
        <w:rPr>
          <w:spacing w:val="2"/>
          <w:w w:val="99"/>
        </w:rPr>
        <w:t>议</w:t>
      </w:r>
      <w:r>
        <w:rPr>
          <w:w w:val="99"/>
        </w:rPr>
        <w:t>案》</w:t>
      </w:r>
      <w:r>
        <w:rPr/>
      </w:r>
    </w:p>
    <w:p>
      <w:pPr>
        <w:spacing w:line="240" w:lineRule="auto" w:before="11"/>
        <w:rPr>
          <w:rFonts w:ascii="宋体" w:hAnsi="宋体" w:cs="宋体" w:eastAsia="宋体" w:hint="default"/>
          <w:sz w:val="20"/>
          <w:szCs w:val="20"/>
        </w:rPr>
      </w:pPr>
    </w:p>
    <w:p>
      <w:pPr>
        <w:pStyle w:val="BodyText"/>
        <w:spacing w:line="240" w:lineRule="auto"/>
        <w:ind w:left="695" w:right="0"/>
        <w:jc w:val="left"/>
      </w:pPr>
      <w:r>
        <w:rPr>
          <w:spacing w:val="-2"/>
          <w:w w:val="99"/>
        </w:rPr>
        <w:t>2</w:t>
      </w:r>
      <w:r>
        <w:rPr>
          <w:spacing w:val="-104"/>
          <w:w w:val="99"/>
        </w:rPr>
        <w:t>、</w:t>
      </w:r>
      <w:r>
        <w:rPr>
          <w:spacing w:val="2"/>
          <w:w w:val="99"/>
        </w:rPr>
        <w:t>《</w:t>
      </w:r>
      <w:r>
        <w:rPr>
          <w:w w:val="99"/>
        </w:rPr>
        <w:t>关</w:t>
      </w:r>
      <w:r>
        <w:rPr>
          <w:spacing w:val="2"/>
          <w:w w:val="99"/>
        </w:rPr>
        <w:t>于</w:t>
      </w:r>
      <w:r>
        <w:rPr>
          <w:w w:val="99"/>
        </w:rPr>
        <w:t>公</w:t>
      </w:r>
      <w:r>
        <w:rPr>
          <w:spacing w:val="2"/>
          <w:w w:val="99"/>
        </w:rPr>
        <w:t>司</w:t>
      </w:r>
      <w:r>
        <w:rPr>
          <w:w w:val="99"/>
        </w:rPr>
        <w:t>首</w:t>
      </w:r>
      <w:r>
        <w:rPr>
          <w:spacing w:val="2"/>
          <w:w w:val="99"/>
        </w:rPr>
        <w:t>次</w:t>
      </w:r>
      <w:r>
        <w:rPr>
          <w:w w:val="99"/>
        </w:rPr>
        <w:t>公</w:t>
      </w:r>
      <w:r>
        <w:rPr>
          <w:spacing w:val="2"/>
          <w:w w:val="99"/>
        </w:rPr>
        <w:t>开</w:t>
      </w:r>
      <w:r>
        <w:rPr>
          <w:w w:val="99"/>
        </w:rPr>
        <w:t>发</w:t>
      </w:r>
      <w:r>
        <w:rPr>
          <w:spacing w:val="2"/>
          <w:w w:val="99"/>
        </w:rPr>
        <w:t>行</w:t>
      </w:r>
      <w:r>
        <w:rPr>
          <w:w w:val="99"/>
        </w:rPr>
        <w:t>人</w:t>
      </w:r>
      <w:r>
        <w:rPr>
          <w:spacing w:val="2"/>
          <w:w w:val="99"/>
        </w:rPr>
        <w:t>民</w:t>
      </w:r>
      <w:r>
        <w:rPr>
          <w:w w:val="99"/>
        </w:rPr>
        <w:t>币</w:t>
      </w:r>
      <w:r>
        <w:rPr>
          <w:spacing w:val="2"/>
          <w:w w:val="99"/>
        </w:rPr>
        <w:t>普</w:t>
      </w:r>
      <w:r>
        <w:rPr>
          <w:w w:val="99"/>
        </w:rPr>
        <w:t>通</w:t>
      </w:r>
      <w:r>
        <w:rPr>
          <w:spacing w:val="2"/>
          <w:w w:val="99"/>
        </w:rPr>
        <w:t>股</w:t>
      </w:r>
      <w:r>
        <w:rPr>
          <w:w w:val="99"/>
        </w:rPr>
        <w:t>（A</w:t>
      </w:r>
      <w:r>
        <w:rPr>
          <w:spacing w:val="-54"/>
        </w:rPr>
        <w:t> </w:t>
      </w:r>
      <w:r>
        <w:rPr>
          <w:spacing w:val="2"/>
          <w:w w:val="99"/>
        </w:rPr>
        <w:t>股</w:t>
      </w:r>
      <w:r>
        <w:rPr>
          <w:w w:val="99"/>
        </w:rPr>
        <w:t>）</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240" w:lineRule="auto"/>
        <w:ind w:left="695" w:right="0"/>
        <w:jc w:val="left"/>
      </w:pPr>
      <w:r>
        <w:rPr>
          <w:spacing w:val="-2"/>
          <w:w w:val="99"/>
        </w:rPr>
        <w:t>3</w:t>
      </w:r>
      <w:r>
        <w:rPr>
          <w:spacing w:val="-104"/>
          <w:w w:val="99"/>
        </w:rPr>
        <w:t>、</w:t>
      </w:r>
      <w:r>
        <w:rPr>
          <w:spacing w:val="2"/>
          <w:w w:val="99"/>
        </w:rPr>
        <w:t>《</w:t>
      </w:r>
      <w:r>
        <w:rPr>
          <w:w w:val="99"/>
        </w:rPr>
        <w:t>关</w:t>
      </w:r>
      <w:r>
        <w:rPr>
          <w:spacing w:val="2"/>
          <w:w w:val="99"/>
        </w:rPr>
        <w:t>于</w:t>
      </w:r>
      <w:r>
        <w:rPr>
          <w:w w:val="99"/>
        </w:rPr>
        <w:t>首</w:t>
      </w:r>
      <w:r>
        <w:rPr>
          <w:spacing w:val="2"/>
          <w:w w:val="99"/>
        </w:rPr>
        <w:t>次</w:t>
      </w:r>
      <w:r>
        <w:rPr>
          <w:w w:val="99"/>
        </w:rPr>
        <w:t>公</w:t>
      </w:r>
      <w:r>
        <w:rPr>
          <w:spacing w:val="2"/>
          <w:w w:val="99"/>
        </w:rPr>
        <w:t>开</w:t>
      </w:r>
      <w:r>
        <w:rPr>
          <w:w w:val="99"/>
        </w:rPr>
        <w:t>发</w:t>
      </w:r>
      <w:r>
        <w:rPr>
          <w:spacing w:val="2"/>
          <w:w w:val="99"/>
        </w:rPr>
        <w:t>行</w:t>
      </w:r>
      <w:r>
        <w:rPr>
          <w:w w:val="99"/>
        </w:rPr>
        <w:t>人</w:t>
      </w:r>
      <w:r>
        <w:rPr>
          <w:spacing w:val="2"/>
          <w:w w:val="99"/>
        </w:rPr>
        <w:t>民</w:t>
      </w:r>
      <w:r>
        <w:rPr>
          <w:w w:val="99"/>
        </w:rPr>
        <w:t>币</w:t>
      </w:r>
      <w:r>
        <w:rPr>
          <w:spacing w:val="2"/>
          <w:w w:val="99"/>
        </w:rPr>
        <w:t>普</w:t>
      </w:r>
      <w:r>
        <w:rPr>
          <w:w w:val="99"/>
        </w:rPr>
        <w:t>通</w:t>
      </w:r>
      <w:r>
        <w:rPr>
          <w:spacing w:val="2"/>
          <w:w w:val="99"/>
        </w:rPr>
        <w:t>股</w:t>
      </w:r>
      <w:r>
        <w:rPr>
          <w:w w:val="99"/>
        </w:rPr>
        <w:t>（A</w:t>
      </w:r>
      <w:r>
        <w:rPr>
          <w:spacing w:val="-54"/>
        </w:rPr>
        <w:t> </w:t>
      </w:r>
      <w:r>
        <w:rPr>
          <w:spacing w:val="2"/>
          <w:w w:val="99"/>
        </w:rPr>
        <w:t>股</w:t>
      </w:r>
      <w:r>
        <w:rPr>
          <w:w w:val="99"/>
        </w:rPr>
        <w:t>）</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募</w:t>
      </w:r>
      <w:r>
        <w:rPr>
          <w:spacing w:val="2"/>
          <w:w w:val="99"/>
        </w:rPr>
        <w:t>集</w:t>
      </w:r>
      <w:r>
        <w:rPr>
          <w:w w:val="99"/>
        </w:rPr>
        <w:t>资</w:t>
      </w:r>
      <w:r>
        <w:rPr>
          <w:spacing w:val="2"/>
          <w:w w:val="99"/>
        </w:rPr>
        <w:t>金</w:t>
      </w:r>
      <w:r>
        <w:rPr>
          <w:w w:val="99"/>
        </w:rPr>
        <w:t>投</w:t>
      </w:r>
      <w:r>
        <w:rPr>
          <w:spacing w:val="2"/>
          <w:w w:val="99"/>
        </w:rPr>
        <w:t>向</w:t>
      </w:r>
      <w:r>
        <w:rPr>
          <w:w w:val="99"/>
        </w:rPr>
        <w:t>的</w:t>
      </w:r>
      <w:r>
        <w:rPr>
          <w:spacing w:val="2"/>
          <w:w w:val="99"/>
        </w:rPr>
        <w:t>议</w:t>
      </w:r>
      <w:r>
        <w:rPr>
          <w:w w:val="99"/>
        </w:rPr>
        <w:t>案》</w:t>
      </w:r>
      <w:r>
        <w:rPr/>
      </w:r>
    </w:p>
    <w:p>
      <w:pPr>
        <w:spacing w:line="240" w:lineRule="auto" w:before="3"/>
        <w:rPr>
          <w:rFonts w:ascii="宋体" w:hAnsi="宋体" w:cs="宋体" w:eastAsia="宋体" w:hint="default"/>
          <w:sz w:val="18"/>
          <w:szCs w:val="18"/>
        </w:rPr>
      </w:pPr>
    </w:p>
    <w:p>
      <w:pPr>
        <w:pStyle w:val="BodyText"/>
        <w:spacing w:line="240" w:lineRule="auto" w:before="34"/>
        <w:ind w:left="695" w:right="0"/>
        <w:jc w:val="left"/>
      </w:pPr>
      <w:r>
        <w:rPr>
          <w:spacing w:val="-2"/>
          <w:w w:val="99"/>
        </w:rPr>
        <w:t>4</w:t>
      </w:r>
      <w:r>
        <w:rPr>
          <w:spacing w:val="-104"/>
          <w:w w:val="99"/>
        </w:rPr>
        <w:t>、</w:t>
      </w:r>
      <w:r>
        <w:rPr>
          <w:spacing w:val="2"/>
          <w:w w:val="99"/>
        </w:rPr>
        <w:t>《</w:t>
      </w:r>
      <w:r>
        <w:rPr>
          <w:w w:val="99"/>
        </w:rPr>
        <w:t>关</w:t>
      </w:r>
      <w:r>
        <w:rPr>
          <w:spacing w:val="2"/>
          <w:w w:val="99"/>
        </w:rPr>
        <w:t>于</w:t>
      </w:r>
      <w:r>
        <w:rPr>
          <w:w w:val="99"/>
        </w:rPr>
        <w:t>首</w:t>
      </w:r>
      <w:r>
        <w:rPr>
          <w:spacing w:val="2"/>
          <w:w w:val="99"/>
        </w:rPr>
        <w:t>次</w:t>
      </w:r>
      <w:r>
        <w:rPr>
          <w:w w:val="99"/>
        </w:rPr>
        <w:t>公</w:t>
      </w:r>
      <w:r>
        <w:rPr>
          <w:spacing w:val="2"/>
          <w:w w:val="99"/>
        </w:rPr>
        <w:t>开</w:t>
      </w:r>
      <w:r>
        <w:rPr>
          <w:w w:val="99"/>
        </w:rPr>
        <w:t>发</w:t>
      </w:r>
      <w:r>
        <w:rPr>
          <w:spacing w:val="2"/>
          <w:w w:val="99"/>
        </w:rPr>
        <w:t>行</w:t>
      </w:r>
      <w:r>
        <w:rPr>
          <w:w w:val="99"/>
        </w:rPr>
        <w:t>人</w:t>
      </w:r>
      <w:r>
        <w:rPr>
          <w:spacing w:val="2"/>
          <w:w w:val="99"/>
        </w:rPr>
        <w:t>民</w:t>
      </w:r>
      <w:r>
        <w:rPr>
          <w:w w:val="99"/>
        </w:rPr>
        <w:t>币</w:t>
      </w:r>
      <w:r>
        <w:rPr>
          <w:spacing w:val="2"/>
          <w:w w:val="99"/>
        </w:rPr>
        <w:t>普</w:t>
      </w:r>
      <w:r>
        <w:rPr>
          <w:w w:val="99"/>
        </w:rPr>
        <w:t>通</w:t>
      </w:r>
      <w:r>
        <w:rPr>
          <w:spacing w:val="2"/>
          <w:w w:val="99"/>
        </w:rPr>
        <w:t>股</w:t>
      </w:r>
      <w:r>
        <w:rPr>
          <w:spacing w:val="12"/>
          <w:w w:val="99"/>
        </w:rPr>
        <w:t>（</w:t>
      </w:r>
      <w:r>
        <w:rPr>
          <w:w w:val="99"/>
        </w:rPr>
        <w:t>A</w:t>
      </w:r>
      <w:r>
        <w:rPr>
          <w:spacing w:val="-51"/>
        </w:rPr>
        <w:t> </w:t>
      </w:r>
      <w:r>
        <w:rPr>
          <w:spacing w:val="2"/>
          <w:w w:val="99"/>
        </w:rPr>
        <w:t>股</w:t>
      </w:r>
      <w:r>
        <w:rPr>
          <w:w w:val="99"/>
        </w:rPr>
        <w:t>）</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前</w:t>
      </w:r>
      <w:r>
        <w:rPr>
          <w:spacing w:val="2"/>
          <w:w w:val="99"/>
        </w:rPr>
        <w:t>滚</w:t>
      </w:r>
      <w:r>
        <w:rPr>
          <w:w w:val="99"/>
        </w:rPr>
        <w:t>存</w:t>
      </w:r>
      <w:r>
        <w:rPr>
          <w:spacing w:val="2"/>
          <w:w w:val="99"/>
        </w:rPr>
        <w:t>未</w:t>
      </w:r>
      <w:r>
        <w:rPr>
          <w:w w:val="99"/>
        </w:rPr>
        <w:t>分</w:t>
      </w:r>
      <w:r>
        <w:rPr>
          <w:spacing w:val="2"/>
          <w:w w:val="99"/>
        </w:rPr>
        <w:t>配</w:t>
      </w:r>
      <w:r>
        <w:rPr>
          <w:w w:val="99"/>
        </w:rPr>
        <w:t>利</w:t>
      </w:r>
      <w:r>
        <w:rPr>
          <w:spacing w:val="2"/>
          <w:w w:val="99"/>
        </w:rPr>
        <w:t>润</w:t>
      </w:r>
      <w:r>
        <w:rPr>
          <w:w w:val="99"/>
        </w:rPr>
        <w:t>的</w:t>
      </w:r>
      <w:r>
        <w:rPr>
          <w:spacing w:val="2"/>
          <w:w w:val="99"/>
        </w:rPr>
        <w:t>分</w:t>
      </w:r>
      <w:r>
        <w:rPr>
          <w:w w:val="99"/>
        </w:rPr>
        <w:t>配</w:t>
      </w:r>
      <w:r>
        <w:rPr>
          <w:spacing w:val="2"/>
          <w:w w:val="99"/>
        </w:rPr>
        <w:t>方</w:t>
      </w:r>
      <w:r>
        <w:rPr>
          <w:w w:val="99"/>
        </w:rPr>
        <w:t>案</w:t>
      </w:r>
      <w:r>
        <w:rPr>
          <w:spacing w:val="2"/>
          <w:w w:val="99"/>
        </w:rPr>
        <w:t>的</w:t>
      </w:r>
      <w:r>
        <w:rPr>
          <w:w w:val="99"/>
        </w:rPr>
        <w:t>议</w:t>
      </w:r>
      <w:r>
        <w:rPr/>
      </w:r>
    </w:p>
    <w:p>
      <w:pPr>
        <w:pStyle w:val="BodyText"/>
        <w:spacing w:line="240" w:lineRule="auto" w:before="114"/>
        <w:ind w:left="272" w:right="0"/>
        <w:jc w:val="left"/>
      </w:pPr>
      <w:r>
        <w:rPr/>
        <w:t>案》</w:t>
      </w:r>
    </w:p>
    <w:p>
      <w:pPr>
        <w:spacing w:line="240" w:lineRule="auto" w:before="3"/>
        <w:rPr>
          <w:rFonts w:ascii="宋体" w:hAnsi="宋体" w:cs="宋体" w:eastAsia="宋体" w:hint="default"/>
          <w:sz w:val="18"/>
          <w:szCs w:val="18"/>
        </w:rPr>
      </w:pPr>
    </w:p>
    <w:p>
      <w:pPr>
        <w:pStyle w:val="BodyText"/>
        <w:spacing w:line="240" w:lineRule="auto" w:before="34"/>
        <w:ind w:left="695" w:right="0"/>
        <w:jc w:val="left"/>
      </w:pPr>
      <w:r>
        <w:rPr>
          <w:spacing w:val="-2"/>
          <w:w w:val="99"/>
        </w:rPr>
        <w:t>5</w:t>
      </w:r>
      <w:r>
        <w:rPr>
          <w:spacing w:val="-104"/>
          <w:w w:val="99"/>
        </w:rPr>
        <w:t>、</w:t>
      </w:r>
      <w:r>
        <w:rPr>
          <w:spacing w:val="2"/>
          <w:w w:val="99"/>
        </w:rPr>
        <w:t>《</w:t>
      </w:r>
      <w:r>
        <w:rPr>
          <w:w w:val="99"/>
        </w:rPr>
        <w:t>关</w:t>
      </w:r>
      <w:r>
        <w:rPr>
          <w:spacing w:val="2"/>
          <w:w w:val="99"/>
        </w:rPr>
        <w:t>于</w:t>
      </w:r>
      <w:r>
        <w:rPr>
          <w:w w:val="99"/>
        </w:rPr>
        <w:t>提</w:t>
      </w:r>
      <w:r>
        <w:rPr>
          <w:spacing w:val="2"/>
          <w:w w:val="99"/>
        </w:rPr>
        <w:t>请</w:t>
      </w:r>
      <w:r>
        <w:rPr>
          <w:w w:val="99"/>
        </w:rPr>
        <w:t>股</w:t>
      </w:r>
      <w:r>
        <w:rPr>
          <w:spacing w:val="2"/>
          <w:w w:val="99"/>
        </w:rPr>
        <w:t>东</w:t>
      </w:r>
      <w:r>
        <w:rPr>
          <w:w w:val="99"/>
        </w:rPr>
        <w:t>大</w:t>
      </w:r>
      <w:r>
        <w:rPr>
          <w:spacing w:val="2"/>
          <w:w w:val="99"/>
        </w:rPr>
        <w:t>会</w:t>
      </w:r>
      <w:r>
        <w:rPr>
          <w:w w:val="99"/>
        </w:rPr>
        <w:t>授</w:t>
      </w:r>
      <w:r>
        <w:rPr>
          <w:spacing w:val="2"/>
          <w:w w:val="99"/>
        </w:rPr>
        <w:t>权</w:t>
      </w:r>
      <w:r>
        <w:rPr>
          <w:w w:val="99"/>
        </w:rPr>
        <w:t>董</w:t>
      </w:r>
      <w:r>
        <w:rPr>
          <w:spacing w:val="2"/>
          <w:w w:val="99"/>
        </w:rPr>
        <w:t>事</w:t>
      </w:r>
      <w:r>
        <w:rPr>
          <w:w w:val="99"/>
        </w:rPr>
        <w:t>会</w:t>
      </w:r>
      <w:r>
        <w:rPr>
          <w:spacing w:val="2"/>
          <w:w w:val="99"/>
        </w:rPr>
        <w:t>办</w:t>
      </w:r>
      <w:r>
        <w:rPr>
          <w:w w:val="99"/>
        </w:rPr>
        <w:t>理</w:t>
      </w:r>
      <w:r>
        <w:rPr>
          <w:spacing w:val="2"/>
          <w:w w:val="99"/>
        </w:rPr>
        <w:t>首</w:t>
      </w:r>
      <w:r>
        <w:rPr>
          <w:w w:val="99"/>
        </w:rPr>
        <w:t>次</w:t>
      </w:r>
      <w:r>
        <w:rPr>
          <w:spacing w:val="2"/>
          <w:w w:val="99"/>
        </w:rPr>
        <w:t>公</w:t>
      </w:r>
      <w:r>
        <w:rPr>
          <w:w w:val="99"/>
        </w:rPr>
        <w:t>开</w:t>
      </w:r>
      <w:r>
        <w:rPr>
          <w:spacing w:val="2"/>
          <w:w w:val="99"/>
        </w:rPr>
        <w:t>发</w:t>
      </w:r>
      <w:r>
        <w:rPr>
          <w:w w:val="99"/>
        </w:rPr>
        <w:t>行</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相</w:t>
      </w:r>
      <w:r>
        <w:rPr>
          <w:spacing w:val="2"/>
          <w:w w:val="99"/>
        </w:rPr>
        <w:t>关</w:t>
      </w:r>
      <w:r>
        <w:rPr>
          <w:w w:val="99"/>
        </w:rPr>
        <w:t>事</w:t>
      </w:r>
      <w:r>
        <w:rPr>
          <w:spacing w:val="2"/>
          <w:w w:val="99"/>
        </w:rPr>
        <w:t>宜</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240" w:lineRule="auto"/>
        <w:ind w:left="695" w:right="0"/>
        <w:jc w:val="left"/>
      </w:pPr>
      <w:r>
        <w:rPr>
          <w:spacing w:val="-2"/>
          <w:w w:val="99"/>
        </w:rPr>
        <w:t>6</w:t>
      </w:r>
      <w:r>
        <w:rPr>
          <w:spacing w:val="-104"/>
          <w:w w:val="99"/>
        </w:rPr>
        <w:t>、</w:t>
      </w:r>
      <w:r>
        <w:rPr>
          <w:spacing w:val="2"/>
          <w:w w:val="99"/>
        </w:rPr>
        <w:t>《</w:t>
      </w:r>
      <w:r>
        <w:rPr>
          <w:w w:val="99"/>
        </w:rPr>
        <w:t>上</w:t>
      </w:r>
      <w:r>
        <w:rPr>
          <w:spacing w:val="2"/>
          <w:w w:val="99"/>
        </w:rPr>
        <w:t>海</w:t>
      </w:r>
      <w:r>
        <w:rPr>
          <w:w w:val="99"/>
        </w:rPr>
        <w:t>金</w:t>
      </w:r>
      <w:r>
        <w:rPr>
          <w:spacing w:val="2"/>
          <w:w w:val="99"/>
        </w:rPr>
        <w:t>仕</w:t>
      </w:r>
      <w:r>
        <w:rPr>
          <w:w w:val="99"/>
        </w:rPr>
        <w:t>达</w:t>
      </w:r>
      <w:r>
        <w:rPr>
          <w:spacing w:val="2"/>
          <w:w w:val="99"/>
        </w:rPr>
        <w:t>卫</w:t>
      </w:r>
      <w:r>
        <w:rPr>
          <w:w w:val="99"/>
        </w:rPr>
        <w:t>宁</w:t>
      </w:r>
      <w:r>
        <w:rPr>
          <w:spacing w:val="2"/>
          <w:w w:val="99"/>
        </w:rPr>
        <w:t>软</w:t>
      </w:r>
      <w:r>
        <w:rPr>
          <w:w w:val="99"/>
        </w:rPr>
        <w:t>件</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章</w:t>
      </w:r>
      <w:r>
        <w:rPr>
          <w:w w:val="99"/>
        </w:rPr>
        <w:t>程</w:t>
      </w:r>
      <w:r>
        <w:rPr>
          <w:spacing w:val="2"/>
          <w:w w:val="99"/>
        </w:rPr>
        <w:t>（</w:t>
      </w:r>
      <w:r>
        <w:rPr>
          <w:w w:val="99"/>
        </w:rPr>
        <w:t>草</w:t>
      </w:r>
      <w:r>
        <w:rPr>
          <w:spacing w:val="2"/>
          <w:w w:val="99"/>
        </w:rPr>
        <w:t>案</w:t>
      </w:r>
      <w:r>
        <w:rPr>
          <w:spacing w:val="-106"/>
          <w:w w:val="99"/>
        </w:rPr>
        <w:t>）</w:t>
      </w:r>
      <w:r>
        <w:rPr>
          <w:w w:val="99"/>
        </w:rPr>
        <w:t>》</w:t>
      </w:r>
      <w:r>
        <w:rPr/>
      </w:r>
    </w:p>
    <w:p>
      <w:pPr>
        <w:spacing w:line="240" w:lineRule="auto" w:before="11"/>
        <w:rPr>
          <w:rFonts w:ascii="宋体" w:hAnsi="宋体" w:cs="宋体" w:eastAsia="宋体" w:hint="default"/>
          <w:sz w:val="20"/>
          <w:szCs w:val="20"/>
        </w:rPr>
      </w:pPr>
    </w:p>
    <w:p>
      <w:pPr>
        <w:pStyle w:val="BodyText"/>
        <w:spacing w:line="338" w:lineRule="auto"/>
        <w:ind w:left="272" w:right="270" w:firstLine="422"/>
        <w:jc w:val="left"/>
      </w:pPr>
      <w:r>
        <w:rPr>
          <w:spacing w:val="-2"/>
          <w:w w:val="99"/>
        </w:rPr>
        <w:t>7、《关于聘任招商证券股份有限公司为公司首次公开发行股票并在创业板上市保荐机构及主承销商的</w:t>
      </w:r>
      <w:r>
        <w:rPr>
          <w:w w:val="99"/>
        </w:rPr>
        <w:t> </w:t>
      </w:r>
      <w:r>
        <w:rPr/>
        <w:t>议案》</w:t>
      </w:r>
    </w:p>
    <w:p>
      <w:pPr>
        <w:spacing w:line="240" w:lineRule="auto" w:before="3"/>
        <w:rPr>
          <w:rFonts w:ascii="宋体" w:hAnsi="宋体" w:cs="宋体" w:eastAsia="宋体" w:hint="default"/>
          <w:sz w:val="14"/>
          <w:szCs w:val="14"/>
        </w:rPr>
      </w:pPr>
    </w:p>
    <w:p>
      <w:pPr>
        <w:pStyle w:val="BodyText"/>
        <w:spacing w:line="240" w:lineRule="auto"/>
        <w:ind w:left="695" w:right="0"/>
        <w:jc w:val="left"/>
      </w:pPr>
      <w:r>
        <w:rPr>
          <w:spacing w:val="-2"/>
          <w:w w:val="99"/>
        </w:rPr>
        <w:t>8</w:t>
      </w:r>
      <w:r>
        <w:rPr>
          <w:spacing w:val="-104"/>
          <w:w w:val="99"/>
        </w:rPr>
        <w:t>、</w:t>
      </w:r>
      <w:r>
        <w:rPr>
          <w:spacing w:val="2"/>
          <w:w w:val="99"/>
        </w:rPr>
        <w:t>《</w:t>
      </w:r>
      <w:r>
        <w:rPr>
          <w:w w:val="99"/>
        </w:rPr>
        <w:t>关</w:t>
      </w:r>
      <w:r>
        <w:rPr>
          <w:spacing w:val="2"/>
          <w:w w:val="99"/>
        </w:rPr>
        <w:t>于</w:t>
      </w:r>
      <w:r>
        <w:rPr>
          <w:w w:val="99"/>
        </w:rPr>
        <w:t>聘</w:t>
      </w:r>
      <w:r>
        <w:rPr>
          <w:spacing w:val="2"/>
          <w:w w:val="99"/>
        </w:rPr>
        <w:t>任</w:t>
      </w:r>
      <w:r>
        <w:rPr>
          <w:w w:val="99"/>
        </w:rPr>
        <w:t>上</w:t>
      </w:r>
      <w:r>
        <w:rPr>
          <w:spacing w:val="2"/>
          <w:w w:val="99"/>
        </w:rPr>
        <w:t>海</w:t>
      </w:r>
      <w:r>
        <w:rPr>
          <w:w w:val="99"/>
        </w:rPr>
        <w:t>市</w:t>
      </w:r>
      <w:r>
        <w:rPr>
          <w:spacing w:val="2"/>
          <w:w w:val="99"/>
        </w:rPr>
        <w:t>广</w:t>
      </w:r>
      <w:r>
        <w:rPr>
          <w:w w:val="99"/>
        </w:rPr>
        <w:t>发</w:t>
      </w:r>
      <w:r>
        <w:rPr>
          <w:spacing w:val="2"/>
          <w:w w:val="99"/>
        </w:rPr>
        <w:t>律</w:t>
      </w:r>
      <w:r>
        <w:rPr>
          <w:w w:val="99"/>
        </w:rPr>
        <w:t>师</w:t>
      </w:r>
      <w:r>
        <w:rPr>
          <w:spacing w:val="2"/>
          <w:w w:val="99"/>
        </w:rPr>
        <w:t>事</w:t>
      </w:r>
      <w:r>
        <w:rPr>
          <w:w w:val="99"/>
        </w:rPr>
        <w:t>务</w:t>
      </w:r>
      <w:r>
        <w:rPr>
          <w:spacing w:val="2"/>
          <w:w w:val="99"/>
        </w:rPr>
        <w:t>所</w:t>
      </w:r>
      <w:r>
        <w:rPr>
          <w:w w:val="99"/>
        </w:rPr>
        <w:t>为</w:t>
      </w:r>
      <w:r>
        <w:rPr>
          <w:spacing w:val="2"/>
          <w:w w:val="99"/>
        </w:rPr>
        <w:t>公</w:t>
      </w:r>
      <w:r>
        <w:rPr>
          <w:w w:val="99"/>
        </w:rPr>
        <w:t>司</w:t>
      </w:r>
      <w:r>
        <w:rPr>
          <w:spacing w:val="2"/>
          <w:w w:val="99"/>
        </w:rPr>
        <w:t>首</w:t>
      </w:r>
      <w:r>
        <w:rPr>
          <w:w w:val="99"/>
        </w:rPr>
        <w:t>次</w:t>
      </w:r>
      <w:r>
        <w:rPr>
          <w:spacing w:val="2"/>
          <w:w w:val="99"/>
        </w:rPr>
        <w:t>公</w:t>
      </w:r>
      <w:r>
        <w:rPr>
          <w:w w:val="99"/>
        </w:rPr>
        <w:t>开</w:t>
      </w:r>
      <w:r>
        <w:rPr>
          <w:spacing w:val="2"/>
          <w:w w:val="99"/>
        </w:rPr>
        <w:t>发</w:t>
      </w:r>
      <w:r>
        <w:rPr>
          <w:w w:val="99"/>
        </w:rPr>
        <w:t>行</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专</w:t>
      </w:r>
      <w:r>
        <w:rPr>
          <w:spacing w:val="2"/>
          <w:w w:val="99"/>
        </w:rPr>
        <w:t>项</w:t>
      </w:r>
      <w:r>
        <w:rPr>
          <w:w w:val="99"/>
        </w:rPr>
        <w:t>法</w:t>
      </w:r>
      <w:r>
        <w:rPr>
          <w:spacing w:val="2"/>
          <w:w w:val="99"/>
        </w:rPr>
        <w:t>律</w:t>
      </w:r>
      <w:r>
        <w:rPr>
          <w:w w:val="99"/>
        </w:rPr>
        <w:t>顾</w:t>
      </w:r>
      <w:r>
        <w:rPr>
          <w:spacing w:val="2"/>
          <w:w w:val="99"/>
        </w:rPr>
        <w:t>问</w:t>
      </w:r>
      <w:r>
        <w:rPr>
          <w:w w:val="99"/>
        </w:rPr>
        <w:t>的</w:t>
      </w:r>
      <w:r>
        <w:rPr>
          <w:spacing w:val="2"/>
          <w:w w:val="99"/>
        </w:rPr>
        <w:t>议</w:t>
      </w:r>
      <w:r>
        <w:rPr>
          <w:spacing w:val="-1"/>
          <w:w w:val="99"/>
        </w:rPr>
        <w:t>案</w:t>
      </w:r>
      <w:r>
        <w:rPr>
          <w:w w:val="99"/>
        </w:rPr>
        <w:t>》</w:t>
      </w:r>
      <w:r>
        <w:rPr/>
      </w:r>
    </w:p>
    <w:p>
      <w:pPr>
        <w:spacing w:line="240" w:lineRule="auto" w:before="8"/>
        <w:rPr>
          <w:rFonts w:ascii="宋体" w:hAnsi="宋体" w:cs="宋体" w:eastAsia="宋体" w:hint="default"/>
          <w:sz w:val="20"/>
          <w:szCs w:val="20"/>
        </w:rPr>
      </w:pPr>
    </w:p>
    <w:p>
      <w:pPr>
        <w:pStyle w:val="BodyText"/>
        <w:spacing w:line="340" w:lineRule="auto"/>
        <w:ind w:left="272" w:right="270" w:firstLine="422"/>
        <w:jc w:val="left"/>
      </w:pPr>
      <w:r>
        <w:rPr>
          <w:spacing w:val="-2"/>
          <w:w w:val="99"/>
        </w:rPr>
        <w:t>9、《关于聘任中磊会计师事务所有限责任公司为公司首次公开发行股票并在创业板上市专项审计机构</w:t>
      </w:r>
      <w:r>
        <w:rPr>
          <w:w w:val="99"/>
        </w:rPr>
        <w:t> </w:t>
      </w:r>
      <w:r>
        <w:rPr/>
        <w:t>的议案》</w:t>
      </w:r>
    </w:p>
    <w:p>
      <w:pPr>
        <w:spacing w:line="240" w:lineRule="auto" w:before="12"/>
        <w:rPr>
          <w:rFonts w:ascii="宋体" w:hAnsi="宋体" w:cs="宋体" w:eastAsia="宋体" w:hint="default"/>
          <w:sz w:val="13"/>
          <w:szCs w:val="13"/>
        </w:rPr>
      </w:pPr>
    </w:p>
    <w:p>
      <w:pPr>
        <w:pStyle w:val="BodyText"/>
        <w:spacing w:line="240" w:lineRule="auto"/>
        <w:ind w:left="695" w:right="0"/>
        <w:jc w:val="left"/>
      </w:pPr>
      <w:r>
        <w:rPr>
          <w:spacing w:val="1"/>
          <w:w w:val="99"/>
        </w:rPr>
        <w:t>1</w:t>
      </w:r>
      <w:r>
        <w:rPr>
          <w:spacing w:val="-2"/>
          <w:w w:val="99"/>
        </w:rPr>
        <w:t>0</w:t>
      </w:r>
      <w:r>
        <w:rPr>
          <w:spacing w:val="-104"/>
          <w:w w:val="99"/>
        </w:rPr>
        <w:t>、</w:t>
      </w:r>
      <w:r>
        <w:rPr>
          <w:spacing w:val="2"/>
          <w:w w:val="99"/>
        </w:rPr>
        <w:t>《</w:t>
      </w:r>
      <w:r>
        <w:rPr>
          <w:w w:val="99"/>
        </w:rPr>
        <w:t>审</w:t>
      </w:r>
      <w:r>
        <w:rPr>
          <w:spacing w:val="2"/>
          <w:w w:val="99"/>
        </w:rPr>
        <w:t>议</w:t>
      </w:r>
      <w:r>
        <w:rPr>
          <w:w w:val="99"/>
        </w:rPr>
        <w:t>关</w:t>
      </w:r>
      <w:r>
        <w:rPr>
          <w:spacing w:val="2"/>
          <w:w w:val="99"/>
        </w:rPr>
        <w:t>于</w:t>
      </w:r>
      <w:r>
        <w:rPr>
          <w:w w:val="99"/>
        </w:rPr>
        <w:t>对</w:t>
      </w:r>
      <w:r>
        <w:rPr>
          <w:spacing w:val="2"/>
          <w:w w:val="99"/>
        </w:rPr>
        <w:t>公</w:t>
      </w:r>
      <w:r>
        <w:rPr>
          <w:w w:val="99"/>
        </w:rPr>
        <w:t>司</w:t>
      </w:r>
      <w:r>
        <w:rPr>
          <w:spacing w:val="-55"/>
        </w:rPr>
        <w:t> </w:t>
      </w:r>
      <w:r>
        <w:rPr>
          <w:spacing w:val="1"/>
          <w:w w:val="99"/>
        </w:rPr>
        <w:t>200</w:t>
      </w:r>
      <w:r>
        <w:rPr>
          <w:w w:val="99"/>
        </w:rPr>
        <w:t>8</w:t>
      </w:r>
      <w:r>
        <w:rPr>
          <w:spacing w:val="-54"/>
        </w:rPr>
        <w:t> </w:t>
      </w:r>
      <w:r>
        <w:rPr>
          <w:spacing w:val="2"/>
          <w:w w:val="99"/>
        </w:rPr>
        <w:t>年</w:t>
      </w:r>
      <w:r>
        <w:rPr>
          <w:w w:val="99"/>
        </w:rPr>
        <w:t>至</w:t>
      </w:r>
      <w:r>
        <w:rPr>
          <w:spacing w:val="-53"/>
        </w:rPr>
        <w:t> </w:t>
      </w:r>
      <w:r>
        <w:rPr>
          <w:spacing w:val="1"/>
          <w:w w:val="99"/>
        </w:rPr>
        <w:t>201</w:t>
      </w:r>
      <w:r>
        <w:rPr>
          <w:w w:val="99"/>
        </w:rPr>
        <w:t>0</w:t>
      </w:r>
      <w:r>
        <w:rPr>
          <w:spacing w:val="-54"/>
        </w:rPr>
        <w:t> </w:t>
      </w:r>
      <w:r>
        <w:rPr>
          <w:spacing w:val="2"/>
          <w:w w:val="99"/>
        </w:rPr>
        <w:t>年</w:t>
      </w:r>
      <w:r>
        <w:rPr>
          <w:w w:val="99"/>
        </w:rPr>
        <w:t>期</w:t>
      </w:r>
      <w:r>
        <w:rPr>
          <w:spacing w:val="2"/>
          <w:w w:val="99"/>
        </w:rPr>
        <w:t>间</w:t>
      </w:r>
      <w:r>
        <w:rPr>
          <w:w w:val="99"/>
        </w:rPr>
        <w:t>关</w:t>
      </w:r>
      <w:r>
        <w:rPr>
          <w:spacing w:val="2"/>
          <w:w w:val="99"/>
        </w:rPr>
        <w:t>联</w:t>
      </w:r>
      <w:r>
        <w:rPr>
          <w:w w:val="99"/>
        </w:rPr>
        <w:t>交</w:t>
      </w:r>
      <w:r>
        <w:rPr>
          <w:spacing w:val="2"/>
          <w:w w:val="99"/>
        </w:rPr>
        <w:t>易</w:t>
      </w:r>
      <w:r>
        <w:rPr>
          <w:w w:val="99"/>
        </w:rPr>
        <w:t>予</w:t>
      </w:r>
      <w:r>
        <w:rPr>
          <w:spacing w:val="2"/>
          <w:w w:val="99"/>
        </w:rPr>
        <w:t>以</w:t>
      </w:r>
      <w:r>
        <w:rPr>
          <w:w w:val="99"/>
        </w:rPr>
        <w:t>确</w:t>
      </w:r>
      <w:r>
        <w:rPr>
          <w:spacing w:val="2"/>
          <w:w w:val="99"/>
        </w:rPr>
        <w:t>认</w:t>
      </w:r>
      <w:r>
        <w:rPr>
          <w:w w:val="99"/>
        </w:rPr>
        <w:t>的</w:t>
      </w:r>
      <w:r>
        <w:rPr>
          <w:spacing w:val="2"/>
          <w:w w:val="99"/>
        </w:rPr>
        <w:t>议</w:t>
      </w:r>
      <w:r>
        <w:rPr>
          <w:w w:val="99"/>
        </w:rPr>
        <w:t>案》</w:t>
      </w:r>
      <w:r>
        <w:rPr/>
      </w:r>
    </w:p>
    <w:p>
      <w:pPr>
        <w:spacing w:line="240" w:lineRule="auto" w:before="9"/>
        <w:rPr>
          <w:rFonts w:ascii="宋体" w:hAnsi="宋体" w:cs="宋体" w:eastAsia="宋体" w:hint="default"/>
          <w:sz w:val="15"/>
          <w:szCs w:val="15"/>
        </w:rPr>
      </w:pPr>
    </w:p>
    <w:p>
      <w:pPr>
        <w:pStyle w:val="Heading4"/>
        <w:spacing w:line="240" w:lineRule="auto"/>
        <w:ind w:left="695" w:right="0"/>
        <w:jc w:val="left"/>
        <w:rPr>
          <w:b w:val="0"/>
          <w:bCs w:val="0"/>
        </w:rPr>
      </w:pPr>
      <w:r>
        <w:rPr>
          <w:w w:val="95"/>
        </w:rPr>
        <w:t>（二）2010</w:t>
      </w:r>
      <w:r>
        <w:rPr>
          <w:spacing w:val="42"/>
          <w:w w:val="95"/>
        </w:rPr>
        <w:t> </w:t>
      </w:r>
      <w:r>
        <w:rPr>
          <w:w w:val="95"/>
        </w:rPr>
        <w:t>年度股东大会</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ind w:left="695" w:right="0"/>
        <w:jc w:val="left"/>
      </w:pPr>
      <w:r>
        <w:rPr/>
        <w:t>公司</w:t>
      </w:r>
      <w:r>
        <w:rPr>
          <w:spacing w:val="-58"/>
        </w:rPr>
        <w:t> </w:t>
      </w:r>
      <w:r>
        <w:rPr/>
        <w:t>2010</w:t>
      </w:r>
      <w:r>
        <w:rPr>
          <w:spacing w:val="-57"/>
        </w:rPr>
        <w:t> </w:t>
      </w:r>
      <w:r>
        <w:rPr/>
        <w:t>年度股东大会于</w:t>
      </w:r>
      <w:r>
        <w:rPr>
          <w:spacing w:val="-54"/>
        </w:rPr>
        <w:t> </w:t>
      </w:r>
      <w:r>
        <w:rPr/>
        <w:t>2011</w:t>
      </w:r>
      <w:r>
        <w:rPr>
          <w:spacing w:val="-55"/>
        </w:rPr>
        <w:t> </w:t>
      </w:r>
      <w:r>
        <w:rPr/>
        <w:t>年</w:t>
      </w:r>
      <w:r>
        <w:rPr>
          <w:spacing w:val="-56"/>
        </w:rPr>
        <w:t> </w:t>
      </w:r>
      <w:r>
        <w:rPr/>
        <w:t>6</w:t>
      </w:r>
      <w:r>
        <w:rPr>
          <w:spacing w:val="-55"/>
        </w:rPr>
        <w:t> </w:t>
      </w:r>
      <w:r>
        <w:rPr/>
        <w:t>月</w:t>
      </w:r>
      <w:r>
        <w:rPr>
          <w:spacing w:val="-54"/>
        </w:rPr>
        <w:t> </w:t>
      </w:r>
      <w:r>
        <w:rPr/>
        <w:t>28</w:t>
      </w:r>
      <w:r>
        <w:rPr>
          <w:spacing w:val="-57"/>
        </w:rPr>
        <w:t> </w:t>
      </w:r>
      <w:r>
        <w:rPr/>
        <w:t>日在上海市共和新路</w:t>
      </w:r>
      <w:r>
        <w:rPr>
          <w:spacing w:val="-54"/>
        </w:rPr>
        <w:t> </w:t>
      </w:r>
      <w:r>
        <w:rPr/>
        <w:t>3388</w:t>
      </w:r>
      <w:r>
        <w:rPr>
          <w:spacing w:val="-57"/>
        </w:rPr>
        <w:t> </w:t>
      </w:r>
      <w:r>
        <w:rPr/>
        <w:t>号</w:t>
      </w:r>
      <w:r>
        <w:rPr>
          <w:spacing w:val="-56"/>
        </w:rPr>
        <w:t> </w:t>
      </w:r>
      <w:r>
        <w:rPr/>
        <w:t>8</w:t>
      </w:r>
      <w:r>
        <w:rPr>
          <w:spacing w:val="-55"/>
        </w:rPr>
        <w:t> </w:t>
      </w:r>
      <w:r>
        <w:rPr/>
        <w:t>楼公司会议室召开。参加本</w:t>
      </w:r>
    </w:p>
    <w:p>
      <w:pPr>
        <w:spacing w:after="0" w:line="240" w:lineRule="auto"/>
        <w:jc w:val="left"/>
        <w:sectPr>
          <w:pgSz w:w="11910" w:h="16840"/>
          <w:pgMar w:header="849" w:footer="976" w:top="1460" w:bottom="1160" w:left="860" w:right="86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次股东大会的股东及股东代表</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4"/>
                          <w:sz w:val="21"/>
                          <w:szCs w:val="21"/>
                        </w:rPr>
                        <w:t> </w:t>
                      </w:r>
                      <w:r>
                        <w:rPr>
                          <w:rFonts w:ascii="宋体" w:hAnsi="宋体" w:cs="宋体" w:eastAsia="宋体" w:hint="default"/>
                          <w:spacing w:val="-4"/>
                          <w:sz w:val="21"/>
                          <w:szCs w:val="21"/>
                        </w:rPr>
                        <w:t>名，代表股份</w:t>
                      </w:r>
                      <w:r>
                        <w:rPr>
                          <w:rFonts w:ascii="宋体" w:hAnsi="宋体" w:cs="宋体" w:eastAsia="宋体" w:hint="default"/>
                          <w:spacing w:val="-66"/>
                          <w:sz w:val="21"/>
                          <w:szCs w:val="21"/>
                        </w:rPr>
                        <w:t> </w:t>
                      </w:r>
                      <w:r>
                        <w:rPr>
                          <w:rFonts w:ascii="宋体" w:hAnsi="宋体" w:cs="宋体" w:eastAsia="宋体" w:hint="default"/>
                          <w:sz w:val="21"/>
                          <w:szCs w:val="21"/>
                        </w:rPr>
                        <w:t>4000</w:t>
                      </w:r>
                      <w:r>
                        <w:rPr>
                          <w:rFonts w:ascii="宋体" w:hAnsi="宋体" w:cs="宋体" w:eastAsia="宋体" w:hint="default"/>
                          <w:spacing w:val="-66"/>
                          <w:sz w:val="21"/>
                          <w:szCs w:val="21"/>
                        </w:rPr>
                        <w:t> </w:t>
                      </w:r>
                      <w:r>
                        <w:rPr>
                          <w:rFonts w:ascii="宋体" w:hAnsi="宋体" w:cs="宋体" w:eastAsia="宋体" w:hint="default"/>
                          <w:sz w:val="21"/>
                          <w:szCs w:val="21"/>
                        </w:rPr>
                        <w:t>万股，占公司有表决权股份总数的</w:t>
                      </w:r>
                      <w:r>
                        <w:rPr>
                          <w:rFonts w:ascii="宋体" w:hAnsi="宋体" w:cs="宋体" w:eastAsia="宋体" w:hint="default"/>
                          <w:spacing w:val="-66"/>
                          <w:sz w:val="21"/>
                          <w:szCs w:val="21"/>
                        </w:rPr>
                        <w:t> </w:t>
                      </w:r>
                      <w:r>
                        <w:rPr>
                          <w:rFonts w:ascii="宋体" w:hAnsi="宋体" w:cs="宋体" w:eastAsia="宋体" w:hint="default"/>
                          <w:sz w:val="21"/>
                          <w:szCs w:val="21"/>
                        </w:rPr>
                        <w:t>100%。会议审议通</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right="0"/>
        <w:jc w:val="left"/>
      </w:pPr>
      <w:r>
        <w:rPr/>
        <w:t>过了以下议案：</w:t>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spacing w:val="-2"/>
          <w:w w:val="99"/>
        </w:rPr>
        <w:t>1</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董</w:t>
      </w:r>
      <w:r>
        <w:rPr>
          <w:w w:val="99"/>
        </w:rPr>
        <w:t>事</w:t>
      </w:r>
      <w:r>
        <w:rPr>
          <w:spacing w:val="2"/>
          <w:w w:val="99"/>
        </w:rPr>
        <w:t>会</w:t>
      </w:r>
      <w:r>
        <w:rPr>
          <w:w w:val="99"/>
        </w:rPr>
        <w:t>工</w:t>
      </w:r>
      <w:r>
        <w:rPr>
          <w:spacing w:val="2"/>
          <w:w w:val="99"/>
        </w:rPr>
        <w:t>作</w:t>
      </w:r>
      <w:r>
        <w:rPr>
          <w:w w:val="99"/>
        </w:rPr>
        <w:t>报</w:t>
      </w:r>
      <w:r>
        <w:rPr>
          <w:spacing w:val="2"/>
          <w:w w:val="99"/>
        </w:rPr>
        <w:t>告</w:t>
      </w:r>
      <w:r>
        <w:rPr>
          <w:w w:val="99"/>
        </w:rPr>
        <w:t>的</w:t>
      </w:r>
      <w:r>
        <w:rPr>
          <w:spacing w:val="2"/>
          <w:w w:val="99"/>
        </w:rPr>
        <w:t>议</w:t>
      </w:r>
      <w:r>
        <w:rPr>
          <w:w w:val="99"/>
        </w:rPr>
        <w:t>案》</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spacing w:val="-2"/>
          <w:w w:val="99"/>
        </w:rPr>
        <w:t>2</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监</w:t>
      </w:r>
      <w:r>
        <w:rPr>
          <w:w w:val="99"/>
        </w:rPr>
        <w:t>事</w:t>
      </w:r>
      <w:r>
        <w:rPr>
          <w:spacing w:val="2"/>
          <w:w w:val="99"/>
        </w:rPr>
        <w:t>会</w:t>
      </w:r>
      <w:r>
        <w:rPr>
          <w:w w:val="99"/>
        </w:rPr>
        <w:t>工</w:t>
      </w:r>
      <w:r>
        <w:rPr>
          <w:spacing w:val="2"/>
          <w:w w:val="99"/>
        </w:rPr>
        <w:t>作</w:t>
      </w:r>
      <w:r>
        <w:rPr>
          <w:w w:val="99"/>
        </w:rPr>
        <w:t>报</w:t>
      </w:r>
      <w:r>
        <w:rPr>
          <w:spacing w:val="2"/>
          <w:w w:val="99"/>
        </w:rPr>
        <w:t>告</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2"/>
          <w:w w:val="99"/>
        </w:rPr>
        <w:t>3</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财</w:t>
      </w:r>
      <w:r>
        <w:rPr>
          <w:w w:val="99"/>
        </w:rPr>
        <w:t>务</w:t>
      </w:r>
      <w:r>
        <w:rPr>
          <w:spacing w:val="2"/>
          <w:w w:val="99"/>
        </w:rPr>
        <w:t>决</w:t>
      </w:r>
      <w:r>
        <w:rPr>
          <w:w w:val="99"/>
        </w:rPr>
        <w:t>算</w:t>
      </w:r>
      <w:r>
        <w:rPr>
          <w:spacing w:val="2"/>
          <w:w w:val="99"/>
        </w:rPr>
        <w:t>报</w:t>
      </w:r>
      <w:r>
        <w:rPr>
          <w:w w:val="99"/>
        </w:rPr>
        <w:t>告</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2"/>
          <w:w w:val="99"/>
        </w:rPr>
        <w:t>4</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利</w:t>
      </w:r>
      <w:r>
        <w:rPr>
          <w:w w:val="99"/>
        </w:rPr>
        <w:t>润</w:t>
      </w:r>
      <w:r>
        <w:rPr>
          <w:spacing w:val="2"/>
          <w:w w:val="99"/>
        </w:rPr>
        <w:t>分</w:t>
      </w:r>
      <w:r>
        <w:rPr>
          <w:w w:val="99"/>
        </w:rPr>
        <w:t>配</w:t>
      </w:r>
      <w:r>
        <w:rPr>
          <w:spacing w:val="2"/>
          <w:w w:val="99"/>
        </w:rPr>
        <w:t>预</w:t>
      </w:r>
      <w:r>
        <w:rPr>
          <w:w w:val="99"/>
        </w:rPr>
        <w:t>案</w:t>
      </w:r>
      <w:r>
        <w:rPr>
          <w:spacing w:val="2"/>
          <w:w w:val="99"/>
        </w:rPr>
        <w:t>的</w:t>
      </w:r>
      <w:r>
        <w:rPr>
          <w:w w:val="99"/>
        </w:rPr>
        <w:t>议</w:t>
      </w:r>
      <w:r>
        <w:rPr>
          <w:spacing w:val="2"/>
          <w:w w:val="99"/>
        </w:rPr>
        <w:t>案</w:t>
      </w:r>
      <w:r>
        <w:rPr>
          <w:w w:val="99"/>
        </w:rPr>
        <w:t>》</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spacing w:val="-2"/>
          <w:w w:val="99"/>
        </w:rPr>
        <w:t>5</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1</w:t>
      </w:r>
      <w:r>
        <w:rPr>
          <w:spacing w:val="-54"/>
        </w:rPr>
        <w:t> </w:t>
      </w:r>
      <w:r>
        <w:rPr>
          <w:spacing w:val="2"/>
          <w:w w:val="99"/>
        </w:rPr>
        <w:t>年</w:t>
      </w:r>
      <w:r>
        <w:rPr>
          <w:w w:val="99"/>
        </w:rPr>
        <w:t>度</w:t>
      </w:r>
      <w:r>
        <w:rPr>
          <w:spacing w:val="2"/>
          <w:w w:val="99"/>
        </w:rPr>
        <w:t>财</w:t>
      </w:r>
      <w:r>
        <w:rPr>
          <w:w w:val="99"/>
        </w:rPr>
        <w:t>务</w:t>
      </w:r>
      <w:r>
        <w:rPr>
          <w:spacing w:val="2"/>
          <w:w w:val="99"/>
        </w:rPr>
        <w:t>预</w:t>
      </w:r>
      <w:r>
        <w:rPr>
          <w:w w:val="99"/>
        </w:rPr>
        <w:t>算</w:t>
      </w:r>
      <w:r>
        <w:rPr>
          <w:spacing w:val="2"/>
          <w:w w:val="99"/>
        </w:rPr>
        <w:t>方</w:t>
      </w:r>
      <w:r>
        <w:rPr>
          <w:w w:val="99"/>
        </w:rPr>
        <w:t>案</w:t>
      </w:r>
      <w:r>
        <w:rPr>
          <w:spacing w:val="2"/>
          <w:w w:val="99"/>
        </w:rPr>
        <w:t>的</w:t>
      </w:r>
      <w:r>
        <w:rPr>
          <w:w w:val="99"/>
        </w:rPr>
        <w:t>议</w:t>
      </w:r>
      <w:r>
        <w:rPr>
          <w:spacing w:val="2"/>
          <w:w w:val="99"/>
        </w:rPr>
        <w:t>案</w:t>
      </w:r>
      <w:r>
        <w:rPr>
          <w:w w:val="99"/>
        </w:rPr>
        <w:t>》</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spacing w:val="-2"/>
          <w:w w:val="99"/>
        </w:rPr>
        <w:t>6</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独</w:t>
      </w:r>
      <w:r>
        <w:rPr>
          <w:w w:val="99"/>
        </w:rPr>
        <w:t>立</w:t>
      </w:r>
      <w:r>
        <w:rPr>
          <w:spacing w:val="2"/>
          <w:w w:val="99"/>
        </w:rPr>
        <w:t>董</w:t>
      </w:r>
      <w:r>
        <w:rPr>
          <w:w w:val="99"/>
        </w:rPr>
        <w:t>事</w:t>
      </w:r>
      <w:r>
        <w:rPr>
          <w:spacing w:val="2"/>
          <w:w w:val="99"/>
        </w:rPr>
        <w:t>工</w:t>
      </w:r>
      <w:r>
        <w:rPr>
          <w:w w:val="99"/>
        </w:rPr>
        <w:t>作</w:t>
      </w:r>
      <w:r>
        <w:rPr>
          <w:spacing w:val="2"/>
          <w:w w:val="99"/>
        </w:rPr>
        <w:t>报</w:t>
      </w:r>
      <w:r>
        <w:rPr>
          <w:w w:val="99"/>
        </w:rPr>
        <w:t>告</w:t>
      </w:r>
      <w:r>
        <w:rPr>
          <w:spacing w:val="2"/>
          <w:w w:val="99"/>
        </w:rPr>
        <w:t>的</w:t>
      </w:r>
      <w:r>
        <w:rPr>
          <w:w w:val="99"/>
        </w:rPr>
        <w:t>议</w:t>
      </w:r>
      <w:r>
        <w:rPr>
          <w:spacing w:val="2"/>
          <w:w w:val="99"/>
        </w:rPr>
        <w:t>案</w:t>
      </w:r>
      <w:r>
        <w:rPr>
          <w:spacing w:val="-104"/>
          <w:w w:val="99"/>
        </w:rPr>
        <w:t>》</w:t>
      </w:r>
      <w:r>
        <w:rPr>
          <w:spacing w:val="2"/>
          <w:w w:val="99"/>
        </w:rPr>
        <w:t>（</w:t>
      </w:r>
      <w:r>
        <w:rPr>
          <w:w w:val="99"/>
        </w:rPr>
        <w:t>杨</w:t>
      </w:r>
      <w:r>
        <w:rPr>
          <w:spacing w:val="2"/>
          <w:w w:val="99"/>
        </w:rPr>
        <w:t>峰</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2"/>
          <w:w w:val="99"/>
        </w:rPr>
        <w:t>7</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独</w:t>
      </w:r>
      <w:r>
        <w:rPr>
          <w:w w:val="99"/>
        </w:rPr>
        <w:t>立</w:t>
      </w:r>
      <w:r>
        <w:rPr>
          <w:spacing w:val="2"/>
          <w:w w:val="99"/>
        </w:rPr>
        <w:t>董</w:t>
      </w:r>
      <w:r>
        <w:rPr>
          <w:w w:val="99"/>
        </w:rPr>
        <w:t>事</w:t>
      </w:r>
      <w:r>
        <w:rPr>
          <w:spacing w:val="2"/>
          <w:w w:val="99"/>
        </w:rPr>
        <w:t>工</w:t>
      </w:r>
      <w:r>
        <w:rPr>
          <w:w w:val="99"/>
        </w:rPr>
        <w:t>作</w:t>
      </w:r>
      <w:r>
        <w:rPr>
          <w:spacing w:val="2"/>
          <w:w w:val="99"/>
        </w:rPr>
        <w:t>报</w:t>
      </w:r>
      <w:r>
        <w:rPr>
          <w:w w:val="99"/>
        </w:rPr>
        <w:t>告</w:t>
      </w:r>
      <w:r>
        <w:rPr>
          <w:spacing w:val="2"/>
          <w:w w:val="99"/>
        </w:rPr>
        <w:t>的</w:t>
      </w:r>
      <w:r>
        <w:rPr>
          <w:w w:val="99"/>
        </w:rPr>
        <w:t>议</w:t>
      </w:r>
      <w:r>
        <w:rPr>
          <w:spacing w:val="2"/>
          <w:w w:val="99"/>
        </w:rPr>
        <w:t>案</w:t>
      </w:r>
      <w:r>
        <w:rPr>
          <w:spacing w:val="-104"/>
          <w:w w:val="99"/>
        </w:rPr>
        <w:t>》</w:t>
      </w:r>
      <w:r>
        <w:rPr>
          <w:spacing w:val="2"/>
          <w:w w:val="99"/>
        </w:rPr>
        <w:t>（</w:t>
      </w:r>
      <w:r>
        <w:rPr>
          <w:w w:val="99"/>
        </w:rPr>
        <w:t>王</w:t>
      </w:r>
      <w:r>
        <w:rPr>
          <w:spacing w:val="2"/>
          <w:w w:val="99"/>
        </w:rPr>
        <w:t>绍</w:t>
      </w:r>
      <w:r>
        <w:rPr>
          <w:w w:val="99"/>
        </w:rPr>
        <w:t>东）</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spacing w:val="-2"/>
          <w:w w:val="99"/>
        </w:rPr>
        <w:t>8</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独</w:t>
      </w:r>
      <w:r>
        <w:rPr>
          <w:w w:val="99"/>
        </w:rPr>
        <w:t>立</w:t>
      </w:r>
      <w:r>
        <w:rPr>
          <w:spacing w:val="2"/>
          <w:w w:val="99"/>
        </w:rPr>
        <w:t>董</w:t>
      </w:r>
      <w:r>
        <w:rPr>
          <w:w w:val="99"/>
        </w:rPr>
        <w:t>事</w:t>
      </w:r>
      <w:r>
        <w:rPr>
          <w:spacing w:val="2"/>
          <w:w w:val="99"/>
        </w:rPr>
        <w:t>工</w:t>
      </w:r>
      <w:r>
        <w:rPr>
          <w:w w:val="99"/>
        </w:rPr>
        <w:t>作</w:t>
      </w:r>
      <w:r>
        <w:rPr>
          <w:spacing w:val="2"/>
          <w:w w:val="99"/>
        </w:rPr>
        <w:t>报</w:t>
      </w:r>
      <w:r>
        <w:rPr>
          <w:w w:val="99"/>
        </w:rPr>
        <w:t>告</w:t>
      </w:r>
      <w:r>
        <w:rPr>
          <w:spacing w:val="2"/>
          <w:w w:val="99"/>
        </w:rPr>
        <w:t>的</w:t>
      </w:r>
      <w:r>
        <w:rPr>
          <w:w w:val="99"/>
        </w:rPr>
        <w:t>议</w:t>
      </w:r>
      <w:r>
        <w:rPr>
          <w:spacing w:val="2"/>
          <w:w w:val="99"/>
        </w:rPr>
        <w:t>案</w:t>
      </w:r>
      <w:r>
        <w:rPr>
          <w:spacing w:val="-104"/>
          <w:w w:val="99"/>
        </w:rPr>
        <w:t>》</w:t>
      </w:r>
      <w:r>
        <w:rPr>
          <w:spacing w:val="2"/>
          <w:w w:val="99"/>
        </w:rPr>
        <w:t>（</w:t>
      </w:r>
      <w:r>
        <w:rPr>
          <w:w w:val="99"/>
        </w:rPr>
        <w:t>王</w:t>
      </w:r>
      <w:r>
        <w:rPr>
          <w:spacing w:val="2"/>
          <w:w w:val="99"/>
        </w:rPr>
        <w:t>贤</w:t>
      </w:r>
      <w:r>
        <w:rPr>
          <w:w w:val="99"/>
        </w:rPr>
        <w:t>安）</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2"/>
          <w:w w:val="99"/>
        </w:rPr>
        <w:t>9</w:t>
      </w:r>
      <w:r>
        <w:rPr>
          <w:spacing w:val="-104"/>
          <w:w w:val="99"/>
        </w:rPr>
        <w:t>、</w:t>
      </w:r>
      <w:r>
        <w:rPr>
          <w:spacing w:val="2"/>
          <w:w w:val="99"/>
        </w:rPr>
        <w:t>《</w:t>
      </w:r>
      <w:r>
        <w:rPr>
          <w:w w:val="99"/>
        </w:rPr>
        <w:t>关</w:t>
      </w:r>
      <w:r>
        <w:rPr>
          <w:spacing w:val="2"/>
          <w:w w:val="99"/>
        </w:rPr>
        <w:t>于</w:t>
      </w:r>
      <w:r>
        <w:rPr>
          <w:w w:val="99"/>
        </w:rPr>
        <w:t>聘</w:t>
      </w:r>
      <w:r>
        <w:rPr>
          <w:spacing w:val="2"/>
          <w:w w:val="99"/>
        </w:rPr>
        <w:t>请</w:t>
      </w:r>
      <w:r>
        <w:rPr>
          <w:w w:val="99"/>
        </w:rPr>
        <w:t>公司</w:t>
      </w:r>
      <w:r>
        <w:rPr>
          <w:spacing w:val="-53"/>
        </w:rPr>
        <w:t> </w:t>
      </w:r>
      <w:r>
        <w:rPr>
          <w:spacing w:val="1"/>
          <w:w w:val="99"/>
        </w:rPr>
        <w:t>201</w:t>
      </w:r>
      <w:r>
        <w:rPr>
          <w:w w:val="99"/>
        </w:rPr>
        <w:t>1</w:t>
      </w:r>
      <w:r>
        <w:rPr>
          <w:spacing w:val="-54"/>
        </w:rPr>
        <w:t> </w:t>
      </w:r>
      <w:r>
        <w:rPr>
          <w:spacing w:val="2"/>
          <w:w w:val="99"/>
        </w:rPr>
        <w:t>年</w:t>
      </w:r>
      <w:r>
        <w:rPr>
          <w:w w:val="99"/>
        </w:rPr>
        <w:t>度</w:t>
      </w:r>
      <w:r>
        <w:rPr>
          <w:spacing w:val="2"/>
          <w:w w:val="99"/>
        </w:rPr>
        <w:t>审</w:t>
      </w:r>
      <w:r>
        <w:rPr>
          <w:w w:val="99"/>
        </w:rPr>
        <w:t>计</w:t>
      </w:r>
      <w:r>
        <w:rPr>
          <w:spacing w:val="2"/>
          <w:w w:val="99"/>
        </w:rPr>
        <w:t>机</w:t>
      </w:r>
      <w:r>
        <w:rPr>
          <w:w w:val="99"/>
        </w:rPr>
        <w:t>构</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spacing w:line="420" w:lineRule="auto" w:before="0"/>
        <w:ind w:left="112" w:right="4491" w:firstLine="422"/>
        <w:jc w:val="left"/>
        <w:rPr>
          <w:rFonts w:ascii="Microsoft JhengHei" w:hAnsi="Microsoft JhengHei" w:cs="Microsoft JhengHei" w:eastAsia="Microsoft JhengHei" w:hint="default"/>
          <w:sz w:val="21"/>
          <w:szCs w:val="21"/>
        </w:rPr>
      </w:pPr>
      <w:r>
        <w:rPr>
          <w:rFonts w:ascii="宋体" w:hAnsi="宋体" w:cs="宋体" w:eastAsia="宋体" w:hint="default"/>
          <w:spacing w:val="-7"/>
          <w:w w:val="99"/>
          <w:sz w:val="21"/>
          <w:szCs w:val="21"/>
        </w:rPr>
        <w:t>10、《关于决定公司独立董事</w:t>
      </w:r>
      <w:r>
        <w:rPr>
          <w:rFonts w:ascii="宋体" w:hAnsi="宋体" w:cs="宋体" w:eastAsia="宋体" w:hint="default"/>
          <w:spacing w:val="-50"/>
          <w:w w:val="99"/>
          <w:sz w:val="21"/>
          <w:szCs w:val="21"/>
        </w:rPr>
        <w:t> </w:t>
      </w:r>
      <w:r>
        <w:rPr>
          <w:rFonts w:ascii="宋体" w:hAnsi="宋体" w:cs="宋体" w:eastAsia="宋体" w:hint="default"/>
          <w:w w:val="99"/>
          <w:sz w:val="21"/>
          <w:szCs w:val="21"/>
        </w:rPr>
        <w:t>2011</w:t>
      </w:r>
      <w:r>
        <w:rPr>
          <w:rFonts w:ascii="宋体" w:hAnsi="宋体" w:cs="宋体" w:eastAsia="宋体" w:hint="default"/>
          <w:spacing w:val="-51"/>
          <w:w w:val="99"/>
          <w:sz w:val="21"/>
          <w:szCs w:val="21"/>
        </w:rPr>
        <w:t> </w:t>
      </w:r>
      <w:r>
        <w:rPr>
          <w:rFonts w:ascii="宋体" w:hAnsi="宋体" w:cs="宋体" w:eastAsia="宋体" w:hint="default"/>
          <w:spacing w:val="1"/>
          <w:w w:val="99"/>
          <w:sz w:val="21"/>
          <w:szCs w:val="21"/>
        </w:rPr>
        <w:t>年度津贴的议案》</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四、董事会运行情况</w:t>
      </w:r>
      <w:r>
        <w:rPr>
          <w:rFonts w:ascii="Microsoft JhengHei" w:hAnsi="Microsoft JhengHei" w:cs="Microsoft JhengHei" w:eastAsia="Microsoft JhengHei" w:hint="default"/>
          <w:sz w:val="21"/>
          <w:szCs w:val="21"/>
        </w:rPr>
      </w:r>
    </w:p>
    <w:p>
      <w:pPr>
        <w:pStyle w:val="Heading4"/>
        <w:spacing w:line="335" w:lineRule="exact"/>
        <w:ind w:right="0"/>
        <w:jc w:val="left"/>
        <w:rPr>
          <w:b w:val="0"/>
          <w:bCs w:val="0"/>
        </w:rPr>
      </w:pPr>
      <w:r>
        <w:rPr/>
        <w:t>（一）报告期内董事会的会议情况及决议内容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38" w:lineRule="auto"/>
        <w:ind w:right="100" w:firstLine="422"/>
        <w:jc w:val="left"/>
      </w:pPr>
      <w:r>
        <w:rPr/>
        <w:t>报告期内公司共召开</w:t>
      </w:r>
      <w:r>
        <w:rPr>
          <w:spacing w:val="-67"/>
        </w:rPr>
        <w:t> </w:t>
      </w:r>
      <w:r>
        <w:rPr/>
        <w:t>7</w:t>
      </w:r>
      <w:r>
        <w:rPr>
          <w:spacing w:val="-66"/>
        </w:rPr>
        <w:t> </w:t>
      </w:r>
      <w:r>
        <w:rPr/>
        <w:t>次董事会会议，历次董事会的召集、提案、出席、议事、表决及会议记录均按</w:t>
      </w:r>
      <w:r>
        <w:rPr>
          <w:w w:val="99"/>
        </w:rPr>
        <w:t> </w:t>
      </w:r>
      <w:r>
        <w:rPr>
          <w:spacing w:val="-10"/>
          <w:w w:val="99"/>
        </w:rPr>
        <w:t>照《公司法》、《公司章程》、《公司董事会议事规则》的要求规范运作，召开具体情况如下：</w:t>
      </w:r>
      <w:r>
        <w:rPr>
          <w:spacing w:val="-10"/>
        </w:rPr>
      </w:r>
    </w:p>
    <w:p>
      <w:pPr>
        <w:pStyle w:val="Heading4"/>
        <w:spacing w:line="240" w:lineRule="auto" w:before="119"/>
        <w:ind w:right="0"/>
        <w:jc w:val="left"/>
        <w:rPr>
          <w:b w:val="0"/>
          <w:bCs w:val="0"/>
        </w:rPr>
      </w:pPr>
      <w:r>
        <w:rPr/>
        <w:t>1、第一届董事会第十四次会议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38" w:lineRule="auto"/>
        <w:ind w:right="104" w:firstLine="422"/>
        <w:jc w:val="left"/>
      </w:pPr>
      <w:r>
        <w:rPr/>
        <w:t>2011</w:t>
      </w:r>
      <w:r>
        <w:rPr>
          <w:spacing w:val="-56"/>
        </w:rPr>
        <w:t> </w:t>
      </w:r>
      <w:r>
        <w:rPr/>
        <w:t>年</w:t>
      </w:r>
      <w:r>
        <w:rPr>
          <w:spacing w:val="-52"/>
        </w:rPr>
        <w:t> </w:t>
      </w:r>
      <w:r>
        <w:rPr/>
        <w:t>1</w:t>
      </w:r>
      <w:r>
        <w:rPr>
          <w:spacing w:val="-56"/>
        </w:rPr>
        <w:t> </w:t>
      </w:r>
      <w:r>
        <w:rPr/>
        <w:t>月</w:t>
      </w:r>
      <w:r>
        <w:rPr>
          <w:spacing w:val="-52"/>
        </w:rPr>
        <w:t> </w:t>
      </w:r>
      <w:r>
        <w:rPr/>
        <w:t>3</w:t>
      </w:r>
      <w:r>
        <w:rPr>
          <w:spacing w:val="-53"/>
        </w:rPr>
        <w:t> </w:t>
      </w:r>
      <w:r>
        <w:rPr/>
        <w:t>日，第一届董事会第十四次会议在公司会议室召开，应到董事</w:t>
      </w:r>
      <w:r>
        <w:rPr>
          <w:spacing w:val="-52"/>
        </w:rPr>
        <w:t> </w:t>
      </w:r>
      <w:r>
        <w:rPr/>
        <w:t>7</w:t>
      </w:r>
      <w:r>
        <w:rPr>
          <w:spacing w:val="-53"/>
        </w:rPr>
        <w:t> </w:t>
      </w:r>
      <w:r>
        <w:rPr/>
        <w:t>人，实到董事</w:t>
      </w:r>
      <w:r>
        <w:rPr>
          <w:spacing w:val="-55"/>
        </w:rPr>
        <w:t> </w:t>
      </w:r>
      <w:r>
        <w:rPr/>
        <w:t>7</w:t>
      </w:r>
      <w:r>
        <w:rPr>
          <w:spacing w:val="-53"/>
        </w:rPr>
        <w:t> </w:t>
      </w:r>
      <w:r>
        <w:rPr>
          <w:spacing w:val="-25"/>
        </w:rPr>
        <w:t>人，审</w:t>
      </w:r>
      <w:r>
        <w:rPr>
          <w:w w:val="99"/>
        </w:rPr>
        <w:t> </w:t>
      </w:r>
      <w:r>
        <w:rPr/>
        <w:t>议通过以下议案：</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w w:val="99"/>
        </w:rPr>
        <w:t>（</w:t>
      </w:r>
      <w:r>
        <w:rPr>
          <w:spacing w:val="1"/>
          <w:w w:val="99"/>
        </w:rPr>
        <w:t>1</w:t>
      </w:r>
      <w:r>
        <w:rPr>
          <w:spacing w:val="-106"/>
          <w:w w:val="99"/>
        </w:rPr>
        <w:t>）</w:t>
      </w:r>
      <w:r>
        <w:rPr>
          <w:spacing w:val="2"/>
          <w:w w:val="99"/>
        </w:rPr>
        <w:t>《</w:t>
      </w:r>
      <w:r>
        <w:rPr>
          <w:w w:val="99"/>
        </w:rPr>
        <w:t>关</w:t>
      </w:r>
      <w:r>
        <w:rPr>
          <w:spacing w:val="2"/>
          <w:w w:val="99"/>
        </w:rPr>
        <w:t>于</w:t>
      </w:r>
      <w:r>
        <w:rPr>
          <w:w w:val="99"/>
        </w:rPr>
        <w:t>公</w:t>
      </w:r>
      <w:r>
        <w:rPr>
          <w:spacing w:val="2"/>
          <w:w w:val="99"/>
        </w:rPr>
        <w:t>司</w:t>
      </w:r>
      <w:r>
        <w:rPr>
          <w:w w:val="99"/>
        </w:rPr>
        <w:t>符</w:t>
      </w:r>
      <w:r>
        <w:rPr>
          <w:spacing w:val="2"/>
          <w:w w:val="99"/>
        </w:rPr>
        <w:t>合</w:t>
      </w:r>
      <w:r>
        <w:rPr>
          <w:w w:val="99"/>
        </w:rPr>
        <w:t>首</w:t>
      </w:r>
      <w:r>
        <w:rPr>
          <w:spacing w:val="2"/>
          <w:w w:val="99"/>
        </w:rPr>
        <w:t>次</w:t>
      </w:r>
      <w:r>
        <w:rPr>
          <w:w w:val="99"/>
        </w:rPr>
        <w:t>公</w:t>
      </w:r>
      <w:r>
        <w:rPr>
          <w:spacing w:val="2"/>
          <w:w w:val="99"/>
        </w:rPr>
        <w:t>开</w:t>
      </w:r>
      <w:r>
        <w:rPr>
          <w:w w:val="99"/>
        </w:rPr>
        <w:t>发</w:t>
      </w:r>
      <w:r>
        <w:rPr>
          <w:spacing w:val="2"/>
          <w:w w:val="99"/>
        </w:rPr>
        <w:t>行</w:t>
      </w:r>
      <w:r>
        <w:rPr>
          <w:w w:val="99"/>
        </w:rPr>
        <w:t>人</w:t>
      </w:r>
      <w:r>
        <w:rPr>
          <w:spacing w:val="2"/>
          <w:w w:val="99"/>
        </w:rPr>
        <w:t>民</w:t>
      </w:r>
      <w:r>
        <w:rPr>
          <w:w w:val="99"/>
        </w:rPr>
        <w:t>币</w:t>
      </w:r>
      <w:r>
        <w:rPr>
          <w:spacing w:val="2"/>
          <w:w w:val="99"/>
        </w:rPr>
        <w:t>普</w:t>
      </w:r>
      <w:r>
        <w:rPr>
          <w:w w:val="99"/>
        </w:rPr>
        <w:t>通</w:t>
      </w:r>
      <w:r>
        <w:rPr>
          <w:spacing w:val="2"/>
          <w:w w:val="99"/>
        </w:rPr>
        <w:t>（</w:t>
      </w:r>
      <w:r>
        <w:rPr>
          <w:w w:val="99"/>
        </w:rPr>
        <w:t>A</w:t>
      </w:r>
      <w:r>
        <w:rPr>
          <w:spacing w:val="-54"/>
        </w:rPr>
        <w:t> </w:t>
      </w:r>
      <w:r>
        <w:rPr>
          <w:spacing w:val="2"/>
          <w:w w:val="99"/>
        </w:rPr>
        <w:t>股</w:t>
      </w:r>
      <w:r>
        <w:rPr>
          <w:w w:val="99"/>
        </w:rPr>
        <w:t>）</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条</w:t>
      </w:r>
      <w:r>
        <w:rPr>
          <w:spacing w:val="2"/>
          <w:w w:val="99"/>
        </w:rPr>
        <w:t>件</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2</w:t>
      </w:r>
      <w:r>
        <w:rPr>
          <w:spacing w:val="-106"/>
          <w:w w:val="99"/>
        </w:rPr>
        <w:t>）</w:t>
      </w:r>
      <w:r>
        <w:rPr>
          <w:spacing w:val="2"/>
          <w:w w:val="99"/>
        </w:rPr>
        <w:t>《</w:t>
      </w:r>
      <w:r>
        <w:rPr>
          <w:w w:val="99"/>
        </w:rPr>
        <w:t>关</w:t>
      </w:r>
      <w:r>
        <w:rPr>
          <w:spacing w:val="2"/>
          <w:w w:val="99"/>
        </w:rPr>
        <w:t>于</w:t>
      </w:r>
      <w:r>
        <w:rPr>
          <w:w w:val="99"/>
        </w:rPr>
        <w:t>公</w:t>
      </w:r>
      <w:r>
        <w:rPr>
          <w:spacing w:val="2"/>
          <w:w w:val="99"/>
        </w:rPr>
        <w:t>司</w:t>
      </w:r>
      <w:r>
        <w:rPr>
          <w:w w:val="99"/>
        </w:rPr>
        <w:t>首</w:t>
      </w:r>
      <w:r>
        <w:rPr>
          <w:spacing w:val="2"/>
          <w:w w:val="99"/>
        </w:rPr>
        <w:t>次</w:t>
      </w:r>
      <w:r>
        <w:rPr>
          <w:w w:val="99"/>
        </w:rPr>
        <w:t>公</w:t>
      </w:r>
      <w:r>
        <w:rPr>
          <w:spacing w:val="2"/>
          <w:w w:val="99"/>
        </w:rPr>
        <w:t>开</w:t>
      </w:r>
      <w:r>
        <w:rPr>
          <w:w w:val="99"/>
        </w:rPr>
        <w:t>发</w:t>
      </w:r>
      <w:r>
        <w:rPr>
          <w:spacing w:val="2"/>
          <w:w w:val="99"/>
        </w:rPr>
        <w:t>行</w:t>
      </w:r>
      <w:r>
        <w:rPr>
          <w:w w:val="99"/>
        </w:rPr>
        <w:t>人</w:t>
      </w:r>
      <w:r>
        <w:rPr>
          <w:spacing w:val="2"/>
          <w:w w:val="99"/>
        </w:rPr>
        <w:t>民</w:t>
      </w:r>
      <w:r>
        <w:rPr>
          <w:w w:val="99"/>
        </w:rPr>
        <w:t>币</w:t>
      </w:r>
      <w:r>
        <w:rPr>
          <w:spacing w:val="2"/>
          <w:w w:val="99"/>
        </w:rPr>
        <w:t>普</w:t>
      </w:r>
      <w:r>
        <w:rPr>
          <w:w w:val="99"/>
        </w:rPr>
        <w:t>通</w:t>
      </w:r>
      <w:r>
        <w:rPr>
          <w:spacing w:val="2"/>
          <w:w w:val="99"/>
        </w:rPr>
        <w:t>股（</w:t>
      </w:r>
      <w:r>
        <w:rPr>
          <w:w w:val="99"/>
        </w:rPr>
        <w:t>A</w:t>
      </w:r>
      <w:r>
        <w:rPr>
          <w:spacing w:val="-54"/>
        </w:rPr>
        <w:t> </w:t>
      </w:r>
      <w:r>
        <w:rPr>
          <w:spacing w:val="2"/>
          <w:w w:val="99"/>
        </w:rPr>
        <w:t>股</w:t>
      </w:r>
      <w:r>
        <w:rPr>
          <w:w w:val="99"/>
        </w:rPr>
        <w:t>）</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的</w:t>
      </w:r>
      <w:r>
        <w:rPr>
          <w:spacing w:val="2"/>
          <w:w w:val="99"/>
        </w:rPr>
        <w:t>议</w:t>
      </w:r>
      <w:r>
        <w:rPr>
          <w:w w:val="99"/>
        </w:rPr>
        <w:t>案》</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3</w:t>
      </w:r>
      <w:r>
        <w:rPr>
          <w:spacing w:val="-106"/>
          <w:w w:val="99"/>
        </w:rPr>
        <w:t>）</w:t>
      </w:r>
      <w:r>
        <w:rPr>
          <w:spacing w:val="2"/>
          <w:w w:val="99"/>
        </w:rPr>
        <w:t>《</w:t>
      </w:r>
      <w:r>
        <w:rPr>
          <w:w w:val="99"/>
        </w:rPr>
        <w:t>关</w:t>
      </w:r>
      <w:r>
        <w:rPr>
          <w:spacing w:val="2"/>
          <w:w w:val="99"/>
        </w:rPr>
        <w:t>于</w:t>
      </w:r>
      <w:r>
        <w:rPr>
          <w:w w:val="99"/>
        </w:rPr>
        <w:t>首</w:t>
      </w:r>
      <w:r>
        <w:rPr>
          <w:spacing w:val="2"/>
          <w:w w:val="99"/>
        </w:rPr>
        <w:t>次</w:t>
      </w:r>
      <w:r>
        <w:rPr>
          <w:w w:val="99"/>
        </w:rPr>
        <w:t>公</w:t>
      </w:r>
      <w:r>
        <w:rPr>
          <w:spacing w:val="2"/>
          <w:w w:val="99"/>
        </w:rPr>
        <w:t>开</w:t>
      </w:r>
      <w:r>
        <w:rPr>
          <w:w w:val="99"/>
        </w:rPr>
        <w:t>发</w:t>
      </w:r>
      <w:r>
        <w:rPr>
          <w:spacing w:val="2"/>
          <w:w w:val="99"/>
        </w:rPr>
        <w:t>行</w:t>
      </w:r>
      <w:r>
        <w:rPr>
          <w:w w:val="99"/>
        </w:rPr>
        <w:t>人</w:t>
      </w:r>
      <w:r>
        <w:rPr>
          <w:spacing w:val="2"/>
          <w:w w:val="99"/>
        </w:rPr>
        <w:t>民</w:t>
      </w:r>
      <w:r>
        <w:rPr>
          <w:w w:val="99"/>
        </w:rPr>
        <w:t>币</w:t>
      </w:r>
      <w:r>
        <w:rPr>
          <w:spacing w:val="2"/>
          <w:w w:val="99"/>
        </w:rPr>
        <w:t>普</w:t>
      </w:r>
      <w:r>
        <w:rPr>
          <w:w w:val="99"/>
        </w:rPr>
        <w:t>通</w:t>
      </w:r>
      <w:r>
        <w:rPr>
          <w:spacing w:val="2"/>
          <w:w w:val="99"/>
        </w:rPr>
        <w:t>股（</w:t>
      </w:r>
      <w:r>
        <w:rPr>
          <w:w w:val="99"/>
        </w:rPr>
        <w:t>A</w:t>
      </w:r>
      <w:r>
        <w:rPr>
          <w:spacing w:val="-54"/>
        </w:rPr>
        <w:t> </w:t>
      </w:r>
      <w:r>
        <w:rPr>
          <w:spacing w:val="2"/>
          <w:w w:val="99"/>
        </w:rPr>
        <w:t>股</w:t>
      </w:r>
      <w:r>
        <w:rPr>
          <w:w w:val="99"/>
        </w:rPr>
        <w:t>）</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募</w:t>
      </w:r>
      <w:r>
        <w:rPr>
          <w:spacing w:val="2"/>
          <w:w w:val="99"/>
        </w:rPr>
        <w:t>集</w:t>
      </w:r>
      <w:r>
        <w:rPr>
          <w:w w:val="99"/>
        </w:rPr>
        <w:t>资</w:t>
      </w:r>
      <w:r>
        <w:rPr>
          <w:spacing w:val="2"/>
          <w:w w:val="99"/>
        </w:rPr>
        <w:t>金</w:t>
      </w:r>
      <w:r>
        <w:rPr>
          <w:w w:val="99"/>
        </w:rPr>
        <w:t>投</w:t>
      </w:r>
      <w:r>
        <w:rPr>
          <w:spacing w:val="2"/>
          <w:w w:val="99"/>
        </w:rPr>
        <w:t>向</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340" w:lineRule="auto"/>
        <w:ind w:right="0" w:firstLine="422"/>
        <w:jc w:val="left"/>
      </w:pPr>
      <w:r>
        <w:rPr>
          <w:spacing w:val="-4"/>
          <w:w w:val="99"/>
        </w:rPr>
        <w:t>（4）《关于首次公开发行人民币普通股（A</w:t>
      </w:r>
      <w:r>
        <w:rPr>
          <w:spacing w:val="-29"/>
          <w:w w:val="99"/>
        </w:rPr>
        <w:t> </w:t>
      </w:r>
      <w:r>
        <w:rPr>
          <w:w w:val="99"/>
        </w:rPr>
        <w:t>股）股票并在创业板上市前滚存未分配利润的分配方案的</w:t>
      </w:r>
      <w:r>
        <w:rPr>
          <w:w w:val="99"/>
        </w:rPr>
        <w:t> </w:t>
      </w:r>
      <w:r>
        <w:rPr/>
        <w:t>议案》</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w w:val="99"/>
        </w:rPr>
        <w:t>（</w:t>
      </w:r>
      <w:r>
        <w:rPr>
          <w:spacing w:val="1"/>
          <w:w w:val="99"/>
        </w:rPr>
        <w:t>5</w:t>
      </w:r>
      <w:r>
        <w:rPr>
          <w:spacing w:val="-106"/>
          <w:w w:val="99"/>
        </w:rPr>
        <w:t>）</w:t>
      </w:r>
      <w:r>
        <w:rPr>
          <w:spacing w:val="2"/>
          <w:w w:val="99"/>
        </w:rPr>
        <w:t>《</w:t>
      </w:r>
      <w:r>
        <w:rPr>
          <w:w w:val="99"/>
        </w:rPr>
        <w:t>关</w:t>
      </w:r>
      <w:r>
        <w:rPr>
          <w:spacing w:val="2"/>
          <w:w w:val="99"/>
        </w:rPr>
        <w:t>于</w:t>
      </w:r>
      <w:r>
        <w:rPr>
          <w:w w:val="99"/>
        </w:rPr>
        <w:t>提</w:t>
      </w:r>
      <w:r>
        <w:rPr>
          <w:spacing w:val="2"/>
          <w:w w:val="99"/>
        </w:rPr>
        <w:t>请</w:t>
      </w:r>
      <w:r>
        <w:rPr>
          <w:w w:val="99"/>
        </w:rPr>
        <w:t>股</w:t>
      </w:r>
      <w:r>
        <w:rPr>
          <w:spacing w:val="2"/>
          <w:w w:val="99"/>
        </w:rPr>
        <w:t>东</w:t>
      </w:r>
      <w:r>
        <w:rPr>
          <w:w w:val="99"/>
        </w:rPr>
        <w:t>大</w:t>
      </w:r>
      <w:r>
        <w:rPr>
          <w:spacing w:val="2"/>
          <w:w w:val="99"/>
        </w:rPr>
        <w:t>会</w:t>
      </w:r>
      <w:r>
        <w:rPr>
          <w:w w:val="99"/>
        </w:rPr>
        <w:t>授</w:t>
      </w:r>
      <w:r>
        <w:rPr>
          <w:spacing w:val="2"/>
          <w:w w:val="99"/>
        </w:rPr>
        <w:t>权</w:t>
      </w:r>
      <w:r>
        <w:rPr>
          <w:w w:val="99"/>
        </w:rPr>
        <w:t>董</w:t>
      </w:r>
      <w:r>
        <w:rPr>
          <w:spacing w:val="2"/>
          <w:w w:val="99"/>
        </w:rPr>
        <w:t>事</w:t>
      </w:r>
      <w:r>
        <w:rPr>
          <w:w w:val="99"/>
        </w:rPr>
        <w:t>会</w:t>
      </w:r>
      <w:r>
        <w:rPr>
          <w:spacing w:val="2"/>
          <w:w w:val="99"/>
        </w:rPr>
        <w:t>办</w:t>
      </w:r>
      <w:r>
        <w:rPr>
          <w:w w:val="99"/>
        </w:rPr>
        <w:t>理</w:t>
      </w:r>
      <w:r>
        <w:rPr>
          <w:spacing w:val="2"/>
          <w:w w:val="99"/>
        </w:rPr>
        <w:t>首</w:t>
      </w:r>
      <w:r>
        <w:rPr>
          <w:w w:val="99"/>
        </w:rPr>
        <w:t>次</w:t>
      </w:r>
      <w:r>
        <w:rPr>
          <w:spacing w:val="2"/>
          <w:w w:val="99"/>
        </w:rPr>
        <w:t>公</w:t>
      </w:r>
      <w:r>
        <w:rPr>
          <w:w w:val="99"/>
        </w:rPr>
        <w:t>开</w:t>
      </w:r>
      <w:r>
        <w:rPr>
          <w:spacing w:val="2"/>
          <w:w w:val="99"/>
        </w:rPr>
        <w:t>发</w:t>
      </w:r>
      <w:r>
        <w:rPr>
          <w:w w:val="99"/>
        </w:rPr>
        <w:t>行</w:t>
      </w:r>
      <w:r>
        <w:rPr>
          <w:spacing w:val="2"/>
          <w:w w:val="99"/>
        </w:rPr>
        <w:t>股</w:t>
      </w:r>
      <w:r>
        <w:rPr>
          <w:w w:val="99"/>
        </w:rPr>
        <w:t>票</w:t>
      </w:r>
      <w:r>
        <w:rPr>
          <w:spacing w:val="2"/>
          <w:w w:val="99"/>
        </w:rPr>
        <w:t>并</w:t>
      </w:r>
      <w:r>
        <w:rPr>
          <w:w w:val="99"/>
        </w:rPr>
        <w:t>在</w:t>
      </w:r>
      <w:r>
        <w:rPr>
          <w:spacing w:val="2"/>
          <w:w w:val="99"/>
        </w:rPr>
        <w:t>创</w:t>
      </w:r>
      <w:r>
        <w:rPr>
          <w:w w:val="99"/>
        </w:rPr>
        <w:t>业</w:t>
      </w:r>
      <w:r>
        <w:rPr>
          <w:spacing w:val="2"/>
          <w:w w:val="99"/>
        </w:rPr>
        <w:t>板</w:t>
      </w:r>
      <w:r>
        <w:rPr>
          <w:w w:val="99"/>
        </w:rPr>
        <w:t>上</w:t>
      </w:r>
      <w:r>
        <w:rPr>
          <w:spacing w:val="2"/>
          <w:w w:val="99"/>
        </w:rPr>
        <w:t>市</w:t>
      </w:r>
      <w:r>
        <w:rPr>
          <w:w w:val="99"/>
        </w:rPr>
        <w:t>相</w:t>
      </w:r>
      <w:r>
        <w:rPr>
          <w:spacing w:val="2"/>
          <w:w w:val="99"/>
        </w:rPr>
        <w:t>关</w:t>
      </w:r>
      <w:r>
        <w:rPr>
          <w:w w:val="99"/>
        </w:rPr>
        <w:t>事</w:t>
      </w:r>
      <w:r>
        <w:rPr>
          <w:spacing w:val="2"/>
          <w:w w:val="99"/>
        </w:rPr>
        <w:t>宜</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6</w:t>
      </w:r>
      <w:r>
        <w:rPr>
          <w:spacing w:val="-106"/>
          <w:w w:val="99"/>
        </w:rPr>
        <w:t>）</w:t>
      </w:r>
      <w:r>
        <w:rPr>
          <w:spacing w:val="2"/>
          <w:w w:val="99"/>
        </w:rPr>
        <w:t>《</w:t>
      </w:r>
      <w:r>
        <w:rPr>
          <w:w w:val="99"/>
        </w:rPr>
        <w:t>上</w:t>
      </w:r>
      <w:r>
        <w:rPr>
          <w:spacing w:val="2"/>
          <w:w w:val="99"/>
        </w:rPr>
        <w:t>海</w:t>
      </w:r>
      <w:r>
        <w:rPr>
          <w:w w:val="99"/>
        </w:rPr>
        <w:t>金</w:t>
      </w:r>
      <w:r>
        <w:rPr>
          <w:spacing w:val="2"/>
          <w:w w:val="99"/>
        </w:rPr>
        <w:t>仕</w:t>
      </w:r>
      <w:r>
        <w:rPr>
          <w:w w:val="99"/>
        </w:rPr>
        <w:t>达</w:t>
      </w:r>
      <w:r>
        <w:rPr>
          <w:spacing w:val="2"/>
          <w:w w:val="99"/>
        </w:rPr>
        <w:t>卫</w:t>
      </w:r>
      <w:r>
        <w:rPr>
          <w:w w:val="99"/>
        </w:rPr>
        <w:t>宁</w:t>
      </w:r>
      <w:r>
        <w:rPr>
          <w:spacing w:val="2"/>
          <w:w w:val="99"/>
        </w:rPr>
        <w:t>软</w:t>
      </w:r>
      <w:r>
        <w:rPr>
          <w:w w:val="99"/>
        </w:rPr>
        <w:t>件</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章</w:t>
      </w:r>
      <w:r>
        <w:rPr>
          <w:w w:val="99"/>
        </w:rPr>
        <w:t>程</w:t>
      </w:r>
      <w:r>
        <w:rPr>
          <w:spacing w:val="2"/>
          <w:w w:val="99"/>
        </w:rPr>
        <w:t>（</w:t>
      </w:r>
      <w:r>
        <w:rPr>
          <w:w w:val="99"/>
        </w:rPr>
        <w:t>草</w:t>
      </w:r>
      <w:r>
        <w:rPr>
          <w:spacing w:val="2"/>
          <w:w w:val="99"/>
        </w:rPr>
        <w:t>案</w:t>
      </w:r>
      <w:r>
        <w:rPr>
          <w:spacing w:val="-104"/>
          <w:w w:val="99"/>
        </w:rPr>
        <w:t>）</w:t>
      </w:r>
      <w:r>
        <w:rPr>
          <w:w w:val="99"/>
        </w:rPr>
        <w:t>》</w:t>
      </w:r>
      <w:r>
        <w:rPr/>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pacing w:val="1"/>
                          <w:w w:val="99"/>
                          <w:sz w:val="21"/>
                          <w:szCs w:val="21"/>
                        </w:rPr>
                        <w:t>7</w:t>
                      </w:r>
                      <w:r>
                        <w:rPr>
                          <w:rFonts w:ascii="宋体" w:hAnsi="宋体" w:cs="宋体" w:eastAsia="宋体" w:hint="default"/>
                          <w:spacing w:val="-128"/>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聘</w:t>
                      </w:r>
                      <w:r>
                        <w:rPr>
                          <w:rFonts w:ascii="宋体" w:hAnsi="宋体" w:cs="宋体" w:eastAsia="宋体" w:hint="default"/>
                          <w:w w:val="99"/>
                          <w:sz w:val="21"/>
                          <w:szCs w:val="21"/>
                        </w:rPr>
                        <w:t>任</w:t>
                      </w:r>
                      <w:r>
                        <w:rPr>
                          <w:rFonts w:ascii="宋体" w:hAnsi="宋体" w:cs="宋体" w:eastAsia="宋体" w:hint="default"/>
                          <w:spacing w:val="2"/>
                          <w:w w:val="99"/>
                          <w:sz w:val="21"/>
                          <w:szCs w:val="21"/>
                        </w:rPr>
                        <w:t>招</w:t>
                      </w:r>
                      <w:r>
                        <w:rPr>
                          <w:rFonts w:ascii="宋体" w:hAnsi="宋体" w:cs="宋体" w:eastAsia="宋体" w:hint="default"/>
                          <w:w w:val="99"/>
                          <w:sz w:val="21"/>
                          <w:szCs w:val="21"/>
                        </w:rPr>
                        <w:t>商</w:t>
                      </w:r>
                      <w:r>
                        <w:rPr>
                          <w:rFonts w:ascii="宋体" w:hAnsi="宋体" w:cs="宋体" w:eastAsia="宋体" w:hint="default"/>
                          <w:spacing w:val="2"/>
                          <w:w w:val="99"/>
                          <w:sz w:val="21"/>
                          <w:szCs w:val="21"/>
                        </w:rPr>
                        <w:t>证</w:t>
                      </w:r>
                      <w:r>
                        <w:rPr>
                          <w:rFonts w:ascii="宋体" w:hAnsi="宋体" w:cs="宋体" w:eastAsia="宋体" w:hint="default"/>
                          <w:w w:val="99"/>
                          <w:sz w:val="21"/>
                          <w:szCs w:val="21"/>
                        </w:rPr>
                        <w:t>券</w:t>
                      </w:r>
                      <w:r>
                        <w:rPr>
                          <w:rFonts w:ascii="宋体" w:hAnsi="宋体" w:cs="宋体" w:eastAsia="宋体" w:hint="default"/>
                          <w:spacing w:val="2"/>
                          <w:w w:val="99"/>
                          <w:sz w:val="21"/>
                          <w:szCs w:val="21"/>
                        </w:rPr>
                        <w:t>股</w:t>
                      </w:r>
                      <w:r>
                        <w:rPr>
                          <w:rFonts w:ascii="宋体" w:hAnsi="宋体" w:cs="宋体" w:eastAsia="宋体" w:hint="default"/>
                          <w:w w:val="99"/>
                          <w:sz w:val="21"/>
                          <w:szCs w:val="21"/>
                        </w:rPr>
                        <w:t>份</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为</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首</w:t>
                      </w:r>
                      <w:r>
                        <w:rPr>
                          <w:rFonts w:ascii="宋体" w:hAnsi="宋体" w:cs="宋体" w:eastAsia="宋体" w:hint="default"/>
                          <w:spacing w:val="2"/>
                          <w:w w:val="99"/>
                          <w:sz w:val="21"/>
                          <w:szCs w:val="21"/>
                        </w:rPr>
                        <w:t>次</w:t>
                      </w:r>
                      <w:r>
                        <w:rPr>
                          <w:rFonts w:ascii="宋体" w:hAnsi="宋体" w:cs="宋体" w:eastAsia="宋体" w:hint="default"/>
                          <w:w w:val="99"/>
                          <w:sz w:val="21"/>
                          <w:szCs w:val="21"/>
                        </w:rPr>
                        <w:t>公</w:t>
                      </w:r>
                      <w:r>
                        <w:rPr>
                          <w:rFonts w:ascii="宋体" w:hAnsi="宋体" w:cs="宋体" w:eastAsia="宋体" w:hint="default"/>
                          <w:spacing w:val="2"/>
                          <w:w w:val="99"/>
                          <w:sz w:val="21"/>
                          <w:szCs w:val="21"/>
                        </w:rPr>
                        <w:t>开</w:t>
                      </w:r>
                      <w:r>
                        <w:rPr>
                          <w:rFonts w:ascii="宋体" w:hAnsi="宋体" w:cs="宋体" w:eastAsia="宋体" w:hint="default"/>
                          <w:w w:val="99"/>
                          <w:sz w:val="21"/>
                          <w:szCs w:val="21"/>
                        </w:rPr>
                        <w:t>发</w:t>
                      </w:r>
                      <w:r>
                        <w:rPr>
                          <w:rFonts w:ascii="宋体" w:hAnsi="宋体" w:cs="宋体" w:eastAsia="宋体" w:hint="default"/>
                          <w:spacing w:val="2"/>
                          <w:w w:val="99"/>
                          <w:sz w:val="21"/>
                          <w:szCs w:val="21"/>
                        </w:rPr>
                        <w:t>行</w:t>
                      </w:r>
                      <w:r>
                        <w:rPr>
                          <w:rFonts w:ascii="宋体" w:hAnsi="宋体" w:cs="宋体" w:eastAsia="宋体" w:hint="default"/>
                          <w:w w:val="99"/>
                          <w:sz w:val="21"/>
                          <w:szCs w:val="21"/>
                        </w:rPr>
                        <w:t>股</w:t>
                      </w:r>
                      <w:r>
                        <w:rPr>
                          <w:rFonts w:ascii="宋体" w:hAnsi="宋体" w:cs="宋体" w:eastAsia="宋体" w:hint="default"/>
                          <w:spacing w:val="2"/>
                          <w:w w:val="99"/>
                          <w:sz w:val="21"/>
                          <w:szCs w:val="21"/>
                        </w:rPr>
                        <w:t>票</w:t>
                      </w:r>
                      <w:r>
                        <w:rPr>
                          <w:rFonts w:ascii="宋体" w:hAnsi="宋体" w:cs="宋体" w:eastAsia="宋体" w:hint="default"/>
                          <w:w w:val="99"/>
                          <w:sz w:val="21"/>
                          <w:szCs w:val="21"/>
                        </w:rPr>
                        <w:t>并</w:t>
                      </w:r>
                      <w:r>
                        <w:rPr>
                          <w:rFonts w:ascii="宋体" w:hAnsi="宋体" w:cs="宋体" w:eastAsia="宋体" w:hint="default"/>
                          <w:spacing w:val="2"/>
                          <w:w w:val="99"/>
                          <w:sz w:val="21"/>
                          <w:szCs w:val="21"/>
                        </w:rPr>
                        <w:t>在</w:t>
                      </w:r>
                      <w:r>
                        <w:rPr>
                          <w:rFonts w:ascii="宋体" w:hAnsi="宋体" w:cs="宋体" w:eastAsia="宋体" w:hint="default"/>
                          <w:w w:val="99"/>
                          <w:sz w:val="21"/>
                          <w:szCs w:val="21"/>
                        </w:rPr>
                        <w:t>创</w:t>
                      </w:r>
                      <w:r>
                        <w:rPr>
                          <w:rFonts w:ascii="宋体" w:hAnsi="宋体" w:cs="宋体" w:eastAsia="宋体" w:hint="default"/>
                          <w:spacing w:val="2"/>
                          <w:w w:val="99"/>
                          <w:sz w:val="21"/>
                          <w:szCs w:val="21"/>
                        </w:rPr>
                        <w:t>业</w:t>
                      </w:r>
                      <w:r>
                        <w:rPr>
                          <w:rFonts w:ascii="宋体" w:hAnsi="宋体" w:cs="宋体" w:eastAsia="宋体" w:hint="default"/>
                          <w:w w:val="99"/>
                          <w:sz w:val="21"/>
                          <w:szCs w:val="21"/>
                        </w:rPr>
                        <w:t>板</w:t>
                      </w:r>
                      <w:r>
                        <w:rPr>
                          <w:rFonts w:ascii="宋体" w:hAnsi="宋体" w:cs="宋体" w:eastAsia="宋体" w:hint="default"/>
                          <w:spacing w:val="2"/>
                          <w:w w:val="99"/>
                          <w:sz w:val="21"/>
                          <w:szCs w:val="21"/>
                        </w:rPr>
                        <w:t>上</w:t>
                      </w:r>
                      <w:r>
                        <w:rPr>
                          <w:rFonts w:ascii="宋体" w:hAnsi="宋体" w:cs="宋体" w:eastAsia="宋体" w:hint="default"/>
                          <w:w w:val="99"/>
                          <w:sz w:val="21"/>
                          <w:szCs w:val="21"/>
                        </w:rPr>
                        <w:t>市</w:t>
                      </w:r>
                      <w:r>
                        <w:rPr>
                          <w:rFonts w:ascii="宋体" w:hAnsi="宋体" w:cs="宋体" w:eastAsia="宋体" w:hint="default"/>
                          <w:spacing w:val="2"/>
                          <w:w w:val="99"/>
                          <w:sz w:val="21"/>
                          <w:szCs w:val="21"/>
                        </w:rPr>
                        <w:t>保</w:t>
                      </w:r>
                      <w:r>
                        <w:rPr>
                          <w:rFonts w:ascii="宋体" w:hAnsi="宋体" w:cs="宋体" w:eastAsia="宋体" w:hint="default"/>
                          <w:w w:val="99"/>
                          <w:sz w:val="21"/>
                          <w:szCs w:val="21"/>
                        </w:rPr>
                        <w:t>荐</w:t>
                      </w:r>
                      <w:r>
                        <w:rPr>
                          <w:rFonts w:ascii="宋体" w:hAnsi="宋体" w:cs="宋体" w:eastAsia="宋体" w:hint="default"/>
                          <w:spacing w:val="2"/>
                          <w:w w:val="99"/>
                          <w:sz w:val="21"/>
                          <w:szCs w:val="21"/>
                        </w:rPr>
                        <w:t>机</w:t>
                      </w:r>
                      <w:r>
                        <w:rPr>
                          <w:rFonts w:ascii="宋体" w:hAnsi="宋体" w:cs="宋体" w:eastAsia="宋体" w:hint="default"/>
                          <w:w w:val="99"/>
                          <w:sz w:val="21"/>
                          <w:szCs w:val="21"/>
                        </w:rPr>
                        <w:t>构</w:t>
                      </w:r>
                      <w:r>
                        <w:rPr>
                          <w:rFonts w:ascii="宋体" w:hAnsi="宋体" w:cs="宋体" w:eastAsia="宋体" w:hint="default"/>
                          <w:spacing w:val="2"/>
                          <w:w w:val="99"/>
                          <w:sz w:val="21"/>
                          <w:szCs w:val="21"/>
                        </w:rPr>
                        <w:t>及</w:t>
                      </w:r>
                      <w:r>
                        <w:rPr>
                          <w:rFonts w:ascii="宋体" w:hAnsi="宋体" w:cs="宋体" w:eastAsia="宋体" w:hint="default"/>
                          <w:w w:val="99"/>
                          <w:sz w:val="21"/>
                          <w:szCs w:val="21"/>
                        </w:rPr>
                        <w:t>主</w:t>
                      </w:r>
                      <w:r>
                        <w:rPr>
                          <w:rFonts w:ascii="宋体" w:hAnsi="宋体" w:cs="宋体" w:eastAsia="宋体" w:hint="default"/>
                          <w:spacing w:val="2"/>
                          <w:w w:val="99"/>
                          <w:sz w:val="21"/>
                          <w:szCs w:val="21"/>
                        </w:rPr>
                        <w:t>承</w:t>
                      </w:r>
                      <w:r>
                        <w:rPr>
                          <w:rFonts w:ascii="宋体" w:hAnsi="宋体" w:cs="宋体" w:eastAsia="宋体" w:hint="default"/>
                          <w:w w:val="99"/>
                          <w:sz w:val="21"/>
                          <w:szCs w:val="21"/>
                        </w:rPr>
                        <w:t>销商</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right="0"/>
        <w:jc w:val="left"/>
      </w:pPr>
      <w:r>
        <w:rPr/>
        <w:t>的议案》</w:t>
      </w:r>
    </w:p>
    <w:p>
      <w:pPr>
        <w:spacing w:line="240" w:lineRule="auto" w:before="3"/>
        <w:rPr>
          <w:rFonts w:ascii="宋体" w:hAnsi="宋体" w:cs="宋体" w:eastAsia="宋体" w:hint="default"/>
          <w:sz w:val="18"/>
          <w:szCs w:val="18"/>
        </w:rPr>
      </w:pPr>
    </w:p>
    <w:p>
      <w:pPr>
        <w:pStyle w:val="BodyText"/>
        <w:spacing w:line="240" w:lineRule="auto" w:before="34"/>
        <w:ind w:left="535" w:right="0"/>
        <w:jc w:val="left"/>
      </w:pPr>
      <w:r>
        <w:rPr>
          <w:spacing w:val="4"/>
          <w:w w:val="99"/>
        </w:rPr>
        <w:t>（</w:t>
      </w:r>
      <w:r>
        <w:rPr>
          <w:spacing w:val="3"/>
          <w:w w:val="99"/>
        </w:rPr>
        <w:t>8</w:t>
      </w:r>
      <w:r>
        <w:rPr>
          <w:spacing w:val="-99"/>
          <w:w w:val="99"/>
        </w:rPr>
        <w:t>）</w:t>
      </w:r>
      <w:r>
        <w:rPr>
          <w:spacing w:val="4"/>
          <w:w w:val="99"/>
        </w:rPr>
        <w:t>《关于聘任上海市广发律师事务所为公司首次公开发行股票并在创业板上市专项法律顾问的</w:t>
      </w:r>
      <w:r>
        <w:rPr>
          <w:w w:val="99"/>
        </w:rPr>
        <w:t>议</w:t>
      </w:r>
      <w:r>
        <w:rPr/>
      </w:r>
    </w:p>
    <w:p>
      <w:pPr>
        <w:pStyle w:val="BodyText"/>
        <w:spacing w:line="240" w:lineRule="auto" w:before="116"/>
        <w:ind w:right="0"/>
        <w:jc w:val="left"/>
      </w:pPr>
      <w:r>
        <w:rPr/>
        <w:t>案》</w:t>
      </w:r>
    </w:p>
    <w:p>
      <w:pPr>
        <w:spacing w:line="240" w:lineRule="auto" w:before="0"/>
        <w:rPr>
          <w:rFonts w:ascii="宋体" w:hAnsi="宋体" w:cs="宋体" w:eastAsia="宋体" w:hint="default"/>
          <w:sz w:val="18"/>
          <w:szCs w:val="18"/>
        </w:rPr>
      </w:pPr>
    </w:p>
    <w:p>
      <w:pPr>
        <w:pStyle w:val="BodyText"/>
        <w:spacing w:line="338" w:lineRule="auto" w:before="34"/>
        <w:ind w:right="110" w:firstLine="422"/>
        <w:jc w:val="left"/>
      </w:pPr>
      <w:r>
        <w:rPr>
          <w:spacing w:val="-2"/>
          <w:w w:val="99"/>
        </w:rPr>
        <w:t>（9）《关于聘任中磊会计师事务所有限责任公司为公司首次公开发行股票并在创业板上市专项审计机</w:t>
      </w:r>
      <w:r>
        <w:rPr>
          <w:w w:val="99"/>
        </w:rPr>
        <w:t> </w:t>
      </w:r>
      <w:r>
        <w:rPr/>
        <w:t>构的议案》</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w w:val="99"/>
        </w:rPr>
        <w:t>（</w:t>
      </w:r>
      <w:r>
        <w:rPr>
          <w:spacing w:val="1"/>
          <w:w w:val="99"/>
        </w:rPr>
        <w:t>1</w:t>
      </w:r>
      <w:r>
        <w:rPr>
          <w:spacing w:val="-2"/>
          <w:w w:val="99"/>
        </w:rPr>
        <w:t>0</w:t>
      </w:r>
      <w:r>
        <w:rPr>
          <w:spacing w:val="-104"/>
          <w:w w:val="99"/>
        </w:rPr>
        <w:t>）</w:t>
      </w:r>
      <w:r>
        <w:rPr>
          <w:spacing w:val="2"/>
          <w:w w:val="99"/>
        </w:rPr>
        <w:t>《</w:t>
      </w:r>
      <w:r>
        <w:rPr>
          <w:w w:val="99"/>
        </w:rPr>
        <w:t>审</w:t>
      </w:r>
      <w:r>
        <w:rPr>
          <w:spacing w:val="2"/>
          <w:w w:val="99"/>
        </w:rPr>
        <w:t>议</w:t>
      </w:r>
      <w:r>
        <w:rPr>
          <w:w w:val="99"/>
        </w:rPr>
        <w:t>关</w:t>
      </w:r>
      <w:r>
        <w:rPr>
          <w:spacing w:val="2"/>
          <w:w w:val="99"/>
        </w:rPr>
        <w:t>于</w:t>
      </w:r>
      <w:r>
        <w:rPr>
          <w:w w:val="99"/>
        </w:rPr>
        <w:t>对</w:t>
      </w:r>
      <w:r>
        <w:rPr>
          <w:spacing w:val="2"/>
          <w:w w:val="99"/>
        </w:rPr>
        <w:t>公</w:t>
      </w:r>
      <w:r>
        <w:rPr>
          <w:w w:val="99"/>
        </w:rPr>
        <w:t>司</w:t>
      </w:r>
      <w:r>
        <w:rPr>
          <w:spacing w:val="-53"/>
        </w:rPr>
        <w:t> </w:t>
      </w:r>
      <w:r>
        <w:rPr>
          <w:spacing w:val="1"/>
          <w:w w:val="99"/>
        </w:rPr>
        <w:t>200</w:t>
      </w:r>
      <w:r>
        <w:rPr>
          <w:w w:val="99"/>
        </w:rPr>
        <w:t>8</w:t>
      </w:r>
      <w:r>
        <w:rPr>
          <w:spacing w:val="-54"/>
        </w:rPr>
        <w:t> </w:t>
      </w:r>
      <w:r>
        <w:rPr>
          <w:spacing w:val="2"/>
          <w:w w:val="99"/>
        </w:rPr>
        <w:t>年</w:t>
      </w:r>
      <w:r>
        <w:rPr>
          <w:w w:val="99"/>
        </w:rPr>
        <w:t>至</w:t>
      </w:r>
      <w:r>
        <w:rPr>
          <w:spacing w:val="-53"/>
        </w:rPr>
        <w:t> </w:t>
      </w:r>
      <w:r>
        <w:rPr>
          <w:spacing w:val="1"/>
          <w:w w:val="99"/>
        </w:rPr>
        <w:t>20</w:t>
      </w:r>
      <w:r>
        <w:rPr>
          <w:spacing w:val="-2"/>
          <w:w w:val="99"/>
        </w:rPr>
        <w:t>1</w:t>
      </w:r>
      <w:r>
        <w:rPr>
          <w:w w:val="99"/>
        </w:rPr>
        <w:t>0</w:t>
      </w:r>
      <w:r>
        <w:rPr>
          <w:spacing w:val="-51"/>
        </w:rPr>
        <w:t> </w:t>
      </w:r>
      <w:r>
        <w:rPr>
          <w:spacing w:val="2"/>
          <w:w w:val="99"/>
        </w:rPr>
        <w:t>年</w:t>
      </w:r>
      <w:r>
        <w:rPr>
          <w:w w:val="99"/>
        </w:rPr>
        <w:t>期</w:t>
      </w:r>
      <w:r>
        <w:rPr>
          <w:spacing w:val="2"/>
          <w:w w:val="99"/>
        </w:rPr>
        <w:t>间</w:t>
      </w:r>
      <w:r>
        <w:rPr>
          <w:w w:val="99"/>
        </w:rPr>
        <w:t>关</w:t>
      </w:r>
      <w:r>
        <w:rPr>
          <w:spacing w:val="2"/>
          <w:w w:val="99"/>
        </w:rPr>
        <w:t>联</w:t>
      </w:r>
      <w:r>
        <w:rPr>
          <w:w w:val="99"/>
        </w:rPr>
        <w:t>交</w:t>
      </w:r>
      <w:r>
        <w:rPr>
          <w:spacing w:val="2"/>
          <w:w w:val="99"/>
        </w:rPr>
        <w:t>易</w:t>
      </w:r>
      <w:r>
        <w:rPr>
          <w:w w:val="99"/>
        </w:rPr>
        <w:t>予</w:t>
      </w:r>
      <w:r>
        <w:rPr>
          <w:spacing w:val="2"/>
          <w:w w:val="99"/>
        </w:rPr>
        <w:t>以</w:t>
      </w:r>
      <w:r>
        <w:rPr>
          <w:w w:val="99"/>
        </w:rPr>
        <w:t>确</w:t>
      </w:r>
      <w:r>
        <w:rPr>
          <w:spacing w:val="2"/>
          <w:w w:val="99"/>
        </w:rPr>
        <w:t>认</w:t>
      </w:r>
      <w:r>
        <w:rPr>
          <w:w w:val="99"/>
        </w:rPr>
        <w:t>的</w:t>
      </w:r>
      <w:r>
        <w:rPr>
          <w:spacing w:val="2"/>
          <w:w w:val="99"/>
        </w:rPr>
        <w:t>议</w:t>
      </w:r>
      <w:r>
        <w:rPr>
          <w:w w:val="99"/>
        </w:rPr>
        <w:t>案》</w:t>
      </w:r>
      <w:r>
        <w:rPr/>
      </w:r>
    </w:p>
    <w:p>
      <w:pPr>
        <w:spacing w:line="240" w:lineRule="auto" w:before="11"/>
        <w:rPr>
          <w:rFonts w:ascii="宋体" w:hAnsi="宋体" w:cs="宋体" w:eastAsia="宋体" w:hint="default"/>
          <w:sz w:val="20"/>
          <w:szCs w:val="20"/>
        </w:rPr>
      </w:pPr>
    </w:p>
    <w:p>
      <w:pPr>
        <w:spacing w:line="417" w:lineRule="auto" w:before="0"/>
        <w:ind w:left="535" w:right="1136"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4"/>
          <w:w w:val="99"/>
          <w:sz w:val="21"/>
          <w:szCs w:val="21"/>
        </w:rPr>
        <w:t>（11）《关于召开上海金仕达卫宁软件股份有限公司</w:t>
      </w:r>
      <w:r>
        <w:rPr>
          <w:rFonts w:ascii="宋体" w:hAnsi="宋体" w:cs="宋体" w:eastAsia="宋体" w:hint="default"/>
          <w:spacing w:val="-47"/>
          <w:w w:val="99"/>
          <w:sz w:val="21"/>
          <w:szCs w:val="21"/>
        </w:rPr>
        <w:t> </w:t>
      </w:r>
      <w:r>
        <w:rPr>
          <w:rFonts w:ascii="宋体" w:hAnsi="宋体" w:cs="宋体" w:eastAsia="宋体" w:hint="default"/>
          <w:w w:val="99"/>
          <w:sz w:val="21"/>
          <w:szCs w:val="21"/>
        </w:rPr>
        <w:t>2011</w:t>
      </w:r>
      <w:r>
        <w:rPr>
          <w:rFonts w:ascii="宋体" w:hAnsi="宋体" w:cs="宋体" w:eastAsia="宋体" w:hint="default"/>
          <w:spacing w:val="-48"/>
          <w:w w:val="99"/>
          <w:sz w:val="21"/>
          <w:szCs w:val="21"/>
        </w:rPr>
        <w:t> </w:t>
      </w:r>
      <w:r>
        <w:rPr>
          <w:rFonts w:ascii="宋体" w:hAnsi="宋体" w:cs="宋体" w:eastAsia="宋体" w:hint="default"/>
          <w:spacing w:val="1"/>
          <w:w w:val="99"/>
          <w:sz w:val="21"/>
          <w:szCs w:val="21"/>
        </w:rPr>
        <w:t>年第一次临时股东大会的议案》</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2、第一届董事会第十五次会议</w:t>
      </w:r>
      <w:r>
        <w:rPr>
          <w:rFonts w:ascii="Microsoft JhengHei" w:hAnsi="Microsoft JhengHei" w:cs="Microsoft JhengHei" w:eastAsia="Microsoft JhengHei" w:hint="default"/>
          <w:sz w:val="21"/>
          <w:szCs w:val="21"/>
        </w:rPr>
      </w:r>
    </w:p>
    <w:p>
      <w:pPr>
        <w:pStyle w:val="BodyText"/>
        <w:spacing w:line="338" w:lineRule="auto" w:before="42"/>
        <w:ind w:right="106" w:firstLine="422"/>
        <w:jc w:val="left"/>
      </w:pPr>
      <w:r>
        <w:rPr/>
        <w:t>2011</w:t>
      </w:r>
      <w:r>
        <w:rPr>
          <w:spacing w:val="-53"/>
        </w:rPr>
        <w:t> </w:t>
      </w:r>
      <w:r>
        <w:rPr/>
        <w:t>年</w:t>
      </w:r>
      <w:r>
        <w:rPr>
          <w:spacing w:val="-55"/>
        </w:rPr>
        <w:t> </w:t>
      </w:r>
      <w:r>
        <w:rPr/>
        <w:t>1</w:t>
      </w:r>
      <w:r>
        <w:rPr>
          <w:spacing w:val="-53"/>
        </w:rPr>
        <w:t> </w:t>
      </w:r>
      <w:r>
        <w:rPr/>
        <w:t>月</w:t>
      </w:r>
      <w:r>
        <w:rPr>
          <w:spacing w:val="-52"/>
        </w:rPr>
        <w:t> </w:t>
      </w:r>
      <w:r>
        <w:rPr/>
        <w:t>19</w:t>
      </w:r>
      <w:r>
        <w:rPr>
          <w:spacing w:val="-53"/>
        </w:rPr>
        <w:t> </w:t>
      </w:r>
      <w:r>
        <w:rPr/>
        <w:t>日，第一届董事会第十五次会议在公司会议室召开，应到董事</w:t>
      </w:r>
      <w:r>
        <w:rPr>
          <w:spacing w:val="-32"/>
        </w:rPr>
        <w:t> </w:t>
      </w:r>
      <w:r>
        <w:rPr/>
        <w:t>7</w:t>
      </w:r>
      <w:r>
        <w:rPr>
          <w:spacing w:val="-53"/>
        </w:rPr>
        <w:t> </w:t>
      </w:r>
      <w:r>
        <w:rPr/>
        <w:t>人，实到董事</w:t>
      </w:r>
      <w:r>
        <w:rPr>
          <w:spacing w:val="-50"/>
        </w:rPr>
        <w:t> </w:t>
      </w:r>
      <w:r>
        <w:rPr/>
        <w:t>7</w:t>
      </w:r>
      <w:r>
        <w:rPr>
          <w:spacing w:val="-53"/>
        </w:rPr>
        <w:t> </w:t>
      </w:r>
      <w:r>
        <w:rPr/>
        <w:t>人，</w:t>
      </w:r>
      <w:r>
        <w:rPr>
          <w:w w:val="99"/>
        </w:rPr>
        <w:t> </w:t>
      </w:r>
      <w:r>
        <w:rPr/>
        <w:t>审议通过以下议案：</w:t>
      </w:r>
    </w:p>
    <w:p>
      <w:pPr>
        <w:spacing w:line="240" w:lineRule="auto" w:before="3"/>
        <w:rPr>
          <w:rFonts w:ascii="宋体" w:hAnsi="宋体" w:cs="宋体" w:eastAsia="宋体" w:hint="default"/>
          <w:sz w:val="14"/>
          <w:szCs w:val="14"/>
        </w:rPr>
      </w:pPr>
    </w:p>
    <w:p>
      <w:pPr>
        <w:pStyle w:val="BodyText"/>
        <w:spacing w:line="475" w:lineRule="auto"/>
        <w:ind w:left="535" w:right="3021"/>
        <w:jc w:val="left"/>
      </w:pPr>
      <w:r>
        <w:rPr>
          <w:w w:val="99"/>
        </w:rPr>
        <w:t>（</w:t>
      </w:r>
      <w:r>
        <w:rPr>
          <w:spacing w:val="1"/>
          <w:w w:val="99"/>
        </w:rPr>
        <w:t>1</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0</w:t>
      </w:r>
      <w:r>
        <w:rPr>
          <w:w w:val="99"/>
        </w:rPr>
        <w:t>8</w:t>
      </w:r>
      <w:r>
        <w:rPr>
          <w:spacing w:val="-51"/>
        </w:rPr>
        <w:t> </w:t>
      </w:r>
      <w:r>
        <w:rPr>
          <w:w w:val="99"/>
        </w:rPr>
        <w:t>年</w:t>
      </w:r>
      <w:r>
        <w:rPr>
          <w:spacing w:val="1"/>
          <w:w w:val="99"/>
        </w:rPr>
        <w:t>-20</w:t>
      </w:r>
      <w:r>
        <w:rPr>
          <w:spacing w:val="-2"/>
          <w:w w:val="99"/>
        </w:rPr>
        <w:t>1</w:t>
      </w:r>
      <w:r>
        <w:rPr>
          <w:w w:val="99"/>
        </w:rPr>
        <w:t>0</w:t>
      </w:r>
      <w:r>
        <w:rPr>
          <w:spacing w:val="-51"/>
        </w:rPr>
        <w:t> </w:t>
      </w:r>
      <w:r>
        <w:rPr>
          <w:spacing w:val="2"/>
          <w:w w:val="99"/>
        </w:rPr>
        <w:t>年</w:t>
      </w:r>
      <w:r>
        <w:rPr>
          <w:w w:val="99"/>
        </w:rPr>
        <w:t>三</w:t>
      </w:r>
      <w:r>
        <w:rPr>
          <w:spacing w:val="2"/>
          <w:w w:val="99"/>
        </w:rPr>
        <w:t>年</w:t>
      </w:r>
      <w:r>
        <w:rPr>
          <w:w w:val="99"/>
        </w:rPr>
        <w:t>财</w:t>
      </w:r>
      <w:r>
        <w:rPr>
          <w:spacing w:val="2"/>
          <w:w w:val="99"/>
        </w:rPr>
        <w:t>务</w:t>
      </w:r>
      <w:r>
        <w:rPr>
          <w:w w:val="99"/>
        </w:rPr>
        <w:t>报</w:t>
      </w:r>
      <w:r>
        <w:rPr>
          <w:spacing w:val="2"/>
          <w:w w:val="99"/>
        </w:rPr>
        <w:t>告</w:t>
      </w:r>
      <w:r>
        <w:rPr>
          <w:w w:val="99"/>
        </w:rPr>
        <w:t>等</w:t>
      </w:r>
      <w:r>
        <w:rPr>
          <w:spacing w:val="2"/>
          <w:w w:val="99"/>
        </w:rPr>
        <w:t>财</w:t>
      </w:r>
      <w:r>
        <w:rPr>
          <w:w w:val="99"/>
        </w:rPr>
        <w:t>务</w:t>
      </w:r>
      <w:r>
        <w:rPr>
          <w:spacing w:val="2"/>
          <w:w w:val="99"/>
        </w:rPr>
        <w:t>资</w:t>
      </w:r>
      <w:r>
        <w:rPr>
          <w:w w:val="99"/>
        </w:rPr>
        <w:t>料</w:t>
      </w:r>
      <w:r>
        <w:rPr>
          <w:spacing w:val="2"/>
          <w:w w:val="99"/>
        </w:rPr>
        <w:t>的</w:t>
      </w:r>
      <w:r>
        <w:rPr>
          <w:w w:val="99"/>
        </w:rPr>
        <w:t>议</w:t>
      </w:r>
      <w:r>
        <w:rPr>
          <w:spacing w:val="2"/>
          <w:w w:val="99"/>
        </w:rPr>
        <w:t>案</w:t>
      </w:r>
      <w:r>
        <w:rPr>
          <w:w w:val="99"/>
        </w:rPr>
        <w:t>》</w:t>
      </w:r>
      <w:r>
        <w:rPr>
          <w:w w:val="99"/>
        </w:rPr>
        <w:t> </w:t>
      </w:r>
      <w:r>
        <w:rPr>
          <w:spacing w:val="-2"/>
          <w:w w:val="99"/>
        </w:rPr>
        <w:t>A</w:t>
      </w:r>
      <w:r>
        <w:rPr>
          <w:spacing w:val="-104"/>
          <w:w w:val="99"/>
        </w:rPr>
        <w:t>、</w:t>
      </w:r>
      <w:r>
        <w:rPr>
          <w:spacing w:val="2"/>
          <w:w w:val="99"/>
        </w:rPr>
        <w:t>《</w:t>
      </w:r>
      <w:r>
        <w:rPr>
          <w:w w:val="99"/>
        </w:rPr>
        <w:t>上</w:t>
      </w:r>
      <w:r>
        <w:rPr>
          <w:spacing w:val="2"/>
          <w:w w:val="99"/>
        </w:rPr>
        <w:t>海</w:t>
      </w:r>
      <w:r>
        <w:rPr>
          <w:w w:val="99"/>
        </w:rPr>
        <w:t>金</w:t>
      </w:r>
      <w:r>
        <w:rPr>
          <w:spacing w:val="2"/>
          <w:w w:val="99"/>
        </w:rPr>
        <w:t>仕</w:t>
      </w:r>
      <w:r>
        <w:rPr>
          <w:w w:val="99"/>
        </w:rPr>
        <w:t>达</w:t>
      </w:r>
      <w:r>
        <w:rPr>
          <w:spacing w:val="2"/>
          <w:w w:val="99"/>
        </w:rPr>
        <w:t>卫</w:t>
      </w:r>
      <w:r>
        <w:rPr>
          <w:w w:val="99"/>
        </w:rPr>
        <w:t>宁</w:t>
      </w:r>
      <w:r>
        <w:rPr>
          <w:spacing w:val="2"/>
          <w:w w:val="99"/>
        </w:rPr>
        <w:t>软</w:t>
      </w:r>
      <w:r>
        <w:rPr>
          <w:w w:val="99"/>
        </w:rPr>
        <w:t>件</w:t>
      </w:r>
      <w:r>
        <w:rPr>
          <w:spacing w:val="2"/>
          <w:w w:val="99"/>
        </w:rPr>
        <w:t>股</w:t>
      </w:r>
      <w:r>
        <w:rPr>
          <w:w w:val="99"/>
        </w:rPr>
        <w:t>份</w:t>
      </w:r>
      <w:r>
        <w:rPr>
          <w:spacing w:val="2"/>
          <w:w w:val="99"/>
        </w:rPr>
        <w:t>有</w:t>
      </w:r>
      <w:r>
        <w:rPr>
          <w:w w:val="99"/>
        </w:rPr>
        <w:t>限</w:t>
      </w:r>
      <w:r>
        <w:rPr>
          <w:spacing w:val="2"/>
          <w:w w:val="99"/>
        </w:rPr>
        <w:t>公</w:t>
      </w:r>
      <w:r>
        <w:rPr>
          <w:w w:val="99"/>
        </w:rPr>
        <w:t>司</w:t>
      </w:r>
      <w:r>
        <w:rPr>
          <w:spacing w:val="-53"/>
        </w:rPr>
        <w:t> </w:t>
      </w:r>
      <w:r>
        <w:rPr>
          <w:spacing w:val="1"/>
          <w:w w:val="99"/>
        </w:rPr>
        <w:t>20</w:t>
      </w:r>
      <w:r>
        <w:rPr>
          <w:spacing w:val="-2"/>
          <w:w w:val="99"/>
        </w:rPr>
        <w:t>0</w:t>
      </w:r>
      <w:r>
        <w:rPr>
          <w:spacing w:val="1"/>
          <w:w w:val="99"/>
        </w:rPr>
        <w:t>8-2</w:t>
      </w:r>
      <w:r>
        <w:rPr>
          <w:spacing w:val="-2"/>
          <w:w w:val="99"/>
        </w:rPr>
        <w:t>0</w:t>
      </w:r>
      <w:r>
        <w:rPr>
          <w:spacing w:val="1"/>
          <w:w w:val="99"/>
        </w:rPr>
        <w:t>1</w:t>
      </w:r>
      <w:r>
        <w:rPr>
          <w:w w:val="99"/>
        </w:rPr>
        <w:t>0</w:t>
      </w:r>
      <w:r>
        <w:rPr>
          <w:spacing w:val="-51"/>
        </w:rPr>
        <w:t> </w:t>
      </w:r>
      <w:r>
        <w:rPr>
          <w:spacing w:val="2"/>
          <w:w w:val="99"/>
        </w:rPr>
        <w:t>年</w:t>
      </w:r>
      <w:r>
        <w:rPr>
          <w:w w:val="99"/>
        </w:rPr>
        <w:t>三</w:t>
      </w:r>
      <w:r>
        <w:rPr>
          <w:spacing w:val="2"/>
          <w:w w:val="99"/>
        </w:rPr>
        <w:t>年</w:t>
      </w:r>
      <w:r>
        <w:rPr>
          <w:w w:val="99"/>
        </w:rPr>
        <w:t>财</w:t>
      </w:r>
      <w:r>
        <w:rPr>
          <w:spacing w:val="2"/>
          <w:w w:val="99"/>
        </w:rPr>
        <w:t>务</w:t>
      </w:r>
      <w:r>
        <w:rPr>
          <w:w w:val="99"/>
        </w:rPr>
        <w:t>报</w:t>
      </w:r>
      <w:r>
        <w:rPr>
          <w:spacing w:val="2"/>
          <w:w w:val="99"/>
        </w:rPr>
        <w:t>告</w:t>
      </w:r>
      <w:r>
        <w:rPr>
          <w:w w:val="99"/>
        </w:rPr>
        <w:t>》</w:t>
      </w:r>
      <w:r>
        <w:rPr/>
      </w:r>
    </w:p>
    <w:p>
      <w:pPr>
        <w:pStyle w:val="BodyText"/>
        <w:spacing w:line="240" w:lineRule="auto" w:before="64"/>
        <w:ind w:left="535" w:right="0"/>
        <w:jc w:val="left"/>
      </w:pPr>
      <w:r>
        <w:rPr>
          <w:spacing w:val="1"/>
          <w:w w:val="99"/>
        </w:rPr>
        <w:t>B</w:t>
      </w:r>
      <w:r>
        <w:rPr>
          <w:spacing w:val="-101"/>
          <w:w w:val="99"/>
        </w:rPr>
        <w:t>、</w:t>
      </w:r>
      <w:r>
        <w:rPr>
          <w:spacing w:val="2"/>
          <w:w w:val="99"/>
        </w:rPr>
        <w:t>《上海金仕达卫宁软件股份有限公司</w:t>
      </w:r>
      <w:r>
        <w:rPr>
          <w:w w:val="99"/>
        </w:rPr>
        <w:t>于</w:t>
      </w:r>
      <w:r>
        <w:rPr>
          <w:spacing w:val="-36"/>
        </w:rPr>
        <w:t> </w:t>
      </w:r>
      <w:r>
        <w:rPr>
          <w:spacing w:val="1"/>
          <w:w w:val="99"/>
        </w:rPr>
        <w:t>201</w:t>
      </w:r>
      <w:r>
        <w:rPr>
          <w:w w:val="99"/>
        </w:rPr>
        <w:t>0</w:t>
      </w:r>
      <w:r>
        <w:rPr>
          <w:spacing w:val="-54"/>
        </w:rPr>
        <w:t> </w:t>
      </w:r>
      <w:r>
        <w:rPr>
          <w:w w:val="99"/>
        </w:rPr>
        <w:t>年</w:t>
      </w:r>
      <w:r>
        <w:rPr>
          <w:spacing w:val="-48"/>
        </w:rPr>
        <w:t> </w:t>
      </w:r>
      <w:r>
        <w:rPr>
          <w:spacing w:val="1"/>
          <w:w w:val="99"/>
        </w:rPr>
        <w:t>1</w:t>
      </w:r>
      <w:r>
        <w:rPr>
          <w:w w:val="99"/>
        </w:rPr>
        <w:t>2</w:t>
      </w:r>
      <w:r>
        <w:rPr>
          <w:spacing w:val="-51"/>
        </w:rPr>
        <w:t> </w:t>
      </w:r>
      <w:r>
        <w:rPr>
          <w:w w:val="99"/>
        </w:rPr>
        <w:t>月</w:t>
      </w:r>
      <w:r>
        <w:rPr>
          <w:spacing w:val="-50"/>
        </w:rPr>
        <w:t> </w:t>
      </w:r>
      <w:r>
        <w:rPr>
          <w:spacing w:val="1"/>
          <w:w w:val="99"/>
        </w:rPr>
        <w:t>3</w:t>
      </w:r>
      <w:r>
        <w:rPr>
          <w:w w:val="99"/>
        </w:rPr>
        <w:t>1</w:t>
      </w:r>
      <w:r>
        <w:rPr>
          <w:spacing w:val="-49"/>
        </w:rPr>
        <w:t> </w:t>
      </w:r>
      <w:r>
        <w:rPr>
          <w:spacing w:val="2"/>
          <w:w w:val="99"/>
        </w:rPr>
        <w:t>日与财务报表相关的内部控制自我评价</w:t>
      </w:r>
      <w:r>
        <w:rPr>
          <w:w w:val="99"/>
        </w:rPr>
        <w:t>报</w:t>
      </w:r>
      <w:r>
        <w:rPr/>
      </w:r>
    </w:p>
    <w:p>
      <w:pPr>
        <w:pStyle w:val="BodyText"/>
        <w:spacing w:line="240" w:lineRule="auto" w:before="116"/>
        <w:ind w:right="0"/>
        <w:jc w:val="left"/>
      </w:pPr>
      <w:r>
        <w:rPr/>
        <w:t>告》</w:t>
      </w:r>
    </w:p>
    <w:p>
      <w:pPr>
        <w:spacing w:line="240" w:lineRule="auto" w:before="0"/>
        <w:rPr>
          <w:rFonts w:ascii="宋体" w:hAnsi="宋体" w:cs="宋体" w:eastAsia="宋体" w:hint="default"/>
          <w:sz w:val="18"/>
          <w:szCs w:val="18"/>
        </w:rPr>
      </w:pPr>
    </w:p>
    <w:p>
      <w:pPr>
        <w:pStyle w:val="BodyText"/>
        <w:spacing w:line="340" w:lineRule="auto" w:before="34"/>
        <w:ind w:right="0" w:firstLine="422"/>
        <w:jc w:val="left"/>
      </w:pPr>
      <w:r>
        <w:rPr>
          <w:spacing w:val="-6"/>
          <w:w w:val="99"/>
        </w:rPr>
        <w:t>C、《上海金仕达卫宁软件股份有限公司</w:t>
      </w:r>
      <w:r>
        <w:rPr>
          <w:spacing w:val="-49"/>
          <w:w w:val="99"/>
        </w:rPr>
        <w:t> </w:t>
      </w:r>
      <w:r>
        <w:rPr>
          <w:w w:val="99"/>
        </w:rPr>
        <w:t>2008</w:t>
      </w:r>
      <w:r>
        <w:rPr>
          <w:spacing w:val="-53"/>
          <w:w w:val="99"/>
        </w:rPr>
        <w:t> </w:t>
      </w:r>
      <w:r>
        <w:rPr>
          <w:w w:val="99"/>
        </w:rPr>
        <w:t>年</w:t>
      </w:r>
      <w:r>
        <w:rPr>
          <w:spacing w:val="-49"/>
          <w:w w:val="99"/>
        </w:rPr>
        <w:t> </w:t>
      </w:r>
      <w:r>
        <w:rPr>
          <w:w w:val="99"/>
        </w:rPr>
        <w:t>1</w:t>
      </w:r>
      <w:r>
        <w:rPr>
          <w:spacing w:val="-53"/>
          <w:w w:val="99"/>
        </w:rPr>
        <w:t> </w:t>
      </w:r>
      <w:r>
        <w:rPr>
          <w:w w:val="99"/>
        </w:rPr>
        <w:t>月</w:t>
      </w:r>
      <w:r>
        <w:rPr>
          <w:spacing w:val="-49"/>
          <w:w w:val="99"/>
        </w:rPr>
        <w:t> </w:t>
      </w:r>
      <w:r>
        <w:rPr>
          <w:w w:val="99"/>
        </w:rPr>
        <w:t>1</w:t>
      </w:r>
      <w:r>
        <w:rPr>
          <w:spacing w:val="-53"/>
          <w:w w:val="99"/>
        </w:rPr>
        <w:t> </w:t>
      </w:r>
      <w:r>
        <w:rPr>
          <w:spacing w:val="1"/>
          <w:w w:val="99"/>
        </w:rPr>
        <w:t>日至</w:t>
      </w:r>
      <w:r>
        <w:rPr>
          <w:spacing w:val="-49"/>
          <w:w w:val="99"/>
        </w:rPr>
        <w:t> </w:t>
      </w:r>
      <w:r>
        <w:rPr>
          <w:w w:val="99"/>
        </w:rPr>
        <w:t>2010</w:t>
      </w:r>
      <w:r>
        <w:rPr>
          <w:spacing w:val="-53"/>
          <w:w w:val="99"/>
        </w:rPr>
        <w:t> </w:t>
      </w:r>
      <w:r>
        <w:rPr>
          <w:w w:val="99"/>
        </w:rPr>
        <w:t>年</w:t>
      </w:r>
      <w:r>
        <w:rPr>
          <w:spacing w:val="-49"/>
          <w:w w:val="99"/>
        </w:rPr>
        <w:t> </w:t>
      </w:r>
      <w:r>
        <w:rPr>
          <w:w w:val="99"/>
        </w:rPr>
        <w:t>12</w:t>
      </w:r>
      <w:r>
        <w:rPr>
          <w:spacing w:val="-53"/>
          <w:w w:val="99"/>
        </w:rPr>
        <w:t> </w:t>
      </w:r>
      <w:r>
        <w:rPr>
          <w:w w:val="99"/>
        </w:rPr>
        <w:t>月</w:t>
      </w:r>
      <w:r>
        <w:rPr>
          <w:spacing w:val="-52"/>
          <w:w w:val="99"/>
        </w:rPr>
        <w:t> </w:t>
      </w:r>
      <w:r>
        <w:rPr>
          <w:w w:val="99"/>
        </w:rPr>
        <w:t>31</w:t>
      </w:r>
      <w:r>
        <w:rPr>
          <w:spacing w:val="-50"/>
          <w:w w:val="99"/>
        </w:rPr>
        <w:t> </w:t>
      </w:r>
      <w:r>
        <w:rPr>
          <w:w w:val="99"/>
        </w:rPr>
        <w:t>日企业所得税、营业税和</w:t>
      </w:r>
      <w:r>
        <w:rPr>
          <w:w w:val="99"/>
        </w:rPr>
        <w:t> </w:t>
      </w:r>
      <w:r>
        <w:rPr/>
        <w:t>增值税纳税情况说明》</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spacing w:val="-2"/>
          <w:w w:val="99"/>
        </w:rPr>
        <w:t>D</w:t>
      </w:r>
      <w:r>
        <w:rPr>
          <w:spacing w:val="-104"/>
          <w:w w:val="99"/>
        </w:rPr>
        <w:t>、</w:t>
      </w:r>
      <w:r>
        <w:rPr>
          <w:spacing w:val="2"/>
          <w:w w:val="99"/>
        </w:rPr>
        <w:t>《</w:t>
      </w:r>
      <w:r>
        <w:rPr>
          <w:w w:val="99"/>
        </w:rPr>
        <w:t>上</w:t>
      </w:r>
      <w:r>
        <w:rPr>
          <w:spacing w:val="2"/>
          <w:w w:val="99"/>
        </w:rPr>
        <w:t>海</w:t>
      </w:r>
      <w:r>
        <w:rPr>
          <w:w w:val="99"/>
        </w:rPr>
        <w:t>金</w:t>
      </w:r>
      <w:r>
        <w:rPr>
          <w:spacing w:val="2"/>
          <w:w w:val="99"/>
        </w:rPr>
        <w:t>仕</w:t>
      </w:r>
      <w:r>
        <w:rPr>
          <w:w w:val="99"/>
        </w:rPr>
        <w:t>达</w:t>
      </w:r>
      <w:r>
        <w:rPr>
          <w:spacing w:val="2"/>
          <w:w w:val="99"/>
        </w:rPr>
        <w:t>卫</w:t>
      </w:r>
      <w:r>
        <w:rPr>
          <w:w w:val="99"/>
        </w:rPr>
        <w:t>宁</w:t>
      </w:r>
      <w:r>
        <w:rPr>
          <w:spacing w:val="2"/>
          <w:w w:val="99"/>
        </w:rPr>
        <w:t>软</w:t>
      </w:r>
      <w:r>
        <w:rPr>
          <w:w w:val="99"/>
        </w:rPr>
        <w:t>件</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非</w:t>
      </w:r>
      <w:r>
        <w:rPr>
          <w:w w:val="99"/>
        </w:rPr>
        <w:t>经</w:t>
      </w:r>
      <w:r>
        <w:rPr>
          <w:spacing w:val="2"/>
          <w:w w:val="99"/>
        </w:rPr>
        <w:t>常</w:t>
      </w:r>
      <w:r>
        <w:rPr>
          <w:w w:val="99"/>
        </w:rPr>
        <w:t>性</w:t>
      </w:r>
      <w:r>
        <w:rPr>
          <w:spacing w:val="2"/>
          <w:w w:val="99"/>
        </w:rPr>
        <w:t>损</w:t>
      </w:r>
      <w:r>
        <w:rPr>
          <w:w w:val="99"/>
        </w:rPr>
        <w:t>益</w:t>
      </w:r>
      <w:r>
        <w:rPr>
          <w:spacing w:val="2"/>
          <w:w w:val="99"/>
        </w:rPr>
        <w:t>表</w:t>
      </w:r>
      <w:r>
        <w:rPr>
          <w:spacing w:val="-106"/>
          <w:w w:val="99"/>
        </w:rPr>
        <w:t>》</w:t>
      </w:r>
      <w:r>
        <w:rPr>
          <w:spacing w:val="2"/>
          <w:w w:val="99"/>
        </w:rPr>
        <w:t>（</w:t>
      </w:r>
      <w:r>
        <w:rPr>
          <w:spacing w:val="1"/>
          <w:w w:val="99"/>
        </w:rPr>
        <w:t>20</w:t>
      </w:r>
      <w:r>
        <w:rPr>
          <w:spacing w:val="-2"/>
          <w:w w:val="99"/>
        </w:rPr>
        <w:t>0</w:t>
      </w:r>
      <w:r>
        <w:rPr>
          <w:w w:val="99"/>
        </w:rPr>
        <w:t>8</w:t>
      </w:r>
      <w:r>
        <w:rPr>
          <w:spacing w:val="-54"/>
        </w:rPr>
        <w:t> </w:t>
      </w:r>
      <w:r>
        <w:rPr>
          <w:spacing w:val="2"/>
          <w:w w:val="99"/>
        </w:rPr>
        <w:t>年</w:t>
      </w:r>
      <w:r>
        <w:rPr>
          <w:spacing w:val="1"/>
          <w:w w:val="99"/>
        </w:rPr>
        <w:t>-20</w:t>
      </w:r>
      <w:r>
        <w:rPr>
          <w:spacing w:val="-2"/>
          <w:w w:val="99"/>
        </w:rPr>
        <w:t>1</w:t>
      </w:r>
      <w:r>
        <w:rPr>
          <w:w w:val="99"/>
        </w:rPr>
        <w:t>0</w:t>
      </w:r>
      <w:r>
        <w:rPr>
          <w:spacing w:val="-51"/>
        </w:rPr>
        <w:t> </w:t>
      </w:r>
      <w:r>
        <w:rPr>
          <w:spacing w:val="2"/>
          <w:w w:val="99"/>
        </w:rPr>
        <w:t>年</w:t>
      </w:r>
      <w:r>
        <w:rPr>
          <w:w w:val="99"/>
        </w:rPr>
        <w:t>三</w:t>
      </w:r>
      <w:r>
        <w:rPr>
          <w:spacing w:val="2"/>
          <w:w w:val="99"/>
        </w:rPr>
        <w:t>年</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6"/>
          <w:w w:val="99"/>
        </w:rPr>
        <w:t>E</w:t>
      </w:r>
      <w:r>
        <w:rPr>
          <w:spacing w:val="-99"/>
          <w:w w:val="99"/>
        </w:rPr>
        <w:t>、</w:t>
      </w:r>
      <w:r>
        <w:rPr>
          <w:spacing w:val="7"/>
          <w:w w:val="99"/>
        </w:rPr>
        <w:t>《上海金仕达卫宁软件股份有限公司申报财务报表与原始财务报表差异比较表及差异分析说</w:t>
      </w:r>
      <w:r>
        <w:rPr>
          <w:w w:val="99"/>
        </w:rPr>
        <w:t>明</w:t>
      </w:r>
      <w:r>
        <w:rPr>
          <w:spacing w:val="-65"/>
        </w:rPr>
        <w:t> </w:t>
      </w:r>
      <w:r>
        <w:rPr>
          <w:w w:val="49"/>
        </w:rPr>
        <w:t>》</w:t>
      </w:r>
      <w:r>
        <w:rPr/>
      </w:r>
    </w:p>
    <w:p>
      <w:pPr>
        <w:spacing w:line="417" w:lineRule="auto" w:before="116"/>
        <w:ind w:left="535" w:right="4889" w:hanging="42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年-2010</w:t>
      </w:r>
      <w:r>
        <w:rPr>
          <w:rFonts w:ascii="宋体" w:hAnsi="宋体" w:cs="宋体" w:eastAsia="宋体" w:hint="default"/>
          <w:spacing w:val="-52"/>
          <w:sz w:val="21"/>
          <w:szCs w:val="21"/>
        </w:rPr>
        <w:t> </w:t>
      </w:r>
      <w:r>
        <w:rPr>
          <w:rFonts w:ascii="宋体" w:hAnsi="宋体" w:cs="宋体" w:eastAsia="宋体" w:hint="default"/>
          <w:sz w:val="21"/>
          <w:szCs w:val="21"/>
        </w:rPr>
        <w:t>年三年）</w:t>
      </w:r>
      <w:r>
        <w:rPr>
          <w:rFonts w:ascii="宋体" w:hAnsi="宋体" w:cs="宋体" w:eastAsia="宋体" w:hint="default"/>
          <w:w w:val="99"/>
          <w:sz w:val="21"/>
          <w:szCs w:val="21"/>
        </w:rPr>
        <w:t> </w:t>
      </w:r>
      <w:r>
        <w:rPr>
          <w:rFonts w:ascii="Microsoft JhengHei" w:hAnsi="Microsoft JhengHei" w:cs="Microsoft JhengHei" w:eastAsia="Microsoft JhengHei" w:hint="default"/>
          <w:b/>
          <w:bCs/>
          <w:w w:val="95"/>
          <w:sz w:val="21"/>
          <w:szCs w:val="21"/>
        </w:rPr>
        <w:t>3、第一届董事会第十六次会议</w:t>
      </w:r>
      <w:r>
        <w:rPr>
          <w:rFonts w:ascii="Microsoft JhengHei" w:hAnsi="Microsoft JhengHei" w:cs="Microsoft JhengHei" w:eastAsia="Microsoft JhengHei" w:hint="default"/>
          <w:sz w:val="21"/>
          <w:szCs w:val="21"/>
        </w:rPr>
      </w:r>
    </w:p>
    <w:p>
      <w:pPr>
        <w:pStyle w:val="BodyText"/>
        <w:spacing w:line="338" w:lineRule="auto" w:before="42"/>
        <w:ind w:right="104" w:firstLine="422"/>
        <w:jc w:val="left"/>
      </w:pPr>
      <w:r>
        <w:rPr/>
        <w:t>2011</w:t>
      </w:r>
      <w:r>
        <w:rPr>
          <w:spacing w:val="-56"/>
        </w:rPr>
        <w:t> </w:t>
      </w:r>
      <w:r>
        <w:rPr/>
        <w:t>年</w:t>
      </w:r>
      <w:r>
        <w:rPr>
          <w:spacing w:val="-52"/>
        </w:rPr>
        <w:t> </w:t>
      </w:r>
      <w:r>
        <w:rPr/>
        <w:t>6</w:t>
      </w:r>
      <w:r>
        <w:rPr>
          <w:spacing w:val="-56"/>
        </w:rPr>
        <w:t> </w:t>
      </w:r>
      <w:r>
        <w:rPr/>
        <w:t>月</w:t>
      </w:r>
      <w:r>
        <w:rPr>
          <w:spacing w:val="-52"/>
        </w:rPr>
        <w:t> </w:t>
      </w:r>
      <w:r>
        <w:rPr/>
        <w:t>7</w:t>
      </w:r>
      <w:r>
        <w:rPr>
          <w:spacing w:val="-53"/>
        </w:rPr>
        <w:t> </w:t>
      </w:r>
      <w:r>
        <w:rPr/>
        <w:t>日，第一届董事会第十六次会议在公司会议室召开，应到董事</w:t>
      </w:r>
      <w:r>
        <w:rPr>
          <w:spacing w:val="-52"/>
        </w:rPr>
        <w:t> </w:t>
      </w:r>
      <w:r>
        <w:rPr/>
        <w:t>7</w:t>
      </w:r>
      <w:r>
        <w:rPr>
          <w:spacing w:val="-53"/>
        </w:rPr>
        <w:t> </w:t>
      </w:r>
      <w:r>
        <w:rPr/>
        <w:t>人，实到董事</w:t>
      </w:r>
      <w:r>
        <w:rPr>
          <w:spacing w:val="-55"/>
        </w:rPr>
        <w:t> </w:t>
      </w:r>
      <w:r>
        <w:rPr/>
        <w:t>7</w:t>
      </w:r>
      <w:r>
        <w:rPr>
          <w:spacing w:val="-53"/>
        </w:rPr>
        <w:t> </w:t>
      </w:r>
      <w:r>
        <w:rPr>
          <w:spacing w:val="-25"/>
        </w:rPr>
        <w:t>人，审</w:t>
      </w:r>
      <w:r>
        <w:rPr>
          <w:w w:val="99"/>
        </w:rPr>
        <w:t> </w:t>
      </w:r>
      <w:r>
        <w:rPr/>
        <w:t>议通过以下议案：</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w w:val="99"/>
        </w:rPr>
        <w:t>（</w:t>
      </w:r>
      <w:r>
        <w:rPr>
          <w:spacing w:val="1"/>
          <w:w w:val="99"/>
        </w:rPr>
        <w:t>1</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总</w:t>
      </w:r>
      <w:r>
        <w:rPr>
          <w:w w:val="99"/>
        </w:rPr>
        <w:t>经</w:t>
      </w:r>
      <w:r>
        <w:rPr>
          <w:spacing w:val="2"/>
          <w:w w:val="99"/>
        </w:rPr>
        <w:t>理</w:t>
      </w:r>
      <w:r>
        <w:rPr>
          <w:w w:val="99"/>
        </w:rPr>
        <w:t>工</w:t>
      </w:r>
      <w:r>
        <w:rPr>
          <w:spacing w:val="2"/>
          <w:w w:val="99"/>
        </w:rPr>
        <w:t>作</w:t>
      </w:r>
      <w:r>
        <w:rPr>
          <w:w w:val="99"/>
        </w:rPr>
        <w:t>报</w:t>
      </w:r>
      <w:r>
        <w:rPr>
          <w:spacing w:val="2"/>
          <w:w w:val="99"/>
        </w:rPr>
        <w:t>告</w:t>
      </w:r>
      <w:r>
        <w:rPr>
          <w:w w:val="99"/>
        </w:rPr>
        <w:t>以及</w:t>
      </w:r>
      <w:r>
        <w:rPr>
          <w:spacing w:val="-53"/>
        </w:rPr>
        <w:t> </w:t>
      </w:r>
      <w:r>
        <w:rPr>
          <w:spacing w:val="1"/>
          <w:w w:val="99"/>
        </w:rPr>
        <w:t>201</w:t>
      </w:r>
      <w:r>
        <w:rPr>
          <w:w w:val="99"/>
        </w:rPr>
        <w:t>1</w:t>
      </w:r>
      <w:r>
        <w:rPr>
          <w:spacing w:val="-54"/>
        </w:rPr>
        <w:t> </w:t>
      </w:r>
      <w:r>
        <w:rPr>
          <w:spacing w:val="2"/>
          <w:w w:val="99"/>
        </w:rPr>
        <w:t>年</w:t>
      </w:r>
      <w:r>
        <w:rPr>
          <w:w w:val="99"/>
        </w:rPr>
        <w:t>经</w:t>
      </w:r>
      <w:r>
        <w:rPr>
          <w:spacing w:val="2"/>
          <w:w w:val="99"/>
        </w:rPr>
        <w:t>营</w:t>
      </w:r>
      <w:r>
        <w:rPr>
          <w:w w:val="99"/>
        </w:rPr>
        <w:t>计</w:t>
      </w:r>
      <w:r>
        <w:rPr>
          <w:spacing w:val="2"/>
          <w:w w:val="99"/>
        </w:rPr>
        <w:t>划</w:t>
      </w:r>
      <w:r>
        <w:rPr>
          <w:w w:val="99"/>
        </w:rPr>
        <w:t>和</w:t>
      </w:r>
      <w:r>
        <w:rPr>
          <w:spacing w:val="2"/>
          <w:w w:val="99"/>
        </w:rPr>
        <w:t>投</w:t>
      </w:r>
      <w:r>
        <w:rPr>
          <w:w w:val="99"/>
        </w:rPr>
        <w:t>资</w:t>
      </w:r>
      <w:r>
        <w:rPr>
          <w:spacing w:val="2"/>
          <w:w w:val="99"/>
        </w:rPr>
        <w:t>方</w:t>
      </w:r>
      <w:r>
        <w:rPr>
          <w:w w:val="99"/>
        </w:rPr>
        <w:t>案</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2</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董</w:t>
      </w:r>
      <w:r>
        <w:rPr>
          <w:w w:val="99"/>
        </w:rPr>
        <w:t>事</w:t>
      </w:r>
      <w:r>
        <w:rPr>
          <w:spacing w:val="2"/>
          <w:w w:val="99"/>
        </w:rPr>
        <w:t>会</w:t>
      </w:r>
      <w:r>
        <w:rPr>
          <w:w w:val="99"/>
        </w:rPr>
        <w:t>工</w:t>
      </w:r>
      <w:r>
        <w:rPr>
          <w:spacing w:val="2"/>
          <w:w w:val="99"/>
        </w:rPr>
        <w:t>作</w:t>
      </w:r>
      <w:r>
        <w:rPr>
          <w:w w:val="99"/>
        </w:rPr>
        <w:t>报</w:t>
      </w:r>
      <w:r>
        <w:rPr>
          <w:spacing w:val="2"/>
          <w:w w:val="99"/>
        </w:rPr>
        <w:t>告</w:t>
      </w:r>
      <w:r>
        <w:rPr>
          <w:w w:val="99"/>
        </w:rPr>
        <w:t>的</w:t>
      </w:r>
      <w:r>
        <w:rPr>
          <w:spacing w:val="2"/>
          <w:w w:val="99"/>
        </w:rPr>
        <w:t>议</w:t>
      </w:r>
      <w:r>
        <w:rPr>
          <w:w w:val="99"/>
        </w:rPr>
        <w:t>案》</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3</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财</w:t>
      </w:r>
      <w:r>
        <w:rPr>
          <w:w w:val="99"/>
        </w:rPr>
        <w:t>务</w:t>
      </w:r>
      <w:r>
        <w:rPr>
          <w:spacing w:val="2"/>
          <w:w w:val="99"/>
        </w:rPr>
        <w:t>决</w:t>
      </w:r>
      <w:r>
        <w:rPr>
          <w:w w:val="99"/>
        </w:rPr>
        <w:t>算</w:t>
      </w:r>
      <w:r>
        <w:rPr>
          <w:spacing w:val="2"/>
          <w:w w:val="99"/>
        </w:rPr>
        <w:t>报</w:t>
      </w:r>
      <w:r>
        <w:rPr>
          <w:w w:val="99"/>
        </w:rPr>
        <w:t>告</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4</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利</w:t>
      </w:r>
      <w:r>
        <w:rPr>
          <w:w w:val="99"/>
        </w:rPr>
        <w:t>润</w:t>
      </w:r>
      <w:r>
        <w:rPr>
          <w:spacing w:val="2"/>
          <w:w w:val="99"/>
        </w:rPr>
        <w:t>分</w:t>
      </w:r>
      <w:r>
        <w:rPr>
          <w:w w:val="99"/>
        </w:rPr>
        <w:t>配</w:t>
      </w:r>
      <w:r>
        <w:rPr>
          <w:spacing w:val="2"/>
          <w:w w:val="99"/>
        </w:rPr>
        <w:t>预</w:t>
      </w:r>
      <w:r>
        <w:rPr>
          <w:w w:val="99"/>
        </w:rPr>
        <w:t>案</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5</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1</w:t>
      </w:r>
      <w:r>
        <w:rPr>
          <w:spacing w:val="-51"/>
        </w:rPr>
        <w:t> </w:t>
      </w:r>
      <w:r>
        <w:rPr>
          <w:spacing w:val="2"/>
          <w:w w:val="99"/>
        </w:rPr>
        <w:t>年</w:t>
      </w:r>
      <w:r>
        <w:rPr>
          <w:w w:val="99"/>
        </w:rPr>
        <w:t>度</w:t>
      </w:r>
      <w:r>
        <w:rPr>
          <w:spacing w:val="2"/>
          <w:w w:val="99"/>
        </w:rPr>
        <w:t>财</w:t>
      </w:r>
      <w:r>
        <w:rPr>
          <w:w w:val="99"/>
        </w:rPr>
        <w:t>务</w:t>
      </w:r>
      <w:r>
        <w:rPr>
          <w:spacing w:val="2"/>
          <w:w w:val="99"/>
        </w:rPr>
        <w:t>预</w:t>
      </w:r>
      <w:r>
        <w:rPr>
          <w:w w:val="99"/>
        </w:rPr>
        <w:t>算</w:t>
      </w:r>
      <w:r>
        <w:rPr>
          <w:spacing w:val="2"/>
          <w:w w:val="99"/>
        </w:rPr>
        <w:t>方</w:t>
      </w:r>
      <w:r>
        <w:rPr>
          <w:w w:val="99"/>
        </w:rPr>
        <w:t>案</w:t>
      </w:r>
      <w:r>
        <w:rPr>
          <w:spacing w:val="2"/>
          <w:w w:val="99"/>
        </w:rPr>
        <w:t>的</w:t>
      </w:r>
      <w:r>
        <w:rPr>
          <w:w w:val="99"/>
        </w:rPr>
        <w:t>议</w:t>
      </w:r>
      <w:r>
        <w:rPr>
          <w:spacing w:val="2"/>
          <w:w w:val="99"/>
        </w:rPr>
        <w:t>案</w:t>
      </w:r>
      <w:r>
        <w:rPr>
          <w:w w:val="99"/>
        </w:rPr>
        <w:t>》</w:t>
      </w:r>
      <w:r>
        <w:rPr/>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pacing w:val="1"/>
                          <w:w w:val="99"/>
                          <w:sz w:val="21"/>
                          <w:szCs w:val="21"/>
                        </w:rPr>
                        <w:t>6</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关</w:t>
                      </w:r>
                      <w:r>
                        <w:rPr>
                          <w:rFonts w:ascii="宋体" w:hAnsi="宋体" w:cs="宋体" w:eastAsia="宋体" w:hint="default"/>
                          <w:spacing w:val="2"/>
                          <w:w w:val="99"/>
                          <w:sz w:val="21"/>
                          <w:szCs w:val="21"/>
                        </w:rPr>
                        <w:t>于</w:t>
                      </w:r>
                      <w:r>
                        <w:rPr>
                          <w:rFonts w:ascii="宋体" w:hAnsi="宋体" w:cs="宋体" w:eastAsia="宋体" w:hint="default"/>
                          <w:w w:val="99"/>
                          <w:sz w:val="21"/>
                          <w:szCs w:val="21"/>
                        </w:rPr>
                        <w:t>公司</w:t>
                      </w:r>
                      <w:r>
                        <w:rPr>
                          <w:rFonts w:ascii="宋体" w:hAnsi="宋体" w:cs="宋体" w:eastAsia="宋体" w:hint="default"/>
                          <w:spacing w:val="-50"/>
                          <w:sz w:val="21"/>
                          <w:szCs w:val="21"/>
                        </w:rPr>
                        <w:t> </w:t>
                      </w:r>
                      <w:r>
                        <w:rPr>
                          <w:rFonts w:ascii="宋体" w:hAnsi="宋体" w:cs="宋体" w:eastAsia="宋体" w:hint="default"/>
                          <w:spacing w:val="1"/>
                          <w:w w:val="99"/>
                          <w:sz w:val="21"/>
                          <w:szCs w:val="21"/>
                        </w:rPr>
                        <w:t>20</w:t>
                      </w:r>
                      <w:r>
                        <w:rPr>
                          <w:rFonts w:ascii="宋体" w:hAnsi="宋体" w:cs="宋体" w:eastAsia="宋体" w:hint="default"/>
                          <w:spacing w:val="-2"/>
                          <w:w w:val="99"/>
                          <w:sz w:val="21"/>
                          <w:szCs w:val="21"/>
                        </w:rPr>
                        <w:t>1</w:t>
                      </w:r>
                      <w:r>
                        <w:rPr>
                          <w:rFonts w:ascii="宋体" w:hAnsi="宋体" w:cs="宋体" w:eastAsia="宋体" w:hint="default"/>
                          <w:w w:val="99"/>
                          <w:sz w:val="21"/>
                          <w:szCs w:val="21"/>
                        </w:rPr>
                        <w:t>0</w:t>
                      </w:r>
                      <w:r>
                        <w:rPr>
                          <w:rFonts w:ascii="宋体" w:hAnsi="宋体" w:cs="宋体" w:eastAsia="宋体" w:hint="default"/>
                          <w:spacing w:val="-5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度</w:t>
                      </w:r>
                      <w:r>
                        <w:rPr>
                          <w:rFonts w:ascii="宋体" w:hAnsi="宋体" w:cs="宋体" w:eastAsia="宋体" w:hint="default"/>
                          <w:spacing w:val="2"/>
                          <w:w w:val="99"/>
                          <w:sz w:val="21"/>
                          <w:szCs w:val="21"/>
                        </w:rPr>
                        <w:t>独</w:t>
                      </w:r>
                      <w:r>
                        <w:rPr>
                          <w:rFonts w:ascii="宋体" w:hAnsi="宋体" w:cs="宋体" w:eastAsia="宋体" w:hint="default"/>
                          <w:w w:val="99"/>
                          <w:sz w:val="21"/>
                          <w:szCs w:val="21"/>
                        </w:rPr>
                        <w:t>立</w:t>
                      </w: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2"/>
                          <w:w w:val="99"/>
                          <w:sz w:val="21"/>
                          <w:szCs w:val="21"/>
                        </w:rPr>
                        <w:t>工</w:t>
                      </w:r>
                      <w:r>
                        <w:rPr>
                          <w:rFonts w:ascii="宋体" w:hAnsi="宋体" w:cs="宋体" w:eastAsia="宋体" w:hint="default"/>
                          <w:w w:val="99"/>
                          <w:sz w:val="21"/>
                          <w:szCs w:val="21"/>
                        </w:rPr>
                        <w:t>作</w:t>
                      </w:r>
                      <w:r>
                        <w:rPr>
                          <w:rFonts w:ascii="宋体" w:hAnsi="宋体" w:cs="宋体" w:eastAsia="宋体" w:hint="default"/>
                          <w:spacing w:val="2"/>
                          <w:w w:val="99"/>
                          <w:sz w:val="21"/>
                          <w:szCs w:val="21"/>
                        </w:rPr>
                        <w:t>报</w:t>
                      </w:r>
                      <w:r>
                        <w:rPr>
                          <w:rFonts w:ascii="宋体" w:hAnsi="宋体" w:cs="宋体" w:eastAsia="宋体" w:hint="default"/>
                          <w:w w:val="99"/>
                          <w:sz w:val="21"/>
                          <w:szCs w:val="21"/>
                        </w:rPr>
                        <w:t>告</w:t>
                      </w:r>
                      <w:r>
                        <w:rPr>
                          <w:rFonts w:ascii="宋体" w:hAnsi="宋体" w:cs="宋体" w:eastAsia="宋体" w:hint="default"/>
                          <w:spacing w:val="2"/>
                          <w:w w:val="99"/>
                          <w:sz w:val="21"/>
                          <w:szCs w:val="21"/>
                        </w:rPr>
                        <w:t>的</w:t>
                      </w:r>
                      <w:r>
                        <w:rPr>
                          <w:rFonts w:ascii="宋体" w:hAnsi="宋体" w:cs="宋体" w:eastAsia="宋体" w:hint="default"/>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杨</w:t>
                      </w:r>
                      <w:r>
                        <w:rPr>
                          <w:rFonts w:ascii="宋体" w:hAnsi="宋体" w:cs="宋体" w:eastAsia="宋体" w:hint="default"/>
                          <w:spacing w:val="2"/>
                          <w:w w:val="99"/>
                          <w:sz w:val="21"/>
                          <w:szCs w:val="21"/>
                        </w:rPr>
                        <w:t>峰</w:t>
                      </w: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240" w:lineRule="auto" w:before="34"/>
        <w:ind w:left="535" w:right="0"/>
        <w:jc w:val="left"/>
      </w:pPr>
      <w:r>
        <w:rPr>
          <w:w w:val="99"/>
        </w:rPr>
        <w:t>（</w:t>
      </w:r>
      <w:r>
        <w:rPr>
          <w:spacing w:val="1"/>
          <w:w w:val="99"/>
        </w:rPr>
        <w:t>7</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独</w:t>
      </w:r>
      <w:r>
        <w:rPr>
          <w:w w:val="99"/>
        </w:rPr>
        <w:t>立</w:t>
      </w:r>
      <w:r>
        <w:rPr>
          <w:spacing w:val="2"/>
          <w:w w:val="99"/>
        </w:rPr>
        <w:t>董</w:t>
      </w:r>
      <w:r>
        <w:rPr>
          <w:w w:val="99"/>
        </w:rPr>
        <w:t>事</w:t>
      </w:r>
      <w:r>
        <w:rPr>
          <w:spacing w:val="2"/>
          <w:w w:val="99"/>
        </w:rPr>
        <w:t>工</w:t>
      </w:r>
      <w:r>
        <w:rPr>
          <w:w w:val="99"/>
        </w:rPr>
        <w:t>作</w:t>
      </w:r>
      <w:r>
        <w:rPr>
          <w:spacing w:val="2"/>
          <w:w w:val="99"/>
        </w:rPr>
        <w:t>报</w:t>
      </w:r>
      <w:r>
        <w:rPr>
          <w:w w:val="99"/>
        </w:rPr>
        <w:t>告</w:t>
      </w:r>
      <w:r>
        <w:rPr>
          <w:spacing w:val="2"/>
          <w:w w:val="99"/>
        </w:rPr>
        <w:t>的</w:t>
      </w:r>
      <w:r>
        <w:rPr>
          <w:w w:val="99"/>
        </w:rPr>
        <w:t>议案</w:t>
      </w:r>
      <w:r>
        <w:rPr>
          <w:spacing w:val="-104"/>
          <w:w w:val="99"/>
        </w:rPr>
        <w:t>》</w:t>
      </w:r>
      <w:r>
        <w:rPr>
          <w:spacing w:val="2"/>
          <w:w w:val="99"/>
        </w:rPr>
        <w:t>（</w:t>
      </w:r>
      <w:r>
        <w:rPr>
          <w:w w:val="99"/>
        </w:rPr>
        <w:t>王</w:t>
      </w:r>
      <w:r>
        <w:rPr>
          <w:spacing w:val="2"/>
          <w:w w:val="99"/>
        </w:rPr>
        <w:t>绍</w:t>
      </w:r>
      <w:r>
        <w:rPr>
          <w:w w:val="99"/>
        </w:rPr>
        <w:t>东）</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8</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独</w:t>
      </w:r>
      <w:r>
        <w:rPr>
          <w:w w:val="99"/>
        </w:rPr>
        <w:t>立</w:t>
      </w:r>
      <w:r>
        <w:rPr>
          <w:spacing w:val="2"/>
          <w:w w:val="99"/>
        </w:rPr>
        <w:t>董</w:t>
      </w:r>
      <w:r>
        <w:rPr>
          <w:w w:val="99"/>
        </w:rPr>
        <w:t>事</w:t>
      </w:r>
      <w:r>
        <w:rPr>
          <w:spacing w:val="2"/>
          <w:w w:val="99"/>
        </w:rPr>
        <w:t>工</w:t>
      </w:r>
      <w:r>
        <w:rPr>
          <w:w w:val="99"/>
        </w:rPr>
        <w:t>作</w:t>
      </w:r>
      <w:r>
        <w:rPr>
          <w:spacing w:val="2"/>
          <w:w w:val="99"/>
        </w:rPr>
        <w:t>报</w:t>
      </w:r>
      <w:r>
        <w:rPr>
          <w:w w:val="99"/>
        </w:rPr>
        <w:t>告</w:t>
      </w:r>
      <w:r>
        <w:rPr>
          <w:spacing w:val="2"/>
          <w:w w:val="99"/>
        </w:rPr>
        <w:t>的</w:t>
      </w:r>
      <w:r>
        <w:rPr>
          <w:w w:val="99"/>
        </w:rPr>
        <w:t>议案</w:t>
      </w:r>
      <w:r>
        <w:rPr>
          <w:spacing w:val="-104"/>
          <w:w w:val="99"/>
        </w:rPr>
        <w:t>》</w:t>
      </w:r>
      <w:r>
        <w:rPr>
          <w:spacing w:val="2"/>
          <w:w w:val="99"/>
        </w:rPr>
        <w:t>（</w:t>
      </w:r>
      <w:r>
        <w:rPr>
          <w:w w:val="99"/>
        </w:rPr>
        <w:t>王</w:t>
      </w:r>
      <w:r>
        <w:rPr>
          <w:spacing w:val="2"/>
          <w:w w:val="99"/>
        </w:rPr>
        <w:t>贤</w:t>
      </w:r>
      <w:r>
        <w:rPr>
          <w:w w:val="99"/>
        </w:rPr>
        <w:t>安）</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9</w:t>
      </w:r>
      <w:r>
        <w:rPr>
          <w:spacing w:val="-106"/>
          <w:w w:val="99"/>
        </w:rPr>
        <w:t>）</w:t>
      </w:r>
      <w:r>
        <w:rPr>
          <w:spacing w:val="2"/>
          <w:w w:val="99"/>
        </w:rPr>
        <w:t>《</w:t>
      </w:r>
      <w:r>
        <w:rPr>
          <w:w w:val="99"/>
        </w:rPr>
        <w:t>关</w:t>
      </w:r>
      <w:r>
        <w:rPr>
          <w:spacing w:val="2"/>
          <w:w w:val="99"/>
        </w:rPr>
        <w:t>于</w:t>
      </w:r>
      <w:r>
        <w:rPr>
          <w:w w:val="99"/>
        </w:rPr>
        <w:t>聘</w:t>
      </w:r>
      <w:r>
        <w:rPr>
          <w:spacing w:val="2"/>
          <w:w w:val="99"/>
        </w:rPr>
        <w:t>请</w:t>
      </w:r>
      <w:r>
        <w:rPr>
          <w:w w:val="99"/>
        </w:rPr>
        <w:t>公司</w:t>
      </w:r>
      <w:r>
        <w:rPr>
          <w:spacing w:val="-50"/>
        </w:rPr>
        <w:t> </w:t>
      </w:r>
      <w:r>
        <w:rPr>
          <w:spacing w:val="1"/>
          <w:w w:val="99"/>
        </w:rPr>
        <w:t>20</w:t>
      </w:r>
      <w:r>
        <w:rPr>
          <w:spacing w:val="-2"/>
          <w:w w:val="99"/>
        </w:rPr>
        <w:t>1</w:t>
      </w:r>
      <w:r>
        <w:rPr>
          <w:w w:val="99"/>
        </w:rPr>
        <w:t>1</w:t>
      </w:r>
      <w:r>
        <w:rPr>
          <w:spacing w:val="-51"/>
        </w:rPr>
        <w:t> </w:t>
      </w:r>
      <w:r>
        <w:rPr>
          <w:spacing w:val="2"/>
          <w:w w:val="99"/>
        </w:rPr>
        <w:t>年</w:t>
      </w:r>
      <w:r>
        <w:rPr>
          <w:w w:val="99"/>
        </w:rPr>
        <w:t>度</w:t>
      </w:r>
      <w:r>
        <w:rPr>
          <w:spacing w:val="2"/>
          <w:w w:val="99"/>
        </w:rPr>
        <w:t>审</w:t>
      </w:r>
      <w:r>
        <w:rPr>
          <w:w w:val="99"/>
        </w:rPr>
        <w:t>计</w:t>
      </w:r>
      <w:r>
        <w:rPr>
          <w:spacing w:val="2"/>
          <w:w w:val="99"/>
        </w:rPr>
        <w:t>机</w:t>
      </w:r>
      <w:r>
        <w:rPr>
          <w:w w:val="99"/>
        </w:rPr>
        <w:t>构</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1</w:t>
      </w:r>
      <w:r>
        <w:rPr>
          <w:spacing w:val="-2"/>
          <w:w w:val="99"/>
        </w:rPr>
        <w:t>0</w:t>
      </w:r>
      <w:r>
        <w:rPr>
          <w:spacing w:val="-104"/>
          <w:w w:val="99"/>
        </w:rPr>
        <w:t>）</w:t>
      </w:r>
      <w:r>
        <w:rPr>
          <w:spacing w:val="2"/>
          <w:w w:val="99"/>
        </w:rPr>
        <w:t>《</w:t>
      </w:r>
      <w:r>
        <w:rPr>
          <w:w w:val="99"/>
        </w:rPr>
        <w:t>关</w:t>
      </w:r>
      <w:r>
        <w:rPr>
          <w:spacing w:val="2"/>
          <w:w w:val="99"/>
        </w:rPr>
        <w:t>于</w:t>
      </w:r>
      <w:r>
        <w:rPr>
          <w:w w:val="99"/>
        </w:rPr>
        <w:t>决</w:t>
      </w:r>
      <w:r>
        <w:rPr>
          <w:spacing w:val="2"/>
          <w:w w:val="99"/>
        </w:rPr>
        <w:t>定</w:t>
      </w:r>
      <w:r>
        <w:rPr>
          <w:w w:val="99"/>
        </w:rPr>
        <w:t>公</w:t>
      </w:r>
      <w:r>
        <w:rPr>
          <w:spacing w:val="2"/>
          <w:w w:val="99"/>
        </w:rPr>
        <w:t>司</w:t>
      </w:r>
      <w:r>
        <w:rPr>
          <w:w w:val="99"/>
        </w:rPr>
        <w:t>独</w:t>
      </w:r>
      <w:r>
        <w:rPr>
          <w:spacing w:val="2"/>
          <w:w w:val="99"/>
        </w:rPr>
        <w:t>立</w:t>
      </w:r>
      <w:r>
        <w:rPr>
          <w:w w:val="99"/>
        </w:rPr>
        <w:t>董事</w:t>
      </w:r>
      <w:r>
        <w:rPr>
          <w:spacing w:val="-53"/>
        </w:rPr>
        <w:t> </w:t>
      </w:r>
      <w:r>
        <w:rPr>
          <w:spacing w:val="1"/>
          <w:w w:val="99"/>
        </w:rPr>
        <w:t>201</w:t>
      </w:r>
      <w:r>
        <w:rPr>
          <w:w w:val="99"/>
        </w:rPr>
        <w:t>1</w:t>
      </w:r>
      <w:r>
        <w:rPr>
          <w:spacing w:val="-54"/>
        </w:rPr>
        <w:t> </w:t>
      </w:r>
      <w:r>
        <w:rPr>
          <w:spacing w:val="2"/>
          <w:w w:val="99"/>
        </w:rPr>
        <w:t>年</w:t>
      </w:r>
      <w:r>
        <w:rPr>
          <w:w w:val="99"/>
        </w:rPr>
        <w:t>度</w:t>
      </w:r>
      <w:r>
        <w:rPr>
          <w:spacing w:val="2"/>
          <w:w w:val="99"/>
        </w:rPr>
        <w:t>津</w:t>
      </w:r>
      <w:r>
        <w:rPr>
          <w:w w:val="99"/>
        </w:rPr>
        <w:t>贴</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spacing w:line="420" w:lineRule="auto" w:before="0"/>
        <w:ind w:left="535" w:right="4703"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10"/>
          <w:w w:val="99"/>
          <w:sz w:val="21"/>
          <w:szCs w:val="21"/>
        </w:rPr>
        <w:t>（11）《关于召开公司</w:t>
      </w:r>
      <w:r>
        <w:rPr>
          <w:rFonts w:ascii="宋体" w:hAnsi="宋体" w:cs="宋体" w:eastAsia="宋体" w:hint="default"/>
          <w:spacing w:val="-47"/>
          <w:w w:val="99"/>
          <w:sz w:val="21"/>
          <w:szCs w:val="21"/>
        </w:rPr>
        <w:t> </w:t>
      </w:r>
      <w:r>
        <w:rPr>
          <w:rFonts w:ascii="宋体" w:hAnsi="宋体" w:cs="宋体" w:eastAsia="宋体" w:hint="default"/>
          <w:w w:val="99"/>
          <w:sz w:val="21"/>
          <w:szCs w:val="21"/>
        </w:rPr>
        <w:t>2010</w:t>
      </w:r>
      <w:r>
        <w:rPr>
          <w:rFonts w:ascii="宋体" w:hAnsi="宋体" w:cs="宋体" w:eastAsia="宋体" w:hint="default"/>
          <w:spacing w:val="-48"/>
          <w:w w:val="99"/>
          <w:sz w:val="21"/>
          <w:szCs w:val="21"/>
        </w:rPr>
        <w:t> </w:t>
      </w:r>
      <w:r>
        <w:rPr>
          <w:rFonts w:ascii="宋体" w:hAnsi="宋体" w:cs="宋体" w:eastAsia="宋体" w:hint="default"/>
          <w:spacing w:val="1"/>
          <w:w w:val="99"/>
          <w:sz w:val="21"/>
          <w:szCs w:val="21"/>
        </w:rPr>
        <w:t>年度股东大会的议案》</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4、第一届董事会第十七次会议</w:t>
      </w:r>
      <w:r>
        <w:rPr>
          <w:rFonts w:ascii="Microsoft JhengHei" w:hAnsi="Microsoft JhengHei" w:cs="Microsoft JhengHei" w:eastAsia="Microsoft JhengHei" w:hint="default"/>
          <w:sz w:val="21"/>
          <w:szCs w:val="21"/>
        </w:rPr>
      </w:r>
    </w:p>
    <w:p>
      <w:pPr>
        <w:pStyle w:val="BodyText"/>
        <w:spacing w:line="338" w:lineRule="auto" w:before="39"/>
        <w:ind w:right="106" w:firstLine="422"/>
        <w:jc w:val="left"/>
      </w:pPr>
      <w:r>
        <w:rPr/>
        <w:t>2011</w:t>
      </w:r>
      <w:r>
        <w:rPr>
          <w:spacing w:val="-53"/>
        </w:rPr>
        <w:t> </w:t>
      </w:r>
      <w:r>
        <w:rPr/>
        <w:t>年</w:t>
      </w:r>
      <w:r>
        <w:rPr>
          <w:spacing w:val="-55"/>
        </w:rPr>
        <w:t> </w:t>
      </w:r>
      <w:r>
        <w:rPr/>
        <w:t>7</w:t>
      </w:r>
      <w:r>
        <w:rPr>
          <w:spacing w:val="-53"/>
        </w:rPr>
        <w:t> </w:t>
      </w:r>
      <w:r>
        <w:rPr/>
        <w:t>月</w:t>
      </w:r>
      <w:r>
        <w:rPr>
          <w:spacing w:val="-52"/>
        </w:rPr>
        <w:t> </w:t>
      </w:r>
      <w:r>
        <w:rPr/>
        <w:t>25</w:t>
      </w:r>
      <w:r>
        <w:rPr>
          <w:spacing w:val="-53"/>
        </w:rPr>
        <w:t> </w:t>
      </w:r>
      <w:r>
        <w:rPr/>
        <w:t>日，第一届董事会第十七次会议在公司会议室召开，应到董事</w:t>
      </w:r>
      <w:r>
        <w:rPr>
          <w:spacing w:val="-32"/>
        </w:rPr>
        <w:t> </w:t>
      </w:r>
      <w:r>
        <w:rPr/>
        <w:t>7</w:t>
      </w:r>
      <w:r>
        <w:rPr>
          <w:spacing w:val="-53"/>
        </w:rPr>
        <w:t> </w:t>
      </w:r>
      <w:r>
        <w:rPr/>
        <w:t>人，实到董事</w:t>
      </w:r>
      <w:r>
        <w:rPr>
          <w:spacing w:val="-50"/>
        </w:rPr>
        <w:t> </w:t>
      </w:r>
      <w:r>
        <w:rPr/>
        <w:t>7</w:t>
      </w:r>
      <w:r>
        <w:rPr>
          <w:spacing w:val="-53"/>
        </w:rPr>
        <w:t> </w:t>
      </w:r>
      <w:r>
        <w:rPr/>
        <w:t>人，</w:t>
      </w:r>
      <w:r>
        <w:rPr>
          <w:w w:val="99"/>
        </w:rPr>
        <w:t> </w:t>
      </w:r>
      <w:r>
        <w:rPr/>
        <w:t>审议通过以下议案：</w:t>
      </w:r>
    </w:p>
    <w:p>
      <w:pPr>
        <w:spacing w:line="240" w:lineRule="auto" w:before="3"/>
        <w:rPr>
          <w:rFonts w:ascii="宋体" w:hAnsi="宋体" w:cs="宋体" w:eastAsia="宋体" w:hint="default"/>
          <w:sz w:val="14"/>
          <w:szCs w:val="14"/>
        </w:rPr>
      </w:pPr>
    </w:p>
    <w:p>
      <w:pPr>
        <w:spacing w:line="417" w:lineRule="auto" w:before="0"/>
        <w:ind w:left="535" w:right="5543"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5"/>
          <w:w w:val="99"/>
          <w:sz w:val="21"/>
          <w:szCs w:val="21"/>
        </w:rPr>
        <w:t>（1）《关于公司设立成都分公司的议案》</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Microsoft JhengHei" w:hAnsi="Microsoft JhengHei" w:cs="Microsoft JhengHei" w:eastAsia="Microsoft JhengHei" w:hint="default"/>
          <w:b/>
          <w:bCs/>
          <w:sz w:val="21"/>
          <w:szCs w:val="21"/>
        </w:rPr>
        <w:t>5、第一届董事会第十八次会议</w:t>
      </w:r>
      <w:r>
        <w:rPr>
          <w:rFonts w:ascii="Microsoft JhengHei" w:hAnsi="Microsoft JhengHei" w:cs="Microsoft JhengHei" w:eastAsia="Microsoft JhengHei" w:hint="default"/>
          <w:sz w:val="21"/>
          <w:szCs w:val="21"/>
        </w:rPr>
      </w:r>
    </w:p>
    <w:p>
      <w:pPr>
        <w:pStyle w:val="BodyText"/>
        <w:spacing w:line="340" w:lineRule="auto" w:before="39"/>
        <w:ind w:right="104" w:firstLine="422"/>
        <w:jc w:val="left"/>
      </w:pPr>
      <w:r>
        <w:rPr/>
        <w:t>2011</w:t>
      </w:r>
      <w:r>
        <w:rPr>
          <w:spacing w:val="-56"/>
        </w:rPr>
        <w:t> </w:t>
      </w:r>
      <w:r>
        <w:rPr/>
        <w:t>年</w:t>
      </w:r>
      <w:r>
        <w:rPr>
          <w:spacing w:val="-52"/>
        </w:rPr>
        <w:t> </w:t>
      </w:r>
      <w:r>
        <w:rPr/>
        <w:t>9</w:t>
      </w:r>
      <w:r>
        <w:rPr>
          <w:spacing w:val="-56"/>
        </w:rPr>
        <w:t> </w:t>
      </w:r>
      <w:r>
        <w:rPr/>
        <w:t>月</w:t>
      </w:r>
      <w:r>
        <w:rPr>
          <w:spacing w:val="-52"/>
        </w:rPr>
        <w:t> </w:t>
      </w:r>
      <w:r>
        <w:rPr/>
        <w:t>8</w:t>
      </w:r>
      <w:r>
        <w:rPr>
          <w:spacing w:val="-53"/>
        </w:rPr>
        <w:t> </w:t>
      </w:r>
      <w:r>
        <w:rPr/>
        <w:t>日，第一届董事会第十八次会议在公司会议室召开，应到董事</w:t>
      </w:r>
      <w:r>
        <w:rPr>
          <w:spacing w:val="-52"/>
        </w:rPr>
        <w:t> </w:t>
      </w:r>
      <w:r>
        <w:rPr/>
        <w:t>7</w:t>
      </w:r>
      <w:r>
        <w:rPr>
          <w:spacing w:val="-53"/>
        </w:rPr>
        <w:t> </w:t>
      </w:r>
      <w:r>
        <w:rPr/>
        <w:t>人，实到董事</w:t>
      </w:r>
      <w:r>
        <w:rPr>
          <w:spacing w:val="-55"/>
        </w:rPr>
        <w:t> </w:t>
      </w:r>
      <w:r>
        <w:rPr/>
        <w:t>7</w:t>
      </w:r>
      <w:r>
        <w:rPr>
          <w:spacing w:val="-53"/>
        </w:rPr>
        <w:t> </w:t>
      </w:r>
      <w:r>
        <w:rPr>
          <w:spacing w:val="-25"/>
        </w:rPr>
        <w:t>人，审</w:t>
      </w:r>
      <w:r>
        <w:rPr>
          <w:w w:val="99"/>
        </w:rPr>
        <w:t> </w:t>
      </w:r>
      <w:r>
        <w:rPr/>
        <w:t>议通过以下议案：</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w w:val="99"/>
        </w:rPr>
        <w:t>（</w:t>
      </w:r>
      <w:r>
        <w:rPr>
          <w:spacing w:val="1"/>
          <w:w w:val="99"/>
        </w:rPr>
        <w:t>1</w:t>
      </w:r>
      <w:r>
        <w:rPr>
          <w:spacing w:val="-106"/>
          <w:w w:val="99"/>
        </w:rPr>
        <w:t>）</w:t>
      </w:r>
      <w:r>
        <w:rPr>
          <w:spacing w:val="2"/>
          <w:w w:val="99"/>
        </w:rPr>
        <w:t>《关</w:t>
      </w:r>
      <w:r>
        <w:rPr>
          <w:w w:val="99"/>
        </w:rPr>
        <w:t>于</w:t>
      </w:r>
      <w:r>
        <w:rPr>
          <w:spacing w:val="2"/>
          <w:w w:val="99"/>
        </w:rPr>
        <w:t>公</w:t>
      </w:r>
      <w:r>
        <w:rPr>
          <w:w w:val="99"/>
        </w:rPr>
        <w:t>司</w:t>
      </w:r>
      <w:r>
        <w:rPr>
          <w:spacing w:val="2"/>
          <w:w w:val="99"/>
        </w:rPr>
        <w:t>设</w:t>
      </w:r>
      <w:r>
        <w:rPr>
          <w:w w:val="99"/>
        </w:rPr>
        <w:t>立</w:t>
      </w:r>
      <w:r>
        <w:rPr>
          <w:spacing w:val="2"/>
          <w:w w:val="99"/>
        </w:rPr>
        <w:t>募</w:t>
      </w:r>
      <w:r>
        <w:rPr>
          <w:w w:val="99"/>
        </w:rPr>
        <w:t>集</w:t>
      </w:r>
      <w:r>
        <w:rPr>
          <w:spacing w:val="2"/>
          <w:w w:val="99"/>
        </w:rPr>
        <w:t>资</w:t>
      </w:r>
      <w:r>
        <w:rPr>
          <w:w w:val="99"/>
        </w:rPr>
        <w:t>金</w:t>
      </w:r>
      <w:r>
        <w:rPr>
          <w:spacing w:val="2"/>
          <w:w w:val="99"/>
        </w:rPr>
        <w:t>专</w:t>
      </w:r>
      <w:r>
        <w:rPr>
          <w:w w:val="99"/>
        </w:rPr>
        <w:t>项</w:t>
      </w:r>
      <w:r>
        <w:rPr>
          <w:spacing w:val="2"/>
          <w:w w:val="99"/>
        </w:rPr>
        <w:t>账</w:t>
      </w:r>
      <w:r>
        <w:rPr>
          <w:w w:val="99"/>
        </w:rPr>
        <w:t>户</w:t>
      </w:r>
      <w:r>
        <w:rPr>
          <w:spacing w:val="2"/>
          <w:w w:val="99"/>
        </w:rPr>
        <w:t>的</w:t>
      </w:r>
      <w:r>
        <w:rPr>
          <w:w w:val="99"/>
        </w:rPr>
        <w:t>议</w:t>
      </w:r>
      <w:r>
        <w:rPr>
          <w:spacing w:val="2"/>
          <w:w w:val="99"/>
        </w:rPr>
        <w:t>案</w:t>
      </w:r>
      <w:r>
        <w:rPr>
          <w:w w:val="99"/>
        </w:rPr>
        <w:t>》</w:t>
      </w:r>
      <w:r>
        <w:rPr/>
      </w:r>
    </w:p>
    <w:p>
      <w:pPr>
        <w:spacing w:line="240" w:lineRule="auto" w:before="11"/>
        <w:rPr>
          <w:rFonts w:ascii="宋体" w:hAnsi="宋体" w:cs="宋体" w:eastAsia="宋体" w:hint="default"/>
          <w:sz w:val="20"/>
          <w:szCs w:val="20"/>
        </w:rPr>
      </w:pPr>
    </w:p>
    <w:p>
      <w:pPr>
        <w:spacing w:line="417" w:lineRule="auto" w:before="0"/>
        <w:ind w:left="535" w:right="4909"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4"/>
          <w:w w:val="99"/>
          <w:sz w:val="21"/>
          <w:szCs w:val="21"/>
        </w:rPr>
        <w:t>（2）《关于签署募集资金三方监管协议的议案》</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6、第一届董事会第十九次会议</w:t>
      </w:r>
      <w:r>
        <w:rPr>
          <w:rFonts w:ascii="Microsoft JhengHei" w:hAnsi="Microsoft JhengHei" w:cs="Microsoft JhengHei" w:eastAsia="Microsoft JhengHei" w:hint="default"/>
          <w:sz w:val="21"/>
          <w:szCs w:val="21"/>
        </w:rPr>
      </w:r>
    </w:p>
    <w:p>
      <w:pPr>
        <w:pStyle w:val="BodyText"/>
        <w:spacing w:line="340" w:lineRule="auto" w:before="42"/>
        <w:ind w:right="104" w:firstLine="422"/>
        <w:jc w:val="left"/>
      </w:pPr>
      <w:r>
        <w:rPr/>
        <w:t>2011</w:t>
      </w:r>
      <w:r>
        <w:rPr>
          <w:spacing w:val="-64"/>
        </w:rPr>
        <w:t> </w:t>
      </w:r>
      <w:r>
        <w:rPr/>
        <w:t>年</w:t>
      </w:r>
      <w:r>
        <w:rPr>
          <w:spacing w:val="-60"/>
        </w:rPr>
        <w:t> </w:t>
      </w:r>
      <w:r>
        <w:rPr/>
        <w:t>10</w:t>
      </w:r>
      <w:r>
        <w:rPr>
          <w:spacing w:val="-64"/>
        </w:rPr>
        <w:t> </w:t>
      </w:r>
      <w:r>
        <w:rPr/>
        <w:t>月</w:t>
      </w:r>
      <w:r>
        <w:rPr>
          <w:spacing w:val="-60"/>
        </w:rPr>
        <w:t> </w:t>
      </w:r>
      <w:r>
        <w:rPr/>
        <w:t>25</w:t>
      </w:r>
      <w:r>
        <w:rPr>
          <w:spacing w:val="-64"/>
        </w:rPr>
        <w:t> </w:t>
      </w:r>
      <w:r>
        <w:rPr/>
        <w:t>日，第一届董事会第十九次会议在公司会议室召开，应到董事</w:t>
      </w:r>
      <w:r>
        <w:rPr>
          <w:spacing w:val="-60"/>
        </w:rPr>
        <w:t> </w:t>
      </w:r>
      <w:r>
        <w:rPr/>
        <w:t>7</w:t>
      </w:r>
      <w:r>
        <w:rPr>
          <w:spacing w:val="-61"/>
        </w:rPr>
        <w:t> </w:t>
      </w:r>
      <w:r>
        <w:rPr/>
        <w:t>人，实到董事</w:t>
      </w:r>
      <w:r>
        <w:rPr>
          <w:spacing w:val="-63"/>
        </w:rPr>
        <w:t> </w:t>
      </w:r>
      <w:r>
        <w:rPr/>
        <w:t>7</w:t>
      </w:r>
      <w:r>
        <w:rPr>
          <w:spacing w:val="-61"/>
        </w:rPr>
        <w:t> </w:t>
      </w:r>
      <w:r>
        <w:rPr/>
        <w:t>人，</w:t>
      </w:r>
      <w:r>
        <w:rPr>
          <w:w w:val="63"/>
        </w:rPr>
        <w:t> </w:t>
      </w:r>
      <w:r>
        <w:rPr/>
        <w:t>审议通过以下议案：</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w w:val="99"/>
        </w:rPr>
        <w:t>（</w:t>
      </w:r>
      <w:r>
        <w:rPr>
          <w:spacing w:val="1"/>
          <w:w w:val="99"/>
        </w:rPr>
        <w:t>1</w:t>
      </w:r>
      <w:r>
        <w:rPr>
          <w:spacing w:val="-106"/>
          <w:w w:val="99"/>
        </w:rPr>
        <w:t>）</w:t>
      </w:r>
      <w:r>
        <w:rPr>
          <w:spacing w:val="2"/>
          <w:w w:val="99"/>
        </w:rPr>
        <w:t>《</w:t>
      </w:r>
      <w:r>
        <w:rPr>
          <w:w w:val="99"/>
        </w:rPr>
        <w:t>关</w:t>
      </w:r>
      <w:r>
        <w:rPr>
          <w:spacing w:val="2"/>
          <w:w w:val="99"/>
        </w:rPr>
        <w:t>于</w:t>
      </w:r>
      <w:r>
        <w:rPr>
          <w:w w:val="99"/>
        </w:rPr>
        <w:t>公司</w:t>
      </w:r>
      <w:r>
        <w:rPr>
          <w:spacing w:val="-50"/>
        </w:rPr>
        <w:t> </w:t>
      </w:r>
      <w:r>
        <w:rPr>
          <w:spacing w:val="1"/>
          <w:w w:val="99"/>
        </w:rPr>
        <w:t>20</w:t>
      </w:r>
      <w:r>
        <w:rPr>
          <w:spacing w:val="-2"/>
          <w:w w:val="99"/>
        </w:rPr>
        <w:t>1</w:t>
      </w:r>
      <w:r>
        <w:rPr>
          <w:w w:val="99"/>
        </w:rPr>
        <w:t>1</w:t>
      </w:r>
      <w:r>
        <w:rPr>
          <w:spacing w:val="-51"/>
        </w:rPr>
        <w:t> </w:t>
      </w:r>
      <w:r>
        <w:rPr>
          <w:spacing w:val="2"/>
          <w:w w:val="99"/>
        </w:rPr>
        <w:t>年</w:t>
      </w:r>
      <w:r>
        <w:rPr>
          <w:w w:val="99"/>
        </w:rPr>
        <w:t>第</w:t>
      </w:r>
      <w:r>
        <w:rPr>
          <w:spacing w:val="2"/>
          <w:w w:val="99"/>
        </w:rPr>
        <w:t>三</w:t>
      </w:r>
      <w:r>
        <w:rPr>
          <w:w w:val="99"/>
        </w:rPr>
        <w:t>季</w:t>
      </w:r>
      <w:r>
        <w:rPr>
          <w:spacing w:val="2"/>
          <w:w w:val="99"/>
        </w:rPr>
        <w:t>度</w:t>
      </w:r>
      <w:r>
        <w:rPr>
          <w:w w:val="99"/>
        </w:rPr>
        <w:t>报</w:t>
      </w:r>
      <w:r>
        <w:rPr>
          <w:spacing w:val="2"/>
          <w:w w:val="99"/>
        </w:rPr>
        <w:t>告</w:t>
      </w:r>
      <w:r>
        <w:rPr>
          <w:w w:val="99"/>
        </w:rPr>
        <w:t>的</w:t>
      </w:r>
      <w:r>
        <w:rPr>
          <w:spacing w:val="2"/>
          <w:w w:val="99"/>
        </w:rPr>
        <w:t>议</w:t>
      </w:r>
      <w:r>
        <w:rPr>
          <w:w w:val="99"/>
        </w:rPr>
        <w:t>案</w:t>
      </w:r>
      <w:r>
        <w:rPr>
          <w:spacing w:val="-104"/>
          <w:w w:val="99"/>
        </w:rPr>
        <w:t>》</w:t>
      </w:r>
      <w:r>
        <w:rPr>
          <w:w w:val="99"/>
        </w:rPr>
        <w:t>。</w:t>
      </w:r>
      <w:r>
        <w:rPr/>
      </w:r>
    </w:p>
    <w:p>
      <w:pPr>
        <w:spacing w:line="240" w:lineRule="auto" w:before="11"/>
        <w:rPr>
          <w:rFonts w:ascii="宋体" w:hAnsi="宋体" w:cs="宋体" w:eastAsia="宋体" w:hint="default"/>
          <w:sz w:val="20"/>
          <w:szCs w:val="20"/>
        </w:rPr>
      </w:pPr>
    </w:p>
    <w:p>
      <w:pPr>
        <w:spacing w:line="417" w:lineRule="auto" w:before="0"/>
        <w:ind w:left="535" w:right="0"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3"/>
          <w:w w:val="99"/>
          <w:sz w:val="21"/>
          <w:szCs w:val="21"/>
        </w:rPr>
        <w:t>（2）《关于使用募集资金置换预先已投入募集资金投资项目的自筹资金的议案》</w:t>
      </w:r>
      <w:r>
        <w:rPr>
          <w:rFonts w:ascii="宋体" w:hAnsi="宋体" w:cs="宋体" w:eastAsia="宋体" w:hint="default"/>
          <w:spacing w:val="-70"/>
          <w:w w:val="99"/>
          <w:sz w:val="21"/>
          <w:szCs w:val="21"/>
        </w:rPr>
        <w:t> </w:t>
      </w:r>
      <w:r>
        <w:rPr>
          <w:rFonts w:ascii="宋体" w:hAnsi="宋体" w:cs="宋体" w:eastAsia="宋体" w:hint="default"/>
          <w:spacing w:val="-70"/>
          <w:w w:val="99"/>
          <w:sz w:val="21"/>
          <w:szCs w:val="21"/>
        </w:rPr>
      </w:r>
      <w:r>
        <w:rPr>
          <w:rFonts w:ascii="Microsoft JhengHei" w:hAnsi="Microsoft JhengHei" w:cs="Microsoft JhengHei" w:eastAsia="Microsoft JhengHei" w:hint="default"/>
          <w:b/>
          <w:bCs/>
          <w:sz w:val="21"/>
          <w:szCs w:val="21"/>
        </w:rPr>
        <w:t>7、第一届董事会第二十次会议</w:t>
      </w:r>
      <w:r>
        <w:rPr>
          <w:rFonts w:ascii="Microsoft JhengHei" w:hAnsi="Microsoft JhengHei" w:cs="Microsoft JhengHei" w:eastAsia="Microsoft JhengHei" w:hint="default"/>
          <w:sz w:val="21"/>
          <w:szCs w:val="21"/>
        </w:rPr>
      </w:r>
    </w:p>
    <w:p>
      <w:pPr>
        <w:pStyle w:val="BodyText"/>
        <w:spacing w:line="338" w:lineRule="auto" w:before="42"/>
        <w:ind w:right="104" w:firstLine="422"/>
        <w:jc w:val="left"/>
      </w:pPr>
      <w:r>
        <w:rPr/>
        <w:t>2011</w:t>
      </w:r>
      <w:r>
        <w:rPr>
          <w:spacing w:val="-64"/>
        </w:rPr>
        <w:t> </w:t>
      </w:r>
      <w:r>
        <w:rPr/>
        <w:t>年</w:t>
      </w:r>
      <w:r>
        <w:rPr>
          <w:spacing w:val="-60"/>
        </w:rPr>
        <w:t> </w:t>
      </w:r>
      <w:r>
        <w:rPr/>
        <w:t>11</w:t>
      </w:r>
      <w:r>
        <w:rPr>
          <w:spacing w:val="-64"/>
        </w:rPr>
        <w:t> </w:t>
      </w:r>
      <w:r>
        <w:rPr/>
        <w:t>月</w:t>
      </w:r>
      <w:r>
        <w:rPr>
          <w:spacing w:val="-60"/>
        </w:rPr>
        <w:t> </w:t>
      </w:r>
      <w:r>
        <w:rPr/>
        <w:t>28</w:t>
      </w:r>
      <w:r>
        <w:rPr>
          <w:spacing w:val="-64"/>
        </w:rPr>
        <w:t> </w:t>
      </w:r>
      <w:r>
        <w:rPr/>
        <w:t>日，第一届董事会第二十次会议在公司会议室召开，应到董事</w:t>
      </w:r>
      <w:r>
        <w:rPr>
          <w:spacing w:val="-60"/>
        </w:rPr>
        <w:t> </w:t>
      </w:r>
      <w:r>
        <w:rPr/>
        <w:t>7</w:t>
      </w:r>
      <w:r>
        <w:rPr>
          <w:spacing w:val="-61"/>
        </w:rPr>
        <w:t> </w:t>
      </w:r>
      <w:r>
        <w:rPr/>
        <w:t>人，实到董事</w:t>
      </w:r>
      <w:r>
        <w:rPr>
          <w:spacing w:val="-63"/>
        </w:rPr>
        <w:t> </w:t>
      </w:r>
      <w:r>
        <w:rPr/>
        <w:t>7</w:t>
      </w:r>
      <w:r>
        <w:rPr>
          <w:spacing w:val="-61"/>
        </w:rPr>
        <w:t> </w:t>
      </w:r>
      <w:r>
        <w:rPr/>
        <w:t>人，</w:t>
      </w:r>
      <w:r>
        <w:rPr>
          <w:w w:val="63"/>
        </w:rPr>
        <w:t> </w:t>
      </w:r>
      <w:r>
        <w:rPr/>
        <w:t>审议通过以下议案：</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w w:val="99"/>
        </w:rPr>
        <w:t>（</w:t>
      </w:r>
      <w:r>
        <w:rPr>
          <w:spacing w:val="1"/>
          <w:w w:val="99"/>
        </w:rPr>
        <w:t>1</w:t>
      </w:r>
      <w:r>
        <w:rPr>
          <w:spacing w:val="-106"/>
          <w:w w:val="99"/>
        </w:rPr>
        <w:t>）</w:t>
      </w:r>
      <w:r>
        <w:rPr>
          <w:spacing w:val="2"/>
          <w:w w:val="99"/>
        </w:rPr>
        <w:t>《</w:t>
      </w:r>
      <w:r>
        <w:rPr>
          <w:w w:val="99"/>
        </w:rPr>
        <w:t>关</w:t>
      </w:r>
      <w:r>
        <w:rPr>
          <w:spacing w:val="2"/>
          <w:w w:val="99"/>
        </w:rPr>
        <w:t>于</w:t>
      </w:r>
      <w:r>
        <w:rPr>
          <w:w w:val="99"/>
        </w:rPr>
        <w:t>公</w:t>
      </w:r>
      <w:r>
        <w:rPr>
          <w:spacing w:val="2"/>
          <w:w w:val="99"/>
        </w:rPr>
        <w:t>司</w:t>
      </w:r>
      <w:r>
        <w:rPr>
          <w:w w:val="99"/>
        </w:rPr>
        <w:t>董</w:t>
      </w:r>
      <w:r>
        <w:rPr>
          <w:spacing w:val="2"/>
          <w:w w:val="99"/>
        </w:rPr>
        <w:t>事</w:t>
      </w:r>
      <w:r>
        <w:rPr>
          <w:w w:val="99"/>
        </w:rPr>
        <w:t>会</w:t>
      </w:r>
      <w:r>
        <w:rPr>
          <w:spacing w:val="2"/>
          <w:w w:val="99"/>
        </w:rPr>
        <w:t>换</w:t>
      </w:r>
      <w:r>
        <w:rPr>
          <w:w w:val="99"/>
        </w:rPr>
        <w:t>届</w:t>
      </w:r>
      <w:r>
        <w:rPr>
          <w:spacing w:val="2"/>
          <w:w w:val="99"/>
        </w:rPr>
        <w:t>选</w:t>
      </w:r>
      <w:r>
        <w:rPr>
          <w:w w:val="99"/>
        </w:rPr>
        <w:t>举</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2</w:t>
      </w:r>
      <w:r>
        <w:rPr>
          <w:spacing w:val="-106"/>
          <w:w w:val="99"/>
        </w:rPr>
        <w:t>）</w:t>
      </w:r>
      <w:r>
        <w:rPr>
          <w:spacing w:val="2"/>
          <w:w w:val="99"/>
        </w:rPr>
        <w:t>《</w:t>
      </w:r>
      <w:r>
        <w:rPr>
          <w:w w:val="99"/>
        </w:rPr>
        <w:t>关</w:t>
      </w:r>
      <w:r>
        <w:rPr>
          <w:spacing w:val="2"/>
          <w:w w:val="99"/>
        </w:rPr>
        <w:t>于</w:t>
      </w:r>
      <w:r>
        <w:rPr>
          <w:w w:val="99"/>
        </w:rPr>
        <w:t>撤</w:t>
      </w:r>
      <w:r>
        <w:rPr>
          <w:spacing w:val="2"/>
          <w:w w:val="99"/>
        </w:rPr>
        <w:t>销</w:t>
      </w:r>
      <w:r>
        <w:rPr>
          <w:w w:val="99"/>
        </w:rPr>
        <w:t>经</w:t>
      </w:r>
      <w:r>
        <w:rPr>
          <w:spacing w:val="2"/>
          <w:w w:val="99"/>
        </w:rPr>
        <w:t>营</w:t>
      </w:r>
      <w:r>
        <w:rPr>
          <w:w w:val="99"/>
        </w:rPr>
        <w:t>与</w:t>
      </w:r>
      <w:r>
        <w:rPr>
          <w:spacing w:val="2"/>
          <w:w w:val="99"/>
        </w:rPr>
        <w:t>决</w:t>
      </w:r>
      <w:r>
        <w:rPr>
          <w:w w:val="99"/>
        </w:rPr>
        <w:t>策</w:t>
      </w:r>
      <w:r>
        <w:rPr>
          <w:spacing w:val="2"/>
          <w:w w:val="99"/>
        </w:rPr>
        <w:t>委</w:t>
      </w:r>
      <w:r>
        <w:rPr>
          <w:w w:val="99"/>
        </w:rPr>
        <w:t>员</w:t>
      </w:r>
      <w:r>
        <w:rPr>
          <w:spacing w:val="2"/>
          <w:w w:val="99"/>
        </w:rPr>
        <w:t>会</w:t>
      </w:r>
      <w:r>
        <w:rPr>
          <w:w w:val="99"/>
        </w:rPr>
        <w:t>、</w:t>
      </w:r>
      <w:r>
        <w:rPr>
          <w:spacing w:val="2"/>
          <w:w w:val="99"/>
        </w:rPr>
        <w:t>战</w:t>
      </w:r>
      <w:r>
        <w:rPr>
          <w:w w:val="99"/>
        </w:rPr>
        <w:t>略</w:t>
      </w:r>
      <w:r>
        <w:rPr>
          <w:spacing w:val="2"/>
          <w:w w:val="99"/>
        </w:rPr>
        <w:t>委</w:t>
      </w:r>
      <w:r>
        <w:rPr>
          <w:w w:val="99"/>
        </w:rPr>
        <w:t>员</w:t>
      </w:r>
      <w:r>
        <w:rPr>
          <w:spacing w:val="2"/>
          <w:w w:val="99"/>
        </w:rPr>
        <w:t>会</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w w:val="99"/>
        </w:rPr>
        <w:t>（</w:t>
      </w:r>
      <w:r>
        <w:rPr>
          <w:spacing w:val="1"/>
          <w:w w:val="99"/>
        </w:rPr>
        <w:t>3</w:t>
      </w:r>
      <w:r>
        <w:rPr>
          <w:spacing w:val="-106"/>
          <w:w w:val="99"/>
        </w:rPr>
        <w:t>）</w:t>
      </w:r>
      <w:r>
        <w:rPr>
          <w:spacing w:val="2"/>
          <w:w w:val="99"/>
        </w:rPr>
        <w:t>《</w:t>
      </w:r>
      <w:r>
        <w:rPr>
          <w:w w:val="99"/>
        </w:rPr>
        <w:t>关</w:t>
      </w:r>
      <w:r>
        <w:rPr>
          <w:spacing w:val="2"/>
          <w:w w:val="99"/>
        </w:rPr>
        <w:t>于</w:t>
      </w:r>
      <w:r>
        <w:rPr>
          <w:w w:val="99"/>
        </w:rPr>
        <w:t>修</w:t>
      </w:r>
      <w:r>
        <w:rPr>
          <w:spacing w:val="2"/>
          <w:w w:val="99"/>
        </w:rPr>
        <w:t>订</w:t>
      </w:r>
      <w:r>
        <w:rPr>
          <w:spacing w:val="1"/>
          <w:w w:val="99"/>
        </w:rPr>
        <w:t>&lt;</w:t>
      </w:r>
      <w:r>
        <w:rPr>
          <w:spacing w:val="2"/>
          <w:w w:val="99"/>
        </w:rPr>
        <w:t>上</w:t>
      </w:r>
      <w:r>
        <w:rPr>
          <w:w w:val="99"/>
        </w:rPr>
        <w:t>海</w:t>
      </w:r>
      <w:r>
        <w:rPr>
          <w:spacing w:val="2"/>
          <w:w w:val="99"/>
        </w:rPr>
        <w:t>金</w:t>
      </w:r>
      <w:r>
        <w:rPr>
          <w:w w:val="99"/>
        </w:rPr>
        <w:t>仕</w:t>
      </w:r>
      <w:r>
        <w:rPr>
          <w:spacing w:val="2"/>
          <w:w w:val="99"/>
        </w:rPr>
        <w:t>达</w:t>
      </w:r>
      <w:r>
        <w:rPr>
          <w:w w:val="99"/>
        </w:rPr>
        <w:t>卫</w:t>
      </w:r>
      <w:r>
        <w:rPr>
          <w:spacing w:val="2"/>
          <w:w w:val="99"/>
        </w:rPr>
        <w:t>宁</w:t>
      </w:r>
      <w:r>
        <w:rPr>
          <w:w w:val="99"/>
        </w:rPr>
        <w:t>软</w:t>
      </w:r>
      <w:r>
        <w:rPr>
          <w:spacing w:val="2"/>
          <w:w w:val="99"/>
        </w:rPr>
        <w:t>件</w:t>
      </w:r>
      <w:r>
        <w:rPr>
          <w:w w:val="99"/>
        </w:rPr>
        <w:t>股</w:t>
      </w:r>
      <w:r>
        <w:rPr>
          <w:spacing w:val="2"/>
          <w:w w:val="99"/>
        </w:rPr>
        <w:t>份</w:t>
      </w:r>
      <w:r>
        <w:rPr>
          <w:w w:val="99"/>
        </w:rPr>
        <w:t>有</w:t>
      </w:r>
      <w:r>
        <w:rPr>
          <w:spacing w:val="2"/>
          <w:w w:val="99"/>
        </w:rPr>
        <w:t>限</w:t>
      </w:r>
      <w:r>
        <w:rPr>
          <w:w w:val="99"/>
        </w:rPr>
        <w:t>公</w:t>
      </w:r>
      <w:r>
        <w:rPr>
          <w:spacing w:val="2"/>
          <w:w w:val="99"/>
        </w:rPr>
        <w:t>司</w:t>
      </w:r>
      <w:r>
        <w:rPr>
          <w:w w:val="99"/>
        </w:rPr>
        <w:t>股</w:t>
      </w:r>
      <w:r>
        <w:rPr>
          <w:spacing w:val="2"/>
          <w:w w:val="99"/>
        </w:rPr>
        <w:t>东</w:t>
      </w:r>
      <w:r>
        <w:rPr>
          <w:w w:val="99"/>
        </w:rPr>
        <w:t>大</w:t>
      </w:r>
      <w:r>
        <w:rPr>
          <w:spacing w:val="2"/>
          <w:w w:val="99"/>
        </w:rPr>
        <w:t>会</w:t>
      </w:r>
      <w:r>
        <w:rPr>
          <w:w w:val="99"/>
        </w:rPr>
        <w:t>议</w:t>
      </w:r>
      <w:r>
        <w:rPr>
          <w:spacing w:val="2"/>
          <w:w w:val="99"/>
        </w:rPr>
        <w:t>事</w:t>
      </w:r>
      <w:r>
        <w:rPr>
          <w:w w:val="99"/>
        </w:rPr>
        <w:t>规则</w:t>
      </w:r>
      <w:r>
        <w:rPr>
          <w:spacing w:val="1"/>
          <w:w w:val="99"/>
        </w:rPr>
        <w:t>&gt;</w:t>
      </w:r>
      <w:r>
        <w:rPr>
          <w:spacing w:val="2"/>
          <w:w w:val="99"/>
        </w:rPr>
        <w:t>的</w:t>
      </w:r>
      <w:r>
        <w:rPr>
          <w:w w:val="99"/>
        </w:rPr>
        <w:t>议</w:t>
      </w:r>
      <w:r>
        <w:rPr>
          <w:spacing w:val="2"/>
          <w:w w:val="99"/>
        </w:rPr>
        <w:t>案</w:t>
      </w:r>
      <w:r>
        <w:rPr>
          <w:w w:val="99"/>
        </w:rPr>
        <w:t>》</w:t>
      </w:r>
      <w:r>
        <w:rPr/>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pacing w:val="1"/>
                          <w:w w:val="99"/>
                          <w:sz w:val="21"/>
                          <w:szCs w:val="21"/>
                        </w:rPr>
                        <w:t>4</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关</w:t>
                      </w:r>
                      <w:r>
                        <w:rPr>
                          <w:rFonts w:ascii="宋体" w:hAnsi="宋体" w:cs="宋体" w:eastAsia="宋体" w:hint="default"/>
                          <w:spacing w:val="2"/>
                          <w:w w:val="99"/>
                          <w:sz w:val="21"/>
                          <w:szCs w:val="21"/>
                        </w:rPr>
                        <w:t>于</w:t>
                      </w:r>
                      <w:r>
                        <w:rPr>
                          <w:rFonts w:ascii="宋体" w:hAnsi="宋体" w:cs="宋体" w:eastAsia="宋体" w:hint="default"/>
                          <w:w w:val="99"/>
                          <w:sz w:val="21"/>
                          <w:szCs w:val="21"/>
                        </w:rPr>
                        <w:t>修</w:t>
                      </w:r>
                      <w:r>
                        <w:rPr>
                          <w:rFonts w:ascii="宋体" w:hAnsi="宋体" w:cs="宋体" w:eastAsia="宋体" w:hint="default"/>
                          <w:spacing w:val="2"/>
                          <w:w w:val="99"/>
                          <w:sz w:val="21"/>
                          <w:szCs w:val="21"/>
                        </w:rPr>
                        <w:t>订</w:t>
                      </w:r>
                      <w:r>
                        <w:rPr>
                          <w:rFonts w:ascii="宋体" w:hAnsi="宋体" w:cs="宋体" w:eastAsia="宋体" w:hint="default"/>
                          <w:spacing w:val="1"/>
                          <w:w w:val="99"/>
                          <w:sz w:val="21"/>
                          <w:szCs w:val="21"/>
                        </w:rPr>
                        <w:t>&lt;</w:t>
                      </w:r>
                      <w:r>
                        <w:rPr>
                          <w:rFonts w:ascii="宋体" w:hAnsi="宋体" w:cs="宋体" w:eastAsia="宋体" w:hint="default"/>
                          <w:spacing w:val="2"/>
                          <w:w w:val="99"/>
                          <w:sz w:val="21"/>
                          <w:szCs w:val="21"/>
                        </w:rPr>
                        <w:t>上</w:t>
                      </w:r>
                      <w:r>
                        <w:rPr>
                          <w:rFonts w:ascii="宋体" w:hAnsi="宋体" w:cs="宋体" w:eastAsia="宋体" w:hint="default"/>
                          <w:w w:val="99"/>
                          <w:sz w:val="21"/>
                          <w:szCs w:val="21"/>
                        </w:rPr>
                        <w:t>海</w:t>
                      </w:r>
                      <w:r>
                        <w:rPr>
                          <w:rFonts w:ascii="宋体" w:hAnsi="宋体" w:cs="宋体" w:eastAsia="宋体" w:hint="default"/>
                          <w:spacing w:val="2"/>
                          <w:w w:val="99"/>
                          <w:sz w:val="21"/>
                          <w:szCs w:val="21"/>
                        </w:rPr>
                        <w:t>金</w:t>
                      </w:r>
                      <w:r>
                        <w:rPr>
                          <w:rFonts w:ascii="宋体" w:hAnsi="宋体" w:cs="宋体" w:eastAsia="宋体" w:hint="default"/>
                          <w:w w:val="99"/>
                          <w:sz w:val="21"/>
                          <w:szCs w:val="21"/>
                        </w:rPr>
                        <w:t>仕</w:t>
                      </w:r>
                      <w:r>
                        <w:rPr>
                          <w:rFonts w:ascii="宋体" w:hAnsi="宋体" w:cs="宋体" w:eastAsia="宋体" w:hint="default"/>
                          <w:spacing w:val="2"/>
                          <w:w w:val="99"/>
                          <w:sz w:val="21"/>
                          <w:szCs w:val="21"/>
                        </w:rPr>
                        <w:t>达</w:t>
                      </w:r>
                      <w:r>
                        <w:rPr>
                          <w:rFonts w:ascii="宋体" w:hAnsi="宋体" w:cs="宋体" w:eastAsia="宋体" w:hint="default"/>
                          <w:w w:val="99"/>
                          <w:sz w:val="21"/>
                          <w:szCs w:val="21"/>
                        </w:rPr>
                        <w:t>卫</w:t>
                      </w:r>
                      <w:r>
                        <w:rPr>
                          <w:rFonts w:ascii="宋体" w:hAnsi="宋体" w:cs="宋体" w:eastAsia="宋体" w:hint="default"/>
                          <w:spacing w:val="2"/>
                          <w:w w:val="99"/>
                          <w:sz w:val="21"/>
                          <w:szCs w:val="21"/>
                        </w:rPr>
                        <w:t>宁</w:t>
                      </w:r>
                      <w:r>
                        <w:rPr>
                          <w:rFonts w:ascii="宋体" w:hAnsi="宋体" w:cs="宋体" w:eastAsia="宋体" w:hint="default"/>
                          <w:w w:val="99"/>
                          <w:sz w:val="21"/>
                          <w:szCs w:val="21"/>
                        </w:rPr>
                        <w:t>软</w:t>
                      </w:r>
                      <w:r>
                        <w:rPr>
                          <w:rFonts w:ascii="宋体" w:hAnsi="宋体" w:cs="宋体" w:eastAsia="宋体" w:hint="default"/>
                          <w:spacing w:val="2"/>
                          <w:w w:val="99"/>
                          <w:sz w:val="21"/>
                          <w:szCs w:val="21"/>
                        </w:rPr>
                        <w:t>件</w:t>
                      </w:r>
                      <w:r>
                        <w:rPr>
                          <w:rFonts w:ascii="宋体" w:hAnsi="宋体" w:cs="宋体" w:eastAsia="宋体" w:hint="default"/>
                          <w:w w:val="99"/>
                          <w:sz w:val="21"/>
                          <w:szCs w:val="21"/>
                        </w:rPr>
                        <w:t>股</w:t>
                      </w:r>
                      <w:r>
                        <w:rPr>
                          <w:rFonts w:ascii="宋体" w:hAnsi="宋体" w:cs="宋体" w:eastAsia="宋体" w:hint="default"/>
                          <w:spacing w:val="2"/>
                          <w:w w:val="99"/>
                          <w:sz w:val="21"/>
                          <w:szCs w:val="21"/>
                        </w:rPr>
                        <w:t>份</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关</w:t>
                      </w:r>
                      <w:r>
                        <w:rPr>
                          <w:rFonts w:ascii="宋体" w:hAnsi="宋体" w:cs="宋体" w:eastAsia="宋体" w:hint="default"/>
                          <w:spacing w:val="2"/>
                          <w:w w:val="99"/>
                          <w:sz w:val="21"/>
                          <w:szCs w:val="21"/>
                        </w:rPr>
                        <w:t>联</w:t>
                      </w:r>
                      <w:r>
                        <w:rPr>
                          <w:rFonts w:ascii="宋体" w:hAnsi="宋体" w:cs="宋体" w:eastAsia="宋体" w:hint="default"/>
                          <w:w w:val="99"/>
                          <w:sz w:val="21"/>
                          <w:szCs w:val="21"/>
                        </w:rPr>
                        <w:t>交</w:t>
                      </w:r>
                      <w:r>
                        <w:rPr>
                          <w:rFonts w:ascii="宋体" w:hAnsi="宋体" w:cs="宋体" w:eastAsia="宋体" w:hint="default"/>
                          <w:spacing w:val="2"/>
                          <w:w w:val="99"/>
                          <w:sz w:val="21"/>
                          <w:szCs w:val="21"/>
                        </w:rPr>
                        <w:t>易</w:t>
                      </w:r>
                      <w:r>
                        <w:rPr>
                          <w:rFonts w:ascii="宋体" w:hAnsi="宋体" w:cs="宋体" w:eastAsia="宋体" w:hint="default"/>
                          <w:w w:val="99"/>
                          <w:sz w:val="21"/>
                          <w:szCs w:val="21"/>
                        </w:rPr>
                        <w:t>管</w:t>
                      </w:r>
                      <w:r>
                        <w:rPr>
                          <w:rFonts w:ascii="宋体" w:hAnsi="宋体" w:cs="宋体" w:eastAsia="宋体" w:hint="default"/>
                          <w:spacing w:val="2"/>
                          <w:w w:val="99"/>
                          <w:sz w:val="21"/>
                          <w:szCs w:val="21"/>
                        </w:rPr>
                        <w:t>理</w:t>
                      </w:r>
                      <w:r>
                        <w:rPr>
                          <w:rFonts w:ascii="宋体" w:hAnsi="宋体" w:cs="宋体" w:eastAsia="宋体" w:hint="default"/>
                          <w:w w:val="99"/>
                          <w:sz w:val="21"/>
                          <w:szCs w:val="21"/>
                        </w:rPr>
                        <w:t>办法</w:t>
                      </w:r>
                      <w:r>
                        <w:rPr>
                          <w:rFonts w:ascii="宋体" w:hAnsi="宋体" w:cs="宋体" w:eastAsia="宋体" w:hint="default"/>
                          <w:spacing w:val="1"/>
                          <w:w w:val="99"/>
                          <w:sz w:val="21"/>
                          <w:szCs w:val="21"/>
                        </w:rPr>
                        <w:t>&gt;</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w w:val="99"/>
                          <w:sz w:val="21"/>
                          <w:szCs w:val="21"/>
                        </w:rPr>
                        <w:t>》</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240" w:lineRule="auto" w:before="34"/>
        <w:ind w:left="535" w:right="0"/>
        <w:jc w:val="left"/>
      </w:pPr>
      <w:r>
        <w:rPr>
          <w:w w:val="99"/>
        </w:rPr>
        <w:t>（</w:t>
      </w:r>
      <w:r>
        <w:rPr>
          <w:spacing w:val="1"/>
          <w:w w:val="99"/>
        </w:rPr>
        <w:t>5</w:t>
      </w:r>
      <w:r>
        <w:rPr>
          <w:spacing w:val="-106"/>
          <w:w w:val="99"/>
        </w:rPr>
        <w:t>）</w:t>
      </w:r>
      <w:r>
        <w:rPr>
          <w:spacing w:val="2"/>
          <w:w w:val="99"/>
        </w:rPr>
        <w:t>《</w:t>
      </w:r>
      <w:r>
        <w:rPr>
          <w:w w:val="99"/>
        </w:rPr>
        <w:t>关</w:t>
      </w:r>
      <w:r>
        <w:rPr>
          <w:spacing w:val="2"/>
          <w:w w:val="99"/>
        </w:rPr>
        <w:t>于</w:t>
      </w:r>
      <w:r>
        <w:rPr>
          <w:w w:val="99"/>
        </w:rPr>
        <w:t>修</w:t>
      </w:r>
      <w:r>
        <w:rPr>
          <w:spacing w:val="2"/>
          <w:w w:val="99"/>
        </w:rPr>
        <w:t>订</w:t>
      </w:r>
      <w:r>
        <w:rPr>
          <w:spacing w:val="1"/>
          <w:w w:val="99"/>
        </w:rPr>
        <w:t>&lt;</w:t>
      </w:r>
      <w:r>
        <w:rPr>
          <w:spacing w:val="2"/>
          <w:w w:val="99"/>
        </w:rPr>
        <w:t>上</w:t>
      </w:r>
      <w:r>
        <w:rPr>
          <w:w w:val="99"/>
        </w:rPr>
        <w:t>海</w:t>
      </w:r>
      <w:r>
        <w:rPr>
          <w:spacing w:val="2"/>
          <w:w w:val="99"/>
        </w:rPr>
        <w:t>金</w:t>
      </w:r>
      <w:r>
        <w:rPr>
          <w:w w:val="99"/>
        </w:rPr>
        <w:t>仕</w:t>
      </w:r>
      <w:r>
        <w:rPr>
          <w:spacing w:val="2"/>
          <w:w w:val="99"/>
        </w:rPr>
        <w:t>达</w:t>
      </w:r>
      <w:r>
        <w:rPr>
          <w:w w:val="99"/>
        </w:rPr>
        <w:t>卫</w:t>
      </w:r>
      <w:r>
        <w:rPr>
          <w:spacing w:val="2"/>
          <w:w w:val="99"/>
        </w:rPr>
        <w:t>宁</w:t>
      </w:r>
      <w:r>
        <w:rPr>
          <w:w w:val="99"/>
        </w:rPr>
        <w:t>软</w:t>
      </w:r>
      <w:r>
        <w:rPr>
          <w:spacing w:val="2"/>
          <w:w w:val="99"/>
        </w:rPr>
        <w:t>件</w:t>
      </w:r>
      <w:r>
        <w:rPr>
          <w:w w:val="99"/>
        </w:rPr>
        <w:t>股</w:t>
      </w:r>
      <w:r>
        <w:rPr>
          <w:spacing w:val="2"/>
          <w:w w:val="99"/>
        </w:rPr>
        <w:t>份</w:t>
      </w:r>
      <w:r>
        <w:rPr>
          <w:w w:val="99"/>
        </w:rPr>
        <w:t>有</w:t>
      </w:r>
      <w:r>
        <w:rPr>
          <w:spacing w:val="2"/>
          <w:w w:val="99"/>
        </w:rPr>
        <w:t>限</w:t>
      </w:r>
      <w:r>
        <w:rPr>
          <w:w w:val="99"/>
        </w:rPr>
        <w:t>公</w:t>
      </w:r>
      <w:r>
        <w:rPr>
          <w:spacing w:val="2"/>
          <w:w w:val="99"/>
        </w:rPr>
        <w:t>司</w:t>
      </w:r>
      <w:r>
        <w:rPr>
          <w:w w:val="99"/>
        </w:rPr>
        <w:t>募</w:t>
      </w:r>
      <w:r>
        <w:rPr>
          <w:spacing w:val="2"/>
          <w:w w:val="99"/>
        </w:rPr>
        <w:t>集</w:t>
      </w:r>
      <w:r>
        <w:rPr>
          <w:w w:val="99"/>
        </w:rPr>
        <w:t>资</w:t>
      </w:r>
      <w:r>
        <w:rPr>
          <w:spacing w:val="2"/>
          <w:w w:val="99"/>
        </w:rPr>
        <w:t>金</w:t>
      </w:r>
      <w:r>
        <w:rPr>
          <w:w w:val="99"/>
        </w:rPr>
        <w:t>管</w:t>
      </w:r>
      <w:r>
        <w:rPr>
          <w:spacing w:val="2"/>
          <w:w w:val="99"/>
        </w:rPr>
        <w:t>理</w:t>
      </w:r>
      <w:r>
        <w:rPr>
          <w:w w:val="99"/>
        </w:rPr>
        <w:t>办法</w:t>
      </w:r>
      <w:r>
        <w:rPr>
          <w:spacing w:val="1"/>
          <w:w w:val="99"/>
        </w:rPr>
        <w:t>&gt;</w:t>
      </w:r>
      <w:r>
        <w:rPr>
          <w:spacing w:val="2"/>
          <w:w w:val="99"/>
        </w:rPr>
        <w:t>的</w:t>
      </w:r>
      <w:r>
        <w:rPr>
          <w:w w:val="99"/>
        </w:rPr>
        <w:t>议</w:t>
      </w:r>
      <w:r>
        <w:rPr>
          <w:spacing w:val="2"/>
          <w:w w:val="99"/>
        </w:rPr>
        <w:t>案</w:t>
      </w:r>
      <w:r>
        <w:rPr>
          <w:w w:val="99"/>
        </w:rPr>
        <w:t>》</w:t>
      </w:r>
      <w:r>
        <w:rPr/>
      </w:r>
    </w:p>
    <w:p>
      <w:pPr>
        <w:spacing w:line="240" w:lineRule="auto" w:before="11"/>
        <w:rPr>
          <w:rFonts w:ascii="宋体" w:hAnsi="宋体" w:cs="宋体" w:eastAsia="宋体" w:hint="default"/>
          <w:sz w:val="20"/>
          <w:szCs w:val="20"/>
        </w:rPr>
      </w:pPr>
    </w:p>
    <w:p>
      <w:pPr>
        <w:spacing w:line="420" w:lineRule="auto" w:before="0"/>
        <w:ind w:left="112" w:right="0" w:firstLine="422"/>
        <w:jc w:val="left"/>
        <w:rPr>
          <w:rFonts w:ascii="Microsoft JhengHei" w:hAnsi="Microsoft JhengHei" w:cs="Microsoft JhengHei" w:eastAsia="Microsoft JhengHei" w:hint="default"/>
          <w:sz w:val="21"/>
          <w:szCs w:val="21"/>
        </w:rPr>
      </w:pPr>
      <w:r>
        <w:rPr>
          <w:rFonts w:ascii="宋体" w:hAnsi="宋体" w:cs="宋体" w:eastAsia="宋体" w:hint="default"/>
          <w:spacing w:val="-2"/>
          <w:w w:val="99"/>
          <w:sz w:val="21"/>
          <w:szCs w:val="21"/>
        </w:rPr>
        <w:t>（6）《关于制定&lt;上海金仕达卫宁软件股份有限公司内幕信息知情人登记管理制度&gt;的议案》</w:t>
      </w:r>
      <w:r>
        <w:rPr>
          <w:rFonts w:ascii="宋体" w:hAnsi="宋体" w:cs="宋体" w:eastAsia="宋体" w:hint="default"/>
          <w:w w:val="99"/>
          <w:sz w:val="21"/>
          <w:szCs w:val="21"/>
        </w:rPr>
        <w:t> </w:t>
      </w:r>
      <w:r>
        <w:rPr>
          <w:rFonts w:ascii="Microsoft JhengHei" w:hAnsi="Microsoft JhengHei" w:cs="Microsoft JhengHei" w:eastAsia="Microsoft JhengHei" w:hint="default"/>
          <w:b/>
          <w:bCs/>
          <w:sz w:val="21"/>
          <w:szCs w:val="21"/>
        </w:rPr>
        <w:t>五、董事会下设委员会工作总结情况</w:t>
      </w:r>
      <w:r>
        <w:rPr>
          <w:rFonts w:ascii="Microsoft JhengHei" w:hAnsi="Microsoft JhengHei" w:cs="Microsoft JhengHei" w:eastAsia="Microsoft JhengHei" w:hint="default"/>
          <w:sz w:val="21"/>
          <w:szCs w:val="21"/>
        </w:rPr>
      </w:r>
    </w:p>
    <w:p>
      <w:pPr>
        <w:pStyle w:val="Heading4"/>
        <w:spacing w:line="335" w:lineRule="exact"/>
        <w:ind w:right="0"/>
        <w:jc w:val="left"/>
        <w:rPr>
          <w:b w:val="0"/>
          <w:bCs w:val="0"/>
        </w:rPr>
      </w:pPr>
      <w:r>
        <w:rPr/>
        <w:t>（一）董事会审计委员会履职情况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right="112" w:firstLine="422"/>
        <w:jc w:val="both"/>
      </w:pPr>
      <w:r>
        <w:rPr/>
        <w:t>公司第一届董事会审计委员会由</w:t>
      </w:r>
      <w:r>
        <w:rPr>
          <w:spacing w:val="-59"/>
        </w:rPr>
        <w:t> </w:t>
      </w:r>
      <w:r>
        <w:rPr/>
        <w:t>3</w:t>
      </w:r>
      <w:r>
        <w:rPr>
          <w:spacing w:val="-63"/>
        </w:rPr>
        <w:t> </w:t>
      </w:r>
      <w:r>
        <w:rPr/>
        <w:t>名董事组成，其中</w:t>
      </w:r>
      <w:r>
        <w:rPr>
          <w:spacing w:val="-59"/>
        </w:rPr>
        <w:t> </w:t>
      </w:r>
      <w:r>
        <w:rPr/>
        <w:t>2</w:t>
      </w:r>
      <w:r>
        <w:rPr>
          <w:spacing w:val="-63"/>
        </w:rPr>
        <w:t> </w:t>
      </w:r>
      <w:r>
        <w:rPr/>
        <w:t>名为独立董事，主任委员由独立董事且为会计</w:t>
      </w:r>
      <w:r>
        <w:rPr>
          <w:w w:val="99"/>
        </w:rPr>
        <w:t> </w:t>
      </w:r>
      <w:r>
        <w:rPr/>
        <w:t>专业人士的王绍东担任。</w:t>
      </w:r>
    </w:p>
    <w:p>
      <w:pPr>
        <w:spacing w:line="240" w:lineRule="auto" w:before="1"/>
        <w:rPr>
          <w:rFonts w:ascii="宋体" w:hAnsi="宋体" w:cs="宋体" w:eastAsia="宋体" w:hint="default"/>
          <w:sz w:val="14"/>
          <w:szCs w:val="14"/>
        </w:rPr>
      </w:pPr>
    </w:p>
    <w:p>
      <w:pPr>
        <w:pStyle w:val="BodyText"/>
        <w:spacing w:line="340" w:lineRule="auto"/>
        <w:ind w:right="110" w:firstLine="422"/>
        <w:jc w:val="both"/>
      </w:pPr>
      <w:r>
        <w:rPr>
          <w:w w:val="95"/>
        </w:rPr>
        <w:t>报告期内，审计委员会每季度均召开会议，审议内部审计部门提交的工作报告和工作计划，并定期向</w:t>
      </w:r>
      <w:r>
        <w:rPr>
          <w:spacing w:val="-93"/>
          <w:w w:val="95"/>
        </w:rPr>
        <w:t> </w:t>
      </w:r>
      <w:r>
        <w:rPr>
          <w:spacing w:val="-93"/>
          <w:w w:val="95"/>
        </w:rPr>
      </w:r>
      <w:r>
        <w:rPr>
          <w:w w:val="95"/>
        </w:rPr>
        <w:t>董事会报告；对与财务报告、信息披露事务等相关的内部控制制度的建立和实施情况出具审核意见；并与</w:t>
      </w:r>
      <w:r>
        <w:rPr>
          <w:spacing w:val="52"/>
          <w:w w:val="95"/>
        </w:rPr>
        <w:t> </w:t>
      </w:r>
      <w:r>
        <w:rPr>
          <w:spacing w:val="52"/>
          <w:w w:val="95"/>
        </w:rPr>
      </w:r>
      <w:r>
        <w:rPr/>
        <w:t>公司聘请的审计机构沟通，确定公司年度审计工作计划的安排。</w:t>
      </w:r>
    </w:p>
    <w:p>
      <w:pPr>
        <w:spacing w:line="240" w:lineRule="auto" w:before="12"/>
        <w:rPr>
          <w:rFonts w:ascii="宋体" w:hAnsi="宋体" w:cs="宋体" w:eastAsia="宋体" w:hint="default"/>
          <w:sz w:val="13"/>
          <w:szCs w:val="13"/>
        </w:rPr>
      </w:pPr>
    </w:p>
    <w:p>
      <w:pPr>
        <w:pStyle w:val="BodyText"/>
        <w:spacing w:line="340" w:lineRule="auto"/>
        <w:ind w:right="124" w:firstLine="422"/>
        <w:jc w:val="both"/>
      </w:pPr>
      <w:r>
        <w:rPr>
          <w:spacing w:val="1"/>
          <w:w w:val="99"/>
        </w:rPr>
        <w:t>审计委员会会议还对《2010</w:t>
      </w:r>
      <w:r>
        <w:rPr>
          <w:spacing w:val="-43"/>
          <w:w w:val="99"/>
        </w:rPr>
        <w:t> </w:t>
      </w:r>
      <w:r>
        <w:rPr>
          <w:spacing w:val="-18"/>
          <w:w w:val="99"/>
        </w:rPr>
        <w:t>年度财务报告》、《聘请</w:t>
      </w:r>
      <w:r>
        <w:rPr>
          <w:spacing w:val="-42"/>
          <w:w w:val="99"/>
        </w:rPr>
        <w:t> </w:t>
      </w:r>
      <w:r>
        <w:rPr>
          <w:w w:val="99"/>
        </w:rPr>
        <w:t>2011</w:t>
      </w:r>
      <w:r>
        <w:rPr>
          <w:spacing w:val="-47"/>
          <w:w w:val="99"/>
        </w:rPr>
        <w:t> </w:t>
      </w:r>
      <w:r>
        <w:rPr>
          <w:w w:val="99"/>
        </w:rPr>
        <w:t>年度审计机构》等事项进行了审议并形成决</w:t>
      </w:r>
      <w:r>
        <w:rPr>
          <w:w w:val="99"/>
        </w:rPr>
        <w:t> </w:t>
      </w:r>
      <w:r>
        <w:rPr/>
        <w:t>议。审计委员会同意中磊会计师事务所有限责任公司对公司 2010</w:t>
      </w:r>
      <w:r>
        <w:rPr>
          <w:spacing w:val="-52"/>
        </w:rPr>
        <w:t> </w:t>
      </w:r>
      <w:r>
        <w:rPr/>
        <w:t>年度财务报表出具的审核意见，并提交</w:t>
      </w:r>
    </w:p>
    <w:p>
      <w:pPr>
        <w:pStyle w:val="BodyText"/>
        <w:spacing w:line="240" w:lineRule="auto" w:before="25"/>
        <w:ind w:right="0"/>
        <w:jc w:val="left"/>
      </w:pPr>
      <w:r>
        <w:rPr/>
        <w:t>董事会审议。同时，审计委员会还向公司提交了</w:t>
      </w:r>
      <w:r>
        <w:rPr>
          <w:spacing w:val="-62"/>
        </w:rPr>
        <w:t> </w:t>
      </w:r>
      <w:r>
        <w:rPr/>
        <w:t>2010</w:t>
      </w:r>
      <w:r>
        <w:rPr>
          <w:spacing w:val="-63"/>
        </w:rPr>
        <w:t> </w:t>
      </w:r>
      <w:r>
        <w:rPr/>
        <w:t>年度内部控制自我评价报告及聘用</w:t>
      </w:r>
      <w:r>
        <w:rPr>
          <w:spacing w:val="-59"/>
        </w:rPr>
        <w:t> </w:t>
      </w:r>
      <w:r>
        <w:rPr/>
        <w:t>2011</w:t>
      </w:r>
      <w:r>
        <w:rPr>
          <w:spacing w:val="-63"/>
        </w:rPr>
        <w:t> </w:t>
      </w:r>
      <w:r>
        <w:rPr/>
        <w:t>年度会计师</w:t>
      </w:r>
    </w:p>
    <w:p>
      <w:pPr>
        <w:pStyle w:val="BodyText"/>
        <w:spacing w:line="240" w:lineRule="auto" w:before="114"/>
        <w:ind w:right="0"/>
        <w:jc w:val="left"/>
      </w:pPr>
      <w:r>
        <w:rPr/>
        <w:t>事务所的提议，建议续聘中磊会计师事务所有限责任公司作为公司</w:t>
      </w:r>
      <w:r>
        <w:rPr>
          <w:spacing w:val="-56"/>
        </w:rPr>
        <w:t> </w:t>
      </w:r>
      <w:r>
        <w:rPr/>
        <w:t>2011</w:t>
      </w:r>
      <w:r>
        <w:rPr>
          <w:spacing w:val="-57"/>
        </w:rPr>
        <w:t> </w:t>
      </w:r>
      <w:r>
        <w:rPr/>
        <w:t>年度审计机构。</w:t>
      </w: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r>
        <w:rPr/>
        <w:t>（二）董事会薪酬与考核委员会履职情况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right="110" w:firstLine="422"/>
        <w:jc w:val="both"/>
      </w:pPr>
      <w:r>
        <w:rPr/>
        <w:t>公司第一届董事会薪酬与考核委员会由</w:t>
      </w:r>
      <w:r>
        <w:rPr>
          <w:spacing w:val="-61"/>
        </w:rPr>
        <w:t> </w:t>
      </w:r>
      <w:r>
        <w:rPr/>
        <w:t>5</w:t>
      </w:r>
      <w:r>
        <w:rPr>
          <w:spacing w:val="-60"/>
        </w:rPr>
        <w:t> </w:t>
      </w:r>
      <w:r>
        <w:rPr/>
        <w:t>名董事组成，其中</w:t>
      </w:r>
      <w:r>
        <w:rPr>
          <w:spacing w:val="-61"/>
        </w:rPr>
        <w:t> </w:t>
      </w:r>
      <w:r>
        <w:rPr/>
        <w:t>3</w:t>
      </w:r>
      <w:r>
        <w:rPr>
          <w:spacing w:val="-60"/>
        </w:rPr>
        <w:t> </w:t>
      </w:r>
      <w:r>
        <w:rPr/>
        <w:t>名为独立董事，主任委员由独立董事杨</w:t>
      </w:r>
      <w:r>
        <w:rPr>
          <w:w w:val="99"/>
        </w:rPr>
        <w:t> </w:t>
      </w:r>
      <w:r>
        <w:rPr/>
        <w:t>峰担任。</w:t>
      </w:r>
    </w:p>
    <w:p>
      <w:pPr>
        <w:spacing w:line="240" w:lineRule="auto" w:before="1"/>
        <w:rPr>
          <w:rFonts w:ascii="宋体" w:hAnsi="宋体" w:cs="宋体" w:eastAsia="宋体" w:hint="default"/>
          <w:sz w:val="14"/>
          <w:szCs w:val="14"/>
        </w:rPr>
      </w:pPr>
    </w:p>
    <w:p>
      <w:pPr>
        <w:pStyle w:val="BodyText"/>
        <w:spacing w:line="340" w:lineRule="auto"/>
        <w:ind w:right="111" w:firstLine="422"/>
        <w:jc w:val="both"/>
      </w:pPr>
      <w:r>
        <w:rPr>
          <w:w w:val="95"/>
        </w:rPr>
        <w:t>公司已建立健全有效的董事、监事和高级管理人员考评和激励制度及制度，董事会薪酬与考核委员会</w:t>
      </w:r>
      <w:r>
        <w:rPr>
          <w:spacing w:val="-94"/>
          <w:w w:val="95"/>
        </w:rPr>
        <w:t> </w:t>
      </w:r>
      <w:r>
        <w:rPr>
          <w:spacing w:val="-94"/>
          <w:w w:val="95"/>
        </w:rPr>
      </w:r>
      <w:r>
        <w:rPr>
          <w:w w:val="95"/>
        </w:rPr>
        <w:t>依据公司 2011 年度主要财务指标和经营目标的完成情况，公司董事、监事及高级管理人员分管工作范围、</w:t>
      </w:r>
      <w:r>
        <w:rPr>
          <w:spacing w:val="-48"/>
          <w:w w:val="95"/>
        </w:rPr>
        <w:t> </w:t>
      </w:r>
      <w:r>
        <w:rPr>
          <w:spacing w:val="-48"/>
          <w:w w:val="95"/>
        </w:rPr>
      </w:r>
      <w:r>
        <w:rPr>
          <w:w w:val="95"/>
        </w:rPr>
        <w:t>主要职责及完成情况，对公司董事、监事及高管人员的薪酬进行了考核，认为：公司董事、监事、高级管  </w:t>
      </w:r>
      <w:r>
        <w:rPr>
          <w:spacing w:val="50"/>
          <w:w w:val="95"/>
        </w:rPr>
        <w:t> </w:t>
      </w:r>
      <w:r>
        <w:rPr>
          <w:spacing w:val="50"/>
          <w:w w:val="95"/>
        </w:rPr>
      </w:r>
      <w:r>
        <w:rPr/>
        <w:t>理人员</w:t>
      </w:r>
      <w:r>
        <w:rPr>
          <w:spacing w:val="-38"/>
        </w:rPr>
        <w:t> </w:t>
      </w:r>
      <w:r>
        <w:rPr/>
        <w:t>2011</w:t>
      </w:r>
      <w:r>
        <w:rPr>
          <w:spacing w:val="-42"/>
        </w:rPr>
        <w:t> </w:t>
      </w:r>
      <w:r>
        <w:rPr/>
        <w:t>年度薪酬情况符合公司股东大会、董事会制定的相关制度和方案，符合公司的经营业绩与个</w:t>
      </w:r>
      <w:r>
        <w:rPr>
          <w:spacing w:val="-95"/>
        </w:rPr>
        <w:t> </w:t>
      </w:r>
      <w:r>
        <w:rPr>
          <w:spacing w:val="-95"/>
        </w:rPr>
      </w:r>
      <w:r>
        <w:rPr/>
        <w:t>人绩效标准。</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t>备注：报告期内，公司未实施股权激励计划。</w:t>
      </w: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r>
        <w:rPr/>
        <w:t>（三）董事会提名委员会履职情况</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240" w:lineRule="auto" w:before="34"/>
        <w:ind w:left="535" w:right="0"/>
        <w:jc w:val="left"/>
      </w:pPr>
      <w:r>
        <w:rPr/>
        <w:t>公司第一届董事会提名委员会由</w:t>
      </w:r>
      <w:r>
        <w:rPr>
          <w:spacing w:val="-61"/>
        </w:rPr>
        <w:t> </w:t>
      </w:r>
      <w:r>
        <w:rPr/>
        <w:t>3</w:t>
      </w:r>
      <w:r>
        <w:rPr>
          <w:spacing w:val="-62"/>
        </w:rPr>
        <w:t> </w:t>
      </w:r>
      <w:r>
        <w:rPr/>
        <w:t>名董事组成，其中</w:t>
      </w:r>
      <w:r>
        <w:rPr>
          <w:spacing w:val="-59"/>
        </w:rPr>
        <w:t> </w:t>
      </w:r>
      <w:r>
        <w:rPr/>
        <w:t>2</w:t>
      </w:r>
      <w:r>
        <w:rPr>
          <w:spacing w:val="-62"/>
        </w:rPr>
        <w:t> </w:t>
      </w:r>
      <w:r>
        <w:rPr/>
        <w:t>名为独立董事，主任委员由独立董事王贤安担</w:t>
      </w:r>
    </w:p>
    <w:p>
      <w:pPr>
        <w:pStyle w:val="BodyText"/>
        <w:spacing w:line="240" w:lineRule="auto" w:before="116"/>
        <w:ind w:right="0"/>
        <w:jc w:val="left"/>
      </w:pPr>
      <w:r>
        <w:rPr/>
        <w:t>任。</w:t>
      </w:r>
    </w:p>
    <w:p>
      <w:pPr>
        <w:spacing w:line="240" w:lineRule="auto" w:before="0"/>
        <w:rPr>
          <w:rFonts w:ascii="宋体" w:hAnsi="宋体" w:cs="宋体" w:eastAsia="宋体" w:hint="default"/>
          <w:sz w:val="18"/>
          <w:szCs w:val="18"/>
        </w:rPr>
      </w:pPr>
    </w:p>
    <w:p>
      <w:pPr>
        <w:pStyle w:val="BodyText"/>
        <w:spacing w:line="340" w:lineRule="auto" w:before="34"/>
        <w:ind w:right="0" w:firstLine="422"/>
        <w:jc w:val="left"/>
      </w:pPr>
      <w:r>
        <w:rPr>
          <w:w w:val="95"/>
        </w:rPr>
        <w:t>报告期内，公司提名委员会勤勉尽责地履行职责，认真审核与评价公司高级管理人员候选人，并提交</w:t>
      </w:r>
      <w:r>
        <w:rPr>
          <w:spacing w:val="-94"/>
          <w:w w:val="95"/>
        </w:rPr>
        <w:t> </w:t>
      </w:r>
      <w:r>
        <w:rPr>
          <w:spacing w:val="-94"/>
          <w:w w:val="95"/>
        </w:rPr>
      </w:r>
      <w:r>
        <w:rPr/>
        <w:t>董事会审议通过。</w:t>
      </w:r>
    </w:p>
    <w:p>
      <w:pPr>
        <w:pStyle w:val="Heading4"/>
        <w:spacing w:line="240" w:lineRule="auto" w:before="115"/>
        <w:ind w:right="0"/>
        <w:jc w:val="left"/>
        <w:rPr>
          <w:b w:val="0"/>
          <w:bCs w:val="0"/>
        </w:rPr>
      </w:pPr>
      <w:r>
        <w:rPr/>
        <w:t>（四）董事会战略委员会履职情况</w:t>
      </w:r>
      <w:r>
        <w:rPr>
          <w:b w:val="0"/>
          <w:bCs w:val="0"/>
        </w:rPr>
      </w:r>
    </w:p>
    <w:p>
      <w:pPr>
        <w:spacing w:after="0" w:line="240" w:lineRule="auto"/>
        <w:jc w:val="left"/>
        <w:sectPr>
          <w:pgSz w:w="11910" w:h="16840"/>
          <w:pgMar w:header="849" w:footer="976" w:top="1460" w:bottom="1160" w:left="1020" w:right="1020"/>
        </w:sectPr>
      </w:pPr>
    </w:p>
    <w:p>
      <w:pPr>
        <w:spacing w:line="240" w:lineRule="auto" w:before="0"/>
        <w:rPr>
          <w:rFonts w:ascii="Microsoft JhengHei" w:hAnsi="Microsoft JhengHei" w:cs="Microsoft JhengHei" w:eastAsia="Microsoft JhengHei" w:hint="default"/>
          <w:b/>
          <w:bCs/>
          <w:sz w:val="2"/>
          <w:szCs w:val="2"/>
        </w:rPr>
      </w:pPr>
    </w:p>
    <w:p>
      <w:pPr>
        <w:spacing w:line="326"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公司第一届董事会战略委员会成员由</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名董事组成，其中</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名为独立董事，主任委员由董事长周炜担</w:t>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1"/>
        <w:rPr>
          <w:rFonts w:ascii="Microsoft JhengHei" w:hAnsi="Microsoft JhengHei" w:cs="Microsoft JhengHei" w:eastAsia="Microsoft JhengHei" w:hint="default"/>
          <w:b/>
          <w:bCs/>
          <w:sz w:val="4"/>
          <w:szCs w:val="4"/>
        </w:rPr>
      </w:pPr>
    </w:p>
    <w:p>
      <w:pPr>
        <w:pStyle w:val="BodyText"/>
        <w:spacing w:line="240" w:lineRule="auto" w:before="34"/>
        <w:ind w:right="0"/>
        <w:jc w:val="both"/>
      </w:pPr>
      <w:r>
        <w:rPr/>
        <w:t>任。</w:t>
      </w:r>
    </w:p>
    <w:p>
      <w:pPr>
        <w:spacing w:line="240" w:lineRule="auto" w:before="11"/>
        <w:rPr>
          <w:rFonts w:ascii="宋体" w:hAnsi="宋体" w:cs="宋体" w:eastAsia="宋体" w:hint="default"/>
          <w:sz w:val="20"/>
          <w:szCs w:val="20"/>
        </w:rPr>
      </w:pPr>
    </w:p>
    <w:p>
      <w:pPr>
        <w:pStyle w:val="BodyText"/>
        <w:spacing w:line="340" w:lineRule="auto"/>
        <w:ind w:right="0" w:firstLine="422"/>
        <w:jc w:val="left"/>
      </w:pPr>
      <w:r>
        <w:rPr/>
        <w:t>报告期内，公司战略委员会勤勉尽责地履行职责，对公司 2011</w:t>
      </w:r>
      <w:r>
        <w:rPr>
          <w:spacing w:val="-58"/>
        </w:rPr>
        <w:t> </w:t>
      </w:r>
      <w:r>
        <w:rPr/>
        <w:t>年度战略规划的实施情况进行监督和</w:t>
      </w:r>
      <w:r>
        <w:rPr>
          <w:w w:val="99"/>
        </w:rPr>
        <w:t> </w:t>
      </w:r>
      <w:r>
        <w:rPr/>
        <w:t>讨论总结，促进企业持续、健康发展。</w:t>
      </w:r>
    </w:p>
    <w:p>
      <w:pPr>
        <w:spacing w:line="400" w:lineRule="auto" w:before="11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（五）董事会经营与决策委员会履职情况</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宋体" w:hAnsi="宋体" w:cs="宋体" w:eastAsia="宋体" w:hint="default"/>
          <w:spacing w:val="4"/>
          <w:w w:val="95"/>
          <w:sz w:val="21"/>
          <w:szCs w:val="21"/>
        </w:rPr>
        <w:t>公司第一届董事会经营与决策委员会成员由全体董事、高级管理人员和总经理办公会议参加人员组</w:t>
      </w:r>
      <w:r>
        <w:rPr>
          <w:rFonts w:ascii="宋体" w:hAnsi="宋体" w:cs="宋体" w:eastAsia="宋体" w:hint="default"/>
          <w:spacing w:val="4"/>
          <w:sz w:val="21"/>
          <w:szCs w:val="21"/>
        </w:rPr>
      </w:r>
    </w:p>
    <w:p>
      <w:pPr>
        <w:pStyle w:val="BodyText"/>
        <w:spacing w:line="250" w:lineRule="exact"/>
        <w:ind w:right="0"/>
        <w:jc w:val="both"/>
      </w:pPr>
      <w:r>
        <w:rPr/>
        <w:t>成，主任委员由董事长周炜担任。</w:t>
      </w:r>
    </w:p>
    <w:p>
      <w:pPr>
        <w:spacing w:line="240" w:lineRule="auto" w:before="11"/>
        <w:rPr>
          <w:rFonts w:ascii="宋体" w:hAnsi="宋体" w:cs="宋体" w:eastAsia="宋体" w:hint="default"/>
          <w:sz w:val="20"/>
          <w:szCs w:val="20"/>
        </w:rPr>
      </w:pPr>
    </w:p>
    <w:p>
      <w:pPr>
        <w:pStyle w:val="BodyText"/>
        <w:spacing w:line="338" w:lineRule="auto"/>
        <w:ind w:right="108" w:firstLine="422"/>
        <w:jc w:val="left"/>
      </w:pPr>
      <w:r>
        <w:rPr>
          <w:spacing w:val="2"/>
        </w:rPr>
        <w:t>报告期内，公司经营与决策委员会勤勉尽责地履行职责，对公司</w:t>
      </w:r>
      <w:r>
        <w:rPr>
          <w:spacing w:val="-53"/>
        </w:rPr>
        <w:t> </w:t>
      </w:r>
      <w:r>
        <w:rPr/>
        <w:t>2011</w:t>
      </w:r>
      <w:r>
        <w:rPr>
          <w:spacing w:val="-65"/>
        </w:rPr>
        <w:t> </w:t>
      </w:r>
      <w:r>
        <w:rPr>
          <w:spacing w:val="2"/>
        </w:rPr>
        <w:t>年度战略规划和经营管理的实</w:t>
      </w:r>
      <w:r>
        <w:rPr>
          <w:w w:val="99"/>
        </w:rPr>
        <w:t> </w:t>
      </w:r>
      <w:r>
        <w:rPr/>
        <w:t>施情况进行监督和讨论总结，促进企业持续、健康发展。</w:t>
      </w:r>
    </w:p>
    <w:p>
      <w:pPr>
        <w:spacing w:line="400" w:lineRule="auto" w:before="119"/>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（六）相关变动事项说明</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因与公司总经理办公会议职能基本重合，为进一步提高公司各部门的工作效率，降低工作成本，根据</w:t>
      </w:r>
      <w:r>
        <w:rPr>
          <w:rFonts w:ascii="宋体" w:hAnsi="宋体" w:cs="宋体" w:eastAsia="宋体" w:hint="default"/>
          <w:sz w:val="21"/>
          <w:szCs w:val="21"/>
        </w:rPr>
      </w:r>
    </w:p>
    <w:p>
      <w:pPr>
        <w:pStyle w:val="BodyText"/>
        <w:spacing w:line="250" w:lineRule="exact"/>
        <w:ind w:right="0"/>
        <w:jc w:val="both"/>
      </w:pPr>
      <w:r>
        <w:rPr>
          <w:spacing w:val="2"/>
          <w:w w:val="99"/>
        </w:rPr>
        <w:t>《公</w:t>
      </w:r>
      <w:r>
        <w:rPr>
          <w:w w:val="99"/>
        </w:rPr>
        <w:t>司法</w:t>
      </w:r>
      <w:r>
        <w:rPr>
          <w:spacing w:val="-104"/>
          <w:w w:val="99"/>
        </w:rPr>
        <w:t>》</w:t>
      </w:r>
      <w:r>
        <w:rPr>
          <w:spacing w:val="-128"/>
          <w:w w:val="99"/>
        </w:rPr>
        <w:t>、</w:t>
      </w:r>
      <w:r>
        <w:rPr>
          <w:w w:val="99"/>
        </w:rPr>
        <w:t>《</w:t>
      </w:r>
      <w:r>
        <w:rPr>
          <w:spacing w:val="2"/>
          <w:w w:val="99"/>
        </w:rPr>
        <w:t>上</w:t>
      </w:r>
      <w:r>
        <w:rPr>
          <w:w w:val="99"/>
        </w:rPr>
        <w:t>市</w:t>
      </w:r>
      <w:r>
        <w:rPr>
          <w:spacing w:val="2"/>
          <w:w w:val="99"/>
        </w:rPr>
        <w:t>公</w:t>
      </w:r>
      <w:r>
        <w:rPr>
          <w:w w:val="99"/>
        </w:rPr>
        <w:t>司</w:t>
      </w:r>
      <w:r>
        <w:rPr>
          <w:spacing w:val="2"/>
          <w:w w:val="99"/>
        </w:rPr>
        <w:t>治</w:t>
      </w:r>
      <w:r>
        <w:rPr>
          <w:w w:val="99"/>
        </w:rPr>
        <w:t>理</w:t>
      </w:r>
      <w:r>
        <w:rPr>
          <w:spacing w:val="2"/>
          <w:w w:val="99"/>
        </w:rPr>
        <w:t>准</w:t>
      </w:r>
      <w:r>
        <w:rPr>
          <w:w w:val="99"/>
        </w:rPr>
        <w:t>则</w:t>
      </w:r>
      <w:r>
        <w:rPr>
          <w:spacing w:val="-22"/>
          <w:w w:val="99"/>
        </w:rPr>
        <w:t>》</w:t>
      </w:r>
      <w:r>
        <w:rPr>
          <w:spacing w:val="2"/>
          <w:w w:val="99"/>
        </w:rPr>
        <w:t>和</w:t>
      </w:r>
      <w:r>
        <w:rPr>
          <w:w w:val="99"/>
        </w:rPr>
        <w:t>公</w:t>
      </w:r>
      <w:r>
        <w:rPr>
          <w:spacing w:val="2"/>
          <w:w w:val="99"/>
        </w:rPr>
        <w:t>司</w:t>
      </w:r>
      <w:r>
        <w:rPr>
          <w:w w:val="99"/>
        </w:rPr>
        <w:t>章程</w:t>
      </w:r>
      <w:r>
        <w:rPr>
          <w:spacing w:val="2"/>
          <w:w w:val="99"/>
        </w:rPr>
        <w:t>的</w:t>
      </w:r>
      <w:r>
        <w:rPr>
          <w:w w:val="99"/>
        </w:rPr>
        <w:t>规</w:t>
      </w:r>
      <w:r>
        <w:rPr>
          <w:spacing w:val="2"/>
          <w:w w:val="99"/>
        </w:rPr>
        <w:t>定</w:t>
      </w:r>
      <w:r>
        <w:rPr>
          <w:spacing w:val="-24"/>
          <w:w w:val="99"/>
        </w:rPr>
        <w:t>，</w:t>
      </w:r>
      <w:r>
        <w:rPr>
          <w:spacing w:val="1"/>
          <w:w w:val="99"/>
        </w:rPr>
        <w:t>201</w:t>
      </w:r>
      <w:r>
        <w:rPr>
          <w:w w:val="99"/>
        </w:rPr>
        <w:t>1</w:t>
      </w:r>
      <w:r>
        <w:rPr>
          <w:spacing w:val="-54"/>
        </w:rPr>
        <w:t> </w:t>
      </w:r>
      <w:r>
        <w:rPr>
          <w:w w:val="99"/>
        </w:rPr>
        <w:t>年</w:t>
      </w:r>
      <w:r>
        <w:rPr>
          <w:spacing w:val="-53"/>
        </w:rPr>
        <w:t> </w:t>
      </w:r>
      <w:r>
        <w:rPr>
          <w:spacing w:val="1"/>
          <w:w w:val="99"/>
        </w:rPr>
        <w:t>1</w:t>
      </w:r>
      <w:r>
        <w:rPr>
          <w:w w:val="99"/>
        </w:rPr>
        <w:t>1</w:t>
      </w:r>
      <w:r>
        <w:rPr>
          <w:spacing w:val="-51"/>
        </w:rPr>
        <w:t> </w:t>
      </w:r>
      <w:r>
        <w:rPr>
          <w:w w:val="99"/>
        </w:rPr>
        <w:t>月</w:t>
      </w:r>
      <w:r>
        <w:rPr>
          <w:spacing w:val="-53"/>
        </w:rPr>
        <w:t> </w:t>
      </w:r>
      <w:r>
        <w:rPr>
          <w:spacing w:val="1"/>
          <w:w w:val="99"/>
        </w:rPr>
        <w:t>2</w:t>
      </w:r>
      <w:r>
        <w:rPr>
          <w:w w:val="99"/>
        </w:rPr>
        <w:t>8</w:t>
      </w:r>
      <w:r>
        <w:rPr>
          <w:spacing w:val="-51"/>
        </w:rPr>
        <w:t> </w:t>
      </w:r>
      <w:r>
        <w:rPr>
          <w:spacing w:val="2"/>
          <w:w w:val="99"/>
        </w:rPr>
        <w:t>日</w:t>
      </w:r>
      <w:r>
        <w:rPr>
          <w:w w:val="99"/>
        </w:rPr>
        <w:t>召</w:t>
      </w:r>
      <w:r>
        <w:rPr>
          <w:spacing w:val="2"/>
          <w:w w:val="99"/>
        </w:rPr>
        <w:t>开</w:t>
      </w:r>
      <w:r>
        <w:rPr>
          <w:w w:val="99"/>
        </w:rPr>
        <w:t>的</w:t>
      </w:r>
      <w:r>
        <w:rPr>
          <w:spacing w:val="2"/>
          <w:w w:val="99"/>
        </w:rPr>
        <w:t>公</w:t>
      </w:r>
      <w:r>
        <w:rPr>
          <w:w w:val="99"/>
        </w:rPr>
        <w:t>司</w:t>
      </w:r>
      <w:r>
        <w:rPr>
          <w:spacing w:val="2"/>
          <w:w w:val="99"/>
        </w:rPr>
        <w:t>第</w:t>
      </w:r>
      <w:r>
        <w:rPr>
          <w:w w:val="99"/>
        </w:rPr>
        <w:t>一</w:t>
      </w:r>
      <w:r>
        <w:rPr>
          <w:spacing w:val="2"/>
          <w:w w:val="99"/>
        </w:rPr>
        <w:t>届</w:t>
      </w:r>
      <w:r>
        <w:rPr>
          <w:w w:val="99"/>
        </w:rPr>
        <w:t>董</w:t>
      </w:r>
      <w:r>
        <w:rPr>
          <w:spacing w:val="2"/>
          <w:w w:val="99"/>
        </w:rPr>
        <w:t>事</w:t>
      </w:r>
      <w:r>
        <w:rPr>
          <w:w w:val="99"/>
        </w:rPr>
        <w:t>会</w:t>
      </w:r>
      <w:r>
        <w:rPr>
          <w:spacing w:val="2"/>
          <w:w w:val="99"/>
        </w:rPr>
        <w:t>第</w:t>
      </w:r>
      <w:r>
        <w:rPr>
          <w:w w:val="99"/>
        </w:rPr>
        <w:t>二十</w:t>
      </w:r>
      <w:r>
        <w:rPr/>
      </w:r>
    </w:p>
    <w:p>
      <w:pPr>
        <w:pStyle w:val="BodyText"/>
        <w:spacing w:line="338" w:lineRule="auto" w:before="114"/>
        <w:ind w:right="122"/>
        <w:jc w:val="both"/>
      </w:pPr>
      <w:r>
        <w:rPr>
          <w:spacing w:val="1"/>
          <w:w w:val="99"/>
        </w:rPr>
        <w:t>次会议审议通过了《关于撤销经营与决策委员会、战略委员会的议案</w:t>
      </w:r>
      <w:r>
        <w:rPr>
          <w:spacing w:val="-68"/>
          <w:w w:val="99"/>
        </w:rPr>
        <w:t> </w:t>
      </w:r>
      <w:r>
        <w:rPr>
          <w:spacing w:val="-5"/>
          <w:w w:val="99"/>
        </w:rPr>
        <w:t>》，决定撤销董事会经营与决策委员</w:t>
      </w:r>
      <w:r>
        <w:rPr>
          <w:spacing w:val="-86"/>
          <w:w w:val="99"/>
        </w:rPr>
        <w:t> </w:t>
      </w:r>
      <w:r>
        <w:rPr>
          <w:spacing w:val="-86"/>
          <w:w w:val="99"/>
        </w:rPr>
      </w:r>
      <w:r>
        <w:rPr/>
        <w:t>会、战略委员会。</w:t>
      </w:r>
    </w:p>
    <w:p>
      <w:pPr>
        <w:spacing w:line="400" w:lineRule="auto" w:before="119"/>
        <w:ind w:left="535" w:right="0"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七、年报信息披露重大差错责任追究制度的建立情况</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为进一步提高公司规范运作水平，加大对年报信息披露责任人的问责力度，提高年报信息披露的质量</w:t>
      </w:r>
      <w:r>
        <w:rPr>
          <w:rFonts w:ascii="宋体" w:hAnsi="宋体" w:cs="宋体" w:eastAsia="宋体" w:hint="default"/>
          <w:sz w:val="21"/>
          <w:szCs w:val="21"/>
        </w:rPr>
      </w:r>
    </w:p>
    <w:p>
      <w:pPr>
        <w:pStyle w:val="BodyText"/>
        <w:spacing w:line="250" w:lineRule="exact"/>
        <w:ind w:right="0"/>
        <w:jc w:val="both"/>
      </w:pPr>
      <w:r>
        <w:rPr>
          <w:spacing w:val="2"/>
          <w:w w:val="99"/>
        </w:rPr>
        <w:t>和</w:t>
      </w:r>
      <w:r>
        <w:rPr>
          <w:w w:val="99"/>
        </w:rPr>
        <w:t>透</w:t>
      </w:r>
      <w:r>
        <w:rPr>
          <w:spacing w:val="2"/>
          <w:w w:val="99"/>
        </w:rPr>
        <w:t>明</w:t>
      </w:r>
      <w:r>
        <w:rPr>
          <w:w w:val="99"/>
        </w:rPr>
        <w:t>度，</w:t>
      </w:r>
      <w:r>
        <w:rPr>
          <w:spacing w:val="2"/>
          <w:w w:val="99"/>
        </w:rPr>
        <w:t>根</w:t>
      </w:r>
      <w:r>
        <w:rPr>
          <w:spacing w:val="-3"/>
          <w:w w:val="99"/>
        </w:rPr>
        <w:t>据</w:t>
      </w:r>
      <w:r>
        <w:rPr>
          <w:w w:val="99"/>
        </w:rPr>
        <w:t>《</w:t>
      </w:r>
      <w:r>
        <w:rPr>
          <w:spacing w:val="2"/>
          <w:w w:val="99"/>
        </w:rPr>
        <w:t>证</w:t>
      </w:r>
      <w:r>
        <w:rPr>
          <w:w w:val="99"/>
        </w:rPr>
        <w:t>券</w:t>
      </w:r>
      <w:r>
        <w:rPr>
          <w:spacing w:val="2"/>
          <w:w w:val="99"/>
        </w:rPr>
        <w:t>法</w:t>
      </w:r>
      <w:r>
        <w:rPr>
          <w:spacing w:val="-104"/>
          <w:w w:val="99"/>
        </w:rPr>
        <w:t>》</w:t>
      </w:r>
      <w:r>
        <w:rPr>
          <w:spacing w:val="-108"/>
          <w:w w:val="99"/>
        </w:rPr>
        <w:t>、</w:t>
      </w:r>
      <w:r>
        <w:rPr>
          <w:spacing w:val="2"/>
          <w:w w:val="99"/>
        </w:rPr>
        <w:t>《会</w:t>
      </w:r>
      <w:r>
        <w:rPr>
          <w:w w:val="99"/>
        </w:rPr>
        <w:t>计法</w:t>
      </w:r>
      <w:r>
        <w:rPr>
          <w:spacing w:val="-104"/>
          <w:w w:val="99"/>
        </w:rPr>
        <w:t>》</w:t>
      </w:r>
      <w:r>
        <w:rPr>
          <w:spacing w:val="-108"/>
          <w:w w:val="99"/>
        </w:rPr>
        <w:t>、</w:t>
      </w:r>
      <w:r>
        <w:rPr>
          <w:spacing w:val="2"/>
          <w:w w:val="99"/>
        </w:rPr>
        <w:t>《上</w:t>
      </w:r>
      <w:r>
        <w:rPr>
          <w:w w:val="99"/>
        </w:rPr>
        <w:t>市</w:t>
      </w:r>
      <w:r>
        <w:rPr>
          <w:spacing w:val="2"/>
          <w:w w:val="99"/>
        </w:rPr>
        <w:t>公</w:t>
      </w:r>
      <w:r>
        <w:rPr>
          <w:w w:val="99"/>
        </w:rPr>
        <w:t>司</w:t>
      </w:r>
      <w:r>
        <w:rPr>
          <w:spacing w:val="2"/>
          <w:w w:val="99"/>
        </w:rPr>
        <w:t>信</w:t>
      </w:r>
      <w:r>
        <w:rPr>
          <w:w w:val="99"/>
        </w:rPr>
        <w:t>息</w:t>
      </w:r>
      <w:r>
        <w:rPr>
          <w:spacing w:val="2"/>
          <w:w w:val="99"/>
        </w:rPr>
        <w:t>披</w:t>
      </w:r>
      <w:r>
        <w:rPr>
          <w:w w:val="99"/>
        </w:rPr>
        <w:t>露</w:t>
      </w:r>
      <w:r>
        <w:rPr>
          <w:spacing w:val="2"/>
          <w:w w:val="99"/>
        </w:rPr>
        <w:t>管</w:t>
      </w:r>
      <w:r>
        <w:rPr>
          <w:w w:val="99"/>
        </w:rPr>
        <w:t>理</w:t>
      </w:r>
      <w:r>
        <w:rPr>
          <w:spacing w:val="2"/>
          <w:w w:val="99"/>
        </w:rPr>
        <w:t>办法</w:t>
      </w:r>
      <w:r>
        <w:rPr>
          <w:spacing w:val="-3"/>
          <w:w w:val="99"/>
        </w:rPr>
        <w:t>》</w:t>
      </w:r>
      <w:r>
        <w:rPr>
          <w:spacing w:val="2"/>
          <w:w w:val="99"/>
        </w:rPr>
        <w:t>等</w:t>
      </w:r>
      <w:r>
        <w:rPr>
          <w:w w:val="99"/>
        </w:rPr>
        <w:t>相</w:t>
      </w:r>
      <w:r>
        <w:rPr>
          <w:spacing w:val="2"/>
          <w:w w:val="99"/>
        </w:rPr>
        <w:t>关</w:t>
      </w:r>
      <w:r>
        <w:rPr>
          <w:w w:val="99"/>
        </w:rPr>
        <w:t>规</w:t>
      </w:r>
      <w:r>
        <w:rPr>
          <w:spacing w:val="2"/>
          <w:w w:val="99"/>
        </w:rPr>
        <w:t>定</w:t>
      </w:r>
      <w:r>
        <w:rPr>
          <w:spacing w:val="-3"/>
          <w:w w:val="99"/>
        </w:rPr>
        <w:t>及</w:t>
      </w:r>
      <w:r>
        <w:rPr>
          <w:spacing w:val="2"/>
          <w:w w:val="99"/>
        </w:rPr>
        <w:t>《公</w:t>
      </w:r>
      <w:r>
        <w:rPr>
          <w:w w:val="99"/>
        </w:rPr>
        <w:t>司</w:t>
      </w:r>
      <w:r>
        <w:rPr>
          <w:spacing w:val="2"/>
          <w:w w:val="99"/>
        </w:rPr>
        <w:t>章</w:t>
      </w:r>
      <w:r>
        <w:rPr>
          <w:w w:val="99"/>
        </w:rPr>
        <w:t>程</w:t>
      </w:r>
      <w:r>
        <w:rPr>
          <w:spacing w:val="-106"/>
          <w:w w:val="99"/>
        </w:rPr>
        <w:t>》、</w:t>
      </w:r>
      <w:r>
        <w:rPr>
          <w:w w:val="99"/>
        </w:rPr>
        <w:t>《</w:t>
      </w:r>
      <w:r>
        <w:rPr>
          <w:spacing w:val="2"/>
          <w:w w:val="99"/>
        </w:rPr>
        <w:t>信</w:t>
      </w:r>
      <w:r>
        <w:rPr>
          <w:w w:val="99"/>
        </w:rPr>
        <w:t>息</w:t>
      </w:r>
      <w:r>
        <w:rPr/>
      </w:r>
    </w:p>
    <w:p>
      <w:pPr>
        <w:pStyle w:val="BodyText"/>
        <w:spacing w:line="240" w:lineRule="auto" w:before="114"/>
        <w:ind w:right="0"/>
        <w:jc w:val="both"/>
      </w:pPr>
      <w:r>
        <w:rPr>
          <w:spacing w:val="2"/>
          <w:w w:val="99"/>
        </w:rPr>
        <w:t>披</w:t>
      </w:r>
      <w:r>
        <w:rPr>
          <w:w w:val="99"/>
        </w:rPr>
        <w:t>露</w:t>
      </w:r>
      <w:r>
        <w:rPr>
          <w:spacing w:val="2"/>
          <w:w w:val="99"/>
        </w:rPr>
        <w:t>制</w:t>
      </w:r>
      <w:r>
        <w:rPr>
          <w:w w:val="99"/>
        </w:rPr>
        <w:t>度</w:t>
      </w:r>
      <w:r>
        <w:rPr>
          <w:spacing w:val="-5"/>
          <w:w w:val="99"/>
        </w:rPr>
        <w:t>》</w:t>
      </w:r>
      <w:r>
        <w:rPr>
          <w:spacing w:val="2"/>
          <w:w w:val="99"/>
        </w:rPr>
        <w:t>的</w:t>
      </w:r>
      <w:r>
        <w:rPr>
          <w:w w:val="99"/>
        </w:rPr>
        <w:t>规</w:t>
      </w:r>
      <w:r>
        <w:rPr>
          <w:spacing w:val="2"/>
          <w:w w:val="99"/>
        </w:rPr>
        <w:t>定</w:t>
      </w:r>
      <w:r>
        <w:rPr>
          <w:spacing w:val="-5"/>
          <w:w w:val="99"/>
        </w:rPr>
        <w:t>，</w:t>
      </w:r>
      <w:r>
        <w:rPr>
          <w:spacing w:val="2"/>
          <w:w w:val="99"/>
        </w:rPr>
        <w:t>公</w:t>
      </w:r>
      <w:r>
        <w:rPr>
          <w:w w:val="99"/>
        </w:rPr>
        <w:t>司</w:t>
      </w:r>
      <w:r>
        <w:rPr>
          <w:spacing w:val="2"/>
          <w:w w:val="99"/>
        </w:rPr>
        <w:t>董</w:t>
      </w:r>
      <w:r>
        <w:rPr>
          <w:w w:val="99"/>
        </w:rPr>
        <w:t>事</w:t>
      </w:r>
      <w:r>
        <w:rPr>
          <w:spacing w:val="2"/>
          <w:w w:val="99"/>
        </w:rPr>
        <w:t>会</w:t>
      </w:r>
      <w:r>
        <w:rPr>
          <w:w w:val="99"/>
        </w:rPr>
        <w:t>制</w:t>
      </w:r>
      <w:r>
        <w:rPr>
          <w:spacing w:val="2"/>
          <w:w w:val="99"/>
        </w:rPr>
        <w:t>定</w:t>
      </w:r>
      <w:r>
        <w:rPr>
          <w:spacing w:val="-3"/>
          <w:w w:val="99"/>
        </w:rPr>
        <w:t>了</w:t>
      </w:r>
      <w:r>
        <w:rPr>
          <w:w w:val="99"/>
        </w:rPr>
        <w:t>《</w:t>
      </w:r>
      <w:r>
        <w:rPr>
          <w:spacing w:val="2"/>
          <w:w w:val="99"/>
        </w:rPr>
        <w:t>年</w:t>
      </w:r>
      <w:r>
        <w:rPr>
          <w:w w:val="99"/>
        </w:rPr>
        <w:t>报</w:t>
      </w:r>
      <w:r>
        <w:rPr>
          <w:spacing w:val="2"/>
          <w:w w:val="99"/>
        </w:rPr>
        <w:t>信</w:t>
      </w:r>
      <w:r>
        <w:rPr>
          <w:w w:val="99"/>
        </w:rPr>
        <w:t>息</w:t>
      </w:r>
      <w:r>
        <w:rPr>
          <w:spacing w:val="2"/>
          <w:w w:val="99"/>
        </w:rPr>
        <w:t>披</w:t>
      </w:r>
      <w:r>
        <w:rPr>
          <w:w w:val="99"/>
        </w:rPr>
        <w:t>露</w:t>
      </w:r>
      <w:r>
        <w:rPr>
          <w:spacing w:val="2"/>
          <w:w w:val="99"/>
        </w:rPr>
        <w:t>重</w:t>
      </w:r>
      <w:r>
        <w:rPr>
          <w:w w:val="99"/>
        </w:rPr>
        <w:t>大</w:t>
      </w:r>
      <w:r>
        <w:rPr>
          <w:spacing w:val="2"/>
          <w:w w:val="99"/>
        </w:rPr>
        <w:t>差</w:t>
      </w:r>
      <w:r>
        <w:rPr>
          <w:w w:val="99"/>
        </w:rPr>
        <w:t>错</w:t>
      </w:r>
      <w:r>
        <w:rPr>
          <w:spacing w:val="2"/>
          <w:w w:val="99"/>
        </w:rPr>
        <w:t>责</w:t>
      </w:r>
      <w:r>
        <w:rPr>
          <w:w w:val="99"/>
        </w:rPr>
        <w:t>任</w:t>
      </w:r>
      <w:r>
        <w:rPr>
          <w:spacing w:val="2"/>
          <w:w w:val="99"/>
        </w:rPr>
        <w:t>追</w:t>
      </w:r>
      <w:r>
        <w:rPr>
          <w:w w:val="99"/>
        </w:rPr>
        <w:t>究</w:t>
      </w:r>
      <w:r>
        <w:rPr>
          <w:spacing w:val="2"/>
          <w:w w:val="99"/>
        </w:rPr>
        <w:t>制度</w:t>
      </w:r>
      <w:r>
        <w:rPr>
          <w:spacing w:val="-106"/>
          <w:w w:val="99"/>
        </w:rPr>
        <w:t>》</w:t>
      </w:r>
      <w:r>
        <w:rPr>
          <w:spacing w:val="-3"/>
          <w:w w:val="99"/>
        </w:rPr>
        <w:t>。</w:t>
      </w:r>
      <w:r>
        <w:rPr>
          <w:spacing w:val="2"/>
          <w:w w:val="99"/>
        </w:rPr>
        <w:t>该</w:t>
      </w:r>
      <w:r>
        <w:rPr>
          <w:w w:val="99"/>
        </w:rPr>
        <w:t>制</w:t>
      </w:r>
      <w:r>
        <w:rPr>
          <w:spacing w:val="2"/>
          <w:w w:val="99"/>
        </w:rPr>
        <w:t>度</w:t>
      </w:r>
      <w:r>
        <w:rPr>
          <w:w w:val="99"/>
        </w:rPr>
        <w:t>已经</w:t>
      </w:r>
      <w:r>
        <w:rPr>
          <w:spacing w:val="-53"/>
        </w:rPr>
        <w:t> </w:t>
      </w:r>
      <w:r>
        <w:rPr>
          <w:spacing w:val="1"/>
          <w:w w:val="99"/>
        </w:rPr>
        <w:t>201</w:t>
      </w:r>
      <w:r>
        <w:rPr>
          <w:w w:val="99"/>
        </w:rPr>
        <w:t>2</w:t>
      </w:r>
      <w:r>
        <w:rPr>
          <w:spacing w:val="-54"/>
        </w:rPr>
        <w:t> </w:t>
      </w:r>
      <w:r>
        <w:rPr>
          <w:w w:val="99"/>
        </w:rPr>
        <w:t>年</w:t>
      </w:r>
      <w:r>
        <w:rPr>
          <w:spacing w:val="-50"/>
        </w:rPr>
        <w:t> </w:t>
      </w:r>
      <w:r>
        <w:rPr>
          <w:w w:val="99"/>
        </w:rPr>
        <w:t>3</w:t>
      </w:r>
      <w:r>
        <w:rPr>
          <w:spacing w:val="-54"/>
        </w:rPr>
        <w:t> </w:t>
      </w:r>
      <w:r>
        <w:rPr>
          <w:w w:val="99"/>
        </w:rPr>
        <w:t>月</w:t>
      </w:r>
      <w:r>
        <w:rPr/>
      </w:r>
    </w:p>
    <w:p>
      <w:pPr>
        <w:pStyle w:val="BodyText"/>
        <w:spacing w:line="340" w:lineRule="auto" w:before="116"/>
        <w:ind w:right="112"/>
        <w:jc w:val="both"/>
      </w:pPr>
      <w:r>
        <w:rPr>
          <w:w w:val="95"/>
        </w:rPr>
        <w:t>15 日召开的公司第一届董事会第二十一次会议审议通过。报告期内公司未发生重大会计差错更正、重大遗</w:t>
      </w:r>
      <w:r>
        <w:rPr>
          <w:spacing w:val="-48"/>
          <w:w w:val="95"/>
        </w:rPr>
        <w:t> </w:t>
      </w:r>
      <w:r>
        <w:rPr>
          <w:spacing w:val="-48"/>
          <w:w w:val="95"/>
        </w:rPr>
      </w:r>
      <w:r>
        <w:rPr/>
        <w:t>漏信息补充以及业绩预告修正等情况。</w:t>
      </w:r>
    </w:p>
    <w:p>
      <w:pPr>
        <w:pStyle w:val="Heading4"/>
        <w:spacing w:line="240" w:lineRule="auto" w:before="115"/>
        <w:ind w:left="112" w:right="0"/>
        <w:jc w:val="both"/>
        <w:rPr>
          <w:b w:val="0"/>
          <w:bCs w:val="0"/>
        </w:rPr>
      </w:pPr>
      <w:r>
        <w:rPr/>
        <w:t>八、公司内部控制制度的建立健全情况</w:t>
      </w:r>
      <w:r>
        <w:rPr>
          <w:b w:val="0"/>
          <w:bCs w:val="0"/>
        </w:rPr>
      </w:r>
    </w:p>
    <w:p>
      <w:pPr>
        <w:spacing w:line="240" w:lineRule="auto" w:before="8"/>
        <w:rPr>
          <w:rFonts w:ascii="Microsoft JhengHei" w:hAnsi="Microsoft JhengHei" w:cs="Microsoft JhengHei" w:eastAsia="Microsoft JhengHei" w:hint="default"/>
          <w:b/>
          <w:bCs/>
          <w:sz w:val="10"/>
          <w:szCs w:val="10"/>
        </w:rPr>
      </w:pPr>
    </w:p>
    <w:p>
      <w:pPr>
        <w:spacing w:line="400" w:lineRule="auto" w:before="0"/>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（一）报告期内，内部控制制度的建立和执行情况</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报告期内，公司根据实际情况对《公司章程》中的部分条款进行了修改。目前，公司已制定的主要规</w:t>
      </w:r>
      <w:r>
        <w:rPr>
          <w:rFonts w:ascii="宋体" w:hAnsi="宋体" w:cs="宋体" w:eastAsia="宋体" w:hint="default"/>
          <w:sz w:val="21"/>
          <w:szCs w:val="21"/>
        </w:rPr>
      </w:r>
    </w:p>
    <w:p>
      <w:pPr>
        <w:pStyle w:val="BodyText"/>
        <w:spacing w:line="251" w:lineRule="exact"/>
        <w:ind w:right="0"/>
        <w:jc w:val="both"/>
      </w:pPr>
      <w:r>
        <w:rPr>
          <w:spacing w:val="2"/>
          <w:w w:val="99"/>
        </w:rPr>
        <w:t>章制度</w:t>
      </w:r>
      <w:r>
        <w:rPr>
          <w:spacing w:val="4"/>
          <w:w w:val="99"/>
        </w:rPr>
        <w:t>有</w:t>
      </w:r>
      <w:r>
        <w:rPr>
          <w:spacing w:val="-101"/>
          <w:w w:val="99"/>
        </w:rPr>
        <w:t>：</w:t>
      </w:r>
      <w:r>
        <w:rPr>
          <w:spacing w:val="2"/>
          <w:w w:val="99"/>
        </w:rPr>
        <w:t>《公司章程</w:t>
      </w:r>
      <w:r>
        <w:rPr>
          <w:spacing w:val="-101"/>
          <w:w w:val="99"/>
        </w:rPr>
        <w:t>》、</w:t>
      </w:r>
      <w:r>
        <w:rPr>
          <w:spacing w:val="2"/>
          <w:w w:val="99"/>
        </w:rPr>
        <w:t>《股东大会议事规</w:t>
      </w:r>
      <w:r>
        <w:rPr>
          <w:spacing w:val="4"/>
          <w:w w:val="99"/>
        </w:rPr>
        <w:t>则</w:t>
      </w:r>
      <w:r>
        <w:rPr>
          <w:spacing w:val="-101"/>
          <w:w w:val="99"/>
        </w:rPr>
        <w:t>》</w:t>
      </w:r>
      <w:r>
        <w:rPr>
          <w:spacing w:val="-104"/>
          <w:w w:val="99"/>
        </w:rPr>
        <w:t>、</w:t>
      </w:r>
      <w:r>
        <w:rPr>
          <w:spacing w:val="2"/>
          <w:w w:val="99"/>
        </w:rPr>
        <w:t>《董事</w:t>
      </w:r>
      <w:r>
        <w:rPr>
          <w:spacing w:val="4"/>
          <w:w w:val="99"/>
        </w:rPr>
        <w:t>会</w:t>
      </w:r>
      <w:r>
        <w:rPr>
          <w:spacing w:val="2"/>
          <w:w w:val="99"/>
        </w:rPr>
        <w:t>议事规</w:t>
      </w:r>
      <w:r>
        <w:rPr>
          <w:spacing w:val="4"/>
          <w:w w:val="99"/>
        </w:rPr>
        <w:t>则</w:t>
      </w:r>
      <w:r>
        <w:rPr>
          <w:spacing w:val="-101"/>
          <w:w w:val="99"/>
        </w:rPr>
        <w:t>》</w:t>
      </w:r>
      <w:r>
        <w:rPr>
          <w:spacing w:val="-104"/>
          <w:w w:val="99"/>
        </w:rPr>
        <w:t>、</w:t>
      </w:r>
      <w:r>
        <w:rPr>
          <w:spacing w:val="2"/>
          <w:w w:val="99"/>
        </w:rPr>
        <w:t>《监事会议事规</w:t>
      </w:r>
      <w:r>
        <w:rPr>
          <w:spacing w:val="4"/>
          <w:w w:val="99"/>
        </w:rPr>
        <w:t>则</w:t>
      </w:r>
      <w:r>
        <w:rPr>
          <w:spacing w:val="-101"/>
          <w:w w:val="99"/>
        </w:rPr>
        <w:t>》</w:t>
      </w:r>
      <w:r>
        <w:rPr>
          <w:spacing w:val="-104"/>
          <w:w w:val="99"/>
        </w:rPr>
        <w:t>、</w:t>
      </w:r>
      <w:r>
        <w:rPr>
          <w:spacing w:val="2"/>
          <w:w w:val="99"/>
        </w:rPr>
        <w:t>《董事长工作</w:t>
      </w:r>
      <w:r>
        <w:rPr>
          <w:w w:val="99"/>
        </w:rPr>
        <w:t>细</w:t>
      </w:r>
      <w:r>
        <w:rPr/>
      </w:r>
    </w:p>
    <w:p>
      <w:pPr>
        <w:pStyle w:val="BodyText"/>
        <w:spacing w:line="340" w:lineRule="auto" w:before="114"/>
        <w:ind w:right="110"/>
        <w:jc w:val="both"/>
      </w:pPr>
      <w:r>
        <w:rPr>
          <w:spacing w:val="-21"/>
          <w:w w:val="99"/>
        </w:rPr>
        <w:t>则》、《总经理工作细则》、《董事会秘书工作细则》、《独立董事工作制度》、《审计委员会实施细则》、《薪酬</w:t>
      </w:r>
      <w:r>
        <w:rPr>
          <w:spacing w:val="-54"/>
          <w:w w:val="99"/>
        </w:rPr>
        <w:t> </w:t>
      </w:r>
      <w:r>
        <w:rPr>
          <w:spacing w:val="-54"/>
          <w:w w:val="99"/>
        </w:rPr>
      </w:r>
      <w:r>
        <w:rPr>
          <w:spacing w:val="-17"/>
          <w:w w:val="99"/>
        </w:rPr>
        <w:t>与考核委员会实施细则》、《提名委员会实施细则》、《内部信息报告制度》、《关联交易管理办法》、《对外担</w:t>
      </w:r>
      <w:r>
        <w:rPr>
          <w:spacing w:val="-70"/>
          <w:w w:val="99"/>
        </w:rPr>
        <w:t> </w:t>
      </w:r>
      <w:r>
        <w:rPr>
          <w:spacing w:val="-70"/>
          <w:w w:val="99"/>
        </w:rPr>
      </w:r>
      <w:r>
        <w:rPr>
          <w:spacing w:val="-13"/>
          <w:w w:val="99"/>
        </w:rPr>
        <w:t>保管理制度》、《对外投资管理制度》、《募集资金管理办法》、《内幕信息知情人登记管理制度》《控股股东</w:t>
      </w:r>
      <w:r>
        <w:rPr>
          <w:spacing w:val="-83"/>
          <w:w w:val="99"/>
        </w:rPr>
        <w:t> </w:t>
      </w:r>
      <w:r>
        <w:rPr>
          <w:spacing w:val="-83"/>
          <w:w w:val="99"/>
        </w:rPr>
      </w:r>
      <w:r>
        <w:rPr>
          <w:spacing w:val="-4"/>
          <w:w w:val="99"/>
        </w:rPr>
        <w:t>和实际控制人行为规范》、《累积投票制实施细则》等，这些制度的制定及实施，确保了公司股东大会、董</w:t>
      </w:r>
      <w:r>
        <w:rPr>
          <w:w w:val="99"/>
        </w:rPr>
        <w:t> </w:t>
      </w:r>
      <w:r>
        <w:rPr>
          <w:w w:val="95"/>
        </w:rPr>
        <w:t>事会、监事会的运作和决议、重大事项的决策和执行、重大信息的报告和披露等行为合法合规，为公司经</w:t>
      </w:r>
      <w:r>
        <w:rPr>
          <w:spacing w:val="54"/>
          <w:w w:val="95"/>
        </w:rPr>
        <w:t> </w:t>
      </w:r>
      <w:r>
        <w:rPr>
          <w:spacing w:val="54"/>
          <w:w w:val="95"/>
        </w:rPr>
      </w:r>
      <w:r>
        <w:rPr>
          <w:w w:val="95"/>
        </w:rPr>
        <w:t>营业务的长期发展奠定了扎实的基础。公司将在以后的工作中及时根据监管部门和新的法律法规要求以及</w:t>
      </w:r>
      <w:r>
        <w:rPr>
          <w:spacing w:val="52"/>
          <w:w w:val="95"/>
        </w:rPr>
        <w:t> </w:t>
      </w:r>
      <w:r>
        <w:rPr>
          <w:spacing w:val="52"/>
          <w:w w:val="95"/>
        </w:rPr>
      </w:r>
      <w:r>
        <w:rPr/>
        <w:t>公司实际情况，对制度进行不断修改和完善。</w:t>
      </w:r>
    </w:p>
    <w:p>
      <w:pPr>
        <w:spacing w:after="0" w:line="340" w:lineRule="auto"/>
        <w:jc w:val="both"/>
        <w:sectPr>
          <w:footerReference w:type="default" r:id="rId24"/>
          <w:pgSz w:w="11910" w:h="16840"/>
          <w:pgMar w:footer="976" w:header="849" w:top="1460" w:bottom="1160" w:left="1020" w:right="1020"/>
          <w:pgNumType w:start="6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line="327" w:lineRule="exact" w:before="0"/>
                        <w:ind w:left="42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（二）募集资金存放与使用的内部控制</w:t>
                      </w:r>
                      <w:r>
                        <w:rPr>
                          <w:rFonts w:ascii="Microsoft JhengHei" w:hAnsi="Microsoft JhengHei" w:cs="Microsoft JhengHei" w:eastAsia="Microsoft JhengHei"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BodyText"/>
        <w:spacing w:line="340" w:lineRule="auto" w:before="34"/>
        <w:ind w:right="210" w:firstLine="422"/>
        <w:jc w:val="both"/>
      </w:pPr>
      <w:r>
        <w:rPr>
          <w:spacing w:val="-5"/>
          <w:w w:val="99"/>
        </w:rPr>
        <w:t>公司严格按照《深圳证券交易所创业板上市公司规范运作指引》、《募集资金管理办法》等的规定和要</w:t>
      </w:r>
      <w:r>
        <w:rPr>
          <w:w w:val="99"/>
        </w:rPr>
        <w:t> </w:t>
      </w:r>
      <w:r>
        <w:rPr>
          <w:spacing w:val="-2"/>
          <w:w w:val="99"/>
        </w:rPr>
        <w:t>求，修订了《募集资金管理办法》，对募集资金的存放、使用、监管做了进一步的明确规定。</w:t>
      </w:r>
      <w:r>
        <w:rPr>
          <w:spacing w:val="-79"/>
          <w:w w:val="99"/>
        </w:rPr>
        <w:t> </w:t>
      </w:r>
      <w:r>
        <w:rPr>
          <w:w w:val="99"/>
        </w:rPr>
        <w:t>2011</w:t>
      </w:r>
      <w:r>
        <w:rPr>
          <w:spacing w:val="-36"/>
          <w:w w:val="99"/>
        </w:rPr>
        <w:t> </w:t>
      </w:r>
      <w:r>
        <w:rPr>
          <w:w w:val="99"/>
        </w:rPr>
        <w:t>年度，</w:t>
      </w:r>
      <w:r>
        <w:rPr>
          <w:spacing w:val="-97"/>
          <w:w w:val="99"/>
        </w:rPr>
        <w:t> </w:t>
      </w:r>
      <w:r>
        <w:rPr>
          <w:spacing w:val="-97"/>
          <w:w w:val="99"/>
        </w:rPr>
      </w:r>
      <w:r>
        <w:rPr/>
        <w:t>公司募集资金的存放和使用均符合相关规定，不存在改变募集资金投向等问题。</w:t>
      </w:r>
    </w:p>
    <w:p>
      <w:pPr>
        <w:spacing w:line="400" w:lineRule="auto" w:before="115"/>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（三）信息披露的内部控制</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5"/>
          <w:w w:val="99"/>
          <w:sz w:val="21"/>
          <w:szCs w:val="21"/>
        </w:rPr>
        <w:t>公司《内部信息报告制度》、《信息披露制度》对信息的保密、传递和披露作了明确的规定，要求内幕</w:t>
      </w:r>
      <w:r>
        <w:rPr>
          <w:rFonts w:ascii="宋体" w:hAnsi="宋体" w:cs="宋体" w:eastAsia="宋体" w:hint="default"/>
          <w:spacing w:val="-5"/>
          <w:sz w:val="21"/>
          <w:szCs w:val="21"/>
        </w:rPr>
      </w:r>
    </w:p>
    <w:p>
      <w:pPr>
        <w:pStyle w:val="BodyText"/>
        <w:spacing w:line="250" w:lineRule="exact"/>
        <w:ind w:right="103"/>
        <w:jc w:val="left"/>
      </w:pPr>
      <w:r>
        <w:rPr/>
        <w:t>信息知情人须尽到保密责任，不得进行内幕交易。明确董事会秘书为公司指定信息披露义务人，确保信息</w:t>
      </w:r>
    </w:p>
    <w:p>
      <w:pPr>
        <w:pStyle w:val="BodyText"/>
        <w:spacing w:line="240" w:lineRule="auto" w:before="116"/>
        <w:ind w:right="103"/>
        <w:jc w:val="left"/>
      </w:pPr>
      <w:r>
        <w:rPr/>
        <w:t>披露真实、准确、完整、及时、公平，公司通过董事会秘书办公室积极开展投资者关系活动。</w:t>
      </w:r>
    </w:p>
    <w:p>
      <w:pPr>
        <w:spacing w:line="240" w:lineRule="auto" w:before="7"/>
        <w:rPr>
          <w:rFonts w:ascii="宋体" w:hAnsi="宋体" w:cs="宋体" w:eastAsia="宋体" w:hint="default"/>
          <w:sz w:val="15"/>
          <w:szCs w:val="15"/>
        </w:rPr>
      </w:pPr>
    </w:p>
    <w:p>
      <w:pPr>
        <w:spacing w:line="403" w:lineRule="auto" w:before="0"/>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（四）对外担保的内部控制</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4"/>
          <w:w w:val="99"/>
          <w:sz w:val="21"/>
          <w:szCs w:val="21"/>
        </w:rPr>
        <w:t>公司的《公司章程》、《对外担保管理制度》以及相关的三会议事规则等规章制度中，明确了董事长、</w:t>
      </w:r>
      <w:r>
        <w:rPr>
          <w:rFonts w:ascii="宋体" w:hAnsi="宋体" w:cs="宋体" w:eastAsia="宋体" w:hint="default"/>
          <w:spacing w:val="-4"/>
          <w:sz w:val="21"/>
          <w:szCs w:val="21"/>
        </w:rPr>
      </w:r>
    </w:p>
    <w:p>
      <w:pPr>
        <w:pStyle w:val="BodyText"/>
        <w:spacing w:line="246" w:lineRule="exact"/>
        <w:ind w:right="103"/>
        <w:jc w:val="left"/>
      </w:pPr>
      <w:r>
        <w:rPr/>
        <w:t>董事会、股东大会在对外担保事务上的权限，审批程序，明确了监事会对公司董事和高级管理人员的履行</w:t>
      </w:r>
    </w:p>
    <w:p>
      <w:pPr>
        <w:pStyle w:val="BodyText"/>
        <w:spacing w:line="240" w:lineRule="auto" w:before="116"/>
        <w:ind w:right="103"/>
        <w:jc w:val="left"/>
      </w:pPr>
      <w:r>
        <w:rPr>
          <w:w w:val="95"/>
        </w:rPr>
        <w:t>职责进行监督，确保重大事项能合法合规以及真实有效地审批实施。报告期内，公司未发生任何担保事项。</w:t>
      </w:r>
      <w:r>
        <w:rPr/>
      </w:r>
    </w:p>
    <w:p>
      <w:pPr>
        <w:spacing w:line="240" w:lineRule="auto" w:before="7"/>
        <w:rPr>
          <w:rFonts w:ascii="宋体" w:hAnsi="宋体" w:cs="宋体" w:eastAsia="宋体" w:hint="default"/>
          <w:sz w:val="15"/>
          <w:szCs w:val="15"/>
        </w:rPr>
      </w:pPr>
    </w:p>
    <w:p>
      <w:pPr>
        <w:spacing w:line="400" w:lineRule="auto" w:before="0"/>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（五）重大投资的内部控制</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7"/>
          <w:w w:val="98"/>
          <w:sz w:val="21"/>
          <w:szCs w:val="21"/>
        </w:rPr>
        <w:t>在对外投资方面，公司所有重大投资均严格按照《公司章程》、《对外投资管理制度》《内部控制制度》</w:t>
      </w:r>
      <w:r>
        <w:rPr>
          <w:rFonts w:ascii="宋体" w:hAnsi="宋体" w:cs="宋体" w:eastAsia="宋体" w:hint="default"/>
          <w:spacing w:val="-7"/>
          <w:sz w:val="21"/>
          <w:szCs w:val="21"/>
        </w:rPr>
      </w:r>
    </w:p>
    <w:p>
      <w:pPr>
        <w:pStyle w:val="BodyText"/>
        <w:spacing w:line="250" w:lineRule="exact"/>
        <w:ind w:right="103"/>
        <w:jc w:val="left"/>
      </w:pPr>
      <w:r>
        <w:rPr/>
        <w:t>及相关三会议事规则的规定，履行必要的审批程序，确保公司对外投资的规范运作。报告期内，公司未发</w:t>
      </w:r>
    </w:p>
    <w:p>
      <w:pPr>
        <w:pStyle w:val="BodyText"/>
        <w:spacing w:line="240" w:lineRule="auto" w:before="114"/>
        <w:ind w:right="103"/>
        <w:jc w:val="left"/>
      </w:pPr>
      <w:r>
        <w:rPr/>
        <w:t>生对外投资事项。</w:t>
      </w:r>
    </w:p>
    <w:p>
      <w:pPr>
        <w:spacing w:line="240" w:lineRule="auto" w:before="9"/>
        <w:rPr>
          <w:rFonts w:ascii="宋体" w:hAnsi="宋体" w:cs="宋体" w:eastAsia="宋体" w:hint="default"/>
          <w:sz w:val="15"/>
          <w:szCs w:val="15"/>
        </w:rPr>
      </w:pPr>
    </w:p>
    <w:p>
      <w:pPr>
        <w:spacing w:line="403" w:lineRule="auto" w:before="0"/>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（六）关联交易的内部控制</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公司高度重视关联交易的内部控制管理，对关联交易的确认、基本原则、审批权限、审议程序和回避</w:t>
      </w:r>
      <w:r>
        <w:rPr>
          <w:rFonts w:ascii="宋体" w:hAnsi="宋体" w:cs="宋体" w:eastAsia="宋体" w:hint="default"/>
          <w:sz w:val="21"/>
          <w:szCs w:val="21"/>
        </w:rPr>
      </w:r>
    </w:p>
    <w:p>
      <w:pPr>
        <w:pStyle w:val="BodyText"/>
        <w:spacing w:line="246" w:lineRule="exact"/>
        <w:ind w:right="103"/>
        <w:jc w:val="left"/>
      </w:pPr>
      <w:r>
        <w:rPr/>
        <w:t>表决等事项进行了明确的规定，以确保关联方之间的关联交易符合公平、公正、公开的原则，确保公司的</w:t>
      </w:r>
    </w:p>
    <w:p>
      <w:pPr>
        <w:pStyle w:val="BodyText"/>
        <w:spacing w:line="240" w:lineRule="auto" w:before="116"/>
        <w:ind w:right="103"/>
        <w:jc w:val="left"/>
      </w:pPr>
      <w:r>
        <w:rPr/>
        <w:t>关联交易行为不损害公司和非关联股东的合法权益。</w:t>
      </w:r>
    </w:p>
    <w:p>
      <w:pPr>
        <w:spacing w:line="240" w:lineRule="auto" w:before="7"/>
        <w:rPr>
          <w:rFonts w:ascii="宋体" w:hAnsi="宋体" w:cs="宋体" w:eastAsia="宋体" w:hint="default"/>
          <w:sz w:val="15"/>
          <w:szCs w:val="15"/>
        </w:rPr>
      </w:pPr>
    </w:p>
    <w:p>
      <w:pPr>
        <w:pStyle w:val="Heading4"/>
        <w:spacing w:line="240" w:lineRule="auto"/>
        <w:ind w:right="103"/>
        <w:jc w:val="left"/>
        <w:rPr>
          <w:b w:val="0"/>
          <w:bCs w:val="0"/>
        </w:rPr>
      </w:pPr>
      <w:r>
        <w:rPr/>
        <w:t>（七）内部控制检查监督部门的设立情况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210" w:firstLine="422"/>
        <w:jc w:val="both"/>
      </w:pPr>
      <w:r>
        <w:rPr/>
        <w:t>公司董事会下设审计委员会，由</w:t>
      </w:r>
      <w:r>
        <w:rPr>
          <w:spacing w:val="-66"/>
        </w:rPr>
        <w:t> </w:t>
      </w:r>
      <w:r>
        <w:rPr/>
        <w:t>3</w:t>
      </w:r>
      <w:r>
        <w:rPr>
          <w:spacing w:val="-68"/>
        </w:rPr>
        <w:t> </w:t>
      </w:r>
      <w:r>
        <w:rPr/>
        <w:t>名成员组成，其中独立董事占半数以上并担任主任委员，主任委员</w:t>
      </w:r>
      <w:r>
        <w:rPr>
          <w:w w:val="99"/>
        </w:rPr>
        <w:t> </w:t>
      </w:r>
      <w:r>
        <w:rPr>
          <w:w w:val="95"/>
        </w:rPr>
        <w:t>为会计专业人士。审计委员会主要负责公司的内、外部审计监督工作，监督公司的内部审计制度及其实施</w:t>
      </w:r>
      <w:r>
        <w:rPr>
          <w:spacing w:val="52"/>
          <w:w w:val="95"/>
        </w:rPr>
        <w:t> </w:t>
      </w:r>
      <w:r>
        <w:rPr>
          <w:spacing w:val="52"/>
          <w:w w:val="95"/>
        </w:rPr>
      </w:r>
      <w:r>
        <w:rPr>
          <w:w w:val="95"/>
        </w:rPr>
        <w:t>情况。同时审计委员会下设独立于财务部的审计部并配备了专职的审计人员，负责对公司经营活动、内部</w:t>
      </w:r>
      <w:r>
        <w:rPr>
          <w:spacing w:val="53"/>
          <w:w w:val="95"/>
        </w:rPr>
        <w:t> </w:t>
      </w:r>
      <w:r>
        <w:rPr>
          <w:spacing w:val="53"/>
          <w:w w:val="95"/>
        </w:rPr>
      </w:r>
      <w:r>
        <w:rPr>
          <w:w w:val="95"/>
        </w:rPr>
        <w:t>控制制度设计、执行情况和内部控制的有效性进行监督和检查，对监督检查中发现的内部控制缺陷，按照</w:t>
      </w:r>
      <w:r>
        <w:rPr>
          <w:spacing w:val="54"/>
          <w:w w:val="95"/>
        </w:rPr>
        <w:t> </w:t>
      </w:r>
      <w:r>
        <w:rPr>
          <w:spacing w:val="54"/>
          <w:w w:val="95"/>
        </w:rPr>
      </w:r>
      <w:r>
        <w:rPr>
          <w:w w:val="95"/>
        </w:rPr>
        <w:t>公司内部审计工作程序进行报告，并提出相应的改进建议和处理意见，对在监督检查中发现的内部控制重</w:t>
      </w:r>
      <w:r>
        <w:rPr>
          <w:spacing w:val="52"/>
          <w:w w:val="95"/>
        </w:rPr>
        <w:t> </w:t>
      </w:r>
      <w:r>
        <w:rPr>
          <w:spacing w:val="52"/>
          <w:w w:val="95"/>
        </w:rPr>
      </w:r>
      <w:r>
        <w:rPr>
          <w:w w:val="95"/>
        </w:rPr>
        <w:t>大缺陷，可直接向董事会及其审计委员会、监事会报告。审计部独立于其他部门和业务活动，构筑了对各</w:t>
      </w:r>
      <w:r>
        <w:rPr>
          <w:spacing w:val="52"/>
          <w:w w:val="95"/>
        </w:rPr>
        <w:t> </w:t>
      </w:r>
      <w:r>
        <w:rPr>
          <w:spacing w:val="52"/>
          <w:w w:val="95"/>
        </w:rPr>
      </w:r>
      <w:r>
        <w:rPr>
          <w:w w:val="95"/>
        </w:rPr>
        <w:t>部门、各岗位、各项业务全面实施监督反馈的第三道监控防线，降低了经营活动中存在的风险，使公司更</w:t>
      </w:r>
      <w:r>
        <w:rPr>
          <w:spacing w:val="54"/>
          <w:w w:val="95"/>
        </w:rPr>
        <w:t> </w:t>
      </w:r>
      <w:r>
        <w:rPr>
          <w:spacing w:val="54"/>
          <w:w w:val="95"/>
        </w:rPr>
      </w:r>
      <w:r>
        <w:rPr/>
        <w:t>加稳健地向前发展。</w:t>
      </w:r>
    </w:p>
    <w:p>
      <w:pPr>
        <w:pStyle w:val="Heading4"/>
        <w:spacing w:line="240" w:lineRule="auto" w:before="115"/>
        <w:ind w:right="103"/>
        <w:jc w:val="left"/>
        <w:rPr>
          <w:b w:val="0"/>
          <w:bCs w:val="0"/>
        </w:rPr>
      </w:pPr>
      <w:r>
        <w:rPr/>
        <w:t>（八）与财务相关的内部控制活动的完善情况</w:t>
      </w:r>
      <w:r>
        <w:rPr>
          <w:b w:val="0"/>
          <w:bCs w:val="0"/>
        </w:rPr>
      </w:r>
    </w:p>
    <w:p>
      <w:pPr>
        <w:spacing w:after="0" w:line="240" w:lineRule="auto"/>
        <w:jc w:val="left"/>
        <w:sectPr>
          <w:pgSz w:w="11910" w:h="16840"/>
          <w:pgMar w:header="849" w:footer="976" w:top="1460" w:bottom="1160" w:left="1020" w:right="920"/>
        </w:sectPr>
      </w:pPr>
    </w:p>
    <w:p>
      <w:pPr>
        <w:spacing w:line="240" w:lineRule="auto" w:before="0"/>
        <w:rPr>
          <w:rFonts w:ascii="Microsoft JhengHei" w:hAnsi="Microsoft JhengHei" w:cs="Microsoft JhengHei" w:eastAsia="Microsoft JhengHei" w:hint="default"/>
          <w:b/>
          <w:bCs/>
          <w:sz w:val="2"/>
          <w:szCs w:val="2"/>
        </w:rPr>
      </w:pPr>
    </w:p>
    <w:p>
      <w:pPr>
        <w:spacing w:line="326"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bookmarkStart w:name="第八章监事会报告" w:id="15"/>
                      <w:bookmarkEnd w:id="15"/>
                      <w:r>
                        <w:rPr/>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财</w:t>
                      </w:r>
                      <w:r>
                        <w:rPr>
                          <w:rFonts w:ascii="宋体" w:hAnsi="宋体" w:cs="宋体" w:eastAsia="宋体" w:hint="default"/>
                          <w:w w:val="99"/>
                          <w:sz w:val="21"/>
                          <w:szCs w:val="21"/>
                        </w:rPr>
                        <w:t>务</w:t>
                      </w:r>
                      <w:r>
                        <w:rPr>
                          <w:rFonts w:ascii="宋体" w:hAnsi="宋体" w:cs="宋体" w:eastAsia="宋体" w:hint="default"/>
                          <w:spacing w:val="2"/>
                          <w:w w:val="99"/>
                          <w:sz w:val="21"/>
                          <w:szCs w:val="21"/>
                        </w:rPr>
                        <w:t>部</w:t>
                      </w:r>
                      <w:r>
                        <w:rPr>
                          <w:rFonts w:ascii="宋体" w:hAnsi="宋体" w:cs="宋体" w:eastAsia="宋体" w:hint="default"/>
                          <w:w w:val="99"/>
                          <w:sz w:val="21"/>
                          <w:szCs w:val="21"/>
                        </w:rPr>
                        <w:t>负</w:t>
                      </w:r>
                      <w:r>
                        <w:rPr>
                          <w:rFonts w:ascii="宋体" w:hAnsi="宋体" w:cs="宋体" w:eastAsia="宋体" w:hint="default"/>
                          <w:spacing w:val="2"/>
                          <w:w w:val="99"/>
                          <w:sz w:val="21"/>
                          <w:szCs w:val="21"/>
                        </w:rPr>
                        <w:t>责</w:t>
                      </w:r>
                      <w:r>
                        <w:rPr>
                          <w:rFonts w:ascii="宋体" w:hAnsi="宋体" w:cs="宋体" w:eastAsia="宋体" w:hint="default"/>
                          <w:w w:val="99"/>
                          <w:sz w:val="21"/>
                          <w:szCs w:val="21"/>
                        </w:rPr>
                        <w:t>组</w:t>
                      </w:r>
                      <w:r>
                        <w:rPr>
                          <w:rFonts w:ascii="宋体" w:hAnsi="宋体" w:cs="宋体" w:eastAsia="宋体" w:hint="default"/>
                          <w:spacing w:val="2"/>
                          <w:w w:val="99"/>
                          <w:sz w:val="21"/>
                          <w:szCs w:val="21"/>
                        </w:rPr>
                        <w:t>织</w:t>
                      </w:r>
                      <w:r>
                        <w:rPr>
                          <w:rFonts w:ascii="宋体" w:hAnsi="宋体" w:cs="宋体" w:eastAsia="宋体" w:hint="default"/>
                          <w:w w:val="99"/>
                          <w:sz w:val="21"/>
                          <w:szCs w:val="21"/>
                        </w:rPr>
                        <w:t>企</w:t>
                      </w:r>
                      <w:r>
                        <w:rPr>
                          <w:rFonts w:ascii="宋体" w:hAnsi="宋体" w:cs="宋体" w:eastAsia="宋体" w:hint="default"/>
                          <w:spacing w:val="2"/>
                          <w:w w:val="99"/>
                          <w:sz w:val="21"/>
                          <w:szCs w:val="21"/>
                        </w:rPr>
                        <w:t>业</w:t>
                      </w:r>
                      <w:r>
                        <w:rPr>
                          <w:rFonts w:ascii="宋体" w:hAnsi="宋体" w:cs="宋体" w:eastAsia="宋体" w:hint="default"/>
                          <w:w w:val="99"/>
                          <w:sz w:val="21"/>
                          <w:szCs w:val="21"/>
                        </w:rPr>
                        <w:t>的</w:t>
                      </w:r>
                      <w:r>
                        <w:rPr>
                          <w:rFonts w:ascii="宋体" w:hAnsi="宋体" w:cs="宋体" w:eastAsia="宋体" w:hint="default"/>
                          <w:spacing w:val="2"/>
                          <w:w w:val="99"/>
                          <w:sz w:val="21"/>
                          <w:szCs w:val="21"/>
                        </w:rPr>
                        <w:t>会</w:t>
                      </w:r>
                      <w:r>
                        <w:rPr>
                          <w:rFonts w:ascii="宋体" w:hAnsi="宋体" w:cs="宋体" w:eastAsia="宋体" w:hint="default"/>
                          <w:w w:val="99"/>
                          <w:sz w:val="21"/>
                          <w:szCs w:val="21"/>
                        </w:rPr>
                        <w:t>计</w:t>
                      </w:r>
                      <w:r>
                        <w:rPr>
                          <w:rFonts w:ascii="宋体" w:hAnsi="宋体" w:cs="宋体" w:eastAsia="宋体" w:hint="default"/>
                          <w:spacing w:val="2"/>
                          <w:w w:val="99"/>
                          <w:sz w:val="21"/>
                          <w:szCs w:val="21"/>
                        </w:rPr>
                        <w:t>核</w:t>
                      </w:r>
                      <w:r>
                        <w:rPr>
                          <w:rFonts w:ascii="宋体" w:hAnsi="宋体" w:cs="宋体" w:eastAsia="宋体" w:hint="default"/>
                          <w:spacing w:val="-3"/>
                          <w:w w:val="99"/>
                          <w:sz w:val="21"/>
                          <w:szCs w:val="21"/>
                        </w:rPr>
                        <w:t>算、</w:t>
                      </w:r>
                      <w:r>
                        <w:rPr>
                          <w:rFonts w:ascii="宋体" w:hAnsi="宋体" w:cs="宋体" w:eastAsia="宋体" w:hint="default"/>
                          <w:spacing w:val="2"/>
                          <w:w w:val="99"/>
                          <w:sz w:val="21"/>
                          <w:szCs w:val="21"/>
                        </w:rPr>
                        <w:t>会</w:t>
                      </w:r>
                      <w:r>
                        <w:rPr>
                          <w:rFonts w:ascii="宋体" w:hAnsi="宋体" w:cs="宋体" w:eastAsia="宋体" w:hint="default"/>
                          <w:w w:val="99"/>
                          <w:sz w:val="21"/>
                          <w:szCs w:val="21"/>
                        </w:rPr>
                        <w:t>计</w:t>
                      </w:r>
                      <w:r>
                        <w:rPr>
                          <w:rFonts w:ascii="宋体" w:hAnsi="宋体" w:cs="宋体" w:eastAsia="宋体" w:hint="default"/>
                          <w:spacing w:val="2"/>
                          <w:w w:val="99"/>
                          <w:sz w:val="21"/>
                          <w:szCs w:val="21"/>
                        </w:rPr>
                        <w:t>监</w:t>
                      </w:r>
                      <w:r>
                        <w:rPr>
                          <w:rFonts w:ascii="宋体" w:hAnsi="宋体" w:cs="宋体" w:eastAsia="宋体" w:hint="default"/>
                          <w:w w:val="99"/>
                          <w:sz w:val="21"/>
                          <w:szCs w:val="21"/>
                        </w:rPr>
                        <w:t>督</w:t>
                      </w:r>
                      <w:r>
                        <w:rPr>
                          <w:rFonts w:ascii="宋体" w:hAnsi="宋体" w:cs="宋体" w:eastAsia="宋体" w:hint="default"/>
                          <w:spacing w:val="2"/>
                          <w:w w:val="99"/>
                          <w:sz w:val="21"/>
                          <w:szCs w:val="21"/>
                        </w:rPr>
                        <w:t>和</w:t>
                      </w:r>
                      <w:r>
                        <w:rPr>
                          <w:rFonts w:ascii="宋体" w:hAnsi="宋体" w:cs="宋体" w:eastAsia="宋体" w:hint="default"/>
                          <w:w w:val="99"/>
                          <w:sz w:val="21"/>
                          <w:szCs w:val="21"/>
                        </w:rPr>
                        <w:t>财</w:t>
                      </w:r>
                      <w:r>
                        <w:rPr>
                          <w:rFonts w:ascii="宋体" w:hAnsi="宋体" w:cs="宋体" w:eastAsia="宋体" w:hint="default"/>
                          <w:spacing w:val="2"/>
                          <w:w w:val="99"/>
                          <w:sz w:val="21"/>
                          <w:szCs w:val="21"/>
                        </w:rPr>
                        <w:t>务</w:t>
                      </w:r>
                      <w:r>
                        <w:rPr>
                          <w:rFonts w:ascii="宋体" w:hAnsi="宋体" w:cs="宋体" w:eastAsia="宋体" w:hint="default"/>
                          <w:w w:val="99"/>
                          <w:sz w:val="21"/>
                          <w:szCs w:val="21"/>
                        </w:rPr>
                        <w:t>管</w:t>
                      </w:r>
                      <w:r>
                        <w:rPr>
                          <w:rFonts w:ascii="宋体" w:hAnsi="宋体" w:cs="宋体" w:eastAsia="宋体" w:hint="default"/>
                          <w:spacing w:val="2"/>
                          <w:w w:val="99"/>
                          <w:sz w:val="21"/>
                          <w:szCs w:val="21"/>
                        </w:rPr>
                        <w:t>理</w:t>
                      </w:r>
                      <w:r>
                        <w:rPr>
                          <w:rFonts w:ascii="宋体" w:hAnsi="宋体" w:cs="宋体" w:eastAsia="宋体" w:hint="default"/>
                          <w:w w:val="99"/>
                          <w:sz w:val="21"/>
                          <w:szCs w:val="21"/>
                        </w:rPr>
                        <w:t>工作</w:t>
                      </w:r>
                      <w:r>
                        <w:rPr>
                          <w:rFonts w:ascii="宋体" w:hAnsi="宋体" w:cs="宋体" w:eastAsia="宋体" w:hint="default"/>
                          <w:spacing w:val="-3"/>
                          <w:w w:val="99"/>
                          <w:sz w:val="21"/>
                          <w:szCs w:val="21"/>
                        </w:rPr>
                        <w:t>，</w:t>
                      </w:r>
                      <w:r>
                        <w:rPr>
                          <w:rFonts w:ascii="宋体" w:hAnsi="宋体" w:cs="宋体" w:eastAsia="宋体" w:hint="default"/>
                          <w:spacing w:val="2"/>
                          <w:w w:val="99"/>
                          <w:sz w:val="21"/>
                          <w:szCs w:val="21"/>
                        </w:rPr>
                        <w:t>严</w:t>
                      </w:r>
                      <w:r>
                        <w:rPr>
                          <w:rFonts w:ascii="宋体" w:hAnsi="宋体" w:cs="宋体" w:eastAsia="宋体" w:hint="default"/>
                          <w:w w:val="99"/>
                          <w:sz w:val="21"/>
                          <w:szCs w:val="21"/>
                        </w:rPr>
                        <w:t>格</w:t>
                      </w:r>
                      <w:r>
                        <w:rPr>
                          <w:rFonts w:ascii="宋体" w:hAnsi="宋体" w:cs="宋体" w:eastAsia="宋体" w:hint="default"/>
                          <w:spacing w:val="2"/>
                          <w:w w:val="99"/>
                          <w:sz w:val="21"/>
                          <w:szCs w:val="21"/>
                        </w:rPr>
                        <w:t>执</w:t>
                      </w:r>
                      <w:r>
                        <w:rPr>
                          <w:rFonts w:ascii="宋体" w:hAnsi="宋体" w:cs="宋体" w:eastAsia="宋体" w:hint="default"/>
                          <w:spacing w:val="-5"/>
                          <w:w w:val="99"/>
                          <w:sz w:val="21"/>
                          <w:szCs w:val="21"/>
                        </w:rPr>
                        <w:t>行</w:t>
                      </w:r>
                      <w:r>
                        <w:rPr>
                          <w:rFonts w:ascii="宋体" w:hAnsi="宋体" w:cs="宋体" w:eastAsia="宋体" w:hint="default"/>
                          <w:w w:val="99"/>
                          <w:sz w:val="21"/>
                          <w:szCs w:val="21"/>
                        </w:rPr>
                        <w:t>《</w:t>
                      </w:r>
                      <w:r>
                        <w:rPr>
                          <w:rFonts w:ascii="宋体" w:hAnsi="宋体" w:cs="宋体" w:eastAsia="宋体" w:hint="default"/>
                          <w:spacing w:val="2"/>
                          <w:w w:val="99"/>
                          <w:sz w:val="21"/>
                          <w:szCs w:val="21"/>
                        </w:rPr>
                        <w:t>企</w:t>
                      </w:r>
                      <w:r>
                        <w:rPr>
                          <w:rFonts w:ascii="宋体" w:hAnsi="宋体" w:cs="宋体" w:eastAsia="宋体" w:hint="default"/>
                          <w:w w:val="99"/>
                          <w:sz w:val="21"/>
                          <w:szCs w:val="21"/>
                        </w:rPr>
                        <w:t>业</w:t>
                      </w:r>
                      <w:r>
                        <w:rPr>
                          <w:rFonts w:ascii="宋体" w:hAnsi="宋体" w:cs="宋体" w:eastAsia="宋体" w:hint="default"/>
                          <w:spacing w:val="2"/>
                          <w:w w:val="99"/>
                          <w:sz w:val="21"/>
                          <w:szCs w:val="21"/>
                        </w:rPr>
                        <w:t>会</w:t>
                      </w:r>
                      <w:r>
                        <w:rPr>
                          <w:rFonts w:ascii="宋体" w:hAnsi="宋体" w:cs="宋体" w:eastAsia="宋体" w:hint="default"/>
                          <w:w w:val="99"/>
                          <w:sz w:val="21"/>
                          <w:szCs w:val="21"/>
                        </w:rPr>
                        <w:t>计</w:t>
                      </w:r>
                      <w:r>
                        <w:rPr>
                          <w:rFonts w:ascii="宋体" w:hAnsi="宋体" w:cs="宋体" w:eastAsia="宋体" w:hint="default"/>
                          <w:spacing w:val="2"/>
                          <w:w w:val="99"/>
                          <w:sz w:val="21"/>
                          <w:szCs w:val="21"/>
                        </w:rPr>
                        <w:t>准</w:t>
                      </w:r>
                      <w:r>
                        <w:rPr>
                          <w:rFonts w:ascii="宋体" w:hAnsi="宋体" w:cs="宋体" w:eastAsia="宋体" w:hint="default"/>
                          <w:w w:val="99"/>
                          <w:sz w:val="21"/>
                          <w:szCs w:val="21"/>
                        </w:rPr>
                        <w:t>则</w:t>
                      </w:r>
                      <w:r>
                        <w:rPr>
                          <w:rFonts w:ascii="宋体" w:hAnsi="宋体" w:cs="宋体" w:eastAsia="宋体" w:hint="default"/>
                          <w:spacing w:val="-104"/>
                          <w:w w:val="99"/>
                          <w:sz w:val="21"/>
                          <w:szCs w:val="21"/>
                        </w:rPr>
                        <w:t>》</w:t>
                      </w:r>
                      <w:r>
                        <w:rPr>
                          <w:rFonts w:ascii="宋体" w:hAnsi="宋体" w:cs="宋体" w:eastAsia="宋体" w:hint="default"/>
                          <w:spacing w:val="-108"/>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企</w:t>
                      </w:r>
                      <w:r>
                        <w:rPr>
                          <w:rFonts w:ascii="宋体" w:hAnsi="宋体" w:cs="宋体" w:eastAsia="宋体" w:hint="default"/>
                          <w:w w:val="99"/>
                          <w:sz w:val="21"/>
                          <w:szCs w:val="21"/>
                        </w:rPr>
                        <w:t>业</w:t>
                      </w:r>
                      <w:r>
                        <w:rPr>
                          <w:rFonts w:ascii="宋体" w:hAnsi="宋体" w:cs="宋体" w:eastAsia="宋体" w:hint="default"/>
                          <w:sz w:val="21"/>
                          <w:szCs w:val="21"/>
                        </w:rPr>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1"/>
        <w:rPr>
          <w:rFonts w:ascii="Microsoft JhengHei" w:hAnsi="Microsoft JhengHei" w:cs="Microsoft JhengHei" w:eastAsia="Microsoft JhengHei" w:hint="default"/>
          <w:b/>
          <w:bCs/>
          <w:sz w:val="4"/>
          <w:szCs w:val="4"/>
        </w:rPr>
      </w:pPr>
    </w:p>
    <w:p>
      <w:pPr>
        <w:pStyle w:val="BodyText"/>
        <w:spacing w:line="340" w:lineRule="auto" w:before="34"/>
        <w:ind w:right="106"/>
        <w:jc w:val="both"/>
      </w:pPr>
      <w:r>
        <w:rPr>
          <w:spacing w:val="-11"/>
          <w:w w:val="98"/>
        </w:rPr>
        <w:t>财务通则》的要求，建立规范了《财务管理制度》、《采购管理制度》、《固定资产管理制度》等相关的流程，</w:t>
      </w:r>
      <w:r>
        <w:rPr>
          <w:spacing w:val="-61"/>
          <w:w w:val="98"/>
        </w:rPr>
        <w:t> </w:t>
      </w:r>
      <w:r>
        <w:rPr>
          <w:spacing w:val="-61"/>
          <w:w w:val="98"/>
        </w:rPr>
      </w:r>
      <w:r>
        <w:rPr>
          <w:w w:val="95"/>
        </w:rPr>
        <w:t>在销售与收款环节、采购与付款环节、货币资金管理等方面，明确界定了相关部门及人员的职责权限和责</w:t>
      </w:r>
      <w:r>
        <w:rPr>
          <w:spacing w:val="50"/>
          <w:w w:val="95"/>
        </w:rPr>
        <w:t> </w:t>
      </w:r>
      <w:r>
        <w:rPr>
          <w:spacing w:val="50"/>
          <w:w w:val="95"/>
        </w:rPr>
      </w:r>
      <w:r>
        <w:rPr>
          <w:w w:val="95"/>
        </w:rPr>
        <w:t>任范围，配备了高素质的会计人员，严格执行国家统一的会计准则制度，加强了会计基础工作，明确了会</w:t>
      </w:r>
      <w:r>
        <w:rPr>
          <w:spacing w:val="54"/>
          <w:w w:val="95"/>
        </w:rPr>
        <w:t> </w:t>
      </w:r>
      <w:r>
        <w:rPr>
          <w:spacing w:val="54"/>
          <w:w w:val="95"/>
        </w:rPr>
      </w:r>
      <w:r>
        <w:rPr>
          <w:w w:val="95"/>
        </w:rPr>
        <w:t>计凭证、会计账簿和财务会计报告的处理程序，公司账务系统采用财务软件，记账、复核、过账、结账、</w:t>
      </w:r>
      <w:r>
        <w:rPr>
          <w:spacing w:val="51"/>
          <w:w w:val="95"/>
        </w:rPr>
        <w:t> </w:t>
      </w:r>
      <w:r>
        <w:rPr>
          <w:spacing w:val="51"/>
          <w:w w:val="95"/>
        </w:rPr>
      </w:r>
      <w:r>
        <w:rPr>
          <w:w w:val="95"/>
        </w:rPr>
        <w:t>报表都有专人负责，以保证账簿记录内容完整、数字准确。从实际执行情况看，公司在财务各相关方面的</w:t>
      </w:r>
      <w:r>
        <w:rPr>
          <w:spacing w:val="52"/>
          <w:w w:val="95"/>
        </w:rPr>
        <w:t> </w:t>
      </w:r>
      <w:r>
        <w:rPr>
          <w:spacing w:val="52"/>
          <w:w w:val="95"/>
        </w:rPr>
      </w:r>
      <w:r>
        <w:rPr/>
        <w:t>内部控制不存在重大漏洞。</w:t>
      </w:r>
    </w:p>
    <w:p>
      <w:pPr>
        <w:pStyle w:val="Heading4"/>
        <w:spacing w:line="240" w:lineRule="auto" w:before="115"/>
        <w:ind w:right="0"/>
        <w:jc w:val="left"/>
        <w:rPr>
          <w:b w:val="0"/>
          <w:bCs w:val="0"/>
        </w:rPr>
      </w:pPr>
      <w:r>
        <w:rPr/>
        <w:t>（九）对控股子公司的管理控制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right="110" w:firstLine="422"/>
        <w:jc w:val="both"/>
      </w:pPr>
      <w:r>
        <w:rPr/>
        <w:t>截至报告期末，公司共有</w:t>
      </w:r>
      <w:r>
        <w:rPr>
          <w:spacing w:val="-66"/>
        </w:rPr>
        <w:t> </w:t>
      </w:r>
      <w:r>
        <w:rPr/>
        <w:t>2</w:t>
      </w:r>
      <w:r>
        <w:rPr>
          <w:spacing w:val="-67"/>
        </w:rPr>
        <w:t> </w:t>
      </w:r>
      <w:r>
        <w:rPr/>
        <w:t>家全资子公司。公司通过向子公司委派董事、监事及高级管理人员，对控</w:t>
      </w:r>
      <w:r>
        <w:rPr>
          <w:w w:val="99"/>
        </w:rPr>
        <w:t> </w:t>
      </w:r>
      <w:r>
        <w:rPr>
          <w:w w:val="95"/>
        </w:rPr>
        <w:t>股子公司实施规范有效的管理，形成制度化、合理高效的运营机制，维护公司和全体投资者利益。公司相</w:t>
      </w:r>
      <w:r>
        <w:rPr>
          <w:spacing w:val="52"/>
          <w:w w:val="95"/>
        </w:rPr>
        <w:t> </w:t>
      </w:r>
      <w:r>
        <w:rPr>
          <w:spacing w:val="52"/>
          <w:w w:val="95"/>
        </w:rPr>
      </w:r>
      <w:r>
        <w:rPr>
          <w:w w:val="95"/>
        </w:rPr>
        <w:t>关职能管理部门按职能行使职权，从公司治理、经营及财务等方面对子公司实施有效的管理。同时对子公</w:t>
      </w:r>
      <w:r>
        <w:rPr>
          <w:spacing w:val="51"/>
          <w:w w:val="95"/>
        </w:rPr>
        <w:t> </w:t>
      </w:r>
      <w:r>
        <w:rPr>
          <w:spacing w:val="51"/>
          <w:w w:val="95"/>
        </w:rPr>
      </w:r>
      <w:r>
        <w:rPr>
          <w:w w:val="95"/>
        </w:rPr>
        <w:t>司实行统一的财务管理制度，要求其定期向公司提交月度、季度、半年度、年度财务报表及经营情况报告</w:t>
      </w:r>
      <w:r>
        <w:rPr>
          <w:spacing w:val="52"/>
          <w:w w:val="95"/>
        </w:rPr>
        <w:t> </w:t>
      </w:r>
      <w:r>
        <w:rPr>
          <w:spacing w:val="52"/>
          <w:w w:val="95"/>
        </w:rPr>
      </w:r>
      <w:r>
        <w:rPr/>
        <w:t>等。从实际执行情况看，公司对控股子公司的管理控制不存在重大漏洞。</w:t>
      </w:r>
    </w:p>
    <w:p>
      <w:pPr>
        <w:pStyle w:val="Heading4"/>
        <w:spacing w:line="240" w:lineRule="auto" w:before="117"/>
        <w:ind w:right="0"/>
        <w:jc w:val="left"/>
        <w:rPr>
          <w:b w:val="0"/>
          <w:bCs w:val="0"/>
        </w:rPr>
      </w:pPr>
      <w:r>
        <w:rPr/>
        <w:t>（十）公司内部控制自我评价情况</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right="110" w:firstLine="422"/>
        <w:jc w:val="both"/>
      </w:pPr>
      <w:r>
        <w:rPr>
          <w:w w:val="95"/>
        </w:rPr>
        <w:t>公司董事会对《2011</w:t>
      </w:r>
      <w:r>
        <w:rPr>
          <w:spacing w:val="18"/>
          <w:w w:val="95"/>
        </w:rPr>
        <w:t> </w:t>
      </w:r>
      <w:r>
        <w:rPr>
          <w:w w:val="95"/>
        </w:rPr>
        <w:t>年度内部控制自我评价报告》进行了认真审议，认为：公司建立了较为完善的法</w:t>
      </w:r>
      <w:r>
        <w:rPr>
          <w:w w:val="99"/>
        </w:rPr>
        <w:t> </w:t>
      </w:r>
      <w:r>
        <w:rPr>
          <w:w w:val="95"/>
        </w:rPr>
        <w:t>人治理结构，内部控制体系较为健全，符合有关法律法规和证券监管部门的要求。公司内部控制制度能得</w:t>
      </w:r>
      <w:r>
        <w:rPr>
          <w:spacing w:val="53"/>
          <w:w w:val="95"/>
        </w:rPr>
        <w:t> </w:t>
      </w:r>
      <w:r>
        <w:rPr>
          <w:spacing w:val="53"/>
          <w:w w:val="95"/>
        </w:rPr>
      </w:r>
      <w:r>
        <w:rPr/>
        <w:t>到一贯、有效的执行。公司于</w:t>
      </w:r>
      <w:r>
        <w:rPr>
          <w:spacing w:val="-34"/>
        </w:rPr>
        <w:t> </w:t>
      </w:r>
      <w:r>
        <w:rPr/>
        <w:t>2011</w:t>
      </w:r>
      <w:r>
        <w:rPr>
          <w:spacing w:val="-51"/>
        </w:rPr>
        <w:t> </w:t>
      </w:r>
      <w:r>
        <w:rPr/>
        <w:t>年</w:t>
      </w:r>
      <w:r>
        <w:rPr>
          <w:spacing w:val="-45"/>
        </w:rPr>
        <w:t> </w:t>
      </w:r>
      <w:r>
        <w:rPr/>
        <w:t>12</w:t>
      </w:r>
      <w:r>
        <w:rPr>
          <w:spacing w:val="-48"/>
        </w:rPr>
        <w:t> </w:t>
      </w:r>
      <w:r>
        <w:rPr/>
        <w:t>月</w:t>
      </w:r>
      <w:r>
        <w:rPr>
          <w:spacing w:val="-47"/>
        </w:rPr>
        <w:t> </w:t>
      </w:r>
      <w:r>
        <w:rPr/>
        <w:t>31</w:t>
      </w:r>
      <w:r>
        <w:rPr>
          <w:spacing w:val="-48"/>
        </w:rPr>
        <w:t> </w:t>
      </w:r>
      <w:r>
        <w:rPr/>
        <w:t>日在所有重大方面保持了与财务报表相关的有效的内部控</w:t>
      </w:r>
      <w:r>
        <w:rPr>
          <w:spacing w:val="-103"/>
        </w:rPr>
        <w:t> </w:t>
      </w:r>
      <w:r>
        <w:rPr>
          <w:spacing w:val="-103"/>
        </w:rPr>
      </w:r>
      <w:r>
        <w:rPr/>
        <w:t>制。</w:t>
      </w:r>
    </w:p>
    <w:p>
      <w:pPr>
        <w:spacing w:after="0" w:line="340"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247" w:lineRule="exact"/>
        <w:ind w:left="10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宋体" w:hAnsi="宋体" w:cs="宋体" w:eastAsia="宋体" w:hint="default"/>
          <w:position w:val="-4"/>
          <w:sz w:val="20"/>
          <w:szCs w:val="20"/>
        </w:rPr>
      </w:r>
    </w:p>
    <w:p>
      <w:pPr>
        <w:spacing w:line="240" w:lineRule="auto" w:before="12"/>
        <w:rPr>
          <w:rFonts w:ascii="宋体" w:hAnsi="宋体" w:cs="宋体" w:eastAsia="宋体" w:hint="default"/>
          <w:sz w:val="17"/>
          <w:szCs w:val="17"/>
        </w:rPr>
      </w:pPr>
    </w:p>
    <w:p>
      <w:pPr>
        <w:pStyle w:val="Heading1"/>
        <w:tabs>
          <w:tab w:pos="1305" w:val="left" w:leader="none"/>
        </w:tabs>
        <w:spacing w:line="240" w:lineRule="auto"/>
        <w:ind w:left="21" w:right="0"/>
        <w:jc w:val="center"/>
      </w:pPr>
      <w:bookmarkStart w:name="_bookmark7" w:id="16"/>
      <w:bookmarkEnd w:id="16"/>
      <w:r>
        <w:rPr/>
      </w:r>
      <w:r>
        <w:rPr>
          <w:w w:val="95"/>
        </w:rPr>
        <w:t>第八章</w:t>
        <w:tab/>
      </w:r>
      <w:r>
        <w:rPr/>
        <w:t>监事会报告</w:t>
      </w:r>
    </w:p>
    <w:p>
      <w:pPr>
        <w:spacing w:line="240" w:lineRule="auto" w:before="6"/>
        <w:rPr>
          <w:rFonts w:ascii="宋体" w:hAnsi="宋体" w:cs="宋体" w:eastAsia="宋体" w:hint="default"/>
          <w:sz w:val="43"/>
          <w:szCs w:val="43"/>
        </w:rPr>
      </w:pPr>
    </w:p>
    <w:p>
      <w:pPr>
        <w:pStyle w:val="BodyText"/>
        <w:spacing w:line="340" w:lineRule="auto"/>
        <w:ind w:right="109" w:firstLine="422"/>
        <w:jc w:val="both"/>
      </w:pPr>
      <w:r>
        <w:rPr>
          <w:w w:val="99"/>
        </w:rPr>
        <w:t>2011</w:t>
      </w:r>
      <w:r>
        <w:rPr>
          <w:spacing w:val="-43"/>
          <w:w w:val="99"/>
        </w:rPr>
        <w:t> </w:t>
      </w:r>
      <w:r>
        <w:rPr>
          <w:spacing w:val="-6"/>
          <w:w w:val="99"/>
        </w:rPr>
        <w:t>年，公司监事会严格遵守《公司法》、《证券法》及其他法律、法规、规章和《公司章程》及《监</w:t>
      </w:r>
      <w:r>
        <w:rPr>
          <w:w w:val="99"/>
        </w:rPr>
        <w:t> </w:t>
      </w:r>
      <w:r>
        <w:rPr>
          <w:w w:val="95"/>
        </w:rPr>
        <w:t>事会议事规则》的规定，本着对全体股东负责的精神，认真履行有关法律、法规赋予的职权，积极有效地</w:t>
      </w:r>
      <w:r>
        <w:rPr>
          <w:spacing w:val="52"/>
          <w:w w:val="95"/>
        </w:rPr>
        <w:t> </w:t>
      </w:r>
      <w:r>
        <w:rPr>
          <w:spacing w:val="52"/>
          <w:w w:val="95"/>
        </w:rPr>
      </w:r>
      <w:r>
        <w:rPr>
          <w:w w:val="95"/>
        </w:rPr>
        <w:t>开展工作，对公司依法运作情况和公司董事、高级管理人员履行职责情况进行监督，维护了公司及股东的</w:t>
      </w:r>
      <w:r>
        <w:rPr>
          <w:spacing w:val="52"/>
          <w:w w:val="95"/>
        </w:rPr>
        <w:t> </w:t>
      </w:r>
      <w:r>
        <w:rPr>
          <w:spacing w:val="52"/>
          <w:w w:val="95"/>
        </w:rPr>
      </w:r>
      <w:r>
        <w:rPr/>
        <w:t>合法权益。现将</w:t>
      </w:r>
      <w:r>
        <w:rPr>
          <w:spacing w:val="-54"/>
        </w:rPr>
        <w:t> </w:t>
      </w:r>
      <w:r>
        <w:rPr/>
        <w:t>2011</w:t>
      </w:r>
      <w:r>
        <w:rPr>
          <w:spacing w:val="-55"/>
        </w:rPr>
        <w:t> </w:t>
      </w:r>
      <w:r>
        <w:rPr/>
        <w:t>年主要工作分述如下：</w:t>
      </w:r>
    </w:p>
    <w:p>
      <w:pPr>
        <w:spacing w:line="400" w:lineRule="auto" w:before="117"/>
        <w:ind w:left="535" w:right="0"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一、报告期内监事会的工作情况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9"/>
          <w:w w:val="99"/>
          <w:sz w:val="21"/>
          <w:szCs w:val="21"/>
        </w:rPr>
        <w:t>公司第一届监事会在本报告期内共召开监事会会议四次，会议的召集、召开的程序符合《公司法》、《公</w:t>
      </w:r>
      <w:r>
        <w:rPr>
          <w:rFonts w:ascii="宋体" w:hAnsi="宋体" w:cs="宋体" w:eastAsia="宋体" w:hint="default"/>
          <w:spacing w:val="-9"/>
          <w:sz w:val="21"/>
          <w:szCs w:val="21"/>
        </w:rPr>
      </w:r>
    </w:p>
    <w:p>
      <w:pPr>
        <w:pStyle w:val="BodyText"/>
        <w:spacing w:line="250" w:lineRule="exact"/>
        <w:ind w:right="0"/>
        <w:jc w:val="left"/>
      </w:pPr>
      <w:r>
        <w:rPr/>
        <w:t>司章程》及《监事会议事规则》的有关规定，具体情况如下：</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t>（一）第一届监事会第七次会议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2011</w:t>
      </w:r>
      <w:r>
        <w:rPr>
          <w:spacing w:val="-63"/>
        </w:rPr>
        <w:t> </w:t>
      </w:r>
      <w:r>
        <w:rPr/>
        <w:t>年</w:t>
      </w:r>
      <w:r>
        <w:rPr>
          <w:spacing w:val="-60"/>
        </w:rPr>
        <w:t> </w:t>
      </w:r>
      <w:r>
        <w:rPr/>
        <w:t>1</w:t>
      </w:r>
      <w:r>
        <w:rPr>
          <w:spacing w:val="-63"/>
        </w:rPr>
        <w:t> </w:t>
      </w:r>
      <w:r>
        <w:rPr/>
        <w:t>月</w:t>
      </w:r>
      <w:r>
        <w:rPr>
          <w:spacing w:val="-60"/>
        </w:rPr>
        <w:t> </w:t>
      </w:r>
      <w:r>
        <w:rPr/>
        <w:t>3</w:t>
      </w:r>
      <w:r>
        <w:rPr>
          <w:spacing w:val="-63"/>
        </w:rPr>
        <w:t> </w:t>
      </w:r>
      <w:r>
        <w:rPr/>
        <w:t>日，第一届监事会第七次会议在公司会议室召开，应参加会议监事</w:t>
      </w:r>
      <w:r>
        <w:rPr>
          <w:spacing w:val="-62"/>
        </w:rPr>
        <w:t> </w:t>
      </w:r>
      <w:r>
        <w:rPr/>
        <w:t>3</w:t>
      </w:r>
      <w:r>
        <w:rPr>
          <w:spacing w:val="-60"/>
        </w:rPr>
        <w:t> </w:t>
      </w:r>
      <w:r>
        <w:rPr>
          <w:spacing w:val="-3"/>
        </w:rPr>
        <w:t>人，实际参加会议</w:t>
      </w:r>
    </w:p>
    <w:p>
      <w:pPr>
        <w:pStyle w:val="BodyText"/>
        <w:spacing w:line="340" w:lineRule="auto" w:before="114"/>
        <w:ind w:right="102"/>
        <w:jc w:val="left"/>
      </w:pPr>
      <w:r>
        <w:rPr/>
        <w:t>监事</w:t>
      </w:r>
      <w:r>
        <w:rPr>
          <w:spacing w:val="-67"/>
        </w:rPr>
        <w:t> </w:t>
      </w:r>
      <w:r>
        <w:rPr/>
        <w:t>3</w:t>
      </w:r>
      <w:r>
        <w:rPr>
          <w:spacing w:val="-66"/>
        </w:rPr>
        <w:t> </w:t>
      </w:r>
      <w:r>
        <w:rPr/>
        <w:t>人，本次会议的召集和召开符合《中华人民共和国公司法》和公司章程的规定，会议合法有效。经</w:t>
      </w:r>
      <w:r>
        <w:rPr>
          <w:w w:val="99"/>
        </w:rPr>
        <w:t> </w:t>
      </w:r>
      <w:r>
        <w:rPr/>
        <w:t>与会监事审议，以投票表决方式，一致通过了如下议案：</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spacing w:val="-2"/>
          <w:w w:val="99"/>
        </w:rPr>
        <w:t>1</w:t>
      </w:r>
      <w:r>
        <w:rPr>
          <w:spacing w:val="-104"/>
          <w:w w:val="99"/>
        </w:rPr>
        <w:t>、</w:t>
      </w:r>
      <w:r>
        <w:rPr>
          <w:spacing w:val="2"/>
          <w:w w:val="99"/>
        </w:rPr>
        <w:t>《</w:t>
      </w:r>
      <w:r>
        <w:rPr>
          <w:w w:val="99"/>
        </w:rPr>
        <w:t>监</w:t>
      </w:r>
      <w:r>
        <w:rPr>
          <w:spacing w:val="2"/>
          <w:w w:val="99"/>
        </w:rPr>
        <w:t>事</w:t>
      </w:r>
      <w:r>
        <w:rPr>
          <w:w w:val="99"/>
        </w:rPr>
        <w:t>会</w:t>
      </w:r>
      <w:r>
        <w:rPr>
          <w:spacing w:val="2"/>
          <w:w w:val="99"/>
        </w:rPr>
        <w:t>关</w:t>
      </w:r>
      <w:r>
        <w:rPr>
          <w:w w:val="99"/>
        </w:rPr>
        <w:t>于</w:t>
      </w:r>
      <w:r>
        <w:rPr>
          <w:spacing w:val="2"/>
          <w:w w:val="99"/>
        </w:rPr>
        <w:t>公</w:t>
      </w:r>
      <w:r>
        <w:rPr>
          <w:w w:val="99"/>
        </w:rPr>
        <w:t>司</w:t>
      </w:r>
      <w:r>
        <w:rPr>
          <w:spacing w:val="-53"/>
        </w:rPr>
        <w:t> </w:t>
      </w:r>
      <w:r>
        <w:rPr>
          <w:spacing w:val="1"/>
          <w:w w:val="99"/>
        </w:rPr>
        <w:t>20</w:t>
      </w:r>
      <w:r>
        <w:rPr>
          <w:spacing w:val="-2"/>
          <w:w w:val="99"/>
        </w:rPr>
        <w:t>0</w:t>
      </w:r>
      <w:r>
        <w:rPr>
          <w:w w:val="99"/>
        </w:rPr>
        <w:t>8</w:t>
      </w:r>
      <w:r>
        <w:rPr>
          <w:spacing w:val="-51"/>
        </w:rPr>
        <w:t> </w:t>
      </w:r>
      <w:r>
        <w:rPr>
          <w:spacing w:val="2"/>
          <w:w w:val="99"/>
        </w:rPr>
        <w:t>年</w:t>
      </w:r>
      <w:r>
        <w:rPr>
          <w:w w:val="99"/>
        </w:rPr>
        <w:t>至</w:t>
      </w:r>
      <w:r>
        <w:rPr>
          <w:spacing w:val="-55"/>
        </w:rPr>
        <w:t> </w:t>
      </w:r>
      <w:r>
        <w:rPr>
          <w:spacing w:val="1"/>
          <w:w w:val="99"/>
        </w:rPr>
        <w:t>201</w:t>
      </w:r>
      <w:r>
        <w:rPr>
          <w:w w:val="99"/>
        </w:rPr>
        <w:t>0</w:t>
      </w:r>
      <w:r>
        <w:rPr>
          <w:spacing w:val="-54"/>
        </w:rPr>
        <w:t> </w:t>
      </w:r>
      <w:r>
        <w:rPr>
          <w:spacing w:val="2"/>
          <w:w w:val="99"/>
        </w:rPr>
        <w:t>年</w:t>
      </w:r>
      <w:r>
        <w:rPr>
          <w:w w:val="99"/>
        </w:rPr>
        <w:t>间</w:t>
      </w:r>
      <w:r>
        <w:rPr>
          <w:spacing w:val="2"/>
          <w:w w:val="99"/>
        </w:rPr>
        <w:t>关</w:t>
      </w:r>
      <w:r>
        <w:rPr>
          <w:w w:val="99"/>
        </w:rPr>
        <w:t>联</w:t>
      </w:r>
      <w:r>
        <w:rPr>
          <w:spacing w:val="2"/>
          <w:w w:val="99"/>
        </w:rPr>
        <w:t>交</w:t>
      </w:r>
      <w:r>
        <w:rPr>
          <w:w w:val="99"/>
        </w:rPr>
        <w:t>易</w:t>
      </w:r>
      <w:r>
        <w:rPr>
          <w:spacing w:val="2"/>
          <w:w w:val="99"/>
        </w:rPr>
        <w:t>的</w:t>
      </w:r>
      <w:r>
        <w:rPr>
          <w:w w:val="99"/>
        </w:rPr>
        <w:t>确</w:t>
      </w:r>
      <w:r>
        <w:rPr>
          <w:spacing w:val="2"/>
          <w:w w:val="99"/>
        </w:rPr>
        <w:t>认</w:t>
      </w:r>
      <w:r>
        <w:rPr>
          <w:w w:val="99"/>
        </w:rPr>
        <w:t>意</w:t>
      </w:r>
      <w:r>
        <w:rPr>
          <w:spacing w:val="2"/>
          <w:w w:val="99"/>
        </w:rPr>
        <w:t>见</w:t>
      </w:r>
      <w:r>
        <w:rPr>
          <w:w w:val="99"/>
        </w:rPr>
        <w:t>》</w:t>
      </w:r>
      <w:r>
        <w:rPr/>
      </w: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r>
        <w:rPr/>
        <w:t>（二）第一届监事会第八次会议</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2011</w:t>
      </w:r>
      <w:r>
        <w:rPr>
          <w:spacing w:val="-63"/>
        </w:rPr>
        <w:t> </w:t>
      </w:r>
      <w:r>
        <w:rPr/>
        <w:t>年</w:t>
      </w:r>
      <w:r>
        <w:rPr>
          <w:spacing w:val="-60"/>
        </w:rPr>
        <w:t> </w:t>
      </w:r>
      <w:r>
        <w:rPr/>
        <w:t>6</w:t>
      </w:r>
      <w:r>
        <w:rPr>
          <w:spacing w:val="-63"/>
        </w:rPr>
        <w:t> </w:t>
      </w:r>
      <w:r>
        <w:rPr/>
        <w:t>月</w:t>
      </w:r>
      <w:r>
        <w:rPr>
          <w:spacing w:val="-60"/>
        </w:rPr>
        <w:t> </w:t>
      </w:r>
      <w:r>
        <w:rPr/>
        <w:t>7</w:t>
      </w:r>
      <w:r>
        <w:rPr>
          <w:spacing w:val="-63"/>
        </w:rPr>
        <w:t> </w:t>
      </w:r>
      <w:r>
        <w:rPr/>
        <w:t>日，第一届监事会第八次会议在公司会议室召开，应参加会议监事</w:t>
      </w:r>
      <w:r>
        <w:rPr>
          <w:spacing w:val="-62"/>
        </w:rPr>
        <w:t> </w:t>
      </w:r>
      <w:r>
        <w:rPr/>
        <w:t>3</w:t>
      </w:r>
      <w:r>
        <w:rPr>
          <w:spacing w:val="-60"/>
        </w:rPr>
        <w:t> </w:t>
      </w:r>
      <w:r>
        <w:rPr>
          <w:spacing w:val="-3"/>
        </w:rPr>
        <w:t>人，实际参加会议</w:t>
      </w:r>
    </w:p>
    <w:p>
      <w:pPr>
        <w:pStyle w:val="BodyText"/>
        <w:spacing w:line="338" w:lineRule="auto" w:before="116"/>
        <w:ind w:right="102"/>
        <w:jc w:val="left"/>
      </w:pPr>
      <w:r>
        <w:rPr/>
        <w:t>监事</w:t>
      </w:r>
      <w:r>
        <w:rPr>
          <w:spacing w:val="-67"/>
        </w:rPr>
        <w:t> </w:t>
      </w:r>
      <w:r>
        <w:rPr/>
        <w:t>3</w:t>
      </w:r>
      <w:r>
        <w:rPr>
          <w:spacing w:val="-66"/>
        </w:rPr>
        <w:t> </w:t>
      </w:r>
      <w:r>
        <w:rPr/>
        <w:t>人，本次会议的召集和召开符合《中华人民共和国公司法》和公司章程的规定，会议合法有效。经</w:t>
      </w:r>
      <w:r>
        <w:rPr>
          <w:w w:val="99"/>
        </w:rPr>
        <w:t> </w:t>
      </w:r>
      <w:r>
        <w:rPr/>
        <w:t>与会监事审议，以投票表决方式，一致通过了如下议案：</w:t>
      </w:r>
    </w:p>
    <w:p>
      <w:pPr>
        <w:spacing w:line="240" w:lineRule="auto" w:before="3"/>
        <w:rPr>
          <w:rFonts w:ascii="宋体" w:hAnsi="宋体" w:cs="宋体" w:eastAsia="宋体" w:hint="default"/>
          <w:sz w:val="14"/>
          <w:szCs w:val="14"/>
        </w:rPr>
      </w:pPr>
    </w:p>
    <w:p>
      <w:pPr>
        <w:pStyle w:val="BodyText"/>
        <w:spacing w:line="240" w:lineRule="auto"/>
        <w:ind w:left="535" w:right="0"/>
        <w:jc w:val="left"/>
      </w:pPr>
      <w:r>
        <w:rPr>
          <w:spacing w:val="-2"/>
          <w:w w:val="99"/>
        </w:rPr>
        <w:t>1</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监</w:t>
      </w:r>
      <w:r>
        <w:rPr>
          <w:w w:val="99"/>
        </w:rPr>
        <w:t>事</w:t>
      </w:r>
      <w:r>
        <w:rPr>
          <w:spacing w:val="2"/>
          <w:w w:val="99"/>
        </w:rPr>
        <w:t>会</w:t>
      </w:r>
      <w:r>
        <w:rPr>
          <w:w w:val="99"/>
        </w:rPr>
        <w:t>工</w:t>
      </w:r>
      <w:r>
        <w:rPr>
          <w:spacing w:val="2"/>
          <w:w w:val="99"/>
        </w:rPr>
        <w:t>作</w:t>
      </w:r>
      <w:r>
        <w:rPr>
          <w:w w:val="99"/>
        </w:rPr>
        <w:t>报</w:t>
      </w:r>
      <w:r>
        <w:rPr>
          <w:spacing w:val="2"/>
          <w:w w:val="99"/>
        </w:rPr>
        <w:t>告</w:t>
      </w:r>
      <w:r>
        <w:rPr>
          <w:w w:val="99"/>
        </w:rPr>
        <w:t>的</w:t>
      </w:r>
      <w:r>
        <w:rPr>
          <w:spacing w:val="2"/>
          <w:w w:val="99"/>
        </w:rPr>
        <w:t>议</w:t>
      </w:r>
      <w:r>
        <w:rPr>
          <w:w w:val="99"/>
        </w:rPr>
        <w:t>案》</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2"/>
          <w:w w:val="99"/>
        </w:rPr>
        <w:t>2</w:t>
      </w:r>
      <w:r>
        <w:rPr>
          <w:spacing w:val="-104"/>
          <w:w w:val="99"/>
        </w:rPr>
        <w:t>、</w:t>
      </w:r>
      <w:r>
        <w:rPr>
          <w:spacing w:val="2"/>
          <w:w w:val="99"/>
        </w:rPr>
        <w:t>《</w:t>
      </w:r>
      <w:r>
        <w:rPr>
          <w:w w:val="99"/>
        </w:rPr>
        <w:t>关于</w:t>
      </w:r>
      <w:r>
        <w:rPr>
          <w:spacing w:val="2"/>
          <w:w w:val="99"/>
        </w:rPr>
        <w:t>对公</w:t>
      </w:r>
      <w:r>
        <w:rPr>
          <w:w w:val="99"/>
        </w:rPr>
        <w:t>司</w:t>
      </w:r>
      <w:r>
        <w:rPr>
          <w:spacing w:val="-53"/>
        </w:rPr>
        <w:t> </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财</w:t>
      </w:r>
      <w:r>
        <w:rPr>
          <w:w w:val="99"/>
        </w:rPr>
        <w:t>务</w:t>
      </w:r>
      <w:r>
        <w:rPr>
          <w:spacing w:val="2"/>
          <w:w w:val="99"/>
        </w:rPr>
        <w:t>决</w:t>
      </w:r>
      <w:r>
        <w:rPr>
          <w:w w:val="99"/>
        </w:rPr>
        <w:t>算</w:t>
      </w:r>
      <w:r>
        <w:rPr>
          <w:spacing w:val="2"/>
          <w:w w:val="99"/>
        </w:rPr>
        <w:t>报</w:t>
      </w:r>
      <w:r>
        <w:rPr>
          <w:w w:val="99"/>
        </w:rPr>
        <w:t>告的</w:t>
      </w:r>
      <w:r>
        <w:rPr>
          <w:spacing w:val="2"/>
          <w:w w:val="99"/>
        </w:rPr>
        <w:t>的</w:t>
      </w:r>
      <w:r>
        <w:rPr>
          <w:w w:val="99"/>
        </w:rPr>
        <w:t>议</w:t>
      </w:r>
      <w:r>
        <w:rPr>
          <w:spacing w:val="2"/>
          <w:w w:val="99"/>
        </w:rPr>
        <w:t>案</w:t>
      </w:r>
      <w:r>
        <w:rPr>
          <w:w w:val="99"/>
        </w:rPr>
        <w:t>》</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spacing w:val="-2"/>
          <w:w w:val="99"/>
        </w:rPr>
        <w:t>3</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0</w:t>
      </w:r>
      <w:r>
        <w:rPr>
          <w:spacing w:val="-54"/>
        </w:rPr>
        <w:t> </w:t>
      </w:r>
      <w:r>
        <w:rPr>
          <w:spacing w:val="2"/>
          <w:w w:val="99"/>
        </w:rPr>
        <w:t>年</w:t>
      </w:r>
      <w:r>
        <w:rPr>
          <w:w w:val="99"/>
        </w:rPr>
        <w:t>度</w:t>
      </w:r>
      <w:r>
        <w:rPr>
          <w:spacing w:val="2"/>
          <w:w w:val="99"/>
        </w:rPr>
        <w:t>利</w:t>
      </w:r>
      <w:r>
        <w:rPr>
          <w:w w:val="99"/>
        </w:rPr>
        <w:t>润</w:t>
      </w:r>
      <w:r>
        <w:rPr>
          <w:spacing w:val="2"/>
          <w:w w:val="99"/>
        </w:rPr>
        <w:t>分</w:t>
      </w:r>
      <w:r>
        <w:rPr>
          <w:w w:val="99"/>
        </w:rPr>
        <w:t>配</w:t>
      </w:r>
      <w:r>
        <w:rPr>
          <w:spacing w:val="2"/>
          <w:w w:val="99"/>
        </w:rPr>
        <w:t>预</w:t>
      </w:r>
      <w:r>
        <w:rPr>
          <w:w w:val="99"/>
        </w:rPr>
        <w:t>案</w:t>
      </w:r>
      <w:r>
        <w:rPr>
          <w:spacing w:val="2"/>
          <w:w w:val="99"/>
        </w:rPr>
        <w:t>的</w:t>
      </w:r>
      <w:r>
        <w:rPr>
          <w:w w:val="99"/>
        </w:rPr>
        <w:t>议</w:t>
      </w:r>
      <w:r>
        <w:rPr>
          <w:spacing w:val="2"/>
          <w:w w:val="99"/>
        </w:rPr>
        <w:t>案</w:t>
      </w:r>
      <w:r>
        <w:rPr>
          <w:w w:val="99"/>
        </w:rPr>
        <w:t>》</w:t>
      </w:r>
      <w:r>
        <w:rPr/>
      </w:r>
    </w:p>
    <w:p>
      <w:pPr>
        <w:spacing w:line="240" w:lineRule="auto" w:before="8"/>
        <w:rPr>
          <w:rFonts w:ascii="宋体" w:hAnsi="宋体" w:cs="宋体" w:eastAsia="宋体" w:hint="default"/>
          <w:sz w:val="20"/>
          <w:szCs w:val="20"/>
        </w:rPr>
      </w:pPr>
    </w:p>
    <w:p>
      <w:pPr>
        <w:pStyle w:val="BodyText"/>
        <w:spacing w:line="240" w:lineRule="auto"/>
        <w:ind w:left="535" w:right="0"/>
        <w:jc w:val="left"/>
      </w:pPr>
      <w:r>
        <w:rPr>
          <w:spacing w:val="-2"/>
          <w:w w:val="99"/>
        </w:rPr>
        <w:t>4</w:t>
      </w:r>
      <w:r>
        <w:rPr>
          <w:spacing w:val="-104"/>
          <w:w w:val="99"/>
        </w:rPr>
        <w:t>、</w:t>
      </w:r>
      <w:r>
        <w:rPr>
          <w:spacing w:val="2"/>
          <w:w w:val="99"/>
        </w:rPr>
        <w:t>《</w:t>
      </w:r>
      <w:r>
        <w:rPr>
          <w:w w:val="99"/>
        </w:rPr>
        <w:t>关</w:t>
      </w:r>
      <w:r>
        <w:rPr>
          <w:spacing w:val="2"/>
          <w:w w:val="99"/>
        </w:rPr>
        <w:t>于</w:t>
      </w:r>
      <w:r>
        <w:rPr>
          <w:w w:val="99"/>
        </w:rPr>
        <w:t>聘</w:t>
      </w:r>
      <w:r>
        <w:rPr>
          <w:spacing w:val="2"/>
          <w:w w:val="99"/>
        </w:rPr>
        <w:t>请</w:t>
      </w:r>
      <w:r>
        <w:rPr>
          <w:w w:val="99"/>
        </w:rPr>
        <w:t>公司</w:t>
      </w:r>
      <w:r>
        <w:rPr>
          <w:spacing w:val="-53"/>
        </w:rPr>
        <w:t> </w:t>
      </w:r>
      <w:r>
        <w:rPr>
          <w:spacing w:val="1"/>
          <w:w w:val="99"/>
        </w:rPr>
        <w:t>201</w:t>
      </w:r>
      <w:r>
        <w:rPr>
          <w:w w:val="99"/>
        </w:rPr>
        <w:t>1</w:t>
      </w:r>
      <w:r>
        <w:rPr>
          <w:spacing w:val="-54"/>
        </w:rPr>
        <w:t> </w:t>
      </w:r>
      <w:r>
        <w:rPr>
          <w:spacing w:val="2"/>
          <w:w w:val="99"/>
        </w:rPr>
        <w:t>年</w:t>
      </w:r>
      <w:r>
        <w:rPr>
          <w:w w:val="99"/>
        </w:rPr>
        <w:t>度</w:t>
      </w:r>
      <w:r>
        <w:rPr>
          <w:spacing w:val="2"/>
          <w:w w:val="99"/>
        </w:rPr>
        <w:t>审</w:t>
      </w:r>
      <w:r>
        <w:rPr>
          <w:w w:val="99"/>
        </w:rPr>
        <w:t>计</w:t>
      </w:r>
      <w:r>
        <w:rPr>
          <w:spacing w:val="2"/>
          <w:w w:val="99"/>
        </w:rPr>
        <w:t>机</w:t>
      </w:r>
      <w:r>
        <w:rPr>
          <w:w w:val="99"/>
        </w:rPr>
        <w:t>构</w:t>
      </w:r>
      <w:r>
        <w:rPr>
          <w:spacing w:val="2"/>
          <w:w w:val="99"/>
        </w:rPr>
        <w:t>的</w:t>
      </w:r>
      <w:r>
        <w:rPr>
          <w:w w:val="99"/>
        </w:rPr>
        <w:t>议</w:t>
      </w:r>
      <w:r>
        <w:rPr>
          <w:spacing w:val="2"/>
          <w:w w:val="99"/>
        </w:rPr>
        <w:t>案</w:t>
      </w:r>
      <w:r>
        <w:rPr>
          <w:w w:val="99"/>
        </w:rPr>
        <w:t>》</w:t>
      </w:r>
      <w:r>
        <w:rPr/>
      </w:r>
    </w:p>
    <w:p>
      <w:pPr>
        <w:spacing w:line="240" w:lineRule="auto" w:before="11"/>
        <w:rPr>
          <w:rFonts w:ascii="宋体" w:hAnsi="宋体" w:cs="宋体" w:eastAsia="宋体" w:hint="default"/>
          <w:sz w:val="20"/>
          <w:szCs w:val="20"/>
        </w:rPr>
      </w:pPr>
    </w:p>
    <w:p>
      <w:pPr>
        <w:pStyle w:val="BodyText"/>
        <w:spacing w:line="240" w:lineRule="auto"/>
        <w:ind w:left="535" w:right="0"/>
        <w:jc w:val="left"/>
      </w:pPr>
      <w:r>
        <w:rPr>
          <w:spacing w:val="-2"/>
          <w:w w:val="99"/>
        </w:rPr>
        <w:t>5</w:t>
      </w:r>
      <w:r>
        <w:rPr>
          <w:spacing w:val="-104"/>
          <w:w w:val="99"/>
        </w:rPr>
        <w:t>、</w:t>
      </w:r>
      <w:r>
        <w:rPr>
          <w:spacing w:val="2"/>
          <w:w w:val="99"/>
        </w:rPr>
        <w:t>《</w:t>
      </w:r>
      <w:r>
        <w:rPr>
          <w:w w:val="99"/>
        </w:rPr>
        <w:t>关</w:t>
      </w:r>
      <w:r>
        <w:rPr>
          <w:spacing w:val="2"/>
          <w:w w:val="99"/>
        </w:rPr>
        <w:t>于</w:t>
      </w:r>
      <w:r>
        <w:rPr>
          <w:w w:val="99"/>
        </w:rPr>
        <w:t>决</w:t>
      </w:r>
      <w:r>
        <w:rPr>
          <w:spacing w:val="2"/>
          <w:w w:val="99"/>
        </w:rPr>
        <w:t>定</w:t>
      </w:r>
      <w:r>
        <w:rPr>
          <w:w w:val="99"/>
        </w:rPr>
        <w:t>公</w:t>
      </w:r>
      <w:r>
        <w:rPr>
          <w:spacing w:val="2"/>
          <w:w w:val="99"/>
        </w:rPr>
        <w:t>司</w:t>
      </w:r>
      <w:r>
        <w:rPr>
          <w:w w:val="99"/>
        </w:rPr>
        <w:t>独</w:t>
      </w:r>
      <w:r>
        <w:rPr>
          <w:spacing w:val="2"/>
          <w:w w:val="99"/>
        </w:rPr>
        <w:t>立</w:t>
      </w:r>
      <w:r>
        <w:rPr>
          <w:w w:val="99"/>
        </w:rPr>
        <w:t>董事</w:t>
      </w:r>
      <w:r>
        <w:rPr>
          <w:spacing w:val="-53"/>
        </w:rPr>
        <w:t> </w:t>
      </w:r>
      <w:r>
        <w:rPr>
          <w:spacing w:val="1"/>
          <w:w w:val="99"/>
        </w:rPr>
        <w:t>201</w:t>
      </w:r>
      <w:r>
        <w:rPr>
          <w:w w:val="99"/>
        </w:rPr>
        <w:t>1</w:t>
      </w:r>
      <w:r>
        <w:rPr>
          <w:spacing w:val="-54"/>
        </w:rPr>
        <w:t> </w:t>
      </w:r>
      <w:r>
        <w:rPr>
          <w:spacing w:val="2"/>
          <w:w w:val="99"/>
        </w:rPr>
        <w:t>年</w:t>
      </w:r>
      <w:r>
        <w:rPr>
          <w:w w:val="99"/>
        </w:rPr>
        <w:t>度</w:t>
      </w:r>
      <w:r>
        <w:rPr>
          <w:spacing w:val="2"/>
          <w:w w:val="99"/>
        </w:rPr>
        <w:t>津</w:t>
      </w:r>
      <w:r>
        <w:rPr>
          <w:w w:val="99"/>
        </w:rPr>
        <w:t>贴</w:t>
      </w:r>
      <w:r>
        <w:rPr>
          <w:spacing w:val="2"/>
          <w:w w:val="99"/>
        </w:rPr>
        <w:t>的</w:t>
      </w:r>
      <w:r>
        <w:rPr>
          <w:w w:val="99"/>
        </w:rPr>
        <w:t>议</w:t>
      </w:r>
      <w:r>
        <w:rPr>
          <w:spacing w:val="2"/>
          <w:w w:val="99"/>
        </w:rPr>
        <w:t>案</w:t>
      </w:r>
      <w:r>
        <w:rPr>
          <w:w w:val="99"/>
        </w:rPr>
        <w:t>》</w:t>
      </w:r>
      <w:r>
        <w:rPr/>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t>（三）第一届监事会第九次会议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2011</w:t>
      </w:r>
      <w:r>
        <w:rPr>
          <w:spacing w:val="-64"/>
        </w:rPr>
        <w:t> </w:t>
      </w:r>
      <w:r>
        <w:rPr/>
        <w:t>年</w:t>
      </w:r>
      <w:r>
        <w:rPr>
          <w:spacing w:val="-60"/>
        </w:rPr>
        <w:t> </w:t>
      </w:r>
      <w:r>
        <w:rPr/>
        <w:t>10</w:t>
      </w:r>
      <w:r>
        <w:rPr>
          <w:spacing w:val="-64"/>
        </w:rPr>
        <w:t> </w:t>
      </w:r>
      <w:r>
        <w:rPr/>
        <w:t>月</w:t>
      </w:r>
      <w:r>
        <w:rPr>
          <w:spacing w:val="-60"/>
        </w:rPr>
        <w:t> </w:t>
      </w:r>
      <w:r>
        <w:rPr/>
        <w:t>25</w:t>
      </w:r>
      <w:r>
        <w:rPr>
          <w:spacing w:val="-64"/>
        </w:rPr>
        <w:t> </w:t>
      </w:r>
      <w:r>
        <w:rPr/>
        <w:t>日，第一届监事会第九次会议在公司会议室召开，会议应出席监事</w:t>
      </w:r>
      <w:r>
        <w:rPr>
          <w:spacing w:val="-60"/>
        </w:rPr>
        <w:t> </w:t>
      </w:r>
      <w:r>
        <w:rPr/>
        <w:t>3</w:t>
      </w:r>
      <w:r>
        <w:rPr>
          <w:spacing w:val="-64"/>
        </w:rPr>
        <w:t> </w:t>
      </w:r>
      <w:r>
        <w:rPr>
          <w:spacing w:val="-3"/>
        </w:rPr>
        <w:t>人，实际出席监</w:t>
      </w:r>
    </w:p>
    <w:p>
      <w:pPr>
        <w:pStyle w:val="BodyText"/>
        <w:spacing w:line="340" w:lineRule="auto" w:before="114"/>
        <w:ind w:right="98"/>
        <w:jc w:val="left"/>
      </w:pPr>
      <w:r>
        <w:rPr/>
        <w:t>事</w:t>
      </w:r>
      <w:r>
        <w:rPr>
          <w:spacing w:val="-64"/>
        </w:rPr>
        <w:t> </w:t>
      </w:r>
      <w:r>
        <w:rPr/>
        <w:t>3</w:t>
      </w:r>
      <w:r>
        <w:rPr>
          <w:spacing w:val="-65"/>
        </w:rPr>
        <w:t> </w:t>
      </w:r>
      <w:r>
        <w:rPr/>
        <w:t>人，本次会议的召集和召开符合《中华人民共和国公司法》和公司章程的规定，会议合法有效。经与</w:t>
      </w:r>
      <w:r>
        <w:rPr>
          <w:w w:val="99"/>
        </w:rPr>
        <w:t> </w:t>
      </w:r>
      <w:r>
        <w:rPr/>
        <w:t>会监事审议，以投票表决方式，一致通过了如下议案：</w:t>
      </w:r>
    </w:p>
    <w:p>
      <w:pPr>
        <w:spacing w:line="240" w:lineRule="auto" w:before="12"/>
        <w:rPr>
          <w:rFonts w:ascii="宋体" w:hAnsi="宋体" w:cs="宋体" w:eastAsia="宋体" w:hint="default"/>
          <w:sz w:val="13"/>
          <w:szCs w:val="13"/>
        </w:rPr>
      </w:pPr>
    </w:p>
    <w:p>
      <w:pPr>
        <w:pStyle w:val="BodyText"/>
        <w:spacing w:line="240" w:lineRule="auto"/>
        <w:ind w:left="535" w:right="0"/>
        <w:jc w:val="left"/>
      </w:pPr>
      <w:r>
        <w:rPr>
          <w:spacing w:val="-2"/>
          <w:w w:val="99"/>
        </w:rPr>
        <w:t>1</w:t>
      </w:r>
      <w:r>
        <w:rPr>
          <w:spacing w:val="-104"/>
          <w:w w:val="99"/>
        </w:rPr>
        <w:t>、</w:t>
      </w:r>
      <w:r>
        <w:rPr>
          <w:spacing w:val="2"/>
          <w:w w:val="99"/>
        </w:rPr>
        <w:t>《</w:t>
      </w:r>
      <w:r>
        <w:rPr>
          <w:w w:val="99"/>
        </w:rPr>
        <w:t>关</w:t>
      </w:r>
      <w:r>
        <w:rPr>
          <w:spacing w:val="2"/>
          <w:w w:val="99"/>
        </w:rPr>
        <w:t>于</w:t>
      </w:r>
      <w:r>
        <w:rPr>
          <w:w w:val="99"/>
        </w:rPr>
        <w:t>公司</w:t>
      </w:r>
      <w:r>
        <w:rPr>
          <w:spacing w:val="-53"/>
        </w:rPr>
        <w:t> </w:t>
      </w:r>
      <w:r>
        <w:rPr>
          <w:spacing w:val="1"/>
          <w:w w:val="99"/>
        </w:rPr>
        <w:t>201</w:t>
      </w:r>
      <w:r>
        <w:rPr>
          <w:w w:val="99"/>
        </w:rPr>
        <w:t>1</w:t>
      </w:r>
      <w:r>
        <w:rPr>
          <w:spacing w:val="-54"/>
        </w:rPr>
        <w:t> </w:t>
      </w:r>
      <w:r>
        <w:rPr>
          <w:spacing w:val="2"/>
          <w:w w:val="99"/>
        </w:rPr>
        <w:t>年</w:t>
      </w:r>
      <w:r>
        <w:rPr>
          <w:w w:val="99"/>
        </w:rPr>
        <w:t>第</w:t>
      </w:r>
      <w:r>
        <w:rPr>
          <w:spacing w:val="2"/>
          <w:w w:val="99"/>
        </w:rPr>
        <w:t>三</w:t>
      </w:r>
      <w:r>
        <w:rPr>
          <w:w w:val="99"/>
        </w:rPr>
        <w:t>季</w:t>
      </w:r>
      <w:r>
        <w:rPr>
          <w:spacing w:val="2"/>
          <w:w w:val="99"/>
        </w:rPr>
        <w:t>度</w:t>
      </w:r>
      <w:r>
        <w:rPr>
          <w:w w:val="99"/>
        </w:rPr>
        <w:t>报</w:t>
      </w:r>
      <w:r>
        <w:rPr>
          <w:spacing w:val="2"/>
          <w:w w:val="99"/>
        </w:rPr>
        <w:t>告</w:t>
      </w:r>
      <w:r>
        <w:rPr>
          <w:w w:val="99"/>
        </w:rPr>
        <w:t>的</w:t>
      </w:r>
      <w:r>
        <w:rPr>
          <w:spacing w:val="2"/>
          <w:w w:val="99"/>
        </w:rPr>
        <w:t>议</w:t>
      </w:r>
      <w:r>
        <w:rPr>
          <w:w w:val="99"/>
        </w:rPr>
        <w:t>案》</w:t>
      </w:r>
      <w:r>
        <w:rPr/>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pacing w:val="-2"/>
                          <w:w w:val="99"/>
                          <w:sz w:val="21"/>
                          <w:szCs w:val="21"/>
                        </w:rPr>
                        <w:t>2</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关</w:t>
                      </w:r>
                      <w:r>
                        <w:rPr>
                          <w:rFonts w:ascii="宋体" w:hAnsi="宋体" w:cs="宋体" w:eastAsia="宋体" w:hint="default"/>
                          <w:spacing w:val="2"/>
                          <w:w w:val="99"/>
                          <w:sz w:val="21"/>
                          <w:szCs w:val="21"/>
                        </w:rPr>
                        <w:t>于</w:t>
                      </w:r>
                      <w:r>
                        <w:rPr>
                          <w:rFonts w:ascii="宋体" w:hAnsi="宋体" w:cs="宋体" w:eastAsia="宋体" w:hint="default"/>
                          <w:w w:val="99"/>
                          <w:sz w:val="21"/>
                          <w:szCs w:val="21"/>
                        </w:rPr>
                        <w:t>使</w:t>
                      </w:r>
                      <w:r>
                        <w:rPr>
                          <w:rFonts w:ascii="宋体" w:hAnsi="宋体" w:cs="宋体" w:eastAsia="宋体" w:hint="default"/>
                          <w:spacing w:val="2"/>
                          <w:w w:val="99"/>
                          <w:sz w:val="21"/>
                          <w:szCs w:val="21"/>
                        </w:rPr>
                        <w:t>用</w:t>
                      </w:r>
                      <w:r>
                        <w:rPr>
                          <w:rFonts w:ascii="宋体" w:hAnsi="宋体" w:cs="宋体" w:eastAsia="宋体" w:hint="default"/>
                          <w:w w:val="99"/>
                          <w:sz w:val="21"/>
                          <w:szCs w:val="21"/>
                        </w:rPr>
                        <w:t>募</w:t>
                      </w:r>
                      <w:r>
                        <w:rPr>
                          <w:rFonts w:ascii="宋体" w:hAnsi="宋体" w:cs="宋体" w:eastAsia="宋体" w:hint="default"/>
                          <w:spacing w:val="2"/>
                          <w:w w:val="99"/>
                          <w:sz w:val="21"/>
                          <w:szCs w:val="21"/>
                        </w:rPr>
                        <w:t>集</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置</w:t>
                      </w:r>
                      <w:r>
                        <w:rPr>
                          <w:rFonts w:ascii="宋体" w:hAnsi="宋体" w:cs="宋体" w:eastAsia="宋体" w:hint="default"/>
                          <w:spacing w:val="2"/>
                          <w:w w:val="99"/>
                          <w:sz w:val="21"/>
                          <w:szCs w:val="21"/>
                        </w:rPr>
                        <w:t>换</w:t>
                      </w:r>
                      <w:r>
                        <w:rPr>
                          <w:rFonts w:ascii="宋体" w:hAnsi="宋体" w:cs="宋体" w:eastAsia="宋体" w:hint="default"/>
                          <w:w w:val="99"/>
                          <w:sz w:val="21"/>
                          <w:szCs w:val="21"/>
                        </w:rPr>
                        <w:t>预</w:t>
                      </w:r>
                      <w:r>
                        <w:rPr>
                          <w:rFonts w:ascii="宋体" w:hAnsi="宋体" w:cs="宋体" w:eastAsia="宋体" w:hint="default"/>
                          <w:spacing w:val="2"/>
                          <w:w w:val="99"/>
                          <w:sz w:val="21"/>
                          <w:szCs w:val="21"/>
                        </w:rPr>
                        <w:t>先</w:t>
                      </w:r>
                      <w:r>
                        <w:rPr>
                          <w:rFonts w:ascii="宋体" w:hAnsi="宋体" w:cs="宋体" w:eastAsia="宋体" w:hint="default"/>
                          <w:w w:val="99"/>
                          <w:sz w:val="21"/>
                          <w:szCs w:val="21"/>
                        </w:rPr>
                        <w:t>已</w:t>
                      </w:r>
                      <w:r>
                        <w:rPr>
                          <w:rFonts w:ascii="宋体" w:hAnsi="宋体" w:cs="宋体" w:eastAsia="宋体" w:hint="default"/>
                          <w:spacing w:val="2"/>
                          <w:w w:val="99"/>
                          <w:sz w:val="21"/>
                          <w:szCs w:val="21"/>
                        </w:rPr>
                        <w:t>投</w:t>
                      </w:r>
                      <w:r>
                        <w:rPr>
                          <w:rFonts w:ascii="宋体" w:hAnsi="宋体" w:cs="宋体" w:eastAsia="宋体" w:hint="default"/>
                          <w:w w:val="99"/>
                          <w:sz w:val="21"/>
                          <w:szCs w:val="21"/>
                        </w:rPr>
                        <w:t>入</w:t>
                      </w:r>
                      <w:r>
                        <w:rPr>
                          <w:rFonts w:ascii="宋体" w:hAnsi="宋体" w:cs="宋体" w:eastAsia="宋体" w:hint="default"/>
                          <w:spacing w:val="2"/>
                          <w:w w:val="99"/>
                          <w:sz w:val="21"/>
                          <w:szCs w:val="21"/>
                        </w:rPr>
                        <w:t>募</w:t>
                      </w:r>
                      <w:r>
                        <w:rPr>
                          <w:rFonts w:ascii="宋体" w:hAnsi="宋体" w:cs="宋体" w:eastAsia="宋体" w:hint="default"/>
                          <w:w w:val="99"/>
                          <w:sz w:val="21"/>
                          <w:szCs w:val="21"/>
                        </w:rPr>
                        <w:t>集</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项</w:t>
                      </w:r>
                      <w:r>
                        <w:rPr>
                          <w:rFonts w:ascii="宋体" w:hAnsi="宋体" w:cs="宋体" w:eastAsia="宋体" w:hint="default"/>
                          <w:w w:val="99"/>
                          <w:sz w:val="21"/>
                          <w:szCs w:val="21"/>
                        </w:rPr>
                        <w:t>目</w:t>
                      </w:r>
                      <w:r>
                        <w:rPr>
                          <w:rFonts w:ascii="宋体" w:hAnsi="宋体" w:cs="宋体" w:eastAsia="宋体" w:hint="default"/>
                          <w:spacing w:val="2"/>
                          <w:w w:val="99"/>
                          <w:sz w:val="21"/>
                          <w:szCs w:val="21"/>
                        </w:rPr>
                        <w:t>的</w:t>
                      </w:r>
                      <w:r>
                        <w:rPr>
                          <w:rFonts w:ascii="宋体" w:hAnsi="宋体" w:cs="宋体" w:eastAsia="宋体" w:hint="default"/>
                          <w:w w:val="99"/>
                          <w:sz w:val="21"/>
                          <w:szCs w:val="21"/>
                        </w:rPr>
                        <w:t>自</w:t>
                      </w:r>
                      <w:r>
                        <w:rPr>
                          <w:rFonts w:ascii="宋体" w:hAnsi="宋体" w:cs="宋体" w:eastAsia="宋体" w:hint="default"/>
                          <w:spacing w:val="2"/>
                          <w:w w:val="99"/>
                          <w:sz w:val="21"/>
                          <w:szCs w:val="21"/>
                        </w:rPr>
                        <w:t>筹</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的</w:t>
                      </w:r>
                      <w:r>
                        <w:rPr>
                          <w:rFonts w:ascii="宋体" w:hAnsi="宋体" w:cs="宋体" w:eastAsia="宋体" w:hint="default"/>
                          <w:spacing w:val="2"/>
                          <w:w w:val="99"/>
                          <w:sz w:val="21"/>
                          <w:szCs w:val="21"/>
                        </w:rPr>
                        <w:t>议</w:t>
                      </w:r>
                      <w:r>
                        <w:rPr>
                          <w:rFonts w:ascii="宋体" w:hAnsi="宋体" w:cs="宋体" w:eastAsia="宋体" w:hint="default"/>
                          <w:w w:val="99"/>
                          <w:sz w:val="21"/>
                          <w:szCs w:val="21"/>
                        </w:rPr>
                        <w:t>案》</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Heading4"/>
        <w:spacing w:line="333" w:lineRule="exact"/>
        <w:ind w:right="0"/>
        <w:jc w:val="left"/>
        <w:rPr>
          <w:b w:val="0"/>
          <w:bCs w:val="0"/>
        </w:rPr>
      </w:pPr>
      <w:r>
        <w:rPr/>
        <w:t>（四）第一届监事会第十次会议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2011</w:t>
      </w:r>
      <w:r>
        <w:rPr>
          <w:spacing w:val="-64"/>
        </w:rPr>
        <w:t> </w:t>
      </w:r>
      <w:r>
        <w:rPr/>
        <w:t>年</w:t>
      </w:r>
      <w:r>
        <w:rPr>
          <w:spacing w:val="-60"/>
        </w:rPr>
        <w:t> </w:t>
      </w:r>
      <w:r>
        <w:rPr/>
        <w:t>11</w:t>
      </w:r>
      <w:r>
        <w:rPr>
          <w:spacing w:val="-64"/>
        </w:rPr>
        <w:t> </w:t>
      </w:r>
      <w:r>
        <w:rPr/>
        <w:t>月</w:t>
      </w:r>
      <w:r>
        <w:rPr>
          <w:spacing w:val="-60"/>
        </w:rPr>
        <w:t> </w:t>
      </w:r>
      <w:r>
        <w:rPr/>
        <w:t>28</w:t>
      </w:r>
      <w:r>
        <w:rPr>
          <w:spacing w:val="-64"/>
        </w:rPr>
        <w:t> </w:t>
      </w:r>
      <w:r>
        <w:rPr/>
        <w:t>日，第一届监事会第十次会议在公司会议室召开，会议应出席监事</w:t>
      </w:r>
      <w:r>
        <w:rPr>
          <w:spacing w:val="-60"/>
        </w:rPr>
        <w:t> </w:t>
      </w:r>
      <w:r>
        <w:rPr/>
        <w:t>3</w:t>
      </w:r>
      <w:r>
        <w:rPr>
          <w:spacing w:val="-64"/>
        </w:rPr>
        <w:t> </w:t>
      </w:r>
      <w:r>
        <w:rPr>
          <w:spacing w:val="-3"/>
        </w:rPr>
        <w:t>人，实际出席监</w:t>
      </w:r>
    </w:p>
    <w:p>
      <w:pPr>
        <w:pStyle w:val="BodyText"/>
        <w:spacing w:line="338" w:lineRule="auto" w:before="116"/>
        <w:ind w:right="98"/>
        <w:jc w:val="left"/>
      </w:pPr>
      <w:r>
        <w:rPr/>
        <w:t>事</w:t>
      </w:r>
      <w:r>
        <w:rPr>
          <w:spacing w:val="-64"/>
        </w:rPr>
        <w:t> </w:t>
      </w:r>
      <w:r>
        <w:rPr/>
        <w:t>3</w:t>
      </w:r>
      <w:r>
        <w:rPr>
          <w:spacing w:val="-65"/>
        </w:rPr>
        <w:t> </w:t>
      </w:r>
      <w:r>
        <w:rPr/>
        <w:t>人，本次会议的召集和召开符合《中华人民共和国公司法》和公司章程的规定，会议合法有效。经与</w:t>
      </w:r>
      <w:r>
        <w:rPr>
          <w:w w:val="99"/>
        </w:rPr>
        <w:t> </w:t>
      </w:r>
      <w:r>
        <w:rPr/>
        <w:t>会监事审议，以投票表决方式，一致通过了如下议案：</w:t>
      </w:r>
    </w:p>
    <w:p>
      <w:pPr>
        <w:spacing w:line="240" w:lineRule="auto" w:before="1"/>
        <w:rPr>
          <w:rFonts w:ascii="宋体" w:hAnsi="宋体" w:cs="宋体" w:eastAsia="宋体" w:hint="default"/>
          <w:sz w:val="14"/>
          <w:szCs w:val="14"/>
        </w:rPr>
      </w:pPr>
    </w:p>
    <w:p>
      <w:pPr>
        <w:pStyle w:val="BodyText"/>
        <w:spacing w:line="240" w:lineRule="auto"/>
        <w:ind w:left="535" w:right="0"/>
        <w:jc w:val="left"/>
      </w:pPr>
      <w:r>
        <w:rPr>
          <w:spacing w:val="-2"/>
          <w:w w:val="99"/>
        </w:rPr>
        <w:t>1</w:t>
      </w:r>
      <w:r>
        <w:rPr>
          <w:spacing w:val="-104"/>
          <w:w w:val="99"/>
        </w:rPr>
        <w:t>、</w:t>
      </w:r>
      <w:r>
        <w:rPr>
          <w:spacing w:val="2"/>
          <w:w w:val="99"/>
        </w:rPr>
        <w:t>《</w:t>
      </w:r>
      <w:r>
        <w:rPr>
          <w:w w:val="99"/>
        </w:rPr>
        <w:t>关</w:t>
      </w:r>
      <w:r>
        <w:rPr>
          <w:spacing w:val="2"/>
          <w:w w:val="99"/>
        </w:rPr>
        <w:t>于</w:t>
      </w:r>
      <w:r>
        <w:rPr>
          <w:w w:val="99"/>
        </w:rPr>
        <w:t>公</w:t>
      </w:r>
      <w:r>
        <w:rPr>
          <w:spacing w:val="2"/>
          <w:w w:val="99"/>
        </w:rPr>
        <w:t>司</w:t>
      </w:r>
      <w:r>
        <w:rPr>
          <w:w w:val="99"/>
        </w:rPr>
        <w:t>监</w:t>
      </w:r>
      <w:r>
        <w:rPr>
          <w:spacing w:val="2"/>
          <w:w w:val="99"/>
        </w:rPr>
        <w:t>事</w:t>
      </w:r>
      <w:r>
        <w:rPr>
          <w:w w:val="99"/>
        </w:rPr>
        <w:t>会</w:t>
      </w:r>
      <w:r>
        <w:rPr>
          <w:spacing w:val="2"/>
          <w:w w:val="99"/>
        </w:rPr>
        <w:t>换</w:t>
      </w:r>
      <w:r>
        <w:rPr>
          <w:w w:val="99"/>
        </w:rPr>
        <w:t>届</w:t>
      </w:r>
      <w:r>
        <w:rPr>
          <w:spacing w:val="2"/>
          <w:w w:val="99"/>
        </w:rPr>
        <w:t>选</w:t>
      </w:r>
      <w:r>
        <w:rPr>
          <w:w w:val="99"/>
        </w:rPr>
        <w:t>举</w:t>
      </w:r>
      <w:r>
        <w:rPr>
          <w:spacing w:val="2"/>
          <w:w w:val="99"/>
        </w:rPr>
        <w:t>的</w:t>
      </w:r>
      <w:r>
        <w:rPr>
          <w:w w:val="99"/>
        </w:rPr>
        <w:t>议</w:t>
      </w:r>
      <w:r>
        <w:rPr>
          <w:spacing w:val="2"/>
          <w:w w:val="99"/>
        </w:rPr>
        <w:t>案</w:t>
      </w:r>
      <w:r>
        <w:rPr>
          <w:w w:val="99"/>
        </w:rPr>
        <w:t>》</w:t>
      </w:r>
      <w:r>
        <w:rPr/>
      </w:r>
    </w:p>
    <w:p>
      <w:pPr>
        <w:spacing w:line="240" w:lineRule="auto" w:before="11"/>
        <w:rPr>
          <w:rFonts w:ascii="宋体" w:hAnsi="宋体" w:cs="宋体" w:eastAsia="宋体" w:hint="default"/>
          <w:sz w:val="20"/>
          <w:szCs w:val="20"/>
        </w:rPr>
      </w:pPr>
    </w:p>
    <w:p>
      <w:pPr>
        <w:pStyle w:val="BodyText"/>
        <w:spacing w:line="340" w:lineRule="auto"/>
        <w:ind w:right="112" w:firstLine="422"/>
        <w:jc w:val="both"/>
      </w:pPr>
      <w:r>
        <w:rPr>
          <w:w w:val="95"/>
        </w:rPr>
        <w:t>报告期内，公司监事会严格按照有关法律、法规及公司章程的规定，列席了历次董事会、股东大会会</w:t>
      </w:r>
      <w:r>
        <w:rPr>
          <w:spacing w:val="-94"/>
          <w:w w:val="95"/>
        </w:rPr>
        <w:t> </w:t>
      </w:r>
      <w:r>
        <w:rPr>
          <w:spacing w:val="-94"/>
          <w:w w:val="95"/>
        </w:rPr>
      </w:r>
      <w:r>
        <w:rPr>
          <w:w w:val="95"/>
        </w:rPr>
        <w:t>议，依法监督各次董事会和股东大会审议的议案和会议召开程序，对公司依法运作情况、公司财务情况、</w:t>
      </w:r>
      <w:r>
        <w:rPr>
          <w:spacing w:val="51"/>
          <w:w w:val="95"/>
        </w:rPr>
        <w:t> </w:t>
      </w:r>
      <w:r>
        <w:rPr>
          <w:spacing w:val="51"/>
          <w:w w:val="95"/>
        </w:rPr>
      </w:r>
      <w:r>
        <w:rPr>
          <w:spacing w:val="3"/>
        </w:rPr>
        <w:t>关联交易等事项以及公司董事会和管理层职务行为进行了认真监督检查，保证了公司经营管理行为的规</w:t>
      </w:r>
      <w:r>
        <w:rPr>
          <w:w w:val="99"/>
        </w:rPr>
        <w:t> </w:t>
      </w:r>
      <w:r>
        <w:rPr/>
        <w:t>范。</w:t>
      </w:r>
    </w:p>
    <w:p>
      <w:pPr>
        <w:pStyle w:val="Heading4"/>
        <w:spacing w:line="240" w:lineRule="auto" w:before="115"/>
        <w:ind w:left="112" w:right="0"/>
        <w:jc w:val="left"/>
        <w:rPr>
          <w:b w:val="0"/>
          <w:bCs w:val="0"/>
        </w:rPr>
      </w:pPr>
      <w:r>
        <w:rPr/>
        <w:t>二、监事会发表的独立意见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38" w:lineRule="auto"/>
        <w:ind w:right="109" w:firstLine="422"/>
        <w:jc w:val="both"/>
      </w:pPr>
      <w:r>
        <w:rPr>
          <w:w w:val="99"/>
        </w:rPr>
        <w:t>2011</w:t>
      </w:r>
      <w:r>
        <w:rPr>
          <w:spacing w:val="-30"/>
          <w:w w:val="99"/>
        </w:rPr>
        <w:t> </w:t>
      </w:r>
      <w:r>
        <w:rPr>
          <w:spacing w:val="-11"/>
          <w:w w:val="99"/>
        </w:rPr>
        <w:t>年度，公司监事会严格遵守《公司法》、《证券法》及其他法律、法规、规章和《公司章程》及《监</w:t>
      </w:r>
      <w:r>
        <w:rPr>
          <w:w w:val="99"/>
        </w:rPr>
        <w:t> </w:t>
      </w:r>
      <w:r>
        <w:rPr/>
        <w:t>事会议事规则》的规定，认真履行监督职能，对报告期内公司的有关情况发表如下独立意见：</w:t>
      </w:r>
    </w:p>
    <w:p>
      <w:pPr>
        <w:pStyle w:val="Heading4"/>
        <w:spacing w:line="240" w:lineRule="auto" w:before="117"/>
        <w:ind w:right="0"/>
        <w:jc w:val="left"/>
        <w:rPr>
          <w:b w:val="0"/>
          <w:bCs w:val="0"/>
        </w:rPr>
      </w:pPr>
      <w:r>
        <w:rPr/>
        <w:t>（一）监事会对公司依法运作情况的独立意见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38" w:lineRule="auto"/>
        <w:ind w:right="112" w:firstLine="422"/>
        <w:jc w:val="both"/>
      </w:pPr>
      <w:r>
        <w:rPr>
          <w:w w:val="95"/>
        </w:rPr>
        <w:t>2011</w:t>
      </w:r>
      <w:r>
        <w:rPr>
          <w:spacing w:val="30"/>
          <w:w w:val="95"/>
        </w:rPr>
        <w:t> </w:t>
      </w:r>
      <w:r>
        <w:rPr>
          <w:w w:val="95"/>
        </w:rPr>
        <w:t>年度，公司监事会依法对公司运作情况进行了监督，依法列席了公司的董事会和股东大会，对公</w:t>
      </w:r>
      <w:r>
        <w:rPr>
          <w:w w:val="99"/>
        </w:rPr>
        <w:t> </w:t>
      </w:r>
      <w:r>
        <w:rPr/>
        <w:t>司的决策程序和公司董事会成员及高级管理人员履行职务情况进行了严格的监督，监事会认为：</w:t>
      </w:r>
    </w:p>
    <w:p>
      <w:pPr>
        <w:spacing w:line="240" w:lineRule="auto" w:before="3"/>
        <w:rPr>
          <w:rFonts w:ascii="宋体" w:hAnsi="宋体" w:cs="宋体" w:eastAsia="宋体" w:hint="default"/>
          <w:sz w:val="14"/>
          <w:szCs w:val="14"/>
        </w:rPr>
      </w:pPr>
    </w:p>
    <w:p>
      <w:pPr>
        <w:pStyle w:val="BodyText"/>
        <w:spacing w:line="340" w:lineRule="auto"/>
        <w:ind w:right="109" w:firstLine="422"/>
        <w:jc w:val="both"/>
      </w:pPr>
      <w:r>
        <w:rPr>
          <w:spacing w:val="-5"/>
          <w:w w:val="99"/>
        </w:rPr>
        <w:t>公司股东大会、董事会会议的召集、召开均按照《公司法》、《证券法》及《公司章程》等有关制度的</w:t>
      </w:r>
      <w:r>
        <w:rPr>
          <w:w w:val="99"/>
        </w:rPr>
        <w:t> </w:t>
      </w:r>
      <w:r>
        <w:rPr>
          <w:w w:val="95"/>
        </w:rPr>
        <w:t>规定，决策程序符合有关法律、法规及《公司章程》的要求，有关决议的内容合法有效，未发现公司有违</w:t>
      </w:r>
      <w:r>
        <w:rPr>
          <w:spacing w:val="51"/>
          <w:w w:val="95"/>
        </w:rPr>
        <w:t> </w:t>
      </w:r>
      <w:r>
        <w:rPr>
          <w:spacing w:val="51"/>
          <w:w w:val="95"/>
        </w:rPr>
      </w:r>
      <w:r>
        <w:rPr>
          <w:w w:val="95"/>
        </w:rPr>
        <w:t>法违规的经营行为。公司董事会成员及高级管理人员能按照国家有关法律、法规和《公司章程》的有关规</w:t>
      </w:r>
      <w:r>
        <w:rPr>
          <w:spacing w:val="54"/>
          <w:w w:val="95"/>
        </w:rPr>
        <w:t> </w:t>
      </w:r>
      <w:r>
        <w:rPr>
          <w:spacing w:val="54"/>
          <w:w w:val="95"/>
        </w:rPr>
      </w:r>
      <w:r>
        <w:rPr>
          <w:w w:val="95"/>
        </w:rPr>
        <w:t>定，忠实勤勉地履行其职责。报告期内未发现公司董事及高级管理人员在执行职务、行使职权时有违反法</w:t>
      </w:r>
      <w:r>
        <w:rPr>
          <w:spacing w:val="50"/>
          <w:w w:val="95"/>
        </w:rPr>
        <w:t> </w:t>
      </w:r>
      <w:r>
        <w:rPr>
          <w:spacing w:val="50"/>
          <w:w w:val="95"/>
        </w:rPr>
      </w:r>
      <w:r>
        <w:rPr>
          <w:spacing w:val="-4"/>
          <w:w w:val="99"/>
        </w:rPr>
        <w:t>律、法规、《公司章程》及损害公司和股东利益的行为。</w:t>
      </w:r>
      <w:r>
        <w:rPr>
          <w:spacing w:val="-4"/>
        </w:rPr>
      </w:r>
    </w:p>
    <w:p>
      <w:pPr>
        <w:spacing w:line="400" w:lineRule="auto" w:before="117"/>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（二）监事会对检查公司财务情况的独立意见</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公司监事会依法对公司财务状况、财务管理等方面进行了监督，监事会认为：公司财务制度健全，财</w:t>
      </w:r>
      <w:r>
        <w:rPr>
          <w:rFonts w:ascii="宋体" w:hAnsi="宋体" w:cs="宋体" w:eastAsia="宋体" w:hint="default"/>
          <w:sz w:val="21"/>
          <w:szCs w:val="21"/>
        </w:rPr>
      </w:r>
    </w:p>
    <w:p>
      <w:pPr>
        <w:pStyle w:val="BodyText"/>
        <w:spacing w:line="251" w:lineRule="exact"/>
        <w:ind w:right="0"/>
        <w:jc w:val="left"/>
      </w:pPr>
      <w:r>
        <w:rPr>
          <w:spacing w:val="2"/>
          <w:w w:val="99"/>
        </w:rPr>
        <w:t>务</w:t>
      </w:r>
      <w:r>
        <w:rPr>
          <w:w w:val="99"/>
        </w:rPr>
        <w:t>状</w:t>
      </w:r>
      <w:r>
        <w:rPr>
          <w:spacing w:val="2"/>
          <w:w w:val="99"/>
        </w:rPr>
        <w:t>况</w:t>
      </w:r>
      <w:r>
        <w:rPr>
          <w:w w:val="99"/>
        </w:rPr>
        <w:t>运</w:t>
      </w:r>
      <w:r>
        <w:rPr>
          <w:spacing w:val="2"/>
          <w:w w:val="99"/>
        </w:rPr>
        <w:t>行</w:t>
      </w:r>
      <w:r>
        <w:rPr>
          <w:w w:val="99"/>
        </w:rPr>
        <w:t>良</w:t>
      </w:r>
      <w:r>
        <w:rPr>
          <w:spacing w:val="2"/>
          <w:w w:val="99"/>
        </w:rPr>
        <w:t>好</w:t>
      </w:r>
      <w:r>
        <w:rPr>
          <w:w w:val="99"/>
        </w:rPr>
        <w:t>，</w:t>
      </w:r>
      <w:r>
        <w:rPr>
          <w:spacing w:val="2"/>
          <w:w w:val="99"/>
        </w:rPr>
        <w:t>编</w:t>
      </w:r>
      <w:r>
        <w:rPr>
          <w:w w:val="99"/>
        </w:rPr>
        <w:t>制</w:t>
      </w:r>
      <w:r>
        <w:rPr>
          <w:spacing w:val="2"/>
          <w:w w:val="99"/>
        </w:rPr>
        <w:t>和</w:t>
      </w:r>
      <w:r>
        <w:rPr>
          <w:w w:val="99"/>
        </w:rPr>
        <w:t>审</w:t>
      </w:r>
      <w:r>
        <w:rPr>
          <w:spacing w:val="2"/>
          <w:w w:val="99"/>
        </w:rPr>
        <w:t>核</w:t>
      </w:r>
      <w:r>
        <w:rPr>
          <w:spacing w:val="12"/>
          <w:w w:val="99"/>
        </w:rPr>
        <w:t>《</w:t>
      </w:r>
      <w:r>
        <w:rPr>
          <w:spacing w:val="1"/>
          <w:w w:val="99"/>
        </w:rPr>
        <w:t>20</w:t>
      </w:r>
      <w:r>
        <w:rPr>
          <w:spacing w:val="-2"/>
          <w:w w:val="99"/>
        </w:rPr>
        <w:t>1</w:t>
      </w:r>
      <w:r>
        <w:rPr>
          <w:w w:val="99"/>
        </w:rPr>
        <w:t>0</w:t>
      </w:r>
      <w:r>
        <w:rPr>
          <w:spacing w:val="-51"/>
        </w:rPr>
        <w:t> </w:t>
      </w:r>
      <w:r>
        <w:rPr>
          <w:spacing w:val="2"/>
          <w:w w:val="99"/>
        </w:rPr>
        <w:t>年</w:t>
      </w:r>
      <w:r>
        <w:rPr>
          <w:w w:val="99"/>
        </w:rPr>
        <w:t>度</w:t>
      </w:r>
      <w:r>
        <w:rPr>
          <w:spacing w:val="2"/>
          <w:w w:val="99"/>
        </w:rPr>
        <w:t>财</w:t>
      </w:r>
      <w:r>
        <w:rPr>
          <w:w w:val="99"/>
        </w:rPr>
        <w:t>务</w:t>
      </w:r>
      <w:r>
        <w:rPr>
          <w:spacing w:val="2"/>
          <w:w w:val="99"/>
        </w:rPr>
        <w:t>决</w:t>
      </w:r>
      <w:r>
        <w:rPr>
          <w:w w:val="99"/>
        </w:rPr>
        <w:t>算</w:t>
      </w:r>
      <w:r>
        <w:rPr>
          <w:spacing w:val="2"/>
          <w:w w:val="99"/>
        </w:rPr>
        <w:t>报</w:t>
      </w:r>
      <w:r>
        <w:rPr>
          <w:spacing w:val="7"/>
          <w:w w:val="99"/>
        </w:rPr>
        <w:t>告</w:t>
      </w:r>
      <w:r>
        <w:rPr>
          <w:spacing w:val="-106"/>
          <w:w w:val="99"/>
        </w:rPr>
        <w:t>》</w:t>
      </w:r>
      <w:r>
        <w:rPr>
          <w:spacing w:val="-101"/>
          <w:w w:val="99"/>
        </w:rPr>
        <w:t>、</w:t>
      </w:r>
      <w:r>
        <w:rPr>
          <w:spacing w:val="2"/>
          <w:w w:val="99"/>
        </w:rPr>
        <w:t>《</w:t>
      </w:r>
      <w:r>
        <w:rPr>
          <w:spacing w:val="1"/>
          <w:w w:val="99"/>
        </w:rPr>
        <w:t>2</w:t>
      </w:r>
      <w:r>
        <w:rPr>
          <w:spacing w:val="-2"/>
          <w:w w:val="99"/>
        </w:rPr>
        <w:t>0</w:t>
      </w:r>
      <w:r>
        <w:rPr>
          <w:spacing w:val="1"/>
          <w:w w:val="99"/>
        </w:rPr>
        <w:t>1</w:t>
      </w:r>
      <w:r>
        <w:rPr>
          <w:w w:val="99"/>
        </w:rPr>
        <w:t>1</w:t>
      </w:r>
      <w:r>
        <w:rPr>
          <w:spacing w:val="-51"/>
        </w:rPr>
        <w:t> </w:t>
      </w:r>
      <w:r>
        <w:rPr>
          <w:spacing w:val="2"/>
          <w:w w:val="99"/>
        </w:rPr>
        <w:t>年</w:t>
      </w:r>
      <w:r>
        <w:rPr>
          <w:w w:val="99"/>
        </w:rPr>
        <w:t>第</w:t>
      </w:r>
      <w:r>
        <w:rPr>
          <w:spacing w:val="2"/>
          <w:w w:val="99"/>
        </w:rPr>
        <w:t>三</w:t>
      </w:r>
      <w:r>
        <w:rPr>
          <w:w w:val="99"/>
        </w:rPr>
        <w:t>季</w:t>
      </w:r>
      <w:r>
        <w:rPr>
          <w:spacing w:val="2"/>
          <w:w w:val="99"/>
        </w:rPr>
        <w:t>度</w:t>
      </w:r>
      <w:r>
        <w:rPr>
          <w:w w:val="99"/>
        </w:rPr>
        <w:t>报</w:t>
      </w:r>
      <w:r>
        <w:rPr>
          <w:spacing w:val="2"/>
          <w:w w:val="99"/>
        </w:rPr>
        <w:t>告</w:t>
      </w:r>
      <w:r>
        <w:rPr>
          <w:w w:val="99"/>
        </w:rPr>
        <w:t>》</w:t>
      </w:r>
      <w:r>
        <w:rPr>
          <w:spacing w:val="2"/>
          <w:w w:val="99"/>
        </w:rPr>
        <w:t>以</w:t>
      </w:r>
      <w:r>
        <w:rPr>
          <w:w w:val="99"/>
        </w:rPr>
        <w:t>及</w:t>
      </w:r>
      <w:r>
        <w:rPr>
          <w:spacing w:val="7"/>
          <w:w w:val="99"/>
        </w:rPr>
        <w:t>《</w:t>
      </w:r>
      <w:r>
        <w:rPr>
          <w:spacing w:val="1"/>
          <w:w w:val="99"/>
        </w:rPr>
        <w:t>201</w:t>
      </w:r>
      <w:r>
        <w:rPr>
          <w:w w:val="99"/>
        </w:rPr>
        <w:t>1</w:t>
      </w:r>
      <w:r>
        <w:rPr>
          <w:spacing w:val="-51"/>
        </w:rPr>
        <w:t> </w:t>
      </w:r>
      <w:r>
        <w:rPr>
          <w:spacing w:val="2"/>
          <w:w w:val="99"/>
        </w:rPr>
        <w:t>年</w:t>
      </w:r>
      <w:r>
        <w:rPr>
          <w:w w:val="99"/>
        </w:rPr>
        <w:t>年</w:t>
      </w:r>
      <w:r>
        <w:rPr>
          <w:spacing w:val="2"/>
          <w:w w:val="99"/>
        </w:rPr>
        <w:t>度</w:t>
      </w:r>
      <w:r>
        <w:rPr>
          <w:w w:val="99"/>
        </w:rPr>
        <w:t>报</w:t>
      </w:r>
      <w:r>
        <w:rPr/>
      </w:r>
    </w:p>
    <w:p>
      <w:pPr>
        <w:pStyle w:val="BodyText"/>
        <w:spacing w:line="340" w:lineRule="auto" w:before="114"/>
        <w:ind w:right="0"/>
        <w:jc w:val="left"/>
      </w:pPr>
      <w:r>
        <w:rPr>
          <w:w w:val="95"/>
        </w:rPr>
        <w:t>告》的程序符合法律、行政法规和中国证监会的规定，报告内容真实、准确、完整地反映了公司的实际情</w:t>
      </w:r>
      <w:r>
        <w:rPr>
          <w:spacing w:val="52"/>
          <w:w w:val="95"/>
        </w:rPr>
        <w:t> </w:t>
      </w:r>
      <w:r>
        <w:rPr>
          <w:spacing w:val="52"/>
          <w:w w:val="95"/>
        </w:rPr>
      </w:r>
      <w:r>
        <w:rPr/>
        <w:t>况，不存在任何虚假记载、误导性陈述或者重大遗漏。</w:t>
      </w:r>
    </w:p>
    <w:p>
      <w:pPr>
        <w:spacing w:line="240" w:lineRule="auto" w:before="12"/>
        <w:rPr>
          <w:rFonts w:ascii="宋体" w:hAnsi="宋体" w:cs="宋体" w:eastAsia="宋体" w:hint="default"/>
          <w:sz w:val="13"/>
          <w:szCs w:val="13"/>
        </w:rPr>
      </w:pPr>
    </w:p>
    <w:p>
      <w:pPr>
        <w:pStyle w:val="BodyText"/>
        <w:spacing w:line="340" w:lineRule="auto"/>
        <w:ind w:right="112" w:firstLine="422"/>
        <w:jc w:val="both"/>
      </w:pPr>
      <w:r>
        <w:rPr>
          <w:w w:val="95"/>
        </w:rPr>
        <w:t>2011</w:t>
      </w:r>
      <w:r>
        <w:rPr>
          <w:spacing w:val="25"/>
          <w:w w:val="95"/>
        </w:rPr>
        <w:t> </w:t>
      </w:r>
      <w:r>
        <w:rPr>
          <w:w w:val="95"/>
        </w:rPr>
        <w:t>年度财务报告的内容及格式均严格按照国家财政法规及中国证监会的相关规定进行编制，财务报</w:t>
      </w:r>
      <w:r>
        <w:rPr>
          <w:w w:val="99"/>
        </w:rPr>
        <w:t> </w:t>
      </w:r>
      <w:r>
        <w:rPr/>
        <w:t>告真实、完整的反映了公司的财务状况和经营成果。</w:t>
      </w:r>
    </w:p>
    <w:p>
      <w:pPr>
        <w:spacing w:line="400" w:lineRule="auto" w:before="11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（三）监事会关于募集资金存放与使用情况的意见</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公司监事会检查了报告期内公司募集资金的存放与使用情况，监事会认为：公司募集资金的管理、使</w:t>
      </w:r>
      <w:r>
        <w:rPr>
          <w:rFonts w:ascii="宋体" w:hAnsi="宋体" w:cs="宋体" w:eastAsia="宋体" w:hint="default"/>
          <w:sz w:val="21"/>
          <w:szCs w:val="21"/>
        </w:rPr>
      </w:r>
    </w:p>
    <w:p>
      <w:pPr>
        <w:spacing w:after="0" w:line="400" w:lineRule="auto"/>
        <w:jc w:val="left"/>
        <w:rPr>
          <w:rFonts w:ascii="宋体" w:hAnsi="宋体" w:cs="宋体" w:eastAsia="宋体" w:hint="default"/>
          <w:sz w:val="21"/>
          <w:szCs w:val="21"/>
        </w:rPr>
        <w:sectPr>
          <w:footerReference w:type="default" r:id="rId25"/>
          <w:pgSz w:w="11910" w:h="16840"/>
          <w:pgMar w:footer="976" w:header="849" w:top="1460" w:bottom="1160" w:left="1020" w:right="1020"/>
          <w:pgNumType w:start="64"/>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bookmarkStart w:name="第九章财务报告" w:id="17"/>
                      <w:bookmarkEnd w:id="17"/>
                      <w:r>
                        <w:rPr/>
                      </w:r>
                      <w:r>
                        <w:rPr>
                          <w:rFonts w:ascii="宋体" w:hAnsi="宋体" w:cs="宋体" w:eastAsia="宋体" w:hint="default"/>
                          <w:spacing w:val="2"/>
                          <w:w w:val="99"/>
                          <w:sz w:val="21"/>
                          <w:szCs w:val="21"/>
                        </w:rPr>
                        <w:t>用</w:t>
                      </w:r>
                      <w:r>
                        <w:rPr>
                          <w:rFonts w:ascii="宋体" w:hAnsi="宋体" w:cs="宋体" w:eastAsia="宋体" w:hint="default"/>
                          <w:w w:val="99"/>
                          <w:sz w:val="21"/>
                          <w:szCs w:val="21"/>
                        </w:rPr>
                        <w:t>及</w:t>
                      </w:r>
                      <w:r>
                        <w:rPr>
                          <w:rFonts w:ascii="宋体" w:hAnsi="宋体" w:cs="宋体" w:eastAsia="宋体" w:hint="default"/>
                          <w:spacing w:val="2"/>
                          <w:w w:val="99"/>
                          <w:sz w:val="21"/>
                          <w:szCs w:val="21"/>
                        </w:rPr>
                        <w:t>运</w:t>
                      </w:r>
                      <w:r>
                        <w:rPr>
                          <w:rFonts w:ascii="宋体" w:hAnsi="宋体" w:cs="宋体" w:eastAsia="宋体" w:hint="default"/>
                          <w:w w:val="99"/>
                          <w:sz w:val="21"/>
                          <w:szCs w:val="21"/>
                        </w:rPr>
                        <w:t>作</w:t>
                      </w:r>
                      <w:r>
                        <w:rPr>
                          <w:rFonts w:ascii="宋体" w:hAnsi="宋体" w:cs="宋体" w:eastAsia="宋体" w:hint="default"/>
                          <w:spacing w:val="2"/>
                          <w:w w:val="99"/>
                          <w:sz w:val="21"/>
                          <w:szCs w:val="21"/>
                        </w:rPr>
                        <w:t>程</w:t>
                      </w:r>
                      <w:r>
                        <w:rPr>
                          <w:rFonts w:ascii="宋体" w:hAnsi="宋体" w:cs="宋体" w:eastAsia="宋体" w:hint="default"/>
                          <w:w w:val="99"/>
                          <w:sz w:val="21"/>
                          <w:szCs w:val="21"/>
                        </w:rPr>
                        <w:t>序</w:t>
                      </w:r>
                      <w:r>
                        <w:rPr>
                          <w:rFonts w:ascii="宋体" w:hAnsi="宋体" w:cs="宋体" w:eastAsia="宋体" w:hint="default"/>
                          <w:spacing w:val="2"/>
                          <w:w w:val="99"/>
                          <w:sz w:val="21"/>
                          <w:szCs w:val="21"/>
                        </w:rPr>
                        <w:t>符</w:t>
                      </w:r>
                      <w:r>
                        <w:rPr>
                          <w:rFonts w:ascii="宋体" w:hAnsi="宋体" w:cs="宋体" w:eastAsia="宋体" w:hint="default"/>
                          <w:w w:val="99"/>
                          <w:sz w:val="21"/>
                          <w:szCs w:val="21"/>
                        </w:rPr>
                        <w:t>合</w:t>
                      </w:r>
                      <w:r>
                        <w:rPr>
                          <w:rFonts w:ascii="宋体" w:hAnsi="宋体" w:cs="宋体" w:eastAsia="宋体" w:hint="default"/>
                          <w:spacing w:val="2"/>
                          <w:w w:val="99"/>
                          <w:sz w:val="21"/>
                          <w:szCs w:val="21"/>
                        </w:rPr>
                        <w:t>《</w:t>
                      </w:r>
                      <w:r>
                        <w:rPr>
                          <w:rFonts w:ascii="宋体" w:hAnsi="宋体" w:cs="宋体" w:eastAsia="宋体" w:hint="default"/>
                          <w:w w:val="99"/>
                          <w:sz w:val="21"/>
                          <w:szCs w:val="21"/>
                        </w:rPr>
                        <w:t>创</w:t>
                      </w:r>
                      <w:r>
                        <w:rPr>
                          <w:rFonts w:ascii="宋体" w:hAnsi="宋体" w:cs="宋体" w:eastAsia="宋体" w:hint="default"/>
                          <w:spacing w:val="2"/>
                          <w:w w:val="99"/>
                          <w:sz w:val="21"/>
                          <w:szCs w:val="21"/>
                        </w:rPr>
                        <w:t>业</w:t>
                      </w:r>
                      <w:r>
                        <w:rPr>
                          <w:rFonts w:ascii="宋体" w:hAnsi="宋体" w:cs="宋体" w:eastAsia="宋体" w:hint="default"/>
                          <w:w w:val="99"/>
                          <w:sz w:val="21"/>
                          <w:szCs w:val="21"/>
                        </w:rPr>
                        <w:t>板</w:t>
                      </w:r>
                      <w:r>
                        <w:rPr>
                          <w:rFonts w:ascii="宋体" w:hAnsi="宋体" w:cs="宋体" w:eastAsia="宋体" w:hint="default"/>
                          <w:spacing w:val="2"/>
                          <w:w w:val="99"/>
                          <w:sz w:val="21"/>
                          <w:szCs w:val="21"/>
                        </w:rPr>
                        <w:t>上</w:t>
                      </w:r>
                      <w:r>
                        <w:rPr>
                          <w:rFonts w:ascii="宋体" w:hAnsi="宋体" w:cs="宋体" w:eastAsia="宋体" w:hint="default"/>
                          <w:w w:val="99"/>
                          <w:sz w:val="21"/>
                          <w:szCs w:val="21"/>
                        </w:rPr>
                        <w:t>市</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规</w:t>
                      </w:r>
                      <w:r>
                        <w:rPr>
                          <w:rFonts w:ascii="宋体" w:hAnsi="宋体" w:cs="宋体" w:eastAsia="宋体" w:hint="default"/>
                          <w:w w:val="99"/>
                          <w:sz w:val="21"/>
                          <w:szCs w:val="21"/>
                        </w:rPr>
                        <w:t>范</w:t>
                      </w:r>
                      <w:r>
                        <w:rPr>
                          <w:rFonts w:ascii="宋体" w:hAnsi="宋体" w:cs="宋体" w:eastAsia="宋体" w:hint="default"/>
                          <w:spacing w:val="2"/>
                          <w:w w:val="99"/>
                          <w:sz w:val="21"/>
                          <w:szCs w:val="21"/>
                        </w:rPr>
                        <w:t>运</w:t>
                      </w:r>
                      <w:r>
                        <w:rPr>
                          <w:rFonts w:ascii="宋体" w:hAnsi="宋体" w:cs="宋体" w:eastAsia="宋体" w:hint="default"/>
                          <w:w w:val="99"/>
                          <w:sz w:val="21"/>
                          <w:szCs w:val="21"/>
                        </w:rPr>
                        <w:t>作</w:t>
                      </w:r>
                      <w:r>
                        <w:rPr>
                          <w:rFonts w:ascii="宋体" w:hAnsi="宋体" w:cs="宋体" w:eastAsia="宋体" w:hint="default"/>
                          <w:spacing w:val="2"/>
                          <w:w w:val="99"/>
                          <w:sz w:val="21"/>
                          <w:szCs w:val="21"/>
                        </w:rPr>
                        <w:t>指引</w:t>
                      </w:r>
                      <w:r>
                        <w:rPr>
                          <w:rFonts w:ascii="宋体" w:hAnsi="宋体" w:cs="宋体" w:eastAsia="宋体" w:hint="default"/>
                          <w:spacing w:val="-106"/>
                          <w:w w:val="99"/>
                          <w:sz w:val="21"/>
                          <w:szCs w:val="21"/>
                        </w:rPr>
                        <w:t>》</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募</w:t>
                      </w:r>
                      <w:r>
                        <w:rPr>
                          <w:rFonts w:ascii="宋体" w:hAnsi="宋体" w:cs="宋体" w:eastAsia="宋体" w:hint="default"/>
                          <w:spacing w:val="2"/>
                          <w:w w:val="99"/>
                          <w:sz w:val="21"/>
                          <w:szCs w:val="21"/>
                        </w:rPr>
                        <w:t>集</w:t>
                      </w:r>
                      <w:r>
                        <w:rPr>
                          <w:rFonts w:ascii="宋体" w:hAnsi="宋体" w:cs="宋体" w:eastAsia="宋体" w:hint="default"/>
                          <w:w w:val="99"/>
                          <w:sz w:val="21"/>
                          <w:szCs w:val="21"/>
                        </w:rPr>
                        <w:t>资</w:t>
                      </w:r>
                      <w:r>
                        <w:rPr>
                          <w:rFonts w:ascii="宋体" w:hAnsi="宋体" w:cs="宋体" w:eastAsia="宋体" w:hint="default"/>
                          <w:spacing w:val="2"/>
                          <w:w w:val="99"/>
                          <w:sz w:val="21"/>
                          <w:szCs w:val="21"/>
                        </w:rPr>
                        <w:t>金</w:t>
                      </w:r>
                      <w:r>
                        <w:rPr>
                          <w:rFonts w:ascii="宋体" w:hAnsi="宋体" w:cs="宋体" w:eastAsia="宋体" w:hint="default"/>
                          <w:w w:val="99"/>
                          <w:sz w:val="21"/>
                          <w:szCs w:val="21"/>
                        </w:rPr>
                        <w:t>管</w:t>
                      </w:r>
                      <w:r>
                        <w:rPr>
                          <w:rFonts w:ascii="宋体" w:hAnsi="宋体" w:cs="宋体" w:eastAsia="宋体" w:hint="default"/>
                          <w:spacing w:val="2"/>
                          <w:w w:val="99"/>
                          <w:sz w:val="21"/>
                          <w:szCs w:val="21"/>
                        </w:rPr>
                        <w:t>理</w:t>
                      </w:r>
                      <w:r>
                        <w:rPr>
                          <w:rFonts w:ascii="宋体" w:hAnsi="宋体" w:cs="宋体" w:eastAsia="宋体" w:hint="default"/>
                          <w:w w:val="99"/>
                          <w:sz w:val="21"/>
                          <w:szCs w:val="21"/>
                        </w:rPr>
                        <w:t>制</w:t>
                      </w:r>
                      <w:r>
                        <w:rPr>
                          <w:rFonts w:ascii="宋体" w:hAnsi="宋体" w:cs="宋体" w:eastAsia="宋体" w:hint="default"/>
                          <w:spacing w:val="2"/>
                          <w:w w:val="99"/>
                          <w:sz w:val="21"/>
                          <w:szCs w:val="21"/>
                        </w:rPr>
                        <w:t>度</w:t>
                      </w:r>
                      <w:r>
                        <w:rPr>
                          <w:rFonts w:ascii="宋体" w:hAnsi="宋体" w:cs="宋体" w:eastAsia="宋体" w:hint="default"/>
                          <w:w w:val="99"/>
                          <w:sz w:val="21"/>
                          <w:szCs w:val="21"/>
                        </w:rPr>
                        <w:t>》</w:t>
                      </w:r>
                      <w:r>
                        <w:rPr>
                          <w:rFonts w:ascii="宋体" w:hAnsi="宋体" w:cs="宋体" w:eastAsia="宋体" w:hint="default"/>
                          <w:spacing w:val="2"/>
                          <w:w w:val="99"/>
                          <w:sz w:val="21"/>
                          <w:szCs w:val="21"/>
                        </w:rPr>
                        <w:t>等</w:t>
                      </w:r>
                      <w:r>
                        <w:rPr>
                          <w:rFonts w:ascii="宋体" w:hAnsi="宋体" w:cs="宋体" w:eastAsia="宋体" w:hint="default"/>
                          <w:w w:val="99"/>
                          <w:sz w:val="21"/>
                          <w:szCs w:val="21"/>
                        </w:rPr>
                        <w:t>有</w:t>
                      </w:r>
                      <w:r>
                        <w:rPr>
                          <w:rFonts w:ascii="宋体" w:hAnsi="宋体" w:cs="宋体" w:eastAsia="宋体" w:hint="default"/>
                          <w:spacing w:val="2"/>
                          <w:w w:val="99"/>
                          <w:sz w:val="21"/>
                          <w:szCs w:val="21"/>
                        </w:rPr>
                        <w:t>关</w:t>
                      </w:r>
                      <w:r>
                        <w:rPr>
                          <w:rFonts w:ascii="宋体" w:hAnsi="宋体" w:cs="宋体" w:eastAsia="宋体" w:hint="default"/>
                          <w:w w:val="99"/>
                          <w:sz w:val="21"/>
                          <w:szCs w:val="21"/>
                        </w:rPr>
                        <w:t>法</w:t>
                      </w:r>
                      <w:r>
                        <w:rPr>
                          <w:rFonts w:ascii="宋体" w:hAnsi="宋体" w:cs="宋体" w:eastAsia="宋体" w:hint="default"/>
                          <w:spacing w:val="2"/>
                          <w:w w:val="99"/>
                          <w:sz w:val="21"/>
                          <w:szCs w:val="21"/>
                        </w:rPr>
                        <w:t>律</w:t>
                      </w:r>
                      <w:r>
                        <w:rPr>
                          <w:rFonts w:ascii="宋体" w:hAnsi="宋体" w:cs="宋体" w:eastAsia="宋体" w:hint="default"/>
                          <w:w w:val="99"/>
                          <w:sz w:val="21"/>
                          <w:szCs w:val="21"/>
                        </w:rPr>
                        <w:t>法</w:t>
                      </w:r>
                      <w:r>
                        <w:rPr>
                          <w:rFonts w:ascii="宋体" w:hAnsi="宋体" w:cs="宋体" w:eastAsia="宋体" w:hint="default"/>
                          <w:spacing w:val="2"/>
                          <w:w w:val="99"/>
                          <w:sz w:val="21"/>
                          <w:szCs w:val="21"/>
                        </w:rPr>
                        <w:t>规</w:t>
                      </w:r>
                      <w:r>
                        <w:rPr>
                          <w:rFonts w:ascii="宋体" w:hAnsi="宋体" w:cs="宋体" w:eastAsia="宋体" w:hint="default"/>
                          <w:w w:val="99"/>
                          <w:sz w:val="21"/>
                          <w:szCs w:val="21"/>
                        </w:rPr>
                        <w:t>及</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规</w:t>
                      </w:r>
                      <w:r>
                        <w:rPr>
                          <w:rFonts w:ascii="宋体" w:hAnsi="宋体" w:cs="宋体" w:eastAsia="宋体" w:hint="default"/>
                          <w:w w:val="99"/>
                          <w:sz w:val="21"/>
                          <w:szCs w:val="21"/>
                        </w:rPr>
                        <w:t>定</w:t>
                      </w:r>
                      <w:r>
                        <w:rPr>
                          <w:rFonts w:ascii="宋体" w:hAnsi="宋体" w:cs="宋体" w:eastAsia="宋体" w:hint="default"/>
                          <w:w w:val="88"/>
                          <w:sz w:val="21"/>
                          <w:szCs w:val="21"/>
                        </w:rPr>
                        <w:t>，</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right="0"/>
        <w:jc w:val="both"/>
      </w:pPr>
      <w:r>
        <w:rPr/>
        <w:t>募集资金的实际使用合法、合规，未发现违反法律、法规及损害股东利益的行为。</w:t>
      </w: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r>
        <w:rPr/>
        <w:t>（四）公司收购、出售资产情况的意见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38" w:lineRule="auto"/>
        <w:ind w:right="123" w:firstLine="422"/>
        <w:jc w:val="left"/>
      </w:pPr>
      <w:r>
        <w:rPr/>
        <w:t>公司监事会通过对公司</w:t>
      </w:r>
      <w:r>
        <w:rPr>
          <w:spacing w:val="-55"/>
        </w:rPr>
        <w:t> </w:t>
      </w:r>
      <w:r>
        <w:rPr/>
        <w:t>2011</w:t>
      </w:r>
      <w:r>
        <w:rPr>
          <w:spacing w:val="-58"/>
        </w:rPr>
        <w:t> </w:t>
      </w:r>
      <w:r>
        <w:rPr>
          <w:spacing w:val="2"/>
        </w:rPr>
        <w:t>年交易情况进行核查，监事会认为：公司无收购、出售重大资产行为，</w:t>
      </w:r>
      <w:r>
        <w:rPr>
          <w:w w:val="99"/>
        </w:rPr>
        <w:t> </w:t>
      </w:r>
      <w:r>
        <w:rPr/>
        <w:t>未发生内幕交易以及其他损害公司股东利益或造成公司资产流失的情况。</w:t>
      </w:r>
    </w:p>
    <w:p>
      <w:pPr>
        <w:spacing w:line="403" w:lineRule="auto" w:before="117"/>
        <w:ind w:left="535" w:right="49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（五）监事会关于公司关联交易情况的独立意见</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报告期内，公司未发生关联交易。</w:t>
      </w:r>
    </w:p>
    <w:p>
      <w:pPr>
        <w:spacing w:line="400" w:lineRule="auto" w:before="62"/>
        <w:ind w:left="535" w:right="364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（六）监事会关于公司对外担保及股权、资产置换情况的意见</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z w:val="21"/>
          <w:szCs w:val="21"/>
        </w:rPr>
        <w:t>报告期内，公司没有对外担保及股权、资产置换的情况。</w:t>
      </w:r>
    </w:p>
    <w:p>
      <w:pPr>
        <w:spacing w:line="400" w:lineRule="auto" w:before="65"/>
        <w:ind w:left="53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（七）公司建立和实施内幕信息知情人管理制度的情况</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公司监事会对报告期内公司建立和实施内幕信息知情人管理制度的情况进行了核查，监事会认为：公</w:t>
      </w:r>
      <w:r>
        <w:rPr>
          <w:rFonts w:ascii="宋体" w:hAnsi="宋体" w:cs="宋体" w:eastAsia="宋体" w:hint="default"/>
          <w:sz w:val="21"/>
          <w:szCs w:val="21"/>
        </w:rPr>
      </w:r>
    </w:p>
    <w:p>
      <w:pPr>
        <w:pStyle w:val="BodyText"/>
        <w:spacing w:line="250" w:lineRule="exact"/>
        <w:ind w:right="0"/>
        <w:jc w:val="both"/>
      </w:pPr>
      <w:r>
        <w:rPr>
          <w:spacing w:val="2"/>
          <w:w w:val="99"/>
        </w:rPr>
        <w:t>司按照中国证监会和深圳证券交易</w:t>
      </w:r>
      <w:r>
        <w:rPr>
          <w:spacing w:val="14"/>
          <w:w w:val="99"/>
        </w:rPr>
        <w:t>所</w:t>
      </w:r>
      <w:r>
        <w:rPr>
          <w:spacing w:val="2"/>
          <w:w w:val="99"/>
        </w:rPr>
        <w:t>相关要求，制</w:t>
      </w:r>
      <w:r>
        <w:rPr>
          <w:spacing w:val="7"/>
          <w:w w:val="99"/>
        </w:rPr>
        <w:t>定</w:t>
      </w:r>
      <w:r>
        <w:rPr>
          <w:spacing w:val="2"/>
          <w:w w:val="99"/>
        </w:rPr>
        <w:t>了《内幕信息知情</w:t>
      </w:r>
      <w:r>
        <w:rPr>
          <w:spacing w:val="7"/>
          <w:w w:val="99"/>
        </w:rPr>
        <w:t>人</w:t>
      </w:r>
      <w:r>
        <w:rPr>
          <w:spacing w:val="2"/>
          <w:w w:val="99"/>
        </w:rPr>
        <w:t>登记管理制</w:t>
      </w:r>
      <w:r>
        <w:rPr>
          <w:spacing w:val="7"/>
          <w:w w:val="99"/>
        </w:rPr>
        <w:t>度</w:t>
      </w:r>
      <w:r>
        <w:rPr>
          <w:spacing w:val="-104"/>
          <w:w w:val="99"/>
        </w:rPr>
        <w:t>》</w:t>
      </w:r>
      <w:r>
        <w:rPr>
          <w:spacing w:val="2"/>
          <w:w w:val="99"/>
        </w:rPr>
        <w:t>，该制度已经</w:t>
      </w:r>
      <w:r>
        <w:rPr>
          <w:w w:val="99"/>
        </w:rPr>
        <w:t>公</w:t>
      </w:r>
      <w:r>
        <w:rPr/>
      </w:r>
    </w:p>
    <w:p>
      <w:pPr>
        <w:pStyle w:val="BodyText"/>
        <w:spacing w:line="340" w:lineRule="auto" w:before="114"/>
        <w:ind w:right="110"/>
        <w:jc w:val="both"/>
      </w:pPr>
      <w:r>
        <w:rPr>
          <w:w w:val="95"/>
        </w:rPr>
        <w:t>司第一届董事会第二十次会议审议通过。报告期内公司严格执行该制度，在公司发布重大事项公告、业绩</w:t>
      </w:r>
      <w:r>
        <w:rPr>
          <w:spacing w:val="54"/>
          <w:w w:val="95"/>
        </w:rPr>
        <w:t> </w:t>
      </w:r>
      <w:r>
        <w:rPr>
          <w:spacing w:val="54"/>
          <w:w w:val="95"/>
        </w:rPr>
      </w:r>
      <w:r>
        <w:rPr>
          <w:w w:val="95"/>
        </w:rPr>
        <w:t>预告和定期报告等情况下均对未披露信息知情人做登记备案。经核查，报告期内公司未发生利用内幕信息</w:t>
      </w:r>
      <w:r>
        <w:rPr>
          <w:spacing w:val="52"/>
          <w:w w:val="95"/>
        </w:rPr>
        <w:t> </w:t>
      </w:r>
      <w:r>
        <w:rPr>
          <w:spacing w:val="52"/>
          <w:w w:val="95"/>
        </w:rPr>
      </w:r>
      <w:r>
        <w:rPr/>
        <w:t>进行违规股票交易的行为。报告期内公司也未发生受到监管部门查处和整改的情形。</w:t>
      </w:r>
    </w:p>
    <w:p>
      <w:pPr>
        <w:pStyle w:val="Heading4"/>
        <w:spacing w:line="240" w:lineRule="auto" w:before="115"/>
        <w:ind w:right="0"/>
        <w:jc w:val="left"/>
        <w:rPr>
          <w:b w:val="0"/>
          <w:bCs w:val="0"/>
        </w:rPr>
      </w:pPr>
      <w:r>
        <w:rPr/>
        <w:t>（八）对于董事会出具的内部控制自我评价报告的意见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535" w:right="0"/>
        <w:jc w:val="left"/>
      </w:pPr>
      <w:r>
        <w:rPr/>
        <w:t>经认真审阅公司编制的 2011</w:t>
      </w:r>
      <w:r>
        <w:rPr>
          <w:spacing w:val="-67"/>
        </w:rPr>
        <w:t> </w:t>
      </w:r>
      <w:r>
        <w:rPr/>
        <w:t>年度内部控制自我评价报告，查阅公司内部控制等相关文件，监事会认</w:t>
      </w:r>
    </w:p>
    <w:p>
      <w:pPr>
        <w:pStyle w:val="BodyText"/>
        <w:spacing w:line="340" w:lineRule="auto" w:before="116"/>
        <w:ind w:right="110"/>
        <w:jc w:val="both"/>
      </w:pPr>
      <w:r>
        <w:rPr/>
        <w:t>为：公司已建立了较为完善的内部控制制度体系并能得到有效的执行，公司</w:t>
      </w:r>
      <w:r>
        <w:rPr>
          <w:spacing w:val="-12"/>
        </w:rPr>
        <w:t> </w:t>
      </w:r>
      <w:r>
        <w:rPr/>
        <w:t>2011</w:t>
      </w:r>
      <w:r>
        <w:rPr>
          <w:spacing w:val="-42"/>
        </w:rPr>
        <w:t> </w:t>
      </w:r>
      <w:r>
        <w:rPr/>
        <w:t>年度内部控制的自我评</w:t>
      </w:r>
      <w:r>
        <w:rPr>
          <w:spacing w:val="-99"/>
        </w:rPr>
        <w:t> </w:t>
      </w:r>
      <w:r>
        <w:rPr>
          <w:spacing w:val="-99"/>
        </w:rPr>
      </w:r>
      <w:r>
        <w:rPr>
          <w:spacing w:val="-4"/>
          <w:w w:val="99"/>
        </w:rPr>
        <w:t>价报告真实、客观地反映了公司内部控制制度的建设及运行情况。监事会将继续严格按照《公司法》、《公</w:t>
      </w:r>
      <w:r>
        <w:rPr>
          <w:spacing w:val="-101"/>
          <w:w w:val="99"/>
        </w:rPr>
        <w:t> </w:t>
      </w:r>
      <w:r>
        <w:rPr>
          <w:spacing w:val="-101"/>
          <w:w w:val="99"/>
        </w:rPr>
      </w:r>
      <w:r>
        <w:rPr/>
        <w:t>司章程》和国家有关法规政策的规定，忠实履行自己的职责，进一步促进公司的规范运作。</w:t>
      </w:r>
    </w:p>
    <w:p>
      <w:pPr>
        <w:spacing w:after="0" w:line="340"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247" w:lineRule="exact"/>
        <w:ind w:left="10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宋体" w:hAnsi="宋体" w:cs="宋体" w:eastAsia="宋体" w:hint="default"/>
          <w:position w:val="-4"/>
          <w:sz w:val="20"/>
          <w:szCs w:val="20"/>
        </w:rPr>
      </w:r>
    </w:p>
    <w:p>
      <w:pPr>
        <w:spacing w:line="240" w:lineRule="auto" w:before="12"/>
        <w:rPr>
          <w:rFonts w:ascii="宋体" w:hAnsi="宋体" w:cs="宋体" w:eastAsia="宋体" w:hint="default"/>
          <w:sz w:val="17"/>
          <w:szCs w:val="17"/>
        </w:rPr>
      </w:pPr>
    </w:p>
    <w:p>
      <w:pPr>
        <w:pStyle w:val="Heading1"/>
        <w:tabs>
          <w:tab w:pos="1305" w:val="left" w:leader="none"/>
        </w:tabs>
        <w:spacing w:line="240" w:lineRule="auto"/>
        <w:ind w:left="19" w:right="0"/>
        <w:jc w:val="center"/>
      </w:pPr>
      <w:bookmarkStart w:name="_bookmark8" w:id="18"/>
      <w:bookmarkEnd w:id="18"/>
      <w:r>
        <w:rPr/>
      </w:r>
      <w:r>
        <w:rPr/>
        <w:t>第九章</w:t>
        <w:tab/>
        <w:t>财务报告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4"/>
        <w:ind w:left="6504" w:right="0"/>
        <w:jc w:val="left"/>
      </w:pPr>
      <w:r>
        <w:rPr/>
        <w:t>（</w:t>
      </w:r>
      <w:r>
        <w:rPr>
          <w:rFonts w:ascii="Times New Roman" w:hAnsi="Times New Roman" w:cs="Times New Roman" w:eastAsia="Times New Roman" w:hint="default"/>
        </w:rPr>
        <w:t>2012</w:t>
      </w:r>
      <w:r>
        <w:rPr/>
        <w:t>）中磊（审</w:t>
      </w:r>
      <w:r>
        <w:rPr>
          <w:spacing w:val="-56"/>
        </w:rPr>
        <w:t> </w:t>
      </w:r>
      <w:r>
        <w:rPr>
          <w:rFonts w:ascii="Times New Roman" w:hAnsi="Times New Roman" w:cs="Times New Roman" w:eastAsia="Times New Roman" w:hint="default"/>
        </w:rPr>
        <w:t>A</w:t>
      </w:r>
      <w:r>
        <w:rPr/>
        <w:t>）字第</w:t>
      </w:r>
      <w:r>
        <w:rPr>
          <w:spacing w:val="-53"/>
        </w:rPr>
        <w:t> </w:t>
      </w:r>
      <w:r>
        <w:rPr>
          <w:rFonts w:ascii="Times New Roman" w:hAnsi="Times New Roman" w:cs="Times New Roman" w:eastAsia="Times New Roman" w:hint="default"/>
        </w:rPr>
        <w:t>0155</w:t>
      </w:r>
      <w:r>
        <w:rPr>
          <w:rFonts w:ascii="Times New Roman" w:hAnsi="Times New Roman" w:cs="Times New Roman" w:eastAsia="Times New Roman" w:hint="default"/>
          <w:spacing w:val="-2"/>
        </w:rPr>
        <w:t> </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413" w:lineRule="exact" w:before="0"/>
        <w:ind w:left="437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审计报告</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2"/>
        <w:rPr>
          <w:rFonts w:ascii="Microsoft JhengHei" w:hAnsi="Microsoft JhengHei" w:cs="Microsoft JhengHei" w:eastAsia="Microsoft JhengHei" w:hint="default"/>
          <w:b/>
          <w:bCs/>
          <w:sz w:val="18"/>
          <w:szCs w:val="18"/>
        </w:rPr>
      </w:pPr>
    </w:p>
    <w:p>
      <w:pPr>
        <w:pStyle w:val="Heading3"/>
        <w:spacing w:line="357" w:lineRule="auto" w:before="0"/>
        <w:ind w:left="595" w:right="0" w:hanging="483"/>
        <w:jc w:val="left"/>
      </w:pPr>
      <w:r>
        <w:rPr/>
        <w:t>上海金仕达卫宁软件股份有限公司全体股东： </w:t>
      </w:r>
      <w:r>
        <w:rPr>
          <w:spacing w:val="-9"/>
          <w:w w:val="98"/>
        </w:rPr>
        <w:t>我们审计了后附的上海金仕达卫宁软件股份有限公司（以下简称“卫宁软件”）财务报表，</w:t>
      </w:r>
      <w:r>
        <w:rPr>
          <w:spacing w:val="-9"/>
        </w:rPr>
      </w:r>
    </w:p>
    <w:p>
      <w:pPr>
        <w:pStyle w:val="Heading3"/>
        <w:spacing w:line="338" w:lineRule="auto" w:before="36"/>
        <w:ind w:right="0"/>
        <w:jc w:val="left"/>
      </w:pPr>
      <w:r>
        <w:rPr/>
        <w:t>包括</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年度的合并及母公司利润表、合</w:t>
      </w:r>
      <w:r>
        <w:rPr>
          <w:spacing w:val="-118"/>
        </w:rPr>
        <w:t> </w:t>
      </w:r>
      <w:r>
        <w:rPr>
          <w:spacing w:val="-118"/>
        </w:rPr>
      </w:r>
      <w:r>
        <w:rPr/>
        <w:t>并及母公司现金流量表、合并及母公司股东权益变动表，以及财务报表附注。</w:t>
      </w:r>
    </w:p>
    <w:p>
      <w:pPr>
        <w:pStyle w:val="Heading2"/>
        <w:spacing w:line="397" w:lineRule="exact"/>
        <w:ind w:right="0"/>
        <w:jc w:val="left"/>
        <w:rPr>
          <w:b w:val="0"/>
          <w:bCs w:val="0"/>
        </w:rPr>
      </w:pPr>
      <w:r>
        <w:rPr/>
        <w:t>一、管理层对财务报表的责任</w:t>
      </w:r>
      <w:r>
        <w:rPr>
          <w:b w:val="0"/>
          <w:bCs w:val="0"/>
        </w:rPr>
      </w:r>
    </w:p>
    <w:p>
      <w:pPr>
        <w:pStyle w:val="Heading3"/>
        <w:spacing w:line="338" w:lineRule="auto" w:before="126"/>
        <w:ind w:right="117" w:firstLine="482"/>
        <w:jc w:val="both"/>
      </w:pPr>
      <w:r>
        <w:rPr/>
        <w:t>编制和公允列报财务报表是卫宁软件管理层的责任。这种责任包括</w:t>
      </w:r>
      <w:r>
        <w:rPr>
          <w:spacing w:val="-91"/>
        </w:rPr>
        <w:t> </w:t>
      </w:r>
      <w:r>
        <w:rPr>
          <w:spacing w:val="-12"/>
        </w:rPr>
        <w:t>：（</w:t>
      </w:r>
      <w:r>
        <w:rPr>
          <w:rFonts w:ascii="Times New Roman" w:hAnsi="Times New Roman" w:cs="Times New Roman" w:eastAsia="Times New Roman" w:hint="default"/>
          <w:spacing w:val="-12"/>
        </w:rPr>
        <w:t>1</w:t>
      </w:r>
      <w:r>
        <w:rPr>
          <w:spacing w:val="-12"/>
        </w:rPr>
        <w:t>）按照企业会计</w:t>
      </w:r>
      <w:r>
        <w:rPr/>
        <w:t> </w:t>
      </w:r>
      <w:r>
        <w:rPr>
          <w:spacing w:val="-3"/>
        </w:rPr>
        <w:t>准则的规定编制财务报表，并使其实现公允反映；（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w:t>
      </w:r>
      <w:r>
        <w:rPr>
          <w:spacing w:val="-94"/>
        </w:rPr>
        <w:t> </w:t>
      </w:r>
      <w:r>
        <w:rPr/>
        <w:t>以使财务报表不存在由于舞弊或错误导致的重大错报。</w:t>
      </w:r>
    </w:p>
    <w:p>
      <w:pPr>
        <w:pStyle w:val="Heading2"/>
        <w:spacing w:line="397" w:lineRule="exact"/>
        <w:ind w:right="0"/>
        <w:jc w:val="left"/>
        <w:rPr>
          <w:b w:val="0"/>
          <w:bCs w:val="0"/>
        </w:rPr>
      </w:pPr>
      <w:r>
        <w:rPr/>
        <w:t>二、注册会计师的责任</w:t>
      </w:r>
      <w:r>
        <w:rPr>
          <w:b w:val="0"/>
          <w:bCs w:val="0"/>
        </w:rPr>
      </w:r>
    </w:p>
    <w:p>
      <w:pPr>
        <w:pStyle w:val="Heading3"/>
        <w:spacing w:line="357" w:lineRule="auto" w:before="126"/>
        <w:ind w:right="148" w:firstLine="482"/>
        <w:jc w:val="both"/>
      </w:pPr>
      <w:r>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Heading3"/>
        <w:spacing w:line="357" w:lineRule="auto" w:before="36"/>
        <w:ind w:right="112" w:firstLine="482"/>
        <w:jc w:val="both"/>
      </w:pPr>
      <w:r>
        <w:rPr/>
        <w:t>审计工作涉及实施审计程序，以获取有关财务报表金额和披露的审计证据。选择的审计 </w:t>
      </w:r>
      <w:r>
        <w:rPr>
          <w:spacing w:val="-2"/>
          <w:w w:val="95"/>
        </w:rPr>
        <w:t>程序取决于注册会计师的判断，包括对由于舞弊或错误导致的财务报表重大错报风险的评估。</w:t>
      </w:r>
      <w:r>
        <w:rPr>
          <w:spacing w:val="30"/>
          <w:w w:val="95"/>
        </w:rPr>
        <w:t> </w:t>
      </w:r>
      <w:r>
        <w:rPr>
          <w:spacing w:val="30"/>
          <w:w w:val="95"/>
        </w:rPr>
      </w:r>
      <w:r>
        <w:rPr/>
        <w:t>在进行风险评估时，注册会计师考虑与财务报表编制和公允列报相关的内部控制，以设计恰</w:t>
      </w:r>
      <w:r>
        <w:rPr/>
        <w:t> 当的审计程序，但目的并非对内部控制的有效性发表意见。审计工作还包括评价管理层选用 会计政策的恰当性和作出会计估计的合理性，以及评价财务报表的总体列报。</w:t>
      </w:r>
    </w:p>
    <w:p>
      <w:pPr>
        <w:pStyle w:val="Heading3"/>
        <w:spacing w:line="307" w:lineRule="auto" w:before="36"/>
        <w:ind w:left="595" w:right="131"/>
        <w:jc w:val="left"/>
      </w:pPr>
      <w:r>
        <w:rPr/>
        <w:t>我们相信，我们获取的审计证据是充分、适当的，为发表审计意见提供了基础。 </w:t>
      </w:r>
      <w:r>
        <w:rPr>
          <w:rFonts w:ascii="Microsoft JhengHei" w:hAnsi="Microsoft JhengHei" w:cs="Microsoft JhengHei" w:eastAsia="Microsoft JhengHei" w:hint="default"/>
          <w:b/>
          <w:bCs/>
        </w:rPr>
        <w:t>三、审计意见 </w:t>
      </w:r>
      <w:r>
        <w:rPr/>
        <w:t>我们认为，卫宁软件财务报表在所有重大方面按照企业会计准则的规定编制，公允反映</w:t>
      </w:r>
    </w:p>
    <w:p>
      <w:pPr>
        <w:pStyle w:val="Heading3"/>
        <w:spacing w:line="338" w:lineRule="auto" w:before="86"/>
        <w:ind w:right="114"/>
        <w:jc w:val="left"/>
      </w:pPr>
      <w:r>
        <w:rPr/>
        <w:t>了卫宁软件</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年度的合并及母公司经营 成果和现金流量。</w:t>
      </w:r>
    </w:p>
    <w:p>
      <w:pPr>
        <w:spacing w:after="0" w:line="338"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6"/>
          <w:pgSz w:w="11910" w:h="16840"/>
          <w:pgMar w:header="849" w:footer="976" w:top="1740" w:bottom="1160" w:left="1020" w:right="1020"/>
        </w:sectPr>
      </w:pPr>
    </w:p>
    <w:p>
      <w:pPr>
        <w:pStyle w:val="Heading3"/>
        <w:spacing w:line="715" w:lineRule="auto"/>
        <w:ind w:left="655" w:right="-20" w:hanging="240"/>
        <w:jc w:val="left"/>
      </w:pPr>
      <w:r>
        <w:rPr/>
        <w:t>中磊会计师事务所 有限责任公司</w:t>
      </w:r>
    </w:p>
    <w:p>
      <w:pPr>
        <w:pStyle w:val="Heading3"/>
        <w:spacing w:line="715" w:lineRule="auto"/>
        <w:ind w:left="415" w:right="2663"/>
        <w:jc w:val="left"/>
      </w:pPr>
      <w:r>
        <w:rPr/>
        <w:br w:type="column"/>
      </w:r>
      <w:r>
        <w:rPr/>
        <w:t>中国注册会计师：吴付涛 中国注册会计师：黄福生</w:t>
      </w:r>
    </w:p>
    <w:p>
      <w:pPr>
        <w:spacing w:after="0" w:line="715" w:lineRule="auto"/>
        <w:jc w:val="left"/>
        <w:sectPr>
          <w:type w:val="continuous"/>
          <w:pgSz w:w="11910" w:h="16840"/>
          <w:pgMar w:top="1580" w:bottom="280" w:left="1020" w:right="1020"/>
          <w:cols w:num="2" w:equalWidth="0">
            <w:col w:w="2336" w:space="1792"/>
            <w:col w:w="5742"/>
          </w:cols>
        </w:sectPr>
      </w:pPr>
    </w:p>
    <w:p>
      <w:pPr>
        <w:spacing w:line="240" w:lineRule="auto" w:before="3"/>
        <w:rPr>
          <w:rFonts w:ascii="宋体" w:hAnsi="宋体" w:cs="宋体" w:eastAsia="宋体" w:hint="default"/>
          <w:sz w:val="9"/>
          <w:szCs w:val="9"/>
        </w:rPr>
      </w:pPr>
    </w:p>
    <w:p>
      <w:pPr>
        <w:pStyle w:val="Heading3"/>
        <w:tabs>
          <w:tab w:pos="4543" w:val="left" w:leader="none"/>
        </w:tabs>
        <w:spacing w:line="240" w:lineRule="auto"/>
        <w:ind w:left="864" w:right="0"/>
        <w:jc w:val="left"/>
      </w:pPr>
      <w:r>
        <w:rPr>
          <w:w w:val="95"/>
        </w:rPr>
        <w:t>中国</w:t>
      </w:r>
      <w:r>
        <w:rPr>
          <w:rFonts w:ascii="Times New Roman" w:hAnsi="Times New Roman" w:cs="Times New Roman" w:eastAsia="Times New Roman" w:hint="default"/>
          <w:w w:val="95"/>
        </w:rPr>
        <w:t>·</w:t>
      </w:r>
      <w:r>
        <w:rPr>
          <w:w w:val="95"/>
        </w:rPr>
        <w:t>北京</w:t>
        <w:tab/>
      </w:r>
      <w:r>
        <w:rPr/>
        <w:t>二〇一二年四月二十三日</w:t>
      </w:r>
    </w:p>
    <w:p>
      <w:pPr>
        <w:spacing w:after="0" w:line="240" w:lineRule="auto"/>
        <w:jc w:val="left"/>
        <w:sectPr>
          <w:type w:val="continuous"/>
          <w:pgSz w:w="11910" w:h="16840"/>
          <w:pgMar w:top="1580" w:bottom="280" w:left="1020" w:right="1020"/>
        </w:sectPr>
      </w:pPr>
    </w:p>
    <w:p>
      <w:pPr>
        <w:spacing w:line="240" w:lineRule="auto" w:before="0"/>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2.65pt;height:15.15pt;mso-position-horizontal-relative:char;mso-position-vertical-relative:line" coordorigin="0,0" coordsize="9653,303">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03" type="#_x0000_t202" filled="false" stroked="false">
                <v:textbox inset="0,0,0,0">
                  <w:txbxContent>
                    <w:p>
                      <w:pPr>
                        <w:spacing w:line="303" w:lineRule="exact" w:before="0"/>
                        <w:ind w:left="0" w:right="1356"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合并资产负债表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7024" w:val="left" w:leader="none"/>
        </w:tabs>
        <w:spacing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3240"/>
        <w:gridCol w:w="1080"/>
        <w:gridCol w:w="1980"/>
        <w:gridCol w:w="1980"/>
      </w:tblGrid>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35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405,928,774.87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74,680,787.82</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1,231,400.00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851,900.00</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61,186,224.44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27,364,345.83</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2,822,637.79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2,634,321.02</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2,372,001.48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21,464,427.34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6,904,544.82</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8,510,406.99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359,428.93</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503,515,872.91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112,795,328.42</w:t>
            </w: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14,414,656.00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3,461,091.20</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6"/>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393,028.45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242,925.75</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60"/>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2,903,151.35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1,297,663.85</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17,710,835.80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5,001,680.80</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521,226,708.71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7"/>
              <w:jc w:val="right"/>
              <w:rPr>
                <w:rFonts w:ascii="Times New Roman" w:hAnsi="Times New Roman" w:cs="Times New Roman" w:eastAsia="Times New Roman" w:hint="default"/>
                <w:sz w:val="18"/>
                <w:szCs w:val="18"/>
              </w:rPr>
            </w:pPr>
            <w:r>
              <w:rPr>
                <w:rFonts w:ascii="Times New Roman"/>
                <w:spacing w:val="-1"/>
                <w:sz w:val="18"/>
              </w:rPr>
              <w:t>117,797,009.22</w:t>
            </w:r>
          </w:p>
        </w:tc>
      </w:tr>
    </w:tbl>
    <w:p>
      <w:pPr>
        <w:tabs>
          <w:tab w:pos="2563" w:val="left" w:leader="none"/>
          <w:tab w:pos="5531" w:val="left" w:leader="none"/>
        </w:tabs>
        <w:spacing w:before="22"/>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jc w:val="left"/>
        <w:rPr>
          <w:rFonts w:ascii="宋体" w:hAnsi="宋体" w:cs="宋体" w:eastAsia="宋体" w:hint="default"/>
          <w:sz w:val="18"/>
          <w:szCs w:val="18"/>
        </w:rPr>
        <w:sectPr>
          <w:headerReference w:type="default" r:id="rId27"/>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2.65pt;height:15.15pt;mso-position-horizontal-relative:char;mso-position-vertical-relative:line" coordorigin="0,0" coordsize="9653,303">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03" type="#_x0000_t202" filled="false" stroked="false">
                <v:textbox inset="0,0,0,0">
                  <w:txbxContent>
                    <w:p>
                      <w:pPr>
                        <w:spacing w:line="303" w:lineRule="exact" w:before="0"/>
                        <w:ind w:left="294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合并资产负债表（续）</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7024" w:val="left" w:leader="none"/>
        </w:tabs>
        <w:spacing w:line="285" w:lineRule="exact"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240"/>
        <w:gridCol w:w="1080"/>
        <w:gridCol w:w="1980"/>
        <w:gridCol w:w="1980"/>
      </w:tblGrid>
      <w:tr>
        <w:trPr>
          <w:trHeight w:val="47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8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负债及所有者权益</w:t>
            </w:r>
            <w:r>
              <w:rPr>
                <w:rFonts w:ascii="Microsoft JhengHei" w:hAnsi="Microsoft JhengHei" w:cs="Microsoft JhengHei" w:eastAsia="Microsoft JhengHei" w:hint="default"/>
                <w:sz w:val="18"/>
                <w:szCs w:val="18"/>
              </w:rPr>
            </w:r>
          </w:p>
          <w:p>
            <w:pPr>
              <w:pStyle w:val="TableParagraph"/>
              <w:spacing w:line="273"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（或股东权益）</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5,322,172.00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789,999.99</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9,869,479.45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2,695,430.68</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14,298,495.54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10,731,915.48</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4,417,239.10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1,711,094.21</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1,876,043.68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3,852,078.30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5,385,579.30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1,346,879.86</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41,169,009.07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21,127,398.52</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1,839,422.00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1,428,221.00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137,500.00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433,334.00</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1,976,922.00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1,861,555.00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43,145,931.07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22,988,953.52</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实收资本（股本）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53,500,000.00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338,392,309.64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12,912,479.56</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10,858,559.35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6,207,466.10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75,329,908.65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35,688,110.04</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归属于母公司所有者权益合计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478,080,777.64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94,808,055.70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478,080,777.64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94,808,055.70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521,226,708.71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117,797,009.22</w:t>
            </w:r>
          </w:p>
        </w:tc>
      </w:tr>
    </w:tbl>
    <w:p>
      <w:pPr>
        <w:tabs>
          <w:tab w:pos="2563" w:val="left" w:leader="none"/>
          <w:tab w:pos="5531" w:val="left" w:leader="none"/>
        </w:tabs>
        <w:spacing w:line="221" w:lineRule="exact" w:before="0"/>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line="221" w:lineRule="exact"/>
        <w:jc w:val="left"/>
        <w:rPr>
          <w:rFonts w:ascii="宋体" w:hAnsi="宋体" w:cs="宋体" w:eastAsia="宋体" w:hint="default"/>
          <w:sz w:val="18"/>
          <w:szCs w:val="18"/>
        </w:rPr>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62"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8.150pt;mso-position-horizontal-relative:char;mso-position-vertical-relative:line" coordorigin="0,0" coordsize="9653,363">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63" type="#_x0000_t202" filled="false" stroked="false">
                <v:textbox inset="0,0,0,0">
                  <w:txbxContent>
                    <w:p>
                      <w:pPr>
                        <w:spacing w:line="363" w:lineRule="exact" w:before="0"/>
                        <w:ind w:left="0" w:right="1175"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合并利润表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6"/>
          <w:sz w:val="20"/>
          <w:szCs w:val="20"/>
        </w:rPr>
      </w:r>
    </w:p>
    <w:p>
      <w:pPr>
        <w:spacing w:line="240" w:lineRule="auto" w:before="6"/>
        <w:rPr>
          <w:rFonts w:ascii="宋体" w:hAnsi="宋体" w:cs="宋体" w:eastAsia="宋体" w:hint="default"/>
          <w:sz w:val="9"/>
          <w:szCs w:val="9"/>
        </w:rPr>
      </w:pPr>
    </w:p>
    <w:p>
      <w:pPr>
        <w:tabs>
          <w:tab w:pos="7207" w:val="left" w:leader="none"/>
        </w:tabs>
        <w:spacing w:line="300" w:lineRule="exact"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4320"/>
        <w:gridCol w:w="1082"/>
        <w:gridCol w:w="1529"/>
        <w:gridCol w:w="1531"/>
      </w:tblGrid>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9"/>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一、营业收入</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169,919,002.90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120,229,590.95</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二、营业总成本</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136,565,220.93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91,546,907.03</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67,890,246.83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50,326,750.07</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3,585,576.91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2,426,909.39</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32,449,057.06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18,490,122.93</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33,096,757.79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20,643,486.27</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-3,913,067.85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-453,383.86</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3,456,650.19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113,022.23</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38,356.16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三、营业利润（亏损以</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33,392,138.13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28,682,683.92</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15,667,002.23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10,301,247.92</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25,434.60</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15,434.60</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四、利润总额（亏损总额以</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49,049,140.36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38,958,497.24</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3"/>
              <w:jc w:val="right"/>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4,756,248.50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3,611,993.78</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五、净利润（净亏损以</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44,292,891.86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44,292,891.86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六、每股收益：</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1"/>
              <w:jc w:val="right"/>
              <w:rPr>
                <w:rFonts w:ascii="Times New Roman" w:hAnsi="Times New Roman" w:cs="Times New Roman" w:eastAsia="Times New Roman" w:hint="default"/>
                <w:sz w:val="18"/>
                <w:szCs w:val="18"/>
              </w:rPr>
            </w:pPr>
            <w:r>
              <w:rPr>
                <w:rFonts w:ascii="宋体" w:hAnsi="宋体" w:cs="宋体" w:eastAsia="宋体" w:hint="default"/>
                <w:sz w:val="18"/>
                <w:szCs w:val="18"/>
              </w:rPr>
              <w:t>十七、</w:t>
            </w:r>
            <w:r>
              <w:rPr>
                <w:rFonts w:ascii="Times New Roman" w:hAnsi="Times New Roman" w:cs="Times New Roman" w:eastAsia="Times New Roman" w:hint="default"/>
                <w:sz w:val="18"/>
                <w:szCs w:val="18"/>
              </w:rPr>
              <w:t>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0.88</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七、其他综合收益</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八、综合收益总额</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44,292,891.86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44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44,292,891.86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44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w:t>
            </w:r>
          </w:p>
        </w:tc>
        <w:tc>
          <w:tcPr>
            <w:tcW w:w="10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bl>
    <w:p>
      <w:pPr>
        <w:tabs>
          <w:tab w:pos="2563" w:val="left" w:leader="none"/>
          <w:tab w:pos="5531" w:val="left" w:leader="none"/>
        </w:tabs>
        <w:spacing w:before="70"/>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jc w:val="left"/>
        <w:rPr>
          <w:rFonts w:ascii="宋体" w:hAnsi="宋体" w:cs="宋体" w:eastAsia="宋体" w:hint="default"/>
          <w:sz w:val="18"/>
          <w:szCs w:val="18"/>
        </w:rPr>
        <w:sectPr>
          <w:footerReference w:type="default" r:id="rId28"/>
          <w:pgSz w:w="11910" w:h="16840"/>
          <w:pgMar w:footer="976" w:header="849" w:top="1460" w:bottom="1160" w:left="1020" w:right="1020"/>
          <w:pgNumType w:start="70"/>
        </w:sectPr>
      </w:pPr>
    </w:p>
    <w:p>
      <w:pPr>
        <w:spacing w:line="240" w:lineRule="auto" w:before="0"/>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2.65pt;height:15.15pt;mso-position-horizontal-relative:char;mso-position-vertical-relative:line" coordorigin="0,0" coordsize="9653,303">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03" type="#_x0000_t202" filled="false" stroked="false">
                <v:textbox inset="0,0,0,0">
                  <w:txbxContent>
                    <w:p>
                      <w:pPr>
                        <w:spacing w:line="303" w:lineRule="exact" w:before="0"/>
                        <w:ind w:left="0" w:right="1169"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合并现金流量表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7211" w:val="left" w:leader="none"/>
        </w:tabs>
        <w:spacing w:line="304" w:lineRule="exact"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11"/>
        <w:rPr>
          <w:rFonts w:ascii="Microsoft JhengHei" w:hAnsi="Microsoft JhengHei" w:cs="Microsoft JhengHei" w:eastAsia="Microsoft JhengHei"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4325"/>
        <w:gridCol w:w="1080"/>
        <w:gridCol w:w="1531"/>
        <w:gridCol w:w="1531"/>
      </w:tblGrid>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9"/>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159,602,896.03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139,847,915.25</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4,987,564.17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9,052,608.62</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30,932,575.85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11,034,743.64</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195,523,036.05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159,935,267.51</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55,559,094.00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41,812,618.39</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45,947,983.73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33,488,143.74</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28,353,348.87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15,495,886.40</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61,063,993.63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31,070,252.36</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190,924,420.23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121,866,900.89</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4,598,615.82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38,068,366.62</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38,356.16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97,000.00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07"/>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10,135,356.16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13,791,439.93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2,509,615.41</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07"/>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23,791,439.93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2,509,615.41</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-13,656,083.77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-2,509,615.41</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347,693,750.00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347,693,750.00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36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7,164,430.00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7,164,430.00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20,100,000.00</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340,529,320.00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-20,100,000.00</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四、汇率变动对现金的影响</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331,471,852.05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15,458,751.21</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期初现金及现金等价物余额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73,786,787.82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58,328,036.61</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405,258,639.87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73,786,787.82</w:t>
            </w:r>
          </w:p>
        </w:tc>
      </w:tr>
    </w:tbl>
    <w:p>
      <w:pPr>
        <w:tabs>
          <w:tab w:pos="2563" w:val="left" w:leader="none"/>
          <w:tab w:pos="5531" w:val="left" w:leader="none"/>
        </w:tabs>
        <w:spacing w:before="10"/>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jc w:val="left"/>
        <w:rPr>
          <w:rFonts w:ascii="宋体" w:hAnsi="宋体" w:cs="宋体" w:eastAsia="宋体" w:hint="default"/>
          <w:sz w:val="18"/>
          <w:szCs w:val="18"/>
        </w:rPr>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02" w:lineRule="exact"/>
        <w:ind w:left="47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98.65pt;height:15.15pt;mso-position-horizontal-relative:char;mso-position-vertical-relative:line" coordorigin="0,0" coordsize="13973,303">
            <v:shape style="position:absolute;left:7;top:0;width:799;height:144" type="#_x0000_t75" stroked="false">
              <v:imagedata r:id="rId31" o:title=""/>
            </v:shape>
            <v:shape style="position:absolute;left:840;top:0;width:430;height:101" type="#_x0000_t75" stroked="false">
              <v:imagedata r:id="rId32" o:title=""/>
            </v:shape>
            <v:group style="position:absolute;left:5;top:154;width:1253;height:94" coordorigin="5,154" coordsize="1253,94">
              <v:shape style="position:absolute;left:5;top:154;width:1253;height:94" coordorigin="5,154" coordsize="1253,94" path="m5,247l90,234,175,222,270,211,375,200,510,189,693,178,1258,154,5,247xe" filled="true" fillcolor="#074278" stroked="false">
                <v:path arrowok="t"/>
                <v:fill type="solid"/>
              </v:shape>
            </v:group>
            <v:group style="position:absolute;left:7;top:19;width:13959;height:2" coordorigin="7,19" coordsize="13959,2">
              <v:shape style="position:absolute;left:7;top:19;width:13959;height:2" coordorigin="7,19" coordsize="13959,0" path="m7,19l13966,19e" filled="false" stroked="true" strokeweight=".72pt" strokecolor="#000000">
                <v:path arrowok="t"/>
              </v:shape>
              <v:shape style="position:absolute;left:0;top:0;width:13973;height:303" type="#_x0000_t202" filled="false" stroked="false">
                <v:textbox inset="0,0,0,0">
                  <w:txbxContent>
                    <w:p>
                      <w:pPr>
                        <w:spacing w:line="303" w:lineRule="exact" w:before="0"/>
                        <w:ind w:left="0" w:right="74"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合并所有者权益（股东权益）变动表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12271" w:val="left" w:leader="none"/>
        </w:tabs>
        <w:spacing w:line="266" w:lineRule="exact" w:before="0"/>
        <w:ind w:left="22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tbl>
      <w:tblPr>
        <w:tblW w:w="0" w:type="auto"/>
        <w:jc w:val="left"/>
        <w:tblInd w:w="115" w:type="dxa"/>
        <w:tblLayout w:type="fixed"/>
        <w:tblCellMar>
          <w:top w:w="0" w:type="dxa"/>
          <w:left w:w="0" w:type="dxa"/>
          <w:bottom w:w="0" w:type="dxa"/>
          <w:right w:w="0" w:type="dxa"/>
        </w:tblCellMar>
        <w:tblLook w:val="01E0"/>
      </w:tblPr>
      <w:tblGrid>
        <w:gridCol w:w="3588"/>
        <w:gridCol w:w="1258"/>
        <w:gridCol w:w="1342"/>
        <w:gridCol w:w="1176"/>
        <w:gridCol w:w="1078"/>
        <w:gridCol w:w="1250"/>
        <w:gridCol w:w="1267"/>
        <w:gridCol w:w="1075"/>
        <w:gridCol w:w="1015"/>
        <w:gridCol w:w="1553"/>
      </w:tblGrid>
      <w:tr>
        <w:trPr>
          <w:trHeight w:val="250" w:hRule="exact"/>
        </w:trPr>
        <w:tc>
          <w:tcPr>
            <w:tcW w:w="3588" w:type="dxa"/>
            <w:vMerge w:val="restart"/>
            <w:tcBorders>
              <w:top w:val="single" w:sz="4" w:space="0" w:color="000000"/>
              <w:left w:val="single" w:sz="4" w:space="0" w:color="000000"/>
              <w:right w:val="single" w:sz="4" w:space="0" w:color="000000"/>
            </w:tcBorders>
          </w:tcPr>
          <w:p>
            <w:pPr>
              <w:pStyle w:val="TableParagraph"/>
              <w:spacing w:line="240" w:lineRule="auto" w:before="155"/>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84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015" w:type="dxa"/>
            <w:vMerge w:val="restart"/>
            <w:tcBorders>
              <w:top w:val="single" w:sz="4" w:space="0" w:color="000000"/>
              <w:left w:val="single" w:sz="4" w:space="0" w:color="000000"/>
              <w:right w:val="single" w:sz="4" w:space="0" w:color="000000"/>
            </w:tcBorders>
          </w:tcPr>
          <w:p>
            <w:pPr>
              <w:pStyle w:val="TableParagraph"/>
              <w:spacing w:line="180" w:lineRule="auto" w:before="104"/>
              <w:ind w:left="324" w:right="13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 权益</w:t>
            </w:r>
            <w:r>
              <w:rPr>
                <w:rFonts w:ascii="Microsoft JhengHei" w:hAnsi="Microsoft JhengHei" w:cs="Microsoft JhengHei" w:eastAsia="Microsoft JhengHei" w:hint="default"/>
                <w:sz w:val="18"/>
                <w:szCs w:val="18"/>
              </w:rPr>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55"/>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r>
      <w:tr>
        <w:trPr>
          <w:trHeight w:val="475" w:hRule="exact"/>
        </w:trPr>
        <w:tc>
          <w:tcPr>
            <w:tcW w:w="3588"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0" w:right="0" w:hanging="3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实收资本</w:t>
            </w:r>
            <w:r>
              <w:rPr>
                <w:rFonts w:ascii="Microsoft JhengHei" w:hAnsi="Microsoft JhengHei" w:cs="Microsoft JhengHei" w:eastAsia="Microsoft JhengHei" w:hint="default"/>
                <w:sz w:val="18"/>
                <w:szCs w:val="18"/>
              </w:rPr>
            </w:r>
          </w:p>
          <w:p>
            <w:pPr>
              <w:pStyle w:val="TableParagraph"/>
              <w:spacing w:line="273" w:lineRule="exact"/>
              <w:ind w:left="3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或股本</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015"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6,207,466.10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 w:right="0"/>
              <w:jc w:val="center"/>
              <w:rPr>
                <w:rFonts w:ascii="Times New Roman" w:hAnsi="Times New Roman" w:cs="Times New Roman" w:eastAsia="Times New Roman" w:hint="default"/>
                <w:sz w:val="18"/>
                <w:szCs w:val="18"/>
              </w:rPr>
            </w:pPr>
            <w:r>
              <w:rPr>
                <w:rFonts w:ascii="Times New Roman"/>
                <w:sz w:val="18"/>
              </w:rPr>
              <w:t>35,688,110.04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94,808,055.70</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6,207,466.10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 w:right="0"/>
              <w:jc w:val="center"/>
              <w:rPr>
                <w:rFonts w:ascii="Times New Roman" w:hAnsi="Times New Roman" w:cs="Times New Roman" w:eastAsia="Times New Roman" w:hint="default"/>
                <w:sz w:val="18"/>
                <w:szCs w:val="18"/>
              </w:rPr>
            </w:pPr>
            <w:r>
              <w:rPr>
                <w:rFonts w:ascii="Times New Roman"/>
                <w:sz w:val="18"/>
              </w:rPr>
              <w:t>35,688,110.04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94,808,055.70</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三、本年增减变动金额（减少以</w:t>
            </w:r>
            <w:r>
              <w:rPr>
                <w:rFonts w:ascii="Times New Roman" w:hAnsi="Times New Roman" w:cs="Times New Roman" w:eastAsia="Times New Roman" w:hint="default"/>
                <w:b/>
                <w:bCs/>
                <w:spacing w:val="-1"/>
                <w:sz w:val="18"/>
                <w:szCs w:val="18"/>
              </w:rPr>
              <w:t>“-”</w:t>
            </w:r>
            <w:r>
              <w:rPr>
                <w:rFonts w:ascii="Microsoft JhengHei" w:hAnsi="Microsoft JhengHei" w:cs="Microsoft JhengHei" w:eastAsia="Microsoft JhengHei" w:hint="default"/>
                <w:b/>
                <w:bCs/>
                <w:spacing w:val="-1"/>
                <w:sz w:val="18"/>
                <w:szCs w:val="18"/>
              </w:rPr>
              <w:t>号填列）</w:t>
            </w:r>
            <w:r>
              <w:rPr>
                <w:rFonts w:ascii="Microsoft JhengHei" w:hAnsi="Microsoft JhengHei" w:cs="Microsoft JhengHei" w:eastAsia="Microsoft JhengHei" w:hint="default"/>
                <w:spacing w:val="-1"/>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325,479,830.08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4,651,093.25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39,641,798.61</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383,272,721.94</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44,292,891.86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44,292,891.86</w:t>
            </w: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44,292,891.86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44,292,891.86</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325,479,830.08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338,979,830.08</w:t>
            </w: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、所有者本期投入资本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325,479,830.08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338,979,830.08</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（四）专项储备提取和使用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、使用专项储备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（五）本年利润分配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4,651,093.25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9" w:right="0"/>
              <w:jc w:val="center"/>
              <w:rPr>
                <w:rFonts w:ascii="Times New Roman" w:hAnsi="Times New Roman" w:cs="Times New Roman" w:eastAsia="Times New Roman" w:hint="default"/>
                <w:sz w:val="18"/>
                <w:szCs w:val="18"/>
              </w:rPr>
            </w:pPr>
            <w:r>
              <w:rPr>
                <w:rFonts w:ascii="Times New Roman"/>
                <w:sz w:val="18"/>
              </w:rPr>
              <w:t>-4,651,093.25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4,651,093.25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9" w:right="0"/>
              <w:jc w:val="center"/>
              <w:rPr>
                <w:rFonts w:ascii="Times New Roman" w:hAnsi="Times New Roman" w:cs="Times New Roman" w:eastAsia="Times New Roman" w:hint="default"/>
                <w:sz w:val="18"/>
                <w:szCs w:val="18"/>
              </w:rPr>
            </w:pPr>
            <w:r>
              <w:rPr>
                <w:rFonts w:ascii="Times New Roman"/>
                <w:sz w:val="18"/>
              </w:rPr>
              <w:t>-4,651,093.25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（六）所有者权益内部结转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338,392,309.64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10,858,559.35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75,329,908.65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478,080,777.64</w:t>
            </w:r>
          </w:p>
        </w:tc>
      </w:tr>
    </w:tbl>
    <w:p>
      <w:pPr>
        <w:tabs>
          <w:tab w:pos="5255" w:val="left" w:leader="none"/>
          <w:tab w:pos="10082" w:val="left" w:leader="none"/>
        </w:tabs>
        <w:spacing w:line="217" w:lineRule="exact" w:before="0"/>
        <w:ind w:left="227" w:right="0" w:firstLine="0"/>
        <w:jc w:val="left"/>
        <w:rPr>
          <w:rFonts w:ascii="宋体" w:hAnsi="宋体" w:cs="宋体" w:eastAsia="宋体" w:hint="default"/>
          <w:sz w:val="18"/>
          <w:szCs w:val="18"/>
        </w:rPr>
      </w:pPr>
      <w:r>
        <w:rPr>
          <w:rFonts w:ascii="宋体" w:hAnsi="宋体" w:cs="宋体" w:eastAsia="宋体" w:hint="default"/>
          <w:sz w:val="18"/>
          <w:szCs w:val="18"/>
        </w:rPr>
        <w:t>单位负责人：周炜</w:t>
        <w:tab/>
        <w:t>主管会计工作负责人：靳茂</w:t>
        <w:tab/>
        <w:t>会计机构负责人：奚冰</w:t>
      </w:r>
    </w:p>
    <w:p>
      <w:pPr>
        <w:spacing w:after="0" w:line="217" w:lineRule="exact"/>
        <w:jc w:val="left"/>
        <w:rPr>
          <w:rFonts w:ascii="宋体" w:hAnsi="宋体" w:cs="宋体" w:eastAsia="宋体" w:hint="default"/>
          <w:sz w:val="18"/>
          <w:szCs w:val="18"/>
        </w:rPr>
        <w:sectPr>
          <w:headerReference w:type="default" r:id="rId29"/>
          <w:footerReference w:type="default" r:id="rId30"/>
          <w:pgSz w:w="16840" w:h="11910" w:orient="landscape"/>
          <w:pgMar w:header="849" w:footer="976" w:top="1460" w:bottom="1160" w:left="960" w:right="1040"/>
          <w:pgNumType w:start="72"/>
        </w:sectPr>
      </w:pPr>
    </w:p>
    <w:p>
      <w:pPr>
        <w:spacing w:line="240" w:lineRule="auto" w:before="0"/>
        <w:rPr>
          <w:rFonts w:ascii="宋体" w:hAnsi="宋体" w:cs="宋体" w:eastAsia="宋体" w:hint="default"/>
          <w:sz w:val="2"/>
          <w:szCs w:val="2"/>
        </w:rPr>
      </w:pPr>
    </w:p>
    <w:p>
      <w:pPr>
        <w:spacing w:line="302" w:lineRule="exact"/>
        <w:ind w:left="47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98.65pt;height:15.15pt;mso-position-horizontal-relative:char;mso-position-vertical-relative:line" coordorigin="0,0" coordsize="13973,303">
            <v:shape style="position:absolute;left:7;top:0;width:799;height:144" type="#_x0000_t75" stroked="false">
              <v:imagedata r:id="rId31" o:title=""/>
            </v:shape>
            <v:shape style="position:absolute;left:840;top:0;width:430;height:101" type="#_x0000_t75" stroked="false">
              <v:imagedata r:id="rId32" o:title=""/>
            </v:shape>
            <v:group style="position:absolute;left:5;top:154;width:1253;height:94" coordorigin="5,154" coordsize="1253,94">
              <v:shape style="position:absolute;left:5;top:154;width:1253;height:94" coordorigin="5,154" coordsize="1253,94" path="m5,247l90,234,175,222,270,211,375,200,510,189,693,178,1258,154,5,247xe" filled="true" fillcolor="#074278" stroked="false">
                <v:path arrowok="t"/>
                <v:fill type="solid"/>
              </v:shape>
            </v:group>
            <v:group style="position:absolute;left:7;top:19;width:13959;height:2" coordorigin="7,19" coordsize="13959,2">
              <v:shape style="position:absolute;left:7;top:19;width:13959;height:2" coordorigin="7,19" coordsize="13959,0" path="m7,19l13966,19e" filled="false" stroked="true" strokeweight=".72pt" strokecolor="#000000">
                <v:path arrowok="t"/>
              </v:shape>
              <v:shape style="position:absolute;left:0;top:0;width:13973;height:303" type="#_x0000_t202" filled="false" stroked="false">
                <v:textbox inset="0,0,0,0">
                  <w:txbxContent>
                    <w:p>
                      <w:pPr>
                        <w:spacing w:line="303" w:lineRule="exact" w:before="0"/>
                        <w:ind w:left="0" w:right="31"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合并所有者权益（股东权益）变动表（续）</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12314" w:val="left" w:leader="none"/>
        </w:tabs>
        <w:spacing w:line="266" w:lineRule="exact" w:before="0"/>
        <w:ind w:left="22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tbl>
      <w:tblPr>
        <w:tblW w:w="0" w:type="auto"/>
        <w:jc w:val="left"/>
        <w:tblInd w:w="115" w:type="dxa"/>
        <w:tblLayout w:type="fixed"/>
        <w:tblCellMar>
          <w:top w:w="0" w:type="dxa"/>
          <w:left w:w="0" w:type="dxa"/>
          <w:bottom w:w="0" w:type="dxa"/>
          <w:right w:w="0" w:type="dxa"/>
        </w:tblCellMar>
        <w:tblLook w:val="01E0"/>
      </w:tblPr>
      <w:tblGrid>
        <w:gridCol w:w="3588"/>
        <w:gridCol w:w="1258"/>
        <w:gridCol w:w="1342"/>
        <w:gridCol w:w="1176"/>
        <w:gridCol w:w="1078"/>
        <w:gridCol w:w="1250"/>
        <w:gridCol w:w="1310"/>
        <w:gridCol w:w="1078"/>
        <w:gridCol w:w="1015"/>
        <w:gridCol w:w="1553"/>
      </w:tblGrid>
      <w:tr>
        <w:trPr>
          <w:trHeight w:val="250" w:hRule="exact"/>
        </w:trPr>
        <w:tc>
          <w:tcPr>
            <w:tcW w:w="3588" w:type="dxa"/>
            <w:vMerge w:val="restart"/>
            <w:tcBorders>
              <w:top w:val="single" w:sz="4" w:space="0" w:color="000000"/>
              <w:left w:val="single" w:sz="4" w:space="0" w:color="000000"/>
              <w:right w:val="single" w:sz="4" w:space="0" w:color="000000"/>
            </w:tcBorders>
          </w:tcPr>
          <w:p>
            <w:pPr>
              <w:pStyle w:val="TableParagraph"/>
              <w:spacing w:line="240" w:lineRule="auto" w:before="155"/>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84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015" w:type="dxa"/>
            <w:vMerge w:val="restart"/>
            <w:tcBorders>
              <w:top w:val="single" w:sz="4" w:space="0" w:color="000000"/>
              <w:left w:val="single" w:sz="4" w:space="0" w:color="000000"/>
              <w:right w:val="single" w:sz="4" w:space="0" w:color="000000"/>
            </w:tcBorders>
          </w:tcPr>
          <w:p>
            <w:pPr>
              <w:pStyle w:val="TableParagraph"/>
              <w:spacing w:line="180" w:lineRule="auto" w:before="104"/>
              <w:ind w:left="324" w:right="13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 权益</w:t>
            </w:r>
            <w:r>
              <w:rPr>
                <w:rFonts w:ascii="Microsoft JhengHei" w:hAnsi="Microsoft JhengHei" w:cs="Microsoft JhengHei" w:eastAsia="Microsoft JhengHei" w:hint="default"/>
                <w:sz w:val="18"/>
                <w:szCs w:val="18"/>
              </w:rPr>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55"/>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r>
      <w:tr>
        <w:trPr>
          <w:trHeight w:val="475" w:hRule="exact"/>
        </w:trPr>
        <w:tc>
          <w:tcPr>
            <w:tcW w:w="3588"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0" w:right="0" w:hanging="3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实收资本</w:t>
            </w:r>
            <w:r>
              <w:rPr>
                <w:rFonts w:ascii="Microsoft JhengHei" w:hAnsi="Microsoft JhengHei" w:cs="Microsoft JhengHei" w:eastAsia="Microsoft JhengHei" w:hint="default"/>
                <w:sz w:val="18"/>
                <w:szCs w:val="18"/>
              </w:rPr>
            </w:r>
          </w:p>
          <w:p>
            <w:pPr>
              <w:pStyle w:val="TableParagraph"/>
              <w:spacing w:line="273" w:lineRule="exact"/>
              <w:ind w:left="3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或股本</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015"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94" w:right="0"/>
              <w:jc w:val="left"/>
              <w:rPr>
                <w:rFonts w:ascii="Times New Roman" w:hAnsi="Times New Roman" w:cs="Times New Roman" w:eastAsia="Times New Roman" w:hint="default"/>
                <w:sz w:val="18"/>
                <w:szCs w:val="18"/>
              </w:rPr>
            </w:pPr>
            <w:r>
              <w:rPr>
                <w:rFonts w:ascii="Times New Roman"/>
                <w:sz w:val="18"/>
              </w:rPr>
              <w:t>2,608,950.68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1" w:right="0"/>
              <w:jc w:val="center"/>
              <w:rPr>
                <w:rFonts w:ascii="Times New Roman" w:hAnsi="Times New Roman" w:cs="Times New Roman" w:eastAsia="Times New Roman" w:hint="default"/>
                <w:sz w:val="18"/>
                <w:szCs w:val="18"/>
              </w:rPr>
            </w:pPr>
            <w:r>
              <w:rPr>
                <w:rFonts w:ascii="Times New Roman"/>
                <w:sz w:val="18"/>
              </w:rPr>
              <w:t>23,940,122.00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79,461,552.24</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94" w:right="0"/>
              <w:jc w:val="left"/>
              <w:rPr>
                <w:rFonts w:ascii="Times New Roman" w:hAnsi="Times New Roman" w:cs="Times New Roman" w:eastAsia="Times New Roman" w:hint="default"/>
                <w:sz w:val="18"/>
                <w:szCs w:val="18"/>
              </w:rPr>
            </w:pPr>
            <w:r>
              <w:rPr>
                <w:rFonts w:ascii="Times New Roman"/>
                <w:sz w:val="18"/>
              </w:rPr>
              <w:t>2,608,950.68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1" w:right="0"/>
              <w:jc w:val="center"/>
              <w:rPr>
                <w:rFonts w:ascii="Times New Roman" w:hAnsi="Times New Roman" w:cs="Times New Roman" w:eastAsia="Times New Roman" w:hint="default"/>
                <w:sz w:val="18"/>
                <w:szCs w:val="18"/>
              </w:rPr>
            </w:pPr>
            <w:r>
              <w:rPr>
                <w:rFonts w:ascii="Times New Roman"/>
                <w:sz w:val="18"/>
              </w:rPr>
              <w:t>23,940,122.00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79,461,552.24</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三、本年增减变动金额（减少以</w:t>
            </w:r>
            <w:r>
              <w:rPr>
                <w:rFonts w:ascii="Times New Roman" w:hAnsi="Times New Roman" w:cs="Times New Roman" w:eastAsia="Times New Roman" w:hint="default"/>
                <w:b/>
                <w:bCs/>
                <w:spacing w:val="-1"/>
                <w:sz w:val="18"/>
                <w:szCs w:val="18"/>
              </w:rPr>
              <w:t>“-”</w:t>
            </w:r>
            <w:r>
              <w:rPr>
                <w:rFonts w:ascii="Microsoft JhengHei" w:hAnsi="Microsoft JhengHei" w:cs="Microsoft JhengHei" w:eastAsia="Microsoft JhengHei" w:hint="default"/>
                <w:b/>
                <w:bCs/>
                <w:spacing w:val="-1"/>
                <w:sz w:val="18"/>
                <w:szCs w:val="18"/>
              </w:rPr>
              <w:t>号填列）</w:t>
            </w:r>
            <w:r>
              <w:rPr>
                <w:rFonts w:ascii="Microsoft JhengHei" w:hAnsi="Microsoft JhengHei" w:cs="Microsoft JhengHei" w:eastAsia="Microsoft JhengHei" w:hint="default"/>
                <w:spacing w:val="-1"/>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94" w:right="0"/>
              <w:jc w:val="left"/>
              <w:rPr>
                <w:rFonts w:ascii="Times New Roman" w:hAnsi="Times New Roman" w:cs="Times New Roman" w:eastAsia="Times New Roman" w:hint="default"/>
                <w:sz w:val="18"/>
                <w:szCs w:val="18"/>
              </w:rPr>
            </w:pPr>
            <w:r>
              <w:rPr>
                <w:rFonts w:ascii="Times New Roman"/>
                <w:sz w:val="18"/>
              </w:rPr>
              <w:t>3,598,515.42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1" w:right="0"/>
              <w:jc w:val="center"/>
              <w:rPr>
                <w:rFonts w:ascii="Times New Roman" w:hAnsi="Times New Roman" w:cs="Times New Roman" w:eastAsia="Times New Roman" w:hint="default"/>
                <w:sz w:val="18"/>
                <w:szCs w:val="18"/>
              </w:rPr>
            </w:pPr>
            <w:r>
              <w:rPr>
                <w:rFonts w:ascii="Times New Roman"/>
                <w:sz w:val="18"/>
              </w:rPr>
              <w:t>11,747,988.04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15,346,503.46</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1" w:right="0"/>
              <w:jc w:val="center"/>
              <w:rPr>
                <w:rFonts w:ascii="Times New Roman" w:hAnsi="Times New Roman" w:cs="Times New Roman" w:eastAsia="Times New Roman" w:hint="default"/>
                <w:sz w:val="18"/>
                <w:szCs w:val="18"/>
              </w:rPr>
            </w:pPr>
            <w:r>
              <w:rPr>
                <w:rFonts w:ascii="Times New Roman"/>
                <w:sz w:val="18"/>
              </w:rPr>
              <w:t>35,346,503.46</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1" w:right="0"/>
              <w:jc w:val="center"/>
              <w:rPr>
                <w:rFonts w:ascii="Times New Roman" w:hAnsi="Times New Roman" w:cs="Times New Roman" w:eastAsia="Times New Roman" w:hint="default"/>
                <w:sz w:val="18"/>
                <w:szCs w:val="18"/>
              </w:rPr>
            </w:pPr>
            <w:r>
              <w:rPr>
                <w:rFonts w:ascii="Times New Roman"/>
                <w:sz w:val="18"/>
              </w:rPr>
              <w:t>35,346,503.46</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、所有者本期投入资本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（四）专项储备提取和使用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、使用专项储备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（五）本年利润分配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94" w:right="0"/>
              <w:jc w:val="left"/>
              <w:rPr>
                <w:rFonts w:ascii="Times New Roman" w:hAnsi="Times New Roman" w:cs="Times New Roman" w:eastAsia="Times New Roman" w:hint="default"/>
                <w:sz w:val="18"/>
                <w:szCs w:val="18"/>
              </w:rPr>
            </w:pPr>
            <w:r>
              <w:rPr>
                <w:rFonts w:ascii="Times New Roman"/>
                <w:sz w:val="18"/>
              </w:rPr>
              <w:t>3,598,515.42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 w:right="0"/>
              <w:jc w:val="center"/>
              <w:rPr>
                <w:rFonts w:ascii="Times New Roman" w:hAnsi="Times New Roman" w:cs="Times New Roman" w:eastAsia="Times New Roman" w:hint="default"/>
                <w:sz w:val="18"/>
                <w:szCs w:val="18"/>
              </w:rPr>
            </w:pPr>
            <w:r>
              <w:rPr>
                <w:rFonts w:ascii="Times New Roman"/>
                <w:sz w:val="18"/>
              </w:rPr>
              <w:t>-23,598,515.42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94" w:right="0"/>
              <w:jc w:val="left"/>
              <w:rPr>
                <w:rFonts w:ascii="Times New Roman" w:hAnsi="Times New Roman" w:cs="Times New Roman" w:eastAsia="Times New Roman" w:hint="default"/>
                <w:sz w:val="18"/>
                <w:szCs w:val="18"/>
              </w:rPr>
            </w:pPr>
            <w:r>
              <w:rPr>
                <w:rFonts w:ascii="Times New Roman"/>
                <w:sz w:val="18"/>
              </w:rPr>
              <w:t>3,598,515.42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4" w:right="0"/>
              <w:jc w:val="center"/>
              <w:rPr>
                <w:rFonts w:ascii="Times New Roman" w:hAnsi="Times New Roman" w:cs="Times New Roman" w:eastAsia="Times New Roman" w:hint="default"/>
                <w:sz w:val="18"/>
                <w:szCs w:val="18"/>
              </w:rPr>
            </w:pPr>
            <w:r>
              <w:rPr>
                <w:rFonts w:ascii="Times New Roman"/>
                <w:sz w:val="18"/>
              </w:rPr>
              <w:t>-3,598,515.42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 w:right="0"/>
              <w:jc w:val="center"/>
              <w:rPr>
                <w:rFonts w:ascii="Times New Roman" w:hAnsi="Times New Roman" w:cs="Times New Roman" w:eastAsia="Times New Roman" w:hint="default"/>
                <w:sz w:val="18"/>
                <w:szCs w:val="18"/>
              </w:rPr>
            </w:pPr>
            <w:r>
              <w:rPr>
                <w:rFonts w:ascii="Times New Roman"/>
                <w:sz w:val="18"/>
              </w:rPr>
              <w:t>-20,000,000.00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（六）所有者权益内部结转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94" w:right="0"/>
              <w:jc w:val="left"/>
              <w:rPr>
                <w:rFonts w:ascii="Times New Roman" w:hAnsi="Times New Roman" w:cs="Times New Roman" w:eastAsia="Times New Roman" w:hint="default"/>
                <w:sz w:val="18"/>
                <w:szCs w:val="18"/>
              </w:rPr>
            </w:pPr>
            <w:r>
              <w:rPr>
                <w:rFonts w:ascii="Times New Roman"/>
                <w:sz w:val="18"/>
              </w:rPr>
              <w:t>6,207,466.10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1" w:right="0"/>
              <w:jc w:val="center"/>
              <w:rPr>
                <w:rFonts w:ascii="Times New Roman" w:hAnsi="Times New Roman" w:cs="Times New Roman" w:eastAsia="Times New Roman" w:hint="default"/>
                <w:sz w:val="18"/>
                <w:szCs w:val="18"/>
              </w:rPr>
            </w:pPr>
            <w:r>
              <w:rPr>
                <w:rFonts w:ascii="Times New Roman"/>
                <w:sz w:val="18"/>
              </w:rPr>
              <w:t>35,688,110.04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94,808,055.70</w:t>
            </w:r>
          </w:p>
        </w:tc>
      </w:tr>
    </w:tbl>
    <w:p>
      <w:pPr>
        <w:tabs>
          <w:tab w:pos="5255" w:val="left" w:leader="none"/>
          <w:tab w:pos="10106" w:val="left" w:leader="none"/>
        </w:tabs>
        <w:spacing w:line="217" w:lineRule="exact" w:before="0"/>
        <w:ind w:left="227" w:right="0" w:firstLine="0"/>
        <w:jc w:val="left"/>
        <w:rPr>
          <w:rFonts w:ascii="宋体" w:hAnsi="宋体" w:cs="宋体" w:eastAsia="宋体" w:hint="default"/>
          <w:sz w:val="18"/>
          <w:szCs w:val="18"/>
        </w:rPr>
      </w:pPr>
      <w:r>
        <w:rPr>
          <w:rFonts w:ascii="宋体" w:hAnsi="宋体" w:cs="宋体" w:eastAsia="宋体" w:hint="default"/>
          <w:sz w:val="18"/>
          <w:szCs w:val="18"/>
        </w:rPr>
        <w:t>单位负责人：周炜</w:t>
        <w:tab/>
        <w:t>主管会计工作负责人：靳茂</w:t>
        <w:tab/>
        <w:t>会计机构负责人：奚冰</w:t>
      </w:r>
    </w:p>
    <w:p>
      <w:pPr>
        <w:spacing w:after="0" w:line="217" w:lineRule="exact"/>
        <w:jc w:val="left"/>
        <w:rPr>
          <w:rFonts w:ascii="宋体" w:hAnsi="宋体" w:cs="宋体" w:eastAsia="宋体" w:hint="default"/>
          <w:sz w:val="18"/>
          <w:szCs w:val="18"/>
        </w:rPr>
        <w:sectPr>
          <w:pgSz w:w="16840" w:h="11910" w:orient="landscape"/>
          <w:pgMar w:header="849" w:footer="976" w:top="1460" w:bottom="1160" w:left="960" w:right="1000"/>
        </w:sectPr>
      </w:pPr>
    </w:p>
    <w:p>
      <w:pPr>
        <w:spacing w:line="240" w:lineRule="auto" w:before="0"/>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2.65pt;height:15.15pt;mso-position-horizontal-relative:char;mso-position-vertical-relative:line" coordorigin="0,0" coordsize="9653,303">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03" type="#_x0000_t202" filled="false" stroked="false">
                <v:textbox inset="0,0,0,0">
                  <w:txbxContent>
                    <w:p>
                      <w:pPr>
                        <w:spacing w:line="303" w:lineRule="exact" w:before="0"/>
                        <w:ind w:left="0" w:right="1356"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资产负债表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7024" w:val="left" w:leader="none"/>
        </w:tabs>
        <w:spacing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3240"/>
        <w:gridCol w:w="1080"/>
        <w:gridCol w:w="1980"/>
        <w:gridCol w:w="1980"/>
      </w:tblGrid>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402,293,649.36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65,666,448.15</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1,231,400.00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851,900.00</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56,702,074.99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26,937,037.88</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2,774,963.79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2,626,262.02</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2,372,001.48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20,490,590.03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6,444,223.07</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8,509,386.89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358,408.83</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494,374,066.54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102,884,279.95</w:t>
            </w: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11,000,000.00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13,758,926.45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2,760,460.49</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393,028.45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242,925.75</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1,629,482.89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882,588.31</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26,781,437.79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14,885,974.55</w:t>
            </w: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521,155,504.33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117,770,254.50</w:t>
            </w:r>
          </w:p>
        </w:tc>
      </w:tr>
    </w:tbl>
    <w:p>
      <w:pPr>
        <w:tabs>
          <w:tab w:pos="2563" w:val="left" w:leader="none"/>
          <w:tab w:pos="5531" w:val="left" w:leader="none"/>
        </w:tabs>
        <w:spacing w:before="22"/>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jc w:val="left"/>
        <w:rPr>
          <w:rFonts w:ascii="宋体" w:hAnsi="宋体" w:cs="宋体" w:eastAsia="宋体" w:hint="default"/>
          <w:sz w:val="18"/>
          <w:szCs w:val="18"/>
        </w:rPr>
        <w:sectPr>
          <w:headerReference w:type="default" r:id="rId33"/>
          <w:footerReference w:type="default" r:id="rId34"/>
          <w:pgSz w:w="11910" w:h="16840"/>
          <w:pgMar w:header="849" w:footer="976" w:top="1460" w:bottom="1160" w:left="1020" w:right="1020"/>
          <w:pgNumType w:start="74"/>
        </w:sectPr>
      </w:pPr>
    </w:p>
    <w:p>
      <w:pPr>
        <w:spacing w:line="240" w:lineRule="auto" w:before="0"/>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2.65pt;height:15.15pt;mso-position-horizontal-relative:char;mso-position-vertical-relative:line" coordorigin="0,0" coordsize="9653,303">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03" type="#_x0000_t202" filled="false" stroked="false">
                <v:textbox inset="0,0,0,0">
                  <w:txbxContent>
                    <w:p>
                      <w:pPr>
                        <w:spacing w:line="303" w:lineRule="exact" w:before="0"/>
                        <w:ind w:left="318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资产负债表（续）</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7024" w:val="left" w:leader="none"/>
        </w:tabs>
        <w:spacing w:line="285" w:lineRule="exact"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240"/>
        <w:gridCol w:w="1080"/>
        <w:gridCol w:w="1980"/>
        <w:gridCol w:w="1980"/>
      </w:tblGrid>
      <w:tr>
        <w:trPr>
          <w:trHeight w:val="47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8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负债及所有者权益</w:t>
            </w:r>
            <w:r>
              <w:rPr>
                <w:rFonts w:ascii="Microsoft JhengHei" w:hAnsi="Microsoft JhengHei" w:cs="Microsoft JhengHei" w:eastAsia="Microsoft JhengHei" w:hint="default"/>
                <w:sz w:val="18"/>
                <w:szCs w:val="18"/>
              </w:rPr>
            </w:r>
          </w:p>
          <w:p>
            <w:pPr>
              <w:pStyle w:val="TableParagraph"/>
              <w:spacing w:line="273"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（或股东权益）</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5,322,172.00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789,999.99</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9,730,539.63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2,699,789.68</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12,906,588.54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7,969,267.48</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3,063,377.00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1,320,334.28</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1,809,351.70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3,872,664.31</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5,935,024.35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4,269,503.21</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38,767,053.22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20,921,558.95</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1,773,048.00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1,428,221.00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137,500.00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433,334.00</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1,910,548.00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1,861,555.00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40,677,601.22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22,783,113.95</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实收资本（股本）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53,500,000.00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338,392,309.64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12,912,479.56</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10,858,559.35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6,207,466.10</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77,727,034.12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35,867,194.89</w:t>
            </w: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归属于母公司所有者权益合计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480,477,903.11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94,987,140.55</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480,477,903.11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94,987,140.55</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521,155,504.33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117,770,254.50</w:t>
            </w:r>
          </w:p>
        </w:tc>
      </w:tr>
    </w:tbl>
    <w:p>
      <w:pPr>
        <w:tabs>
          <w:tab w:pos="2563" w:val="left" w:leader="none"/>
          <w:tab w:pos="5531" w:val="left" w:leader="none"/>
        </w:tabs>
        <w:spacing w:line="221" w:lineRule="exact" w:before="0"/>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line="221" w:lineRule="exact"/>
        <w:jc w:val="left"/>
        <w:rPr>
          <w:rFonts w:ascii="宋体" w:hAnsi="宋体" w:cs="宋体" w:eastAsia="宋体" w:hint="default"/>
          <w:sz w:val="18"/>
          <w:szCs w:val="18"/>
        </w:rPr>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93"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2.65pt;height:19.7pt;mso-position-horizontal-relative:char;mso-position-vertical-relative:line" coordorigin="0,0" coordsize="9653,394">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3876;top:154;width:720;height:240" type="#_x0000_t202" filled="false" stroked="false">
                <v:textbox inset="0,0,0,0">
                  <w:txbxContent>
                    <w:p>
                      <w:pPr>
                        <w:spacing w:line="240" w:lineRule="exact" w:before="0"/>
                        <w:ind w:left="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利润表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3"/>
          <w:szCs w:val="13"/>
        </w:rPr>
      </w:pPr>
    </w:p>
    <w:p>
      <w:pPr>
        <w:tabs>
          <w:tab w:pos="7202" w:val="left" w:leader="none"/>
        </w:tabs>
        <w:spacing w:line="300" w:lineRule="exact"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15"/>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18"/>
        <w:gridCol w:w="1080"/>
        <w:gridCol w:w="1529"/>
        <w:gridCol w:w="1531"/>
      </w:tblGrid>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一、营业收入</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153,927,360.04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113,965,288.45</w:t>
            </w: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二、营业总成本</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116,962,366.28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84,408,591.33</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59,604,103.53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47,874,209.03</w:t>
            </w: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3,063,182.30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2,077,191.67</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26,672,907.77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15,982,690.91</w:t>
            </w: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28,322,306.29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18,836,209.47</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-3,887,395.03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-444,050.24</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3,187,261.42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82,340.49</w:t>
            </w: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38,356.16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三、营业利润（亏损以</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37,003,349.92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29,556,697.12</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14,740,849.20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10,259,257.92</w:t>
            </w: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25,434.60</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15,434.60</w:t>
            </w: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四、利润总额（亏损总额以</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51,734,199.12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39,790,520.44</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5,223,266.64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3,805,366.26</w:t>
            </w: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五、净利润（净亏损以</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46,510,932.48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35,985,154.18</w:t>
            </w: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六、每股收益：</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七、其他综合收益</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八、综合收益总额</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46,510,932.48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35,985,154.18</w:t>
            </w:r>
          </w:p>
        </w:tc>
      </w:tr>
    </w:tbl>
    <w:p>
      <w:pPr>
        <w:tabs>
          <w:tab w:pos="2563" w:val="left" w:leader="none"/>
          <w:tab w:pos="5531" w:val="left" w:leader="none"/>
        </w:tabs>
        <w:spacing w:before="101"/>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jc w:val="left"/>
        <w:rPr>
          <w:rFonts w:ascii="宋体" w:hAnsi="宋体" w:cs="宋体" w:eastAsia="宋体" w:hint="default"/>
          <w:sz w:val="18"/>
          <w:szCs w:val="18"/>
        </w:rPr>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82.65pt;height:15.15pt;mso-position-horizontal-relative:char;mso-position-vertical-relative:line" coordorigin="0,0" coordsize="9653,303">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03" type="#_x0000_t202" filled="false" stroked="false">
                <v:textbox inset="0,0,0,0">
                  <w:txbxContent>
                    <w:p>
                      <w:pPr>
                        <w:spacing w:line="303" w:lineRule="exact" w:before="0"/>
                        <w:ind w:left="0" w:right="1169"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现金流量表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7211" w:val="left" w:leader="none"/>
        </w:tabs>
        <w:spacing w:line="304" w:lineRule="exact" w:before="0"/>
        <w:ind w:left="2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p>
      <w:pPr>
        <w:spacing w:line="240" w:lineRule="auto" w:before="11"/>
        <w:rPr>
          <w:rFonts w:ascii="Microsoft JhengHei" w:hAnsi="Microsoft JhengHei" w:cs="Microsoft JhengHei" w:eastAsia="Microsoft JhengHei"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4325"/>
        <w:gridCol w:w="1080"/>
        <w:gridCol w:w="1531"/>
        <w:gridCol w:w="1531"/>
      </w:tblGrid>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9"/>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147,735,844.03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132,835,474.75</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4,178,111.14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9,052,608.62</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30,563,795.30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13,494,922.87</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182,477,750.47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155,383,006.24</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51,212,258.82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41,068,636.72</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38,028,418.14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30,944,017.87</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26,405,454.36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15,152,640.57</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56,942,150.19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27,153,542.80</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172,588,281.51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114,318,837.96</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9,889,468.96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41,064,168.28</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38,356.16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97,000.00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07"/>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10,135,356.16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13,703,078.91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1,767,813.41</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07"/>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23,703,078.91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11,767,813.41</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-13,567,722.75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-11,767,813.41</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347,693,750.00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347,693,750.00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7,164,430.00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7,164,430.00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20,100,000.00</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340,529,320.00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-20,100,000.00</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四、汇率变动对现金的影响</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336,851,066.21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9,196,354.87</w:t>
            </w:r>
          </w:p>
        </w:tc>
      </w:tr>
      <w:tr>
        <w:trPr>
          <w:trHeight w:val="32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期初现金及现金等价物余额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64,772,448.15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55,576,093.28</w:t>
            </w:r>
          </w:p>
        </w:tc>
      </w:tr>
      <w:tr>
        <w:trPr>
          <w:trHeight w:val="322"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401,623,514.36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64,772,448.15</w:t>
            </w:r>
          </w:p>
        </w:tc>
      </w:tr>
    </w:tbl>
    <w:p>
      <w:pPr>
        <w:tabs>
          <w:tab w:pos="2563" w:val="left" w:leader="none"/>
          <w:tab w:pos="5531" w:val="left" w:leader="none"/>
        </w:tabs>
        <w:spacing w:before="10"/>
        <w:ind w:left="223" w:right="0" w:firstLine="0"/>
        <w:jc w:val="left"/>
        <w:rPr>
          <w:rFonts w:ascii="宋体" w:hAnsi="宋体" w:cs="宋体" w:eastAsia="宋体" w:hint="default"/>
          <w:sz w:val="18"/>
          <w:szCs w:val="18"/>
        </w:rPr>
      </w:pPr>
      <w:r>
        <w:rPr>
          <w:rFonts w:ascii="宋体" w:hAnsi="宋体" w:cs="宋体" w:eastAsia="宋体" w:hint="default"/>
          <w:spacing w:val="-1"/>
          <w:sz w:val="18"/>
          <w:szCs w:val="18"/>
        </w:rPr>
        <w:t>单位负责人：周炜</w:t>
        <w:tab/>
      </w:r>
      <w:r>
        <w:rPr>
          <w:rFonts w:ascii="宋体" w:hAnsi="宋体" w:cs="宋体" w:eastAsia="宋体" w:hint="default"/>
          <w:sz w:val="18"/>
          <w:szCs w:val="18"/>
        </w:rPr>
        <w:t>主管会计工作负责人：靳茂</w:t>
        <w:tab/>
        <w:t>会计机构负责人：奚冰</w:t>
      </w:r>
    </w:p>
    <w:p>
      <w:pPr>
        <w:spacing w:after="0"/>
        <w:jc w:val="left"/>
        <w:rPr>
          <w:rFonts w:ascii="宋体" w:hAnsi="宋体" w:cs="宋体" w:eastAsia="宋体" w:hint="default"/>
          <w:sz w:val="18"/>
          <w:szCs w:val="18"/>
        </w:rPr>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02" w:lineRule="exact"/>
        <w:ind w:left="47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98.65pt;height:15.15pt;mso-position-horizontal-relative:char;mso-position-vertical-relative:line" coordorigin="0,0" coordsize="13973,303">
            <v:shape style="position:absolute;left:7;top:0;width:799;height:144" type="#_x0000_t75" stroked="false">
              <v:imagedata r:id="rId31" o:title=""/>
            </v:shape>
            <v:shape style="position:absolute;left:840;top:0;width:430;height:101" type="#_x0000_t75" stroked="false">
              <v:imagedata r:id="rId32" o:title=""/>
            </v:shape>
            <v:group style="position:absolute;left:5;top:154;width:1253;height:94" coordorigin="5,154" coordsize="1253,94">
              <v:shape style="position:absolute;left:5;top:154;width:1253;height:94" coordorigin="5,154" coordsize="1253,94" path="m5,247l90,234,175,222,270,211,375,200,510,189,693,178,1258,154,5,247xe" filled="true" fillcolor="#074278" stroked="false">
                <v:path arrowok="t"/>
                <v:fill type="solid"/>
              </v:shape>
            </v:group>
            <v:group style="position:absolute;left:7;top:19;width:13959;height:2" coordorigin="7,19" coordsize="13959,2">
              <v:shape style="position:absolute;left:7;top:19;width:13959;height:2" coordorigin="7,19" coordsize="13959,0" path="m7,19l13966,19e" filled="false" stroked="true" strokeweight=".72pt" strokecolor="#000000">
                <v:path arrowok="t"/>
              </v:shape>
              <v:shape style="position:absolute;left:0;top:0;width:13973;height:303" type="#_x0000_t202" filled="false" stroked="false">
                <v:textbox inset="0,0,0,0">
                  <w:txbxContent>
                    <w:p>
                      <w:pPr>
                        <w:spacing w:line="303" w:lineRule="exact" w:before="0"/>
                        <w:ind w:left="0" w:right="74"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所有者权益（股东权益）变动表</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12271" w:val="left" w:leader="none"/>
        </w:tabs>
        <w:spacing w:line="266" w:lineRule="exact" w:before="0"/>
        <w:ind w:left="22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tbl>
      <w:tblPr>
        <w:tblW w:w="0" w:type="auto"/>
        <w:jc w:val="left"/>
        <w:tblInd w:w="115" w:type="dxa"/>
        <w:tblLayout w:type="fixed"/>
        <w:tblCellMar>
          <w:top w:w="0" w:type="dxa"/>
          <w:left w:w="0" w:type="dxa"/>
          <w:bottom w:w="0" w:type="dxa"/>
          <w:right w:w="0" w:type="dxa"/>
        </w:tblCellMar>
        <w:tblLook w:val="01E0"/>
      </w:tblPr>
      <w:tblGrid>
        <w:gridCol w:w="3588"/>
        <w:gridCol w:w="1258"/>
        <w:gridCol w:w="1342"/>
        <w:gridCol w:w="1176"/>
        <w:gridCol w:w="1078"/>
        <w:gridCol w:w="1250"/>
        <w:gridCol w:w="1267"/>
        <w:gridCol w:w="1075"/>
        <w:gridCol w:w="1015"/>
        <w:gridCol w:w="1553"/>
      </w:tblGrid>
      <w:tr>
        <w:trPr>
          <w:trHeight w:val="250" w:hRule="exact"/>
        </w:trPr>
        <w:tc>
          <w:tcPr>
            <w:tcW w:w="3588" w:type="dxa"/>
            <w:vMerge w:val="restart"/>
            <w:tcBorders>
              <w:top w:val="single" w:sz="4" w:space="0" w:color="000000"/>
              <w:left w:val="single" w:sz="4" w:space="0" w:color="000000"/>
              <w:right w:val="single" w:sz="4" w:space="0" w:color="000000"/>
            </w:tcBorders>
          </w:tcPr>
          <w:p>
            <w:pPr>
              <w:pStyle w:val="TableParagraph"/>
              <w:spacing w:line="240" w:lineRule="auto" w:before="155"/>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84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015" w:type="dxa"/>
            <w:vMerge w:val="restart"/>
            <w:tcBorders>
              <w:top w:val="single" w:sz="4" w:space="0" w:color="000000"/>
              <w:left w:val="single" w:sz="4" w:space="0" w:color="000000"/>
              <w:right w:val="single" w:sz="4" w:space="0" w:color="000000"/>
            </w:tcBorders>
          </w:tcPr>
          <w:p>
            <w:pPr>
              <w:pStyle w:val="TableParagraph"/>
              <w:spacing w:line="180" w:lineRule="auto" w:before="104"/>
              <w:ind w:left="324" w:right="13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 权益</w:t>
            </w:r>
            <w:r>
              <w:rPr>
                <w:rFonts w:ascii="Microsoft JhengHei" w:hAnsi="Microsoft JhengHei" w:cs="Microsoft JhengHei" w:eastAsia="Microsoft JhengHei" w:hint="default"/>
                <w:sz w:val="18"/>
                <w:szCs w:val="18"/>
              </w:rPr>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55"/>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r>
      <w:tr>
        <w:trPr>
          <w:trHeight w:val="475" w:hRule="exact"/>
        </w:trPr>
        <w:tc>
          <w:tcPr>
            <w:tcW w:w="3588"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0" w:right="0" w:hanging="3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实收资本</w:t>
            </w:r>
            <w:r>
              <w:rPr>
                <w:rFonts w:ascii="Microsoft JhengHei" w:hAnsi="Microsoft JhengHei" w:cs="Microsoft JhengHei" w:eastAsia="Microsoft JhengHei" w:hint="default"/>
                <w:sz w:val="18"/>
                <w:szCs w:val="18"/>
              </w:rPr>
            </w:r>
          </w:p>
          <w:p>
            <w:pPr>
              <w:pStyle w:val="TableParagraph"/>
              <w:spacing w:line="273" w:lineRule="exact"/>
              <w:ind w:left="3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或股本</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015"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6,207,466.10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 w:right="0"/>
              <w:jc w:val="center"/>
              <w:rPr>
                <w:rFonts w:ascii="Times New Roman" w:hAnsi="Times New Roman" w:cs="Times New Roman" w:eastAsia="Times New Roman" w:hint="default"/>
                <w:sz w:val="18"/>
                <w:szCs w:val="18"/>
              </w:rPr>
            </w:pPr>
            <w:r>
              <w:rPr>
                <w:rFonts w:ascii="Times New Roman"/>
                <w:sz w:val="18"/>
              </w:rPr>
              <w:t>35,867,194.89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94,987,140.55</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6,207,466.10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 w:right="0"/>
              <w:jc w:val="center"/>
              <w:rPr>
                <w:rFonts w:ascii="Times New Roman" w:hAnsi="Times New Roman" w:cs="Times New Roman" w:eastAsia="Times New Roman" w:hint="default"/>
                <w:sz w:val="18"/>
                <w:szCs w:val="18"/>
              </w:rPr>
            </w:pPr>
            <w:r>
              <w:rPr>
                <w:rFonts w:ascii="Times New Roman"/>
                <w:sz w:val="18"/>
              </w:rPr>
              <w:t>35,867,194.89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94,987,140.55</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三、本年增减变动金额（减少以</w:t>
            </w:r>
            <w:r>
              <w:rPr>
                <w:rFonts w:ascii="Times New Roman" w:hAnsi="Times New Roman" w:cs="Times New Roman" w:eastAsia="Times New Roman" w:hint="default"/>
                <w:b/>
                <w:bCs/>
                <w:spacing w:val="-1"/>
                <w:sz w:val="18"/>
                <w:szCs w:val="18"/>
              </w:rPr>
              <w:t>“-”</w:t>
            </w:r>
            <w:r>
              <w:rPr>
                <w:rFonts w:ascii="Microsoft JhengHei" w:hAnsi="Microsoft JhengHei" w:cs="Microsoft JhengHei" w:eastAsia="Microsoft JhengHei" w:hint="default"/>
                <w:b/>
                <w:bCs/>
                <w:spacing w:val="-1"/>
                <w:sz w:val="18"/>
                <w:szCs w:val="18"/>
              </w:rPr>
              <w:t>号填列）</w:t>
            </w:r>
            <w:r>
              <w:rPr>
                <w:rFonts w:ascii="Microsoft JhengHei" w:hAnsi="Microsoft JhengHei" w:cs="Microsoft JhengHei" w:eastAsia="Microsoft JhengHei" w:hint="default"/>
                <w:spacing w:val="-1"/>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325,479,830.08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4,651,093.25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41,859,839.23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385,490,762.56</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46,510,932.48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46,510,932.48</w:t>
            </w: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46,510,932.48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46,510,932.48</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325,479,830.08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338,979,830.08</w:t>
            </w: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、所有者本期投入资本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325,479,830.08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338,979,830.08</w:t>
            </w: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（四）专项储备提取和使用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、使用专项储备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（五）本年利润分配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4,651,093.25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9" w:right="0"/>
              <w:jc w:val="center"/>
              <w:rPr>
                <w:rFonts w:ascii="Times New Roman" w:hAnsi="Times New Roman" w:cs="Times New Roman" w:eastAsia="Times New Roman" w:hint="default"/>
                <w:sz w:val="18"/>
                <w:szCs w:val="18"/>
              </w:rPr>
            </w:pPr>
            <w:r>
              <w:rPr>
                <w:rFonts w:ascii="Times New Roman"/>
                <w:sz w:val="18"/>
              </w:rPr>
              <w:t>-4,651,093.25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4,651,093.25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9" w:right="0"/>
              <w:jc w:val="center"/>
              <w:rPr>
                <w:rFonts w:ascii="Times New Roman" w:hAnsi="Times New Roman" w:cs="Times New Roman" w:eastAsia="Times New Roman" w:hint="default"/>
                <w:sz w:val="18"/>
                <w:szCs w:val="18"/>
              </w:rPr>
            </w:pPr>
            <w:r>
              <w:rPr>
                <w:rFonts w:ascii="Times New Roman"/>
                <w:sz w:val="18"/>
              </w:rPr>
              <w:t>-4,651,093.25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（六）所有者权益内部结转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53,500,000.00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338,392,309.64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10,858,559.35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 w:right="0"/>
              <w:jc w:val="center"/>
              <w:rPr>
                <w:rFonts w:ascii="Times New Roman" w:hAnsi="Times New Roman" w:cs="Times New Roman" w:eastAsia="Times New Roman" w:hint="default"/>
                <w:sz w:val="18"/>
                <w:szCs w:val="18"/>
              </w:rPr>
            </w:pPr>
            <w:r>
              <w:rPr>
                <w:rFonts w:ascii="Times New Roman"/>
                <w:sz w:val="18"/>
              </w:rPr>
              <w:t>77,727,034.12</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480,477,903.11</w:t>
            </w:r>
          </w:p>
        </w:tc>
      </w:tr>
    </w:tbl>
    <w:p>
      <w:pPr>
        <w:tabs>
          <w:tab w:pos="5255" w:val="left" w:leader="none"/>
          <w:tab w:pos="10082" w:val="left" w:leader="none"/>
        </w:tabs>
        <w:spacing w:line="217" w:lineRule="exact" w:before="0"/>
        <w:ind w:left="227" w:right="0" w:firstLine="0"/>
        <w:jc w:val="left"/>
        <w:rPr>
          <w:rFonts w:ascii="宋体" w:hAnsi="宋体" w:cs="宋体" w:eastAsia="宋体" w:hint="default"/>
          <w:sz w:val="18"/>
          <w:szCs w:val="18"/>
        </w:rPr>
      </w:pPr>
      <w:r>
        <w:rPr>
          <w:rFonts w:ascii="宋体" w:hAnsi="宋体" w:cs="宋体" w:eastAsia="宋体" w:hint="default"/>
          <w:sz w:val="18"/>
          <w:szCs w:val="18"/>
        </w:rPr>
        <w:t>单位负责人：周炜</w:t>
        <w:tab/>
        <w:t>主管会计工作负责人：靳茂</w:t>
        <w:tab/>
        <w:t>会计机构负责人：奚冰</w:t>
      </w:r>
    </w:p>
    <w:p>
      <w:pPr>
        <w:spacing w:after="0" w:line="217" w:lineRule="exact"/>
        <w:jc w:val="left"/>
        <w:rPr>
          <w:rFonts w:ascii="宋体" w:hAnsi="宋体" w:cs="宋体" w:eastAsia="宋体" w:hint="default"/>
          <w:sz w:val="18"/>
          <w:szCs w:val="18"/>
        </w:rPr>
        <w:sectPr>
          <w:headerReference w:type="default" r:id="rId35"/>
          <w:footerReference w:type="default" r:id="rId36"/>
          <w:pgSz w:w="16840" w:h="11910" w:orient="landscape"/>
          <w:pgMar w:header="849" w:footer="976" w:top="1460" w:bottom="1160" w:left="960" w:right="1040"/>
          <w:pgNumType w:start="78"/>
        </w:sectPr>
      </w:pPr>
    </w:p>
    <w:p>
      <w:pPr>
        <w:spacing w:line="240" w:lineRule="auto" w:before="0"/>
        <w:rPr>
          <w:rFonts w:ascii="宋体" w:hAnsi="宋体" w:cs="宋体" w:eastAsia="宋体" w:hint="default"/>
          <w:sz w:val="2"/>
          <w:szCs w:val="2"/>
        </w:rPr>
      </w:pPr>
    </w:p>
    <w:p>
      <w:pPr>
        <w:spacing w:line="302" w:lineRule="exact"/>
        <w:ind w:left="47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98.65pt;height:15.15pt;mso-position-horizontal-relative:char;mso-position-vertical-relative:line" coordorigin="0,0" coordsize="13973,303">
            <v:shape style="position:absolute;left:7;top:0;width:799;height:144" type="#_x0000_t75" stroked="false">
              <v:imagedata r:id="rId31" o:title=""/>
            </v:shape>
            <v:shape style="position:absolute;left:840;top:0;width:430;height:101" type="#_x0000_t75" stroked="false">
              <v:imagedata r:id="rId32" o:title=""/>
            </v:shape>
            <v:group style="position:absolute;left:5;top:154;width:1253;height:94" coordorigin="5,154" coordsize="1253,94">
              <v:shape style="position:absolute;left:5;top:154;width:1253;height:94" coordorigin="5,154" coordsize="1253,94" path="m5,247l90,234,175,222,270,211,375,200,510,189,693,178,1258,154,5,247xe" filled="true" fillcolor="#074278" stroked="false">
                <v:path arrowok="t"/>
                <v:fill type="solid"/>
              </v:shape>
            </v:group>
            <v:group style="position:absolute;left:7;top:19;width:13959;height:2" coordorigin="7,19" coordsize="13959,2">
              <v:shape style="position:absolute;left:7;top:19;width:13959;height:2" coordorigin="7,19" coordsize="13959,0" path="m7,19l13966,19e" filled="false" stroked="true" strokeweight=".72pt" strokecolor="#000000">
                <v:path arrowok="t"/>
              </v:shape>
              <v:shape style="position:absolute;left:0;top:0;width:13973;height:303" type="#_x0000_t202" filled="false" stroked="false">
                <v:textbox inset="0,0,0,0">
                  <w:txbxContent>
                    <w:p>
                      <w:pPr>
                        <w:spacing w:line="303" w:lineRule="exact" w:before="0"/>
                        <w:ind w:left="0" w:right="31"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所有者权益（股东权益）变动表（续）</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5"/>
          <w:sz w:val="20"/>
          <w:szCs w:val="20"/>
        </w:rPr>
      </w:r>
    </w:p>
    <w:p>
      <w:pPr>
        <w:tabs>
          <w:tab w:pos="12314" w:val="left" w:leader="none"/>
        </w:tabs>
        <w:spacing w:line="263" w:lineRule="exact" w:before="0"/>
        <w:ind w:left="22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编制单位：上海金仕达卫宁软件股份有限公司</w:t>
        <w:tab/>
        <w:t>单位：人民币元</w:t>
      </w:r>
      <w:r>
        <w:rPr>
          <w:rFonts w:ascii="Microsoft JhengHei" w:hAnsi="Microsoft JhengHei" w:cs="Microsoft JhengHei" w:eastAsia="Microsoft JhengHei" w:hint="default"/>
          <w:sz w:val="18"/>
          <w:szCs w:val="18"/>
        </w:rPr>
      </w:r>
    </w:p>
    <w:tbl>
      <w:tblPr>
        <w:tblW w:w="0" w:type="auto"/>
        <w:jc w:val="left"/>
        <w:tblInd w:w="115" w:type="dxa"/>
        <w:tblLayout w:type="fixed"/>
        <w:tblCellMar>
          <w:top w:w="0" w:type="dxa"/>
          <w:left w:w="0" w:type="dxa"/>
          <w:bottom w:w="0" w:type="dxa"/>
          <w:right w:w="0" w:type="dxa"/>
        </w:tblCellMar>
        <w:tblLook w:val="01E0"/>
      </w:tblPr>
      <w:tblGrid>
        <w:gridCol w:w="3588"/>
        <w:gridCol w:w="1258"/>
        <w:gridCol w:w="1342"/>
        <w:gridCol w:w="1176"/>
        <w:gridCol w:w="1078"/>
        <w:gridCol w:w="1250"/>
        <w:gridCol w:w="1310"/>
        <w:gridCol w:w="1078"/>
        <w:gridCol w:w="1015"/>
        <w:gridCol w:w="1553"/>
      </w:tblGrid>
      <w:tr>
        <w:trPr>
          <w:trHeight w:val="245" w:hRule="exact"/>
        </w:trPr>
        <w:tc>
          <w:tcPr>
            <w:tcW w:w="3588" w:type="dxa"/>
            <w:vMerge w:val="restart"/>
            <w:tcBorders>
              <w:top w:val="single" w:sz="4" w:space="0" w:color="000000"/>
              <w:left w:val="single" w:sz="4" w:space="0" w:color="000000"/>
              <w:right w:val="single" w:sz="4" w:space="0" w:color="000000"/>
            </w:tcBorders>
          </w:tcPr>
          <w:p>
            <w:pPr>
              <w:pStyle w:val="TableParagraph"/>
              <w:spacing w:line="240" w:lineRule="auto" w:before="15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84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6"/>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1015" w:type="dxa"/>
            <w:vMerge w:val="restart"/>
            <w:tcBorders>
              <w:top w:val="single" w:sz="4" w:space="0" w:color="000000"/>
              <w:left w:val="single" w:sz="4" w:space="0" w:color="000000"/>
              <w:right w:val="single" w:sz="4" w:space="0" w:color="000000"/>
            </w:tcBorders>
          </w:tcPr>
          <w:p>
            <w:pPr>
              <w:pStyle w:val="TableParagraph"/>
              <w:spacing w:line="177" w:lineRule="auto" w:before="107"/>
              <w:ind w:left="324" w:right="13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 权益</w:t>
            </w:r>
            <w:r>
              <w:rPr>
                <w:rFonts w:ascii="Microsoft JhengHei" w:hAnsi="Microsoft JhengHei" w:cs="Microsoft JhengHei" w:eastAsia="Microsoft JhengHei" w:hint="default"/>
                <w:sz w:val="18"/>
                <w:szCs w:val="18"/>
              </w:rPr>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52"/>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r>
      <w:tr>
        <w:trPr>
          <w:trHeight w:val="476" w:hRule="exact"/>
        </w:trPr>
        <w:tc>
          <w:tcPr>
            <w:tcW w:w="3588"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0" w:right="0" w:hanging="3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实收资本</w:t>
            </w:r>
            <w:r>
              <w:rPr>
                <w:rFonts w:ascii="Microsoft JhengHei" w:hAnsi="Microsoft JhengHei" w:cs="Microsoft JhengHei" w:eastAsia="Microsoft JhengHei" w:hint="default"/>
                <w:sz w:val="18"/>
                <w:szCs w:val="18"/>
              </w:rPr>
            </w:r>
          </w:p>
          <w:p>
            <w:pPr>
              <w:pStyle w:val="TableParagraph"/>
              <w:spacing w:line="273" w:lineRule="exact"/>
              <w:ind w:left="3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或股本</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015"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Times New Roman" w:hAnsi="Times New Roman" w:cs="Times New Roman" w:eastAsia="Times New Roman" w:hint="default"/>
                <w:sz w:val="18"/>
                <w:szCs w:val="18"/>
              </w:rPr>
            </w:pPr>
            <w:r>
              <w:rPr>
                <w:rFonts w:ascii="Times New Roman"/>
                <w:sz w:val="18"/>
              </w:rPr>
              <w:t>2,608,950.68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1" w:right="0"/>
              <w:jc w:val="center"/>
              <w:rPr>
                <w:rFonts w:ascii="Times New Roman" w:hAnsi="Times New Roman" w:cs="Times New Roman" w:eastAsia="Times New Roman" w:hint="default"/>
                <w:sz w:val="18"/>
                <w:szCs w:val="18"/>
              </w:rPr>
            </w:pPr>
            <w:r>
              <w:rPr>
                <w:rFonts w:ascii="Times New Roman"/>
                <w:sz w:val="18"/>
              </w:rPr>
              <w:t>23,480,556.13</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79,001,986.37</w:t>
            </w:r>
          </w:p>
        </w:tc>
      </w:tr>
      <w:tr>
        <w:trPr>
          <w:trHeight w:val="242"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Times New Roman" w:hAnsi="Times New Roman" w:cs="Times New Roman" w:eastAsia="Times New Roman" w:hint="default"/>
                <w:sz w:val="18"/>
                <w:szCs w:val="18"/>
              </w:rPr>
            </w:pPr>
            <w:r>
              <w:rPr>
                <w:rFonts w:ascii="Times New Roman"/>
                <w:sz w:val="18"/>
              </w:rPr>
              <w:t>2,608,950.68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1" w:right="0"/>
              <w:jc w:val="center"/>
              <w:rPr>
                <w:rFonts w:ascii="Times New Roman" w:hAnsi="Times New Roman" w:cs="Times New Roman" w:eastAsia="Times New Roman" w:hint="default"/>
                <w:sz w:val="18"/>
                <w:szCs w:val="18"/>
              </w:rPr>
            </w:pPr>
            <w:r>
              <w:rPr>
                <w:rFonts w:ascii="Times New Roman"/>
                <w:sz w:val="18"/>
              </w:rPr>
              <w:t>23,480,556.13</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79,001,986.37</w:t>
            </w: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三、本年增减变动金额（减少以</w:t>
            </w:r>
            <w:r>
              <w:rPr>
                <w:rFonts w:ascii="Times New Roman" w:hAnsi="Times New Roman" w:cs="Times New Roman" w:eastAsia="Times New Roman" w:hint="default"/>
                <w:b/>
                <w:bCs/>
                <w:spacing w:val="-1"/>
                <w:sz w:val="18"/>
                <w:szCs w:val="18"/>
              </w:rPr>
              <w:t>“-”</w:t>
            </w:r>
            <w:r>
              <w:rPr>
                <w:rFonts w:ascii="Microsoft JhengHei" w:hAnsi="Microsoft JhengHei" w:cs="Microsoft JhengHei" w:eastAsia="Microsoft JhengHei" w:hint="default"/>
                <w:b/>
                <w:bCs/>
                <w:spacing w:val="-1"/>
                <w:sz w:val="18"/>
                <w:szCs w:val="18"/>
              </w:rPr>
              <w:t>号填列）</w:t>
            </w:r>
            <w:r>
              <w:rPr>
                <w:rFonts w:ascii="Microsoft JhengHei" w:hAnsi="Microsoft JhengHei" w:cs="Microsoft JhengHei" w:eastAsia="Microsoft JhengHei" w:hint="default"/>
                <w:spacing w:val="-1"/>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94" w:right="0"/>
              <w:jc w:val="left"/>
              <w:rPr>
                <w:rFonts w:ascii="Times New Roman" w:hAnsi="Times New Roman" w:cs="Times New Roman" w:eastAsia="Times New Roman" w:hint="default"/>
                <w:sz w:val="18"/>
                <w:szCs w:val="18"/>
              </w:rPr>
            </w:pPr>
            <w:r>
              <w:rPr>
                <w:rFonts w:ascii="Times New Roman"/>
                <w:sz w:val="18"/>
              </w:rPr>
              <w:t>3,598,515.42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1" w:right="0"/>
              <w:jc w:val="center"/>
              <w:rPr>
                <w:rFonts w:ascii="Times New Roman" w:hAnsi="Times New Roman" w:cs="Times New Roman" w:eastAsia="Times New Roman" w:hint="default"/>
                <w:sz w:val="18"/>
                <w:szCs w:val="18"/>
              </w:rPr>
            </w:pPr>
            <w:r>
              <w:rPr>
                <w:rFonts w:ascii="Times New Roman"/>
                <w:sz w:val="18"/>
              </w:rPr>
              <w:t>12,386,638.76</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15,985,154.18</w:t>
            </w: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1" w:right="0"/>
              <w:jc w:val="center"/>
              <w:rPr>
                <w:rFonts w:ascii="Times New Roman" w:hAnsi="Times New Roman" w:cs="Times New Roman" w:eastAsia="Times New Roman" w:hint="default"/>
                <w:sz w:val="18"/>
                <w:szCs w:val="18"/>
              </w:rPr>
            </w:pPr>
            <w:r>
              <w:rPr>
                <w:rFonts w:ascii="Times New Roman"/>
                <w:sz w:val="18"/>
              </w:rPr>
              <w:t>35,985,154.18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35,985,154.18</w:t>
            </w: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1" w:right="0"/>
              <w:jc w:val="center"/>
              <w:rPr>
                <w:rFonts w:ascii="Times New Roman" w:hAnsi="Times New Roman" w:cs="Times New Roman" w:eastAsia="Times New Roman" w:hint="default"/>
                <w:sz w:val="18"/>
                <w:szCs w:val="18"/>
              </w:rPr>
            </w:pPr>
            <w:r>
              <w:rPr>
                <w:rFonts w:ascii="Times New Roman"/>
                <w:sz w:val="18"/>
              </w:rPr>
              <w:t>35,985,154.18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35,985,154.18</w:t>
            </w: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、所有者本期投入资本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（四）专项储备提取和使用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、使用专项储备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（五）本年利润分配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94" w:right="0"/>
              <w:jc w:val="left"/>
              <w:rPr>
                <w:rFonts w:ascii="Times New Roman" w:hAnsi="Times New Roman" w:cs="Times New Roman" w:eastAsia="Times New Roman" w:hint="default"/>
                <w:sz w:val="18"/>
                <w:szCs w:val="18"/>
              </w:rPr>
            </w:pPr>
            <w:r>
              <w:rPr>
                <w:rFonts w:ascii="Times New Roman"/>
                <w:sz w:val="18"/>
              </w:rPr>
              <w:t>3,598,515.42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 w:right="0"/>
              <w:jc w:val="center"/>
              <w:rPr>
                <w:rFonts w:ascii="Times New Roman" w:hAnsi="Times New Roman" w:cs="Times New Roman" w:eastAsia="Times New Roman" w:hint="default"/>
                <w:sz w:val="18"/>
                <w:szCs w:val="18"/>
              </w:rPr>
            </w:pPr>
            <w:r>
              <w:rPr>
                <w:rFonts w:ascii="Times New Roman"/>
                <w:sz w:val="18"/>
              </w:rPr>
              <w:t>-23,598,515.42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Times New Roman" w:hAnsi="Times New Roman" w:cs="Times New Roman" w:eastAsia="Times New Roman" w:hint="default"/>
                <w:sz w:val="18"/>
                <w:szCs w:val="18"/>
              </w:rPr>
            </w:pPr>
            <w:r>
              <w:rPr>
                <w:rFonts w:ascii="Times New Roman"/>
                <w:sz w:val="18"/>
              </w:rPr>
              <w:t>3,598,515.42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4" w:right="0"/>
              <w:jc w:val="center"/>
              <w:rPr>
                <w:rFonts w:ascii="Times New Roman" w:hAnsi="Times New Roman" w:cs="Times New Roman" w:eastAsia="Times New Roman" w:hint="default"/>
                <w:sz w:val="18"/>
                <w:szCs w:val="18"/>
              </w:rPr>
            </w:pPr>
            <w:r>
              <w:rPr>
                <w:rFonts w:ascii="Times New Roman"/>
                <w:sz w:val="18"/>
              </w:rPr>
              <w:t>-3,598,515.42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 w:right="0"/>
              <w:jc w:val="center"/>
              <w:rPr>
                <w:rFonts w:ascii="Times New Roman" w:hAnsi="Times New Roman" w:cs="Times New Roman" w:eastAsia="Times New Roman" w:hint="default"/>
                <w:sz w:val="18"/>
                <w:szCs w:val="18"/>
              </w:rPr>
            </w:pPr>
            <w:r>
              <w:rPr>
                <w:rFonts w:ascii="Times New Roman"/>
                <w:sz w:val="18"/>
              </w:rPr>
              <w:t>-20,000,000.00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（六）所有者权益内部结转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12,912,479.56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4" w:right="0"/>
              <w:jc w:val="left"/>
              <w:rPr>
                <w:rFonts w:ascii="Times New Roman" w:hAnsi="Times New Roman" w:cs="Times New Roman" w:eastAsia="Times New Roman" w:hint="default"/>
                <w:sz w:val="18"/>
                <w:szCs w:val="18"/>
              </w:rPr>
            </w:pPr>
            <w:r>
              <w:rPr>
                <w:rFonts w:ascii="Times New Roman"/>
                <w:sz w:val="18"/>
              </w:rPr>
              <w:t>6,207,466.10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1" w:right="0"/>
              <w:jc w:val="center"/>
              <w:rPr>
                <w:rFonts w:ascii="Times New Roman" w:hAnsi="Times New Roman" w:cs="Times New Roman" w:eastAsia="Times New Roman" w:hint="default"/>
                <w:sz w:val="18"/>
                <w:szCs w:val="18"/>
              </w:rPr>
            </w:pPr>
            <w:r>
              <w:rPr>
                <w:rFonts w:ascii="Times New Roman"/>
                <w:sz w:val="18"/>
              </w:rPr>
              <w:t>35,867,194.89</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94,987,140.55</w:t>
            </w:r>
          </w:p>
        </w:tc>
      </w:tr>
    </w:tbl>
    <w:p>
      <w:pPr>
        <w:tabs>
          <w:tab w:pos="5255" w:val="left" w:leader="none"/>
          <w:tab w:pos="10106" w:val="left" w:leader="none"/>
        </w:tabs>
        <w:spacing w:line="212" w:lineRule="exact" w:before="0"/>
        <w:ind w:left="227" w:right="0" w:firstLine="0"/>
        <w:jc w:val="left"/>
        <w:rPr>
          <w:rFonts w:ascii="宋体" w:hAnsi="宋体" w:cs="宋体" w:eastAsia="宋体" w:hint="default"/>
          <w:sz w:val="18"/>
          <w:szCs w:val="18"/>
        </w:rPr>
      </w:pPr>
      <w:r>
        <w:rPr>
          <w:rFonts w:ascii="宋体" w:hAnsi="宋体" w:cs="宋体" w:eastAsia="宋体" w:hint="default"/>
          <w:sz w:val="18"/>
          <w:szCs w:val="18"/>
        </w:rPr>
        <w:t>单位负责人：周炜</w:t>
        <w:tab/>
        <w:t>主管会计工作负责人：靳茂</w:t>
        <w:tab/>
        <w:t>会计机构负责人：奚冰</w:t>
      </w:r>
    </w:p>
    <w:p>
      <w:pPr>
        <w:spacing w:after="0" w:line="212" w:lineRule="exact"/>
        <w:jc w:val="left"/>
        <w:rPr>
          <w:rFonts w:ascii="宋体" w:hAnsi="宋体" w:cs="宋体" w:eastAsia="宋体" w:hint="default"/>
          <w:sz w:val="18"/>
          <w:szCs w:val="18"/>
        </w:rPr>
        <w:sectPr>
          <w:pgSz w:w="16840" w:h="11910" w:orient="landscape"/>
          <w:pgMar w:header="849" w:footer="976" w:top="1460" w:bottom="1160" w:left="960" w:right="1000"/>
        </w:sectPr>
      </w:pPr>
    </w:p>
    <w:p>
      <w:pPr>
        <w:spacing w:line="240" w:lineRule="auto" w:before="2"/>
        <w:rPr>
          <w:rFonts w:ascii="宋体" w:hAnsi="宋体" w:cs="宋体" w:eastAsia="宋体" w:hint="default"/>
          <w:sz w:val="8"/>
          <w:szCs w:val="8"/>
        </w:rPr>
      </w:pPr>
    </w:p>
    <w:p>
      <w:pPr>
        <w:spacing w:line="456" w:lineRule="exact" w:before="0"/>
        <w:ind w:left="0" w:right="12" w:firstLine="0"/>
        <w:jc w:val="center"/>
        <w:rPr>
          <w:rFonts w:ascii="Microsoft JhengHei" w:hAnsi="Microsoft JhengHei" w:cs="Microsoft JhengHei" w:eastAsia="Microsoft JhengHei" w:hint="default"/>
          <w:sz w:val="32"/>
          <w:szCs w:val="32"/>
        </w:rPr>
      </w:pPr>
      <w:r>
        <w:rPr/>
        <w:pict>
          <v:group style="position:absolute;margin-left:56.279999pt;margin-top:-4.084377pt;width:482.65pt;height:12.4pt;mso-position-horizontal-relative:page;mso-position-vertical-relative:paragraph;z-index:-631384" coordorigin="1126,-82" coordsize="9653,248">
            <v:shape style="position:absolute;left:1135;top:-82;width:797;height:144" type="#_x0000_t75" stroked="false">
              <v:imagedata r:id="rId8" o:title=""/>
            </v:shape>
            <v:shape style="position:absolute;left:1966;top:-82;width:430;height:101" type="#_x0000_t75" stroked="false">
              <v:imagedata r:id="rId9" o:title=""/>
            </v:shape>
            <v:group style="position:absolute;left:1133;top:72;width:1251;height:94" coordorigin="1133,72" coordsize="1251,94">
              <v:shape style="position:absolute;left:1133;top:72;width:1251;height:94" coordorigin="1133,72" coordsize="1251,94" path="m1133,166l1227,151,1312,139,1407,128,1511,118,1646,107,1819,96,2383,72,1133,166xe" filled="true" fillcolor="#074278" stroked="false">
                <v:path arrowok="t"/>
                <v:fill type="solid"/>
              </v:shape>
            </v:group>
            <v:group style="position:absolute;left:1133;top:-62;width:9639;height:2" coordorigin="1133,-62" coordsize="9639,2">
              <v:shape style="position:absolute;left:1133;top:-62;width:9639;height:2" coordorigin="1133,-62" coordsize="9639,0" path="m1133,-62l10771,-62e" filled="false" stroked="true" strokeweight=".72pt" strokecolor="#000000">
                <v:path arrowok="t"/>
              </v:shape>
            </v:group>
            <w10:wrap type="none"/>
          </v:group>
        </w:pict>
      </w:r>
      <w:r>
        <w:rPr>
          <w:rFonts w:ascii="Microsoft JhengHei" w:hAnsi="Microsoft JhengHei" w:cs="Microsoft JhengHei" w:eastAsia="Microsoft JhengHei" w:hint="default"/>
          <w:b/>
          <w:bCs/>
          <w:sz w:val="32"/>
          <w:szCs w:val="32"/>
        </w:rPr>
        <w:t>上海金仕达卫宁软件股份有限公司</w:t>
      </w:r>
      <w:r>
        <w:rPr>
          <w:rFonts w:ascii="Microsoft JhengHei" w:hAnsi="Microsoft JhengHei" w:cs="Microsoft JhengHei" w:eastAsia="Microsoft JhengHei" w:hint="default"/>
          <w:sz w:val="32"/>
          <w:szCs w:val="32"/>
        </w:rPr>
      </w:r>
    </w:p>
    <w:p>
      <w:pPr>
        <w:spacing w:before="67"/>
        <w:ind w:left="0" w:right="17"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合并财务报表附注</w:t>
      </w:r>
      <w:r>
        <w:rPr>
          <w:rFonts w:ascii="Microsoft JhengHei" w:hAnsi="Microsoft JhengHei" w:cs="Microsoft JhengHei" w:eastAsia="Microsoft JhengHei" w:hint="default"/>
          <w:sz w:val="32"/>
          <w:szCs w:val="32"/>
        </w:rPr>
      </w:r>
    </w:p>
    <w:p>
      <w:pPr>
        <w:spacing w:before="67"/>
        <w:ind w:left="0" w:right="2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w:t>
      </w:r>
      <w:r>
        <w:rPr>
          <w:rFonts w:ascii="Times New Roman" w:hAnsi="Times New Roman" w:cs="Times New Roman" w:eastAsia="Times New Roman" w:hint="default"/>
          <w:b/>
          <w:bCs/>
          <w:sz w:val="32"/>
          <w:szCs w:val="32"/>
        </w:rPr>
        <w:t>2011</w:t>
      </w:r>
      <w:r>
        <w:rPr>
          <w:rFonts w:ascii="Microsoft JhengHei" w:hAnsi="Microsoft JhengHei" w:cs="Microsoft JhengHei" w:eastAsia="Microsoft JhengHei" w:hint="default"/>
          <w:b/>
          <w:bCs/>
          <w:sz w:val="32"/>
          <w:szCs w:val="32"/>
        </w:rPr>
        <w:t>）</w:t>
      </w:r>
      <w:r>
        <w:rPr>
          <w:rFonts w:ascii="Microsoft JhengHei" w:hAnsi="Microsoft JhengHei" w:cs="Microsoft JhengHei" w:eastAsia="Microsoft JhengHei" w:hint="default"/>
          <w:sz w:val="32"/>
          <w:szCs w:val="32"/>
        </w:rPr>
      </w:r>
    </w:p>
    <w:p>
      <w:pPr>
        <w:spacing w:line="240" w:lineRule="auto" w:before="6"/>
        <w:rPr>
          <w:rFonts w:ascii="Microsoft JhengHei" w:hAnsi="Microsoft JhengHei" w:cs="Microsoft JhengHei" w:eastAsia="Microsoft JhengHei" w:hint="default"/>
          <w:b/>
          <w:bCs/>
          <w:sz w:val="40"/>
          <w:szCs w:val="40"/>
        </w:rPr>
      </w:pPr>
    </w:p>
    <w:p>
      <w:pPr>
        <w:pStyle w:val="Heading2"/>
        <w:spacing w:line="240" w:lineRule="auto"/>
        <w:ind w:right="0"/>
        <w:jc w:val="left"/>
        <w:rPr>
          <w:b w:val="0"/>
          <w:bCs w:val="0"/>
        </w:rPr>
      </w:pPr>
      <w:r>
        <w:rPr/>
        <w:t>一、企业基本情况</w:t>
      </w:r>
      <w:r>
        <w:rPr>
          <w:b w:val="0"/>
          <w:bCs w:val="0"/>
        </w:rPr>
      </w:r>
    </w:p>
    <w:p>
      <w:pPr>
        <w:pStyle w:val="BodyText"/>
        <w:spacing w:line="331" w:lineRule="auto" w:before="111"/>
        <w:ind w:right="118" w:firstLine="422"/>
        <w:jc w:val="both"/>
        <w:rPr>
          <w:rFonts w:ascii="Times New Roman" w:hAnsi="Times New Roman" w:cs="Times New Roman" w:eastAsia="Times New Roman" w:hint="default"/>
        </w:rPr>
      </w:pPr>
      <w:r>
        <w:rPr>
          <w:w w:val="95"/>
        </w:rPr>
        <w:t>上海金仕达卫宁软件股份有限公司（以下简称“公司”或“本公司”）前身为上海金仕达卫宁软件有</w:t>
      </w:r>
      <w:r>
        <w:rPr>
          <w:spacing w:val="-94"/>
          <w:w w:val="95"/>
        </w:rPr>
        <w:t> </w:t>
      </w:r>
      <w:r>
        <w:rPr>
          <w:spacing w:val="-94"/>
          <w:w w:val="95"/>
        </w:rPr>
      </w:r>
      <w:r>
        <w:rPr/>
        <w:t>限公司，系由英属维尔京群岛</w:t>
      </w:r>
      <w:r>
        <w:rPr>
          <w:spacing w:val="-55"/>
        </w:rPr>
        <w:t> </w:t>
      </w:r>
      <w:r>
        <w:rPr>
          <w:rFonts w:ascii="Times New Roman" w:hAnsi="Times New Roman" w:cs="Times New Roman" w:eastAsia="Times New Roman" w:hint="default"/>
        </w:rPr>
        <w:t>WINNING</w:t>
      </w:r>
      <w:r>
        <w:rPr>
          <w:rFonts w:ascii="Times New Roman" w:hAnsi="Times New Roman" w:cs="Times New Roman" w:eastAsia="Times New Roman" w:hint="default"/>
          <w:spacing w:val="-10"/>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7"/>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LTD</w:t>
      </w:r>
      <w:r>
        <w:rPr>
          <w:spacing w:val="-3"/>
        </w:rPr>
        <w:t>（</w:t>
      </w:r>
      <w:r>
        <w:rPr>
          <w:rFonts w:ascii="Times New Roman" w:hAnsi="Times New Roman" w:cs="Times New Roman" w:eastAsia="Times New Roman" w:hint="default"/>
          <w:spacing w:val="-3"/>
        </w:rPr>
        <w:t>90%</w:t>
      </w:r>
      <w:r>
        <w:rPr>
          <w:spacing w:val="-3"/>
        </w:rPr>
        <w:t>）和上海金仕达卫</w:t>
      </w:r>
      <w:r>
        <w:rPr>
          <w:w w:val="99"/>
        </w:rPr>
        <w:t> </w:t>
      </w:r>
      <w:r>
        <w:rPr/>
        <w:t>宁医疗信息技术有限公司（</w:t>
      </w:r>
      <w:r>
        <w:rPr>
          <w:rFonts w:ascii="Times New Roman" w:hAnsi="Times New Roman" w:cs="Times New Roman" w:eastAsia="Times New Roman" w:hint="default"/>
        </w:rPr>
        <w:t>10%</w:t>
      </w:r>
      <w:r>
        <w:rPr/>
        <w:t>）合资设立的中外合资企业。经浦府项字</w:t>
      </w:r>
      <w:r>
        <w:rPr>
          <w:rFonts w:ascii="Times New Roman" w:hAnsi="Times New Roman" w:cs="Times New Roman" w:eastAsia="Times New Roman" w:hint="default"/>
        </w:rPr>
        <w:t>[2004]</w:t>
      </w:r>
      <w:r>
        <w:rPr/>
        <w:t>第</w:t>
      </w:r>
      <w:r>
        <w:rPr>
          <w:spacing w:val="-54"/>
        </w:rPr>
        <w:t> </w:t>
      </w:r>
      <w:r>
        <w:rPr>
          <w:rFonts w:ascii="Times New Roman" w:hAnsi="Times New Roman" w:cs="Times New Roman" w:eastAsia="Times New Roman" w:hint="default"/>
        </w:rPr>
        <w:t>135</w:t>
      </w:r>
      <w:r>
        <w:rPr>
          <w:rFonts w:ascii="Times New Roman" w:hAnsi="Times New Roman" w:cs="Times New Roman" w:eastAsia="Times New Roman" w:hint="default"/>
          <w:spacing w:val="-5"/>
        </w:rPr>
        <w:t> </w:t>
      </w:r>
      <w:r>
        <w:rPr/>
        <w:t>号文批准，于</w:t>
      </w:r>
      <w:r>
        <w:rPr>
          <w:spacing w:val="-54"/>
        </w:rPr>
        <w:t> </w:t>
      </w:r>
      <w:r>
        <w:rPr>
          <w:rFonts w:ascii="Times New Roman" w:hAnsi="Times New Roman" w:cs="Times New Roman" w:eastAsia="Times New Roman" w:hint="default"/>
        </w:rPr>
        <w:t>2004</w:t>
      </w:r>
    </w:p>
    <w:p>
      <w:pPr>
        <w:pStyle w:val="BodyText"/>
        <w:spacing w:line="240" w:lineRule="auto" w:before="12"/>
        <w:ind w:right="0"/>
        <w:jc w:val="left"/>
      </w:pP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日取得商外资沪浦合资字</w:t>
      </w:r>
      <w:r>
        <w:rPr>
          <w:rFonts w:ascii="Times New Roman" w:hAnsi="Times New Roman" w:cs="Times New Roman" w:eastAsia="Times New Roman" w:hint="default"/>
        </w:rPr>
        <w:t>[2004]0841</w:t>
      </w:r>
      <w:r>
        <w:rPr>
          <w:rFonts w:ascii="Times New Roman" w:hAnsi="Times New Roman" w:cs="Times New Roman" w:eastAsia="Times New Roman" w:hint="default"/>
          <w:spacing w:val="-3"/>
        </w:rPr>
        <w:t> </w:t>
      </w:r>
      <w:r>
        <w:rPr/>
        <w:t>号外商投资企业批准证书，于</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日取得企合沪</w:t>
      </w:r>
    </w:p>
    <w:p>
      <w:pPr>
        <w:pStyle w:val="BodyText"/>
        <w:spacing w:line="240" w:lineRule="auto" w:before="98"/>
        <w:ind w:right="0"/>
        <w:jc w:val="left"/>
      </w:pPr>
      <w:r>
        <w:rPr/>
        <w:t>浦总副字第</w:t>
      </w:r>
      <w:r>
        <w:rPr>
          <w:spacing w:val="-43"/>
        </w:rPr>
        <w:t> </w:t>
      </w:r>
      <w:r>
        <w:rPr>
          <w:rFonts w:ascii="Times New Roman" w:hAnsi="Times New Roman" w:cs="Times New Roman" w:eastAsia="Times New Roman" w:hint="default"/>
        </w:rPr>
        <w:t>318540</w:t>
      </w:r>
      <w:r>
        <w:rPr>
          <w:rFonts w:ascii="Times New Roman" w:hAnsi="Times New Roman" w:cs="Times New Roman" w:eastAsia="Times New Roman" w:hint="default"/>
          <w:spacing w:val="2"/>
        </w:rPr>
        <w:t> </w:t>
      </w:r>
      <w:r>
        <w:rPr/>
        <w:t>号（浦东）企业法人营业执照。投资总额</w:t>
      </w:r>
      <w:r>
        <w:rPr>
          <w:spacing w:val="-3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万美元，注册资本</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2"/>
        </w:rPr>
        <w:t>万美元（实收资本</w:t>
      </w:r>
    </w:p>
    <w:p>
      <w:pPr>
        <w:pStyle w:val="BodyText"/>
        <w:spacing w:line="240" w:lineRule="auto" w:before="100"/>
        <w:ind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万美元）。</w:t>
      </w:r>
    </w:p>
    <w:p>
      <w:pPr>
        <w:pStyle w:val="BodyText"/>
        <w:spacing w:line="240" w:lineRule="auto" w:before="98"/>
        <w:ind w:left="535"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日，经上海金仕达卫宁软件有限公司第一届第四次董事会决议并经浦府项字</w:t>
      </w:r>
      <w:r>
        <w:rPr>
          <w:rFonts w:ascii="Times New Roman" w:hAnsi="Times New Roman" w:cs="Times New Roman" w:eastAsia="Times New Roman" w:hint="default"/>
        </w:rPr>
        <w:t>[2007]</w:t>
      </w:r>
      <w:r>
        <w:rPr/>
        <w:t>第</w:t>
      </w:r>
    </w:p>
    <w:p>
      <w:pPr>
        <w:pStyle w:val="BodyText"/>
        <w:spacing w:line="240" w:lineRule="auto" w:before="98"/>
        <w:ind w:right="0"/>
        <w:jc w:val="left"/>
      </w:pPr>
      <w:r>
        <w:rPr>
          <w:rFonts w:ascii="Times New Roman" w:hAnsi="Times New Roman" w:cs="Times New Roman" w:eastAsia="Times New Roman" w:hint="default"/>
        </w:rPr>
        <w:t>798 </w:t>
      </w:r>
      <w:r>
        <w:rPr/>
        <w:t>号文批准，上海金仕达卫宁医疗信息技术有限公司将所持上海金仕达卫宁软件有限公司</w:t>
      </w:r>
      <w:r>
        <w:rPr>
          <w:spacing w:val="-50"/>
        </w:rPr>
        <w:t> </w:t>
      </w:r>
      <w:r>
        <w:rPr>
          <w:rFonts w:ascii="Times New Roman" w:hAnsi="Times New Roman" w:cs="Times New Roman" w:eastAsia="Times New Roman" w:hint="default"/>
        </w:rPr>
        <w:t>10%</w:t>
      </w:r>
      <w:r>
        <w:rPr/>
        <w:t>股权转让</w:t>
      </w:r>
    </w:p>
    <w:p>
      <w:pPr>
        <w:pStyle w:val="BodyText"/>
        <w:spacing w:line="240" w:lineRule="auto" w:before="100"/>
        <w:ind w:right="0"/>
        <w:jc w:val="left"/>
      </w:pPr>
      <w:r>
        <w:rPr/>
        <w:t>给上海为宁信息技术有限公司，于</w:t>
      </w:r>
      <w:r>
        <w:rPr>
          <w:spacing w:val="-30"/>
        </w:rPr>
        <w:t> </w:t>
      </w:r>
      <w:r>
        <w:rPr>
          <w:rFonts w:ascii="Times New Roman" w:hAnsi="Times New Roman" w:cs="Times New Roman" w:eastAsia="Times New Roman" w:hint="default"/>
        </w:rPr>
        <w:t>2007 </w:t>
      </w:r>
      <w:r>
        <w:rPr/>
        <w:t>年</w:t>
      </w:r>
      <w:r>
        <w:rPr>
          <w:spacing w:val="-49"/>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19 </w:t>
      </w:r>
      <w:r>
        <w:rPr>
          <w:spacing w:val="2"/>
        </w:rPr>
        <w:t>日取得换发的商外资沪浦合资字</w:t>
      </w:r>
      <w:r>
        <w:rPr>
          <w:rFonts w:ascii="Times New Roman" w:hAnsi="Times New Roman" w:cs="Times New Roman" w:eastAsia="Times New Roman" w:hint="default"/>
          <w:spacing w:val="2"/>
        </w:rPr>
        <w:t>[2004]0841 </w:t>
      </w:r>
      <w:r>
        <w:rPr/>
        <w:t>号外商投</w:t>
      </w:r>
    </w:p>
    <w:p>
      <w:pPr>
        <w:pStyle w:val="BodyText"/>
        <w:spacing w:line="324" w:lineRule="auto" w:before="98"/>
        <w:ind w:right="0"/>
        <w:jc w:val="left"/>
      </w:pPr>
      <w:r>
        <w:rPr>
          <w:spacing w:val="2"/>
        </w:rPr>
        <w:t>资企业批准证书，于</w:t>
      </w:r>
      <w:r>
        <w:rPr>
          <w:spacing w:val="-42"/>
        </w:rPr>
        <w:t> </w:t>
      </w:r>
      <w:r>
        <w:rPr>
          <w:rFonts w:ascii="Times New Roman" w:hAnsi="Times New Roman" w:cs="Times New Roman" w:eastAsia="Times New Roman" w:hint="default"/>
        </w:rPr>
        <w:t>2007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24 </w:t>
      </w:r>
      <w:r>
        <w:rPr>
          <w:spacing w:val="2"/>
        </w:rPr>
        <w:t>日取得</w:t>
      </w:r>
      <w:r>
        <w:rPr>
          <w:spacing w:val="-49"/>
        </w:rPr>
        <w:t> </w:t>
      </w:r>
      <w:r>
        <w:rPr>
          <w:rFonts w:ascii="Times New Roman" w:hAnsi="Times New Roman" w:cs="Times New Roman" w:eastAsia="Times New Roman" w:hint="default"/>
        </w:rPr>
        <w:t>310115400147263 </w:t>
      </w:r>
      <w:r>
        <w:rPr/>
        <w:t>号企业法人营业执照，投资总额和注册资</w:t>
      </w:r>
      <w:r>
        <w:rPr>
          <w:w w:val="99"/>
        </w:rPr>
        <w:t> </w:t>
      </w:r>
      <w:r>
        <w:rPr/>
        <w:t>本不变。</w:t>
      </w:r>
    </w:p>
    <w:p>
      <w:pPr>
        <w:pStyle w:val="BodyText"/>
        <w:spacing w:line="321" w:lineRule="auto" w:before="40"/>
        <w:ind w:right="111" w:firstLine="422"/>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日，经上海金仕达卫宁软件有限公司</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日股东会、董事会决议并经浦府</w:t>
      </w:r>
      <w:r>
        <w:rPr>
          <w:w w:val="99"/>
        </w:rPr>
        <w:t> 项字</w:t>
      </w:r>
      <w:r>
        <w:rPr>
          <w:rFonts w:ascii="Times New Roman" w:hAnsi="Times New Roman" w:cs="Times New Roman" w:eastAsia="Times New Roman" w:hint="default"/>
          <w:w w:val="99"/>
        </w:rPr>
        <w:t>[2008]</w:t>
      </w:r>
      <w:r>
        <w:rPr>
          <w:w w:val="99"/>
        </w:rPr>
        <w:t>第</w:t>
      </w:r>
      <w:r>
        <w:rPr>
          <w:spacing w:val="-47"/>
          <w:w w:val="99"/>
        </w:rPr>
        <w:t> </w:t>
      </w:r>
      <w:r>
        <w:rPr>
          <w:rFonts w:ascii="Times New Roman" w:hAnsi="Times New Roman" w:cs="Times New Roman" w:eastAsia="Times New Roman" w:hint="default"/>
          <w:w w:val="99"/>
        </w:rPr>
        <w:t>458</w:t>
      </w:r>
      <w:r>
        <w:rPr>
          <w:rFonts w:ascii="Times New Roman" w:hAnsi="Times New Roman" w:cs="Times New Roman" w:eastAsia="Times New Roman" w:hint="default"/>
          <w:spacing w:val="1"/>
          <w:w w:val="99"/>
        </w:rPr>
        <w:t> </w:t>
      </w:r>
      <w:r>
        <w:rPr>
          <w:spacing w:val="-6"/>
          <w:w w:val="99"/>
        </w:rPr>
        <w:t>号文批准，英属维尔京群岛</w:t>
      </w:r>
      <w:r>
        <w:rPr>
          <w:spacing w:val="-42"/>
          <w:w w:val="99"/>
        </w:rPr>
        <w:t> </w:t>
      </w:r>
      <w:r>
        <w:rPr>
          <w:rFonts w:ascii="Times New Roman" w:hAnsi="Times New Roman" w:cs="Times New Roman" w:eastAsia="Times New Roman" w:hint="default"/>
          <w:w w:val="99"/>
        </w:rPr>
        <w:t>WINNING</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w w:val="99"/>
        </w:rPr>
        <w:t>INTERNATIONAL</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w w:val="99"/>
        </w:rPr>
        <w:t>TECHNOLOGY</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1"/>
          <w:w w:val="99"/>
        </w:rPr>
        <w:t>LTD</w:t>
      </w:r>
      <w:r>
        <w:rPr>
          <w:rFonts w:ascii="Times New Roman" w:hAnsi="Times New Roman" w:cs="Times New Roman" w:eastAsia="Times New Roman" w:hint="default"/>
          <w:spacing w:val="7"/>
          <w:w w:val="99"/>
        </w:rPr>
        <w:t> </w:t>
      </w:r>
      <w:r>
        <w:rPr>
          <w:spacing w:val="1"/>
          <w:w w:val="99"/>
        </w:rPr>
        <w:t>将所持上</w:t>
      </w:r>
      <w:r>
        <w:rPr>
          <w:w w:val="99"/>
        </w:rPr>
        <w:t> </w:t>
      </w:r>
      <w:r>
        <w:rPr/>
        <w:t>海金仕达卫宁软件有限公司</w:t>
      </w:r>
      <w:r>
        <w:rPr>
          <w:spacing w:val="-80"/>
        </w:rPr>
        <w:t> </w:t>
      </w:r>
      <w:r>
        <w:rPr>
          <w:rFonts w:ascii="Times New Roman" w:hAnsi="Times New Roman" w:cs="Times New Roman" w:eastAsia="Times New Roman" w:hint="default"/>
        </w:rPr>
        <w:t>90%</w:t>
      </w:r>
      <w:r>
        <w:rPr/>
        <w:t>的股权转让给周炜、王英、刘宁三位自然人，上海金仕达卫宁软件有限公</w:t>
      </w:r>
      <w:r>
        <w:rPr>
          <w:w w:val="99"/>
        </w:rPr>
        <w:t> </w:t>
      </w:r>
      <w:r>
        <w:rPr>
          <w:w w:val="95"/>
        </w:rPr>
        <w:t>司企业性质由中外合资企业变更为内资有限责任公司，注册资本由  </w:t>
      </w:r>
      <w:r>
        <w:rPr>
          <w:rFonts w:ascii="Times New Roman" w:hAnsi="Times New Roman" w:cs="Times New Roman" w:eastAsia="Times New Roman" w:hint="default"/>
          <w:w w:val="95"/>
        </w:rPr>
        <w:t>20    </w:t>
      </w:r>
      <w:r>
        <w:rPr>
          <w:rFonts w:ascii="Times New Roman" w:hAnsi="Times New Roman" w:cs="Times New Roman" w:eastAsia="Times New Roman" w:hint="default"/>
          <w:spacing w:val="3"/>
          <w:w w:val="95"/>
        </w:rPr>
        <w:t> </w:t>
      </w:r>
      <w:r>
        <w:rPr>
          <w:w w:val="95"/>
        </w:rPr>
        <w:t>万美元变更为等额人民币注册资本，</w:t>
      </w:r>
      <w:r>
        <w:rPr/>
      </w:r>
    </w:p>
    <w:p>
      <w:pPr>
        <w:pStyle w:val="BodyText"/>
        <w:spacing w:line="321" w:lineRule="auto" w:before="21"/>
        <w:ind w:right="134"/>
        <w:jc w:val="left"/>
      </w:pPr>
      <w:r>
        <w:rPr/>
        <w:t>变更后的注册资本为人民币</w:t>
      </w:r>
      <w:r>
        <w:rPr>
          <w:spacing w:val="-47"/>
        </w:rPr>
        <w:t> </w:t>
      </w:r>
      <w:r>
        <w:rPr>
          <w:rFonts w:ascii="Times New Roman" w:hAnsi="Times New Roman" w:cs="Times New Roman" w:eastAsia="Times New Roman" w:hint="default"/>
        </w:rPr>
        <w:t>1,653,156.00</w:t>
      </w:r>
      <w:r>
        <w:rPr>
          <w:rFonts w:ascii="Times New Roman" w:hAnsi="Times New Roman" w:cs="Times New Roman" w:eastAsia="Times New Roman" w:hint="default"/>
          <w:spacing w:val="-2"/>
        </w:rPr>
        <w:t> </w:t>
      </w:r>
      <w:r>
        <w:rPr/>
        <w:t>元。变更后，股东为周炜、王英、刘宁</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名自然人和上海为宁信</w:t>
      </w:r>
      <w:r>
        <w:rPr>
          <w:w w:val="99"/>
        </w:rPr>
        <w:t> </w:t>
      </w:r>
      <w:r>
        <w:rPr/>
        <w:t>息技术有限公司。</w:t>
      </w:r>
    </w:p>
    <w:p>
      <w:pPr>
        <w:pStyle w:val="BodyText"/>
        <w:spacing w:line="240" w:lineRule="auto" w:before="45"/>
        <w:ind w:left="535"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日，根据上海金仕达卫宁软件有限公司</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日临时股东会决议，上海金</w:t>
      </w:r>
    </w:p>
    <w:p>
      <w:pPr>
        <w:pStyle w:val="BodyText"/>
        <w:spacing w:line="240" w:lineRule="auto" w:before="98"/>
        <w:ind w:right="0"/>
        <w:jc w:val="left"/>
      </w:pPr>
      <w:r>
        <w:rPr/>
        <w:t>仕达卫宁软件有限公司增加注册资本人民币</w:t>
      </w:r>
      <w:r>
        <w:rPr>
          <w:spacing w:val="-45"/>
        </w:rPr>
        <w:t> </w:t>
      </w:r>
      <w:r>
        <w:rPr>
          <w:rFonts w:ascii="Times New Roman" w:hAnsi="Times New Roman" w:cs="Times New Roman" w:eastAsia="Times New Roman" w:hint="default"/>
        </w:rPr>
        <w:t>8,346,844.00</w:t>
      </w:r>
      <w:r>
        <w:rPr>
          <w:rFonts w:ascii="Times New Roman" w:hAnsi="Times New Roman" w:cs="Times New Roman" w:eastAsia="Times New Roman" w:hint="default"/>
          <w:spacing w:val="-6"/>
        </w:rPr>
        <w:t> </w:t>
      </w:r>
      <w:r>
        <w:rPr/>
        <w:t>元，其中股东周炜、刘宁、王英和上海为宁信息</w:t>
      </w:r>
    </w:p>
    <w:p>
      <w:pPr>
        <w:pStyle w:val="BodyText"/>
        <w:spacing w:line="240" w:lineRule="auto" w:before="100"/>
        <w:ind w:right="0"/>
        <w:jc w:val="left"/>
      </w:pPr>
      <w:r>
        <w:rPr/>
        <w:t>技术有限公司以上海金仕达卫宁软件有限公司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日未分配利润</w:t>
      </w:r>
      <w:r>
        <w:rPr>
          <w:spacing w:val="-56"/>
        </w:rPr>
        <w:t> </w:t>
      </w:r>
      <w:r>
        <w:rPr>
          <w:rFonts w:ascii="Times New Roman" w:hAnsi="Times New Roman" w:cs="Times New Roman" w:eastAsia="Times New Roman" w:hint="default"/>
        </w:rPr>
        <w:t>4,498,523.80</w:t>
      </w:r>
      <w:r>
        <w:rPr>
          <w:rFonts w:ascii="Times New Roman" w:hAnsi="Times New Roman" w:cs="Times New Roman" w:eastAsia="Times New Roman" w:hint="default"/>
          <w:spacing w:val="-2"/>
        </w:rPr>
        <w:t> </w:t>
      </w:r>
      <w:r>
        <w:rPr>
          <w:spacing w:val="-10"/>
        </w:rPr>
        <w:t>元转增资本，刘</w:t>
      </w:r>
    </w:p>
    <w:p>
      <w:pPr>
        <w:pStyle w:val="BodyText"/>
        <w:spacing w:line="240" w:lineRule="auto" w:before="98"/>
        <w:ind w:right="0"/>
        <w:jc w:val="left"/>
      </w:pPr>
      <w:r>
        <w:rPr>
          <w:spacing w:val="-5"/>
        </w:rPr>
        <w:t>宁、孙凯等</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名自然人以货币资金增资</w:t>
      </w:r>
      <w:r>
        <w:rPr>
          <w:spacing w:val="-58"/>
        </w:rPr>
        <w:t> </w:t>
      </w:r>
      <w:r>
        <w:rPr>
          <w:rFonts w:ascii="Times New Roman" w:hAnsi="Times New Roman" w:cs="Times New Roman" w:eastAsia="Times New Roman" w:hint="default"/>
        </w:rPr>
        <w:t>3,848,320.20</w:t>
      </w:r>
      <w:r>
        <w:rPr>
          <w:rFonts w:ascii="Times New Roman" w:hAnsi="Times New Roman" w:cs="Times New Roman" w:eastAsia="Times New Roman" w:hint="default"/>
          <w:spacing w:val="-7"/>
        </w:rPr>
        <w:t> </w:t>
      </w:r>
      <w:r>
        <w:rPr/>
        <w:t>元，变更后的注册资本为人民币</w:t>
      </w:r>
      <w:r>
        <w:rPr>
          <w:spacing w:val="-60"/>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7"/>
        </w:rPr>
        <w:t> </w:t>
      </w:r>
      <w:r>
        <w:rPr>
          <w:spacing w:val="-6"/>
        </w:rPr>
        <w:t>元。变更</w:t>
      </w:r>
    </w:p>
    <w:p>
      <w:pPr>
        <w:pStyle w:val="BodyText"/>
        <w:spacing w:line="240" w:lineRule="auto" w:before="100"/>
        <w:ind w:right="0"/>
        <w:jc w:val="left"/>
      </w:pPr>
      <w:r>
        <w:rPr/>
        <w:t>注册资本后，股东为周炜等</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名自然人和上海为宁信息技术有限公司。</w:t>
      </w:r>
    </w:p>
    <w:p>
      <w:pPr>
        <w:pStyle w:val="BodyText"/>
        <w:spacing w:line="240" w:lineRule="auto" w:before="98"/>
        <w:ind w:left="535"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日，上海为宁信息技术有限公司将所持上海金仕达卫宁软件有限公司</w:t>
      </w:r>
      <w:r>
        <w:rPr>
          <w:spacing w:val="-58"/>
        </w:rPr>
        <w:t> </w:t>
      </w:r>
      <w:r>
        <w:rPr>
          <w:rFonts w:ascii="Times New Roman" w:hAnsi="Times New Roman" w:cs="Times New Roman" w:eastAsia="Times New Roman" w:hint="default"/>
        </w:rPr>
        <w:t>6.16%</w:t>
      </w:r>
      <w:r>
        <w:rPr/>
        <w:t>股权转让</w:t>
      </w:r>
    </w:p>
    <w:p>
      <w:pPr>
        <w:pStyle w:val="BodyText"/>
        <w:spacing w:line="240" w:lineRule="auto" w:before="100"/>
        <w:ind w:right="0"/>
        <w:jc w:val="left"/>
      </w:pPr>
      <w:r>
        <w:rPr/>
        <w:t>给自然人孙凯。变更后股东为周炜等</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名自然人。</w:t>
      </w:r>
    </w:p>
    <w:p>
      <w:pPr>
        <w:pStyle w:val="BodyText"/>
        <w:spacing w:line="331" w:lineRule="auto" w:before="98"/>
        <w:ind w:right="124" w:firstLine="422"/>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日，根据上海金仕达卫宁软件有限公司</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日临时股东会决议，上海金</w:t>
      </w:r>
      <w:r>
        <w:rPr>
          <w:w w:val="99"/>
        </w:rPr>
        <w:t> </w:t>
      </w:r>
      <w:r>
        <w:rPr>
          <w:w w:val="95"/>
        </w:rPr>
        <w:t>仕达卫宁软件有限公司整体变更为上海金仕达卫宁软件股份有限公司，上海金仕达卫宁软件有限公司全体</w:t>
      </w:r>
      <w:r>
        <w:rPr>
          <w:spacing w:val="52"/>
          <w:w w:val="95"/>
        </w:rPr>
        <w:t> </w:t>
      </w:r>
      <w:r>
        <w:rPr>
          <w:spacing w:val="52"/>
          <w:w w:val="95"/>
        </w:rPr>
      </w:r>
      <w:r>
        <w:rPr/>
        <w:t>股东以截至</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63"/>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日经审计后的净资产</w:t>
      </w:r>
      <w:r>
        <w:rPr>
          <w:spacing w:val="-63"/>
        </w:rPr>
        <w:t> </w:t>
      </w:r>
      <w:r>
        <w:rPr>
          <w:rFonts w:ascii="Times New Roman" w:hAnsi="Times New Roman" w:cs="Times New Roman" w:eastAsia="Times New Roman" w:hint="default"/>
        </w:rPr>
        <w:t>52,912,479.56</w:t>
      </w:r>
      <w:r>
        <w:rPr>
          <w:rFonts w:ascii="Times New Roman" w:hAnsi="Times New Roman" w:cs="Times New Roman" w:eastAsia="Times New Roman" w:hint="default"/>
          <w:spacing w:val="-12"/>
        </w:rPr>
        <w:t> </w:t>
      </w:r>
      <w:r>
        <w:rPr>
          <w:spacing w:val="-6"/>
        </w:rPr>
        <w:t>元出资，其中以净资产出资</w:t>
      </w:r>
      <w:r>
        <w:rPr>
          <w:spacing w:val="-63"/>
        </w:rPr>
        <w:t> </w:t>
      </w:r>
      <w:r>
        <w:rPr>
          <w:rFonts w:ascii="Times New Roman" w:hAnsi="Times New Roman" w:cs="Times New Roman" w:eastAsia="Times New Roman" w:hint="default"/>
        </w:rPr>
        <w:t>40,000,000</w:t>
      </w:r>
      <w:r>
        <w:rPr>
          <w:rFonts w:ascii="Times New Roman" w:hAnsi="Times New Roman" w:cs="Times New Roman" w:eastAsia="Times New Roman" w:hint="default"/>
          <w:spacing w:val="-13"/>
        </w:rPr>
        <w:t> </w:t>
      </w:r>
      <w:r>
        <w:rPr/>
        <w:t>元，</w:t>
      </w:r>
    </w:p>
    <w:p>
      <w:pPr>
        <w:pStyle w:val="BodyText"/>
        <w:spacing w:line="240" w:lineRule="auto" w:before="9"/>
        <w:ind w:right="0"/>
        <w:jc w:val="left"/>
      </w:pPr>
      <w:r>
        <w:rPr>
          <w:w w:val="99"/>
        </w:rPr>
        <w:t>折</w:t>
      </w:r>
      <w:r>
        <w:rPr>
          <w:spacing w:val="-50"/>
        </w:rPr>
        <w:t> </w:t>
      </w:r>
      <w:r>
        <w:rPr>
          <w:rFonts w:ascii="Times New Roman" w:hAnsi="Times New Roman" w:cs="Times New Roman" w:eastAsia="Times New Roman" w:hint="default"/>
          <w:spacing w:val="1"/>
          <w:w w:val="99"/>
        </w:rPr>
        <w:t>40</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股</w:t>
      </w:r>
      <w:r>
        <w:rPr>
          <w:spacing w:val="-89"/>
          <w:w w:val="99"/>
        </w:rPr>
        <w:t>，</w:t>
      </w:r>
      <w:r>
        <w:rPr>
          <w:spacing w:val="2"/>
          <w:w w:val="99"/>
        </w:rPr>
        <w:t>每</w:t>
      </w:r>
      <w:r>
        <w:rPr>
          <w:w w:val="99"/>
        </w:rPr>
        <w:t>股</w:t>
      </w:r>
      <w:r>
        <w:rPr>
          <w:spacing w:val="2"/>
          <w:w w:val="99"/>
        </w:rPr>
        <w:t>面</w:t>
      </w:r>
      <w:r>
        <w:rPr>
          <w:w w:val="99"/>
        </w:rPr>
        <w:t>值</w:t>
      </w:r>
      <w:r>
        <w:rPr>
          <w:spacing w:val="-50"/>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w w:val="99"/>
        </w:rPr>
        <w:t>元</w:t>
      </w:r>
      <w:r>
        <w:rPr>
          <w:spacing w:val="-87"/>
          <w:w w:val="99"/>
        </w:rPr>
        <w:t>，</w:t>
      </w:r>
      <w:r>
        <w:rPr>
          <w:spacing w:val="2"/>
          <w:w w:val="99"/>
        </w:rPr>
        <w:t>其</w:t>
      </w:r>
      <w:r>
        <w:rPr>
          <w:w w:val="99"/>
        </w:rPr>
        <w:t>余</w:t>
      </w:r>
      <w:r>
        <w:rPr>
          <w:spacing w:val="-53"/>
        </w:rPr>
        <w:t>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spacing w:val="-2"/>
          <w:w w:val="99"/>
        </w:rPr>
        <w:t>7</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元</w:t>
      </w:r>
      <w:r>
        <w:rPr>
          <w:w w:val="99"/>
        </w:rPr>
        <w:t>转</w:t>
      </w:r>
      <w:r>
        <w:rPr>
          <w:spacing w:val="2"/>
          <w:w w:val="99"/>
        </w:rPr>
        <w:t>为</w:t>
      </w:r>
      <w:r>
        <w:rPr>
          <w:w w:val="99"/>
        </w:rPr>
        <w:t>上</w:t>
      </w:r>
      <w:r>
        <w:rPr>
          <w:spacing w:val="2"/>
          <w:w w:val="99"/>
        </w:rPr>
        <w:t>海</w:t>
      </w:r>
      <w:r>
        <w:rPr>
          <w:w w:val="99"/>
        </w:rPr>
        <w:t>金</w:t>
      </w:r>
      <w:r>
        <w:rPr>
          <w:spacing w:val="2"/>
          <w:w w:val="99"/>
        </w:rPr>
        <w:t>仕</w:t>
      </w:r>
      <w:r>
        <w:rPr>
          <w:w w:val="99"/>
        </w:rPr>
        <w:t>达</w:t>
      </w:r>
      <w:r>
        <w:rPr>
          <w:spacing w:val="2"/>
          <w:w w:val="99"/>
        </w:rPr>
        <w:t>卫</w:t>
      </w:r>
      <w:r>
        <w:rPr>
          <w:w w:val="99"/>
        </w:rPr>
        <w:t>宁</w:t>
      </w:r>
      <w:r>
        <w:rPr>
          <w:spacing w:val="2"/>
          <w:w w:val="99"/>
        </w:rPr>
        <w:t>软</w:t>
      </w:r>
      <w:r>
        <w:rPr>
          <w:w w:val="99"/>
        </w:rPr>
        <w:t>件</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的</w:t>
      </w:r>
      <w:r>
        <w:rPr>
          <w:w w:val="99"/>
        </w:rPr>
        <w:t>资</w:t>
      </w:r>
      <w:r>
        <w:rPr>
          <w:spacing w:val="2"/>
          <w:w w:val="99"/>
        </w:rPr>
        <w:t>本</w:t>
      </w:r>
      <w:r>
        <w:rPr>
          <w:w w:val="99"/>
        </w:rPr>
        <w:t>公</w:t>
      </w:r>
      <w:r>
        <w:rPr>
          <w:spacing w:val="4"/>
          <w:w w:val="99"/>
        </w:rPr>
        <w:t>积</w:t>
      </w:r>
      <w:r>
        <w:rPr>
          <w:w w:val="49"/>
        </w:rPr>
        <w:t>，</w:t>
      </w:r>
      <w:r>
        <w:rPr/>
      </w:r>
    </w:p>
    <w:p>
      <w:pPr>
        <w:spacing w:after="0" w:line="240" w:lineRule="auto"/>
        <w:jc w:val="left"/>
        <w:sectPr>
          <w:headerReference w:type="default" r:id="rId37"/>
          <w:footerReference w:type="default" r:id="rId38"/>
          <w:pgSz w:w="11910" w:h="16840"/>
          <w:pgMar w:header="849" w:footer="976" w:top="1460" w:bottom="1160" w:left="1020" w:right="1000"/>
          <w:pgNumType w:start="80"/>
        </w:sectPr>
      </w:pPr>
    </w:p>
    <w:p>
      <w:pPr>
        <w:spacing w:line="240" w:lineRule="auto" w:before="0"/>
        <w:rPr>
          <w:rFonts w:ascii="宋体" w:hAnsi="宋体" w:cs="宋体" w:eastAsia="宋体" w:hint="default"/>
          <w:sz w:val="2"/>
          <w:szCs w:val="2"/>
        </w:rPr>
      </w:pPr>
    </w:p>
    <w:p>
      <w:pPr>
        <w:spacing w:line="338"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95pt;mso-position-horizontal-relative:char;mso-position-vertical-relative:line" coordorigin="0,0" coordsize="9653,339">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39" type="#_x0000_t202" filled="false" stroked="false">
                <v:textbox inset="0,0,0,0">
                  <w:txbxContent>
                    <w:p>
                      <w:pPr>
                        <w:spacing w:line="286" w:lineRule="exact" w:before="52"/>
                        <w:ind w:left="7"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变更后的注册资本为人民币 </w:t>
                      </w:r>
                      <w:r>
                        <w:rPr>
                          <w:rFonts w:ascii="Times New Roman" w:hAnsi="Times New Roman" w:cs="Times New Roman" w:eastAsia="Times New Roman" w:hint="default"/>
                          <w:sz w:val="21"/>
                          <w:szCs w:val="21"/>
                        </w:rPr>
                        <w:t>40,000,000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元，此次变更已经中磊会计师事务所有限责任公司中磊验字</w:t>
                      </w:r>
                      <w:r>
                        <w:rPr>
                          <w:rFonts w:ascii="Times New Roman" w:hAnsi="Times New Roman" w:cs="Times New Roman" w:eastAsia="Times New Roman" w:hint="default"/>
                          <w:sz w:val="21"/>
                          <w:szCs w:val="21"/>
                        </w:rPr>
                        <w:t>[2008]</w:t>
                      </w:r>
                    </w:p>
                  </w:txbxContent>
                </v:textbox>
                <w10:wrap type="none"/>
              </v:shape>
            </v:group>
          </v:group>
        </w:pict>
      </w:r>
      <w:r>
        <w:rPr>
          <w:rFonts w:ascii="宋体" w:hAnsi="宋体" w:cs="宋体" w:eastAsia="宋体" w:hint="default"/>
          <w:position w:val="-6"/>
          <w:sz w:val="20"/>
          <w:szCs w:val="20"/>
        </w:rPr>
      </w:r>
    </w:p>
    <w:p>
      <w:pPr>
        <w:spacing w:line="240" w:lineRule="auto" w:before="2"/>
        <w:rPr>
          <w:rFonts w:ascii="宋体" w:hAnsi="宋体" w:cs="宋体" w:eastAsia="宋体" w:hint="default"/>
          <w:sz w:val="5"/>
          <w:szCs w:val="5"/>
        </w:rPr>
      </w:pPr>
    </w:p>
    <w:p>
      <w:pPr>
        <w:pStyle w:val="BodyText"/>
        <w:spacing w:line="240" w:lineRule="auto" w:before="34"/>
        <w:ind w:right="0"/>
        <w:jc w:val="both"/>
        <w:rPr>
          <w:rFonts w:ascii="Times New Roman" w:hAnsi="Times New Roman" w:cs="Times New Roman" w:eastAsia="Times New Roman" w:hint="default"/>
        </w:rPr>
      </w:pPr>
      <w:r>
        <w:rPr/>
        <w:t>第</w:t>
      </w:r>
      <w:r>
        <w:rPr>
          <w:spacing w:val="-53"/>
        </w:rPr>
        <w:t> </w:t>
      </w:r>
      <w:r>
        <w:rPr>
          <w:rFonts w:ascii="Times New Roman" w:hAnsi="Times New Roman" w:cs="Times New Roman" w:eastAsia="Times New Roman" w:hint="default"/>
        </w:rPr>
        <w:t>7004</w:t>
      </w:r>
      <w:r>
        <w:rPr>
          <w:rFonts w:ascii="Times New Roman" w:hAnsi="Times New Roman" w:cs="Times New Roman" w:eastAsia="Times New Roman" w:hint="default"/>
          <w:spacing w:val="-2"/>
        </w:rPr>
        <w:t> </w:t>
      </w:r>
      <w:r>
        <w:rPr/>
        <w:t>号验资报告验证。公司于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日取得上海市工商行政管理局换发的</w:t>
      </w:r>
      <w:r>
        <w:rPr>
          <w:spacing w:val="-53"/>
        </w:rPr>
        <w:t> </w:t>
      </w:r>
      <w:r>
        <w:rPr>
          <w:rFonts w:ascii="Times New Roman" w:hAnsi="Times New Roman" w:cs="Times New Roman" w:eastAsia="Times New Roman" w:hint="default"/>
        </w:rPr>
        <w:t>310115400147263</w:t>
      </w:r>
    </w:p>
    <w:p>
      <w:pPr>
        <w:pStyle w:val="BodyText"/>
        <w:spacing w:line="324" w:lineRule="auto" w:before="100"/>
        <w:ind w:left="535" w:right="223" w:hanging="423"/>
        <w:jc w:val="left"/>
      </w:pPr>
      <w:r>
        <w:rPr/>
        <w:t>号企业法人营业执照，注册资本为人民币</w:t>
      </w:r>
      <w:r>
        <w:rPr>
          <w:spacing w:val="-54"/>
        </w:rPr>
        <w:t> </w:t>
      </w:r>
      <w:r>
        <w:rPr>
          <w:rFonts w:ascii="Times New Roman" w:hAnsi="Times New Roman" w:cs="Times New Roman" w:eastAsia="Times New Roman" w:hint="default"/>
        </w:rPr>
        <w:t>40,000,000 </w:t>
      </w:r>
      <w:r>
        <w:rPr/>
        <w:t>元，股东为周炜等</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名自然人。</w:t>
      </w:r>
      <w:r>
        <w:rPr>
          <w:w w:val="99"/>
        </w:rPr>
        <w:t> </w:t>
      </w:r>
      <w:r>
        <w:rPr/>
        <w:t>经中国证券监督管理委员会证监许可</w:t>
      </w:r>
      <w:r>
        <w:rPr>
          <w:rFonts w:ascii="Times New Roman" w:hAnsi="Times New Roman" w:cs="Times New Roman" w:eastAsia="Times New Roman" w:hint="default"/>
        </w:rPr>
        <w:t>[2011]1129</w:t>
      </w:r>
      <w:r>
        <w:rPr>
          <w:rFonts w:ascii="Times New Roman" w:hAnsi="Times New Roman" w:cs="Times New Roman" w:eastAsia="Times New Roman" w:hint="default"/>
          <w:spacing w:val="-15"/>
        </w:rPr>
        <w:t> </w:t>
      </w:r>
      <w:r>
        <w:rPr/>
        <w:t>号文《关于核准上海金仕达卫宁软件股份有限公司首</w:t>
      </w:r>
    </w:p>
    <w:p>
      <w:pPr>
        <w:pStyle w:val="BodyText"/>
        <w:spacing w:line="240" w:lineRule="auto" w:before="16"/>
        <w:ind w:right="0"/>
        <w:jc w:val="both"/>
      </w:pPr>
      <w:r>
        <w:rPr/>
        <w:t>次公开发行股票并在创业板上市的批复》，</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8 </w:t>
      </w:r>
      <w:r>
        <w:rPr/>
        <w:t>月本公司发行社会公众股 </w:t>
      </w:r>
      <w:r>
        <w:rPr>
          <w:rFonts w:ascii="Times New Roman" w:hAnsi="Times New Roman" w:cs="Times New Roman" w:eastAsia="Times New Roman" w:hint="default"/>
        </w:rPr>
        <w:t>13,500,000</w:t>
      </w:r>
      <w:r>
        <w:rPr>
          <w:rFonts w:ascii="Times New Roman" w:hAnsi="Times New Roman" w:cs="Times New Roman" w:eastAsia="Times New Roman" w:hint="default"/>
          <w:spacing w:val="-12"/>
        </w:rPr>
        <w:t> </w:t>
      </w:r>
      <w:r>
        <w:rPr/>
        <w:t>股，每股面值</w:t>
      </w:r>
    </w:p>
    <w:p>
      <w:pPr>
        <w:pStyle w:val="BodyText"/>
        <w:spacing w:line="321" w:lineRule="auto" w:before="98"/>
        <w:ind w:right="22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9"/>
        </w:rPr>
        <w:t>元，发行后总股本为</w:t>
      </w:r>
      <w:r>
        <w:rPr>
          <w:spacing w:val="-72"/>
        </w:rPr>
        <w:t> </w:t>
      </w:r>
      <w:r>
        <w:rPr>
          <w:rFonts w:ascii="Times New Roman" w:hAnsi="Times New Roman" w:cs="Times New Roman" w:eastAsia="Times New Roman" w:hint="default"/>
        </w:rPr>
        <w:t>53,500,000</w:t>
      </w:r>
      <w:r>
        <w:rPr>
          <w:rFonts w:ascii="Times New Roman" w:hAnsi="Times New Roman" w:cs="Times New Roman" w:eastAsia="Times New Roman" w:hint="default"/>
          <w:spacing w:val="-21"/>
        </w:rPr>
        <w:t> </w:t>
      </w:r>
      <w:r>
        <w:rPr/>
        <w:t>元。此次变更已经中磊会计师事务所有限责任公司中磊验字</w:t>
      </w:r>
      <w:r>
        <w:rPr>
          <w:rFonts w:ascii="Times New Roman" w:hAnsi="Times New Roman" w:cs="Times New Roman" w:eastAsia="Times New Roman" w:hint="default"/>
        </w:rPr>
        <w:t>[2011]</w:t>
      </w:r>
      <w:r>
        <w:rPr/>
        <w:t>第</w:t>
      </w:r>
      <w:r>
        <w:rPr>
          <w:spacing w:val="-74"/>
        </w:rPr>
        <w:t> </w:t>
      </w:r>
      <w:r>
        <w:rPr>
          <w:rFonts w:ascii="Times New Roman" w:hAnsi="Times New Roman" w:cs="Times New Roman" w:eastAsia="Times New Roman" w:hint="default"/>
        </w:rPr>
        <w:t>0067</w:t>
      </w:r>
      <w:r>
        <w:rPr>
          <w:rFonts w:ascii="Times New Roman" w:hAnsi="Times New Roman" w:cs="Times New Roman" w:eastAsia="Times New Roman" w:hint="default"/>
          <w:w w:val="99"/>
        </w:rPr>
        <w:t> </w:t>
      </w:r>
      <w:r>
        <w:rPr>
          <w:spacing w:val="-10"/>
          <w:w w:val="99"/>
        </w:rPr>
        <w:t>号验资报告验证，并于</w:t>
      </w:r>
      <w:r>
        <w:rPr>
          <w:spacing w:val="-74"/>
          <w:w w:val="99"/>
        </w:rPr>
        <w:t> </w:t>
      </w:r>
      <w:r>
        <w:rPr>
          <w:rFonts w:ascii="Times New Roman" w:hAnsi="Times New Roman" w:cs="Times New Roman" w:eastAsia="Times New Roman" w:hint="default"/>
          <w:w w:val="99"/>
        </w:rPr>
        <w:t>2011</w:t>
      </w:r>
      <w:r>
        <w:rPr>
          <w:rFonts w:ascii="Times New Roman" w:hAnsi="Times New Roman" w:cs="Times New Roman" w:eastAsia="Times New Roman" w:hint="default"/>
          <w:spacing w:val="-20"/>
          <w:w w:val="99"/>
        </w:rPr>
        <w:t> </w:t>
      </w:r>
      <w:r>
        <w:rPr>
          <w:w w:val="99"/>
        </w:rPr>
        <w:t>年</w:t>
      </w:r>
      <w:r>
        <w:rPr>
          <w:spacing w:val="-74"/>
          <w:w w:val="99"/>
        </w:rPr>
        <w:t> </w:t>
      </w:r>
      <w:r>
        <w:rPr>
          <w:rFonts w:ascii="Times New Roman" w:hAnsi="Times New Roman" w:cs="Times New Roman" w:eastAsia="Times New Roman" w:hint="default"/>
          <w:w w:val="99"/>
        </w:rPr>
        <w:t>11</w:t>
      </w:r>
      <w:r>
        <w:rPr>
          <w:rFonts w:ascii="Times New Roman" w:hAnsi="Times New Roman" w:cs="Times New Roman" w:eastAsia="Times New Roman" w:hint="default"/>
          <w:spacing w:val="-20"/>
          <w:w w:val="99"/>
        </w:rPr>
        <w:t> </w:t>
      </w:r>
      <w:r>
        <w:rPr>
          <w:w w:val="99"/>
        </w:rPr>
        <w:t>月</w:t>
      </w:r>
      <w:r>
        <w:rPr>
          <w:spacing w:val="-72"/>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20"/>
          <w:w w:val="99"/>
        </w:rPr>
        <w:t> </w:t>
      </w:r>
      <w:r>
        <w:rPr>
          <w:spacing w:val="-4"/>
          <w:w w:val="99"/>
        </w:rPr>
        <w:t>日换发相同注册号的企业法人营业执照，注册资本为人民币</w:t>
      </w:r>
      <w:r>
        <w:rPr>
          <w:spacing w:val="-68"/>
          <w:w w:val="99"/>
        </w:rPr>
        <w:t> </w:t>
      </w:r>
      <w:r>
        <w:rPr>
          <w:rFonts w:ascii="Times New Roman" w:hAnsi="Times New Roman" w:cs="Times New Roman" w:eastAsia="Times New Roman" w:hint="default"/>
          <w:w w:val="99"/>
        </w:rPr>
        <w:t>53,500,000</w:t>
      </w:r>
      <w:r>
        <w:rPr>
          <w:rFonts w:ascii="Times New Roman" w:hAnsi="Times New Roman" w:cs="Times New Roman" w:eastAsia="Times New Roman" w:hint="default"/>
          <w:spacing w:val="-49"/>
          <w:w w:val="99"/>
        </w:rPr>
        <w:t> </w:t>
      </w:r>
      <w:r>
        <w:rPr>
          <w:rFonts w:ascii="Times New Roman" w:hAnsi="Times New Roman" w:cs="Times New Roman" w:eastAsia="Times New Roman" w:hint="default"/>
          <w:spacing w:val="-49"/>
          <w:w w:val="99"/>
        </w:rPr>
      </w:r>
      <w:r>
        <w:rPr/>
        <w:t>元。</w:t>
      </w:r>
    </w:p>
    <w:p>
      <w:pPr>
        <w:pStyle w:val="BodyText"/>
        <w:spacing w:line="324" w:lineRule="auto" w:before="45"/>
        <w:ind w:left="535" w:right="4926"/>
        <w:jc w:val="left"/>
      </w:pPr>
      <w:r>
        <w:rPr/>
        <w:t>注册地址：上海市浦东新区上南路</w:t>
      </w:r>
      <w:r>
        <w:rPr>
          <w:spacing w:val="-55"/>
        </w:rPr>
        <w:t> </w:t>
      </w:r>
      <w:r>
        <w:rPr>
          <w:rFonts w:ascii="Times New Roman" w:hAnsi="Times New Roman" w:cs="Times New Roman" w:eastAsia="Times New Roman" w:hint="default"/>
        </w:rPr>
        <w:t>4184</w:t>
      </w:r>
      <w:r>
        <w:rPr>
          <w:rFonts w:ascii="Times New Roman" w:hAnsi="Times New Roman" w:cs="Times New Roman" w:eastAsia="Times New Roman" w:hint="default"/>
          <w:spacing w:val="-2"/>
        </w:rPr>
        <w:t> </w:t>
      </w:r>
      <w:r>
        <w:rPr/>
        <w:t>号</w:t>
      </w:r>
      <w:r>
        <w:rPr>
          <w:spacing w:val="-55"/>
        </w:rPr>
        <w:t> </w:t>
      </w:r>
      <w:r>
        <w:rPr>
          <w:rFonts w:ascii="Times New Roman" w:hAnsi="Times New Roman" w:cs="Times New Roman" w:eastAsia="Times New Roman" w:hint="default"/>
        </w:rPr>
        <w:t>258</w:t>
      </w:r>
      <w:r>
        <w:rPr>
          <w:rFonts w:ascii="Times New Roman" w:hAnsi="Times New Roman" w:cs="Times New Roman" w:eastAsia="Times New Roman" w:hint="default"/>
          <w:spacing w:val="-3"/>
        </w:rPr>
        <w:t> </w:t>
      </w:r>
      <w:r>
        <w:rPr/>
        <w:t>室</w:t>
      </w:r>
      <w:r>
        <w:rPr>
          <w:w w:val="99"/>
        </w:rPr>
        <w:t> </w:t>
      </w:r>
      <w:r>
        <w:rPr/>
        <w:t>法定代表人：周炜</w:t>
      </w:r>
    </w:p>
    <w:p>
      <w:pPr>
        <w:pStyle w:val="BodyText"/>
        <w:spacing w:line="340" w:lineRule="auto" w:before="40"/>
        <w:ind w:right="0" w:firstLine="422"/>
        <w:jc w:val="left"/>
      </w:pPr>
      <w:r>
        <w:rPr/>
        <w:t>经营范围：计算机软件的开发、设计和制作，销售自产产品，计算机及辅助设备的销售，计算机网络</w:t>
      </w:r>
      <w:r>
        <w:rPr>
          <w:w w:val="99"/>
        </w:rPr>
        <w:t> </w:t>
      </w:r>
      <w:r>
        <w:rPr>
          <w:spacing w:val="-2"/>
          <w:w w:val="95"/>
        </w:rPr>
        <w:t>信息系统集成的维护，并提供相关的技术咨询和技术服务（企业经营涉及行政许可的，凭许可证件经营）。</w:t>
      </w:r>
      <w:r>
        <w:rPr>
          <w:spacing w:val="-2"/>
        </w:rPr>
      </w:r>
    </w:p>
    <w:p>
      <w:pPr>
        <w:spacing w:line="240" w:lineRule="auto" w:before="0"/>
        <w:rPr>
          <w:rFonts w:ascii="宋体" w:hAnsi="宋体" w:cs="宋体" w:eastAsia="宋体" w:hint="default"/>
          <w:sz w:val="20"/>
          <w:szCs w:val="20"/>
        </w:rPr>
      </w:pPr>
    </w:p>
    <w:p>
      <w:pPr>
        <w:pStyle w:val="BodyText"/>
        <w:spacing w:line="240" w:lineRule="auto" w:before="155"/>
        <w:ind w:left="535" w:right="0"/>
        <w:jc w:val="left"/>
      </w:pPr>
      <w:r>
        <w:rPr/>
        <w:t>二、财务报表的编制基础</w:t>
      </w:r>
    </w:p>
    <w:p>
      <w:pPr>
        <w:pStyle w:val="BodyText"/>
        <w:spacing w:line="321" w:lineRule="auto" w:before="114"/>
        <w:ind w:left="535" w:right="0"/>
        <w:jc w:val="left"/>
      </w:pPr>
      <w:r>
        <w:rPr/>
        <w:t>本公司执行财政部</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15 </w:t>
      </w:r>
      <w:r>
        <w:rPr/>
        <w:t>日颁布的《企业会计准则》及其后续规定。</w:t>
      </w:r>
      <w:r>
        <w:rPr>
          <w:w w:val="99"/>
        </w:rPr>
        <w:t> </w:t>
      </w:r>
      <w:r>
        <w:rPr>
          <w:w w:val="95"/>
        </w:rPr>
        <w:t>本公司财务报表以持续经营假设为基础，根据实际发生的交易和事项，按照《企业会计准则》及其应</w:t>
      </w:r>
      <w:r>
        <w:rPr/>
      </w:r>
    </w:p>
    <w:p>
      <w:pPr>
        <w:pStyle w:val="BodyText"/>
        <w:spacing w:line="240" w:lineRule="auto" w:before="45"/>
        <w:ind w:right="0"/>
        <w:jc w:val="left"/>
      </w:pPr>
      <w:r>
        <w:rPr/>
        <w:t>用指南和其他相关规定，并基于本附注第四部分所述的主要会计政策、会计估计而编制。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35" w:right="0"/>
        <w:jc w:val="left"/>
      </w:pPr>
      <w:r>
        <w:rPr/>
        <w:t>三、遵循企业会计准则的声明</w:t>
      </w:r>
    </w:p>
    <w:p>
      <w:pPr>
        <w:pStyle w:val="BodyText"/>
        <w:spacing w:line="324" w:lineRule="auto" w:before="114"/>
        <w:ind w:right="228" w:firstLine="422"/>
        <w:jc w:val="left"/>
      </w:pPr>
      <w:r>
        <w:rPr/>
        <w:t>本公司编制的财务报表及附注符合财政部</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日颁布的《企业会计准则》及其应用指南和</w:t>
      </w:r>
      <w:r>
        <w:rPr>
          <w:w w:val="99"/>
        </w:rPr>
        <w:t> </w:t>
      </w:r>
      <w:r>
        <w:rPr/>
        <w:t>其他相关规定的要求，真实、完整地反映了本公司的财务状况、经营成果和现金流量等有关信息。</w:t>
      </w:r>
    </w:p>
    <w:p>
      <w:pPr>
        <w:spacing w:line="240" w:lineRule="auto" w:before="0"/>
        <w:rPr>
          <w:rFonts w:ascii="宋体" w:hAnsi="宋体" w:cs="宋体" w:eastAsia="宋体" w:hint="default"/>
          <w:sz w:val="20"/>
          <w:szCs w:val="20"/>
        </w:rPr>
      </w:pPr>
    </w:p>
    <w:p>
      <w:pPr>
        <w:pStyle w:val="BodyText"/>
        <w:spacing w:line="240" w:lineRule="auto" w:before="170"/>
        <w:ind w:left="535" w:right="0"/>
        <w:jc w:val="left"/>
      </w:pPr>
      <w:r>
        <w:rPr/>
        <w:t>四、主要会计政策、会计估计</w:t>
      </w:r>
    </w:p>
    <w:p>
      <w:pPr>
        <w:pStyle w:val="BodyText"/>
        <w:spacing w:line="240" w:lineRule="auto" w:before="116"/>
        <w:ind w:left="535" w:right="0"/>
        <w:jc w:val="left"/>
      </w:pPr>
      <w:r>
        <w:rPr>
          <w:rFonts w:ascii="Times New Roman" w:hAnsi="Times New Roman" w:cs="Times New Roman" w:eastAsia="Times New Roman" w:hint="default"/>
        </w:rPr>
        <w:t>1</w:t>
      </w:r>
      <w:r>
        <w:rPr/>
        <w:t>、会计年度</w:t>
      </w:r>
    </w:p>
    <w:p>
      <w:pPr>
        <w:pStyle w:val="BodyText"/>
        <w:spacing w:line="240" w:lineRule="auto" w:before="98"/>
        <w:ind w:left="535" w:right="0"/>
        <w:jc w:val="left"/>
      </w:pPr>
      <w:r>
        <w:rPr/>
        <w:t>本公司会计年度为公历</w:t>
      </w:r>
      <w:r>
        <w:rPr>
          <w:spacing w:val="-56"/>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 </w:t>
      </w:r>
      <w:r>
        <w:rPr/>
        <w:t>日。</w:t>
      </w:r>
    </w:p>
    <w:p>
      <w:pPr>
        <w:pStyle w:val="BodyText"/>
        <w:spacing w:line="331" w:lineRule="auto" w:before="100"/>
        <w:ind w:left="535" w:right="6701"/>
        <w:jc w:val="left"/>
      </w:pPr>
      <w:r>
        <w:rPr>
          <w:rFonts w:ascii="Times New Roman" w:hAnsi="Times New Roman" w:cs="Times New Roman" w:eastAsia="Times New Roman" w:hint="default"/>
        </w:rPr>
        <w:t>2</w:t>
      </w:r>
      <w:r>
        <w:rPr/>
        <w:t>、记账本位币</w:t>
      </w:r>
      <w:r>
        <w:rPr>
          <w:w w:val="99"/>
        </w:rPr>
        <w:t> </w:t>
      </w:r>
      <w:r>
        <w:rPr/>
        <w:t>本公司记账本位币为人民币。</w:t>
      </w:r>
      <w:r>
        <w:rPr>
          <w:w w:val="99"/>
        </w:rPr>
        <w:t> </w:t>
      </w:r>
      <w:r>
        <w:rPr>
          <w:rFonts w:ascii="Times New Roman" w:hAnsi="Times New Roman" w:cs="Times New Roman" w:eastAsia="Times New Roman" w:hint="default"/>
        </w:rPr>
        <w:t>3</w:t>
      </w:r>
      <w:r>
        <w:rPr/>
        <w:t>、计量属性</w:t>
      </w:r>
    </w:p>
    <w:p>
      <w:pPr>
        <w:pStyle w:val="BodyText"/>
        <w:spacing w:line="340" w:lineRule="auto" w:before="9"/>
        <w:ind w:right="232" w:firstLine="422"/>
        <w:jc w:val="both"/>
      </w:pPr>
      <w:r>
        <w:rPr>
          <w:w w:val="95"/>
        </w:rPr>
        <w:t>会计核算以权责发生制为记账基础；会计计量属性一般采用历史成本计量，如所确定的会计要素采用</w:t>
      </w:r>
      <w:r>
        <w:rPr>
          <w:spacing w:val="-93"/>
          <w:w w:val="95"/>
        </w:rPr>
        <w:t> </w:t>
      </w:r>
      <w:r>
        <w:rPr>
          <w:spacing w:val="-93"/>
          <w:w w:val="95"/>
        </w:rPr>
      </w:r>
      <w:r>
        <w:rPr>
          <w:w w:val="95"/>
        </w:rPr>
        <w:t>重置成本、可变现净值、现值、公允价值计量金额能够取得并可靠计量，可以采用相应计量属性计量。其</w:t>
      </w:r>
      <w:r>
        <w:rPr>
          <w:spacing w:val="52"/>
          <w:w w:val="95"/>
        </w:rPr>
        <w:t> </w:t>
      </w:r>
      <w:r>
        <w:rPr>
          <w:spacing w:val="52"/>
          <w:w w:val="95"/>
        </w:rPr>
      </w:r>
      <w:r>
        <w:rPr>
          <w:w w:val="95"/>
        </w:rPr>
        <w:t>中，对金融资产和金融负债以公允价值进行初始计量，其他资产和负债按历史成本进行初始计量。对可供</w:t>
      </w:r>
      <w:r>
        <w:rPr>
          <w:spacing w:val="51"/>
          <w:w w:val="95"/>
        </w:rPr>
        <w:t> </w:t>
      </w:r>
      <w:r>
        <w:rPr>
          <w:spacing w:val="51"/>
          <w:w w:val="95"/>
        </w:rPr>
      </w:r>
      <w:r>
        <w:rPr>
          <w:w w:val="95"/>
        </w:rPr>
        <w:t>出售金融资产、以公允价值计量且变动计入当期损益的金融资产和金融负债以公允价值进行后续计量；其</w:t>
      </w:r>
      <w:r>
        <w:rPr>
          <w:spacing w:val="52"/>
          <w:w w:val="95"/>
        </w:rPr>
        <w:t> </w:t>
      </w:r>
      <w:r>
        <w:rPr>
          <w:spacing w:val="52"/>
          <w:w w:val="95"/>
        </w:rPr>
      </w:r>
      <w:r>
        <w:rPr/>
        <w:t>他资产及负债按历史成本或摊余成本进行后续计量。</w:t>
      </w:r>
    </w:p>
    <w:p>
      <w:pPr>
        <w:pStyle w:val="BodyText"/>
        <w:spacing w:line="321" w:lineRule="auto" w:before="28"/>
        <w:ind w:left="535" w:right="0"/>
        <w:jc w:val="left"/>
      </w:pPr>
      <w:r>
        <w:rPr>
          <w:rFonts w:ascii="Times New Roman" w:hAnsi="Times New Roman" w:cs="Times New Roman" w:eastAsia="Times New Roman" w:hint="default"/>
        </w:rPr>
        <w:t>4</w:t>
      </w:r>
      <w:r>
        <w:rPr/>
        <w:t>、现金等价物确定的标准</w:t>
      </w:r>
      <w:r>
        <w:rPr>
          <w:w w:val="99"/>
        </w:rPr>
        <w:t> </w:t>
      </w:r>
      <w:r>
        <w:rPr>
          <w:w w:val="95"/>
        </w:rPr>
        <w:t>本公司将持有的期限短、流动性强、易于转换为已知金额现金、价值变动风险小的投资确定为现金等</w:t>
      </w:r>
      <w:r>
        <w:rPr/>
      </w:r>
    </w:p>
    <w:p>
      <w:pPr>
        <w:spacing w:after="0" w:line="321" w:lineRule="auto"/>
        <w:jc w:val="left"/>
        <w:sectPr>
          <w:pgSz w:w="11910" w:h="16840"/>
          <w:pgMar w:header="849" w:footer="976" w:top="1460" w:bottom="1160" w:left="1020" w:right="90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7;top:118;width:62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价物。</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24" w:lineRule="auto" w:before="34"/>
        <w:ind w:left="535" w:right="0"/>
        <w:jc w:val="left"/>
      </w:pPr>
      <w:r>
        <w:rPr>
          <w:rFonts w:ascii="Times New Roman" w:hAnsi="Times New Roman" w:cs="Times New Roman" w:eastAsia="Times New Roman" w:hint="default"/>
        </w:rPr>
        <w:t>5</w:t>
      </w:r>
      <w:r>
        <w:rPr/>
        <w:t>、外币业务的折算</w:t>
      </w:r>
      <w:r>
        <w:rPr>
          <w:w w:val="99"/>
        </w:rPr>
        <w:t> </w:t>
      </w:r>
      <w:r>
        <w:rPr>
          <w:w w:val="95"/>
        </w:rPr>
        <w:t>会计年度内涉及的外币经营性业务，按业务发生日中国人民银行公布的市场汇率折合为人民币入账。</w:t>
      </w:r>
      <w:r>
        <w:rPr/>
      </w:r>
    </w:p>
    <w:p>
      <w:pPr>
        <w:pStyle w:val="BodyText"/>
        <w:spacing w:line="340" w:lineRule="auto" w:before="43"/>
        <w:ind w:right="130"/>
        <w:jc w:val="both"/>
      </w:pPr>
      <w:r>
        <w:rPr>
          <w:w w:val="95"/>
        </w:rPr>
        <w:t>在资产负债表日货币性项目中的非记账本位币余额按资产负债表日中国人民银行公布的汇率进行调整，由</w:t>
      </w:r>
      <w:r>
        <w:rPr>
          <w:spacing w:val="52"/>
          <w:w w:val="95"/>
        </w:rPr>
        <w:t> </w:t>
      </w:r>
      <w:r>
        <w:rPr>
          <w:spacing w:val="52"/>
          <w:w w:val="95"/>
        </w:rPr>
      </w:r>
      <w:r>
        <w:rPr>
          <w:w w:val="95"/>
        </w:rPr>
        <w:t>此产生的折算差额属于与购建固定资产有关的外币专门借款产生的汇兑损益，按照借款费用资本化的原则</w:t>
      </w:r>
      <w:r>
        <w:rPr>
          <w:spacing w:val="52"/>
          <w:w w:val="95"/>
        </w:rPr>
        <w:t> </w:t>
      </w:r>
      <w:r>
        <w:rPr>
          <w:spacing w:val="52"/>
          <w:w w:val="95"/>
        </w:rPr>
      </w:r>
      <w:r>
        <w:rPr>
          <w:w w:val="95"/>
        </w:rPr>
        <w:t>进行处理；其他部分计入当期损益。对以历史成本计量的外币非货币性项目，采用交易发生日的即期汇率</w:t>
      </w:r>
      <w:r>
        <w:rPr>
          <w:spacing w:val="55"/>
          <w:w w:val="95"/>
        </w:rPr>
        <w:t> </w:t>
      </w:r>
      <w:r>
        <w:rPr>
          <w:spacing w:val="55"/>
          <w:w w:val="95"/>
        </w:rPr>
      </w:r>
      <w:r>
        <w:rPr>
          <w:w w:val="95"/>
        </w:rPr>
        <w:t>折算；对以公允价值计量的外币非货币性项目，采用公允价值确定日的即期汇率折算，其折算差额作为公</w:t>
      </w:r>
      <w:r>
        <w:rPr>
          <w:spacing w:val="53"/>
          <w:w w:val="95"/>
        </w:rPr>
        <w:t> </w:t>
      </w:r>
      <w:r>
        <w:rPr>
          <w:spacing w:val="53"/>
          <w:w w:val="95"/>
        </w:rPr>
      </w:r>
      <w:r>
        <w:rPr>
          <w:w w:val="95"/>
        </w:rPr>
        <w:t>允价值变动损益处理；以历史成本计量的外币非货币性项目，仍采用交易发生日的即期汇率折算，不产生</w:t>
      </w:r>
      <w:r>
        <w:rPr>
          <w:spacing w:val="51"/>
          <w:w w:val="95"/>
        </w:rPr>
        <w:t> </w:t>
      </w:r>
      <w:r>
        <w:rPr>
          <w:spacing w:val="51"/>
          <w:w w:val="95"/>
        </w:rPr>
      </w:r>
      <w:r>
        <w:rPr/>
        <w:t>汇兑差额。</w:t>
      </w:r>
    </w:p>
    <w:p>
      <w:pPr>
        <w:pStyle w:val="BodyText"/>
        <w:spacing w:line="240" w:lineRule="auto" w:before="28"/>
        <w:ind w:left="535" w:right="0"/>
        <w:jc w:val="left"/>
      </w:pPr>
      <w:r>
        <w:rPr>
          <w:rFonts w:ascii="Times New Roman" w:hAnsi="Times New Roman" w:cs="Times New Roman" w:eastAsia="Times New Roman" w:hint="default"/>
        </w:rPr>
        <w:t>6</w:t>
      </w:r>
      <w:r>
        <w:rPr/>
        <w:t>、金融工具</w:t>
      </w:r>
    </w:p>
    <w:p>
      <w:pPr>
        <w:pStyle w:val="BodyText"/>
        <w:spacing w:line="240" w:lineRule="auto" w:before="98"/>
        <w:ind w:left="535" w:right="0"/>
        <w:jc w:val="left"/>
      </w:pPr>
      <w:r>
        <w:rPr/>
        <w:t>（</w:t>
      </w:r>
      <w:r>
        <w:rPr>
          <w:rFonts w:ascii="Times New Roman" w:hAnsi="Times New Roman" w:cs="Times New Roman" w:eastAsia="Times New Roman" w:hint="default"/>
        </w:rPr>
        <w:t>1</w:t>
      </w:r>
      <w:r>
        <w:rPr/>
        <w:t>）金融工具分类</w:t>
      </w:r>
    </w:p>
    <w:p>
      <w:pPr>
        <w:pStyle w:val="BodyText"/>
        <w:spacing w:line="240" w:lineRule="auto" w:before="100"/>
        <w:ind w:left="535" w:right="0"/>
        <w:jc w:val="left"/>
      </w:pPr>
      <w:r>
        <w:rPr/>
        <w:t>①本公司金融资产划分为四类</w:t>
      </w:r>
    </w:p>
    <w:p>
      <w:pPr>
        <w:pStyle w:val="BodyText"/>
        <w:spacing w:line="324" w:lineRule="auto" w:before="114"/>
        <w:ind w:right="0" w:firstLine="422"/>
        <w:jc w:val="left"/>
      </w:pPr>
      <w:r>
        <w:rPr>
          <w:rFonts w:ascii="Times New Roman" w:hAnsi="Times New Roman" w:cs="Times New Roman" w:eastAsia="Times New Roman" w:hint="default"/>
        </w:rPr>
        <w:t>a</w:t>
      </w:r>
      <w:r>
        <w:rPr/>
        <w:t>、以公允价值计量且其变动计入当期损益的金融资产，包括交易性金融资产和指定为以公允价值计</w:t>
      </w:r>
      <w:r>
        <w:rPr>
          <w:w w:val="99"/>
        </w:rPr>
        <w:t> </w:t>
      </w:r>
      <w:r>
        <w:rPr/>
        <w:t>量且其变动计入当期损益的金融资产；</w:t>
      </w:r>
    </w:p>
    <w:p>
      <w:pPr>
        <w:pStyle w:val="BodyText"/>
        <w:spacing w:line="321" w:lineRule="auto" w:before="40"/>
        <w:ind w:left="535" w:right="7126"/>
        <w:jc w:val="left"/>
      </w:pPr>
      <w:r>
        <w:rPr>
          <w:rFonts w:ascii="Times New Roman" w:hAnsi="Times New Roman" w:cs="Times New Roman" w:eastAsia="Times New Roman" w:hint="default"/>
        </w:rPr>
        <w:t>b</w:t>
      </w:r>
      <w:r>
        <w:rPr/>
        <w:t>、持有至到期投资；</w:t>
      </w:r>
      <w:r>
        <w:rPr>
          <w:w w:val="99"/>
        </w:rPr>
        <w:t> </w:t>
      </w:r>
      <w:r>
        <w:rPr>
          <w:rFonts w:ascii="Times New Roman" w:hAnsi="Times New Roman" w:cs="Times New Roman" w:eastAsia="Times New Roman" w:hint="default"/>
        </w:rPr>
        <w:t>c</w:t>
      </w:r>
      <w:r>
        <w:rPr/>
        <w:t>、贷款和应收款项；</w:t>
      </w:r>
      <w:r>
        <w:rPr>
          <w:w w:val="99"/>
        </w:rPr>
        <w:t> </w:t>
      </w:r>
      <w:r>
        <w:rPr>
          <w:rFonts w:ascii="Times New Roman" w:hAnsi="Times New Roman" w:cs="Times New Roman" w:eastAsia="Times New Roman" w:hint="default"/>
        </w:rPr>
        <w:t>d</w:t>
      </w:r>
      <w:r>
        <w:rPr/>
        <w:t>、可供出售金融资产。</w:t>
      </w:r>
    </w:p>
    <w:p>
      <w:pPr>
        <w:pStyle w:val="BodyText"/>
        <w:spacing w:line="240" w:lineRule="auto" w:before="19"/>
        <w:ind w:left="535" w:right="0"/>
        <w:jc w:val="left"/>
      </w:pPr>
      <w:r>
        <w:rPr/>
        <w:t>②本公司金融负债划分为两类</w:t>
      </w:r>
    </w:p>
    <w:p>
      <w:pPr>
        <w:pStyle w:val="BodyText"/>
        <w:spacing w:line="321" w:lineRule="auto" w:before="116"/>
        <w:ind w:right="0" w:firstLine="422"/>
        <w:jc w:val="left"/>
      </w:pPr>
      <w:r>
        <w:rPr>
          <w:rFonts w:ascii="Times New Roman" w:hAnsi="Times New Roman" w:cs="Times New Roman" w:eastAsia="Times New Roman" w:hint="default"/>
        </w:rPr>
        <w:t>a</w:t>
      </w:r>
      <w:r>
        <w:rPr/>
        <w:t>、以公允价值计量且其变动计入当期损益的金融负债，包括交易性金融负债和指定为以公允价值计</w:t>
      </w:r>
      <w:r>
        <w:rPr>
          <w:w w:val="99"/>
        </w:rPr>
        <w:t> </w:t>
      </w:r>
      <w:r>
        <w:rPr/>
        <w:t>量且其变动计入当期损益的金融负债；</w:t>
      </w:r>
    </w:p>
    <w:p>
      <w:pPr>
        <w:pStyle w:val="BodyText"/>
        <w:spacing w:line="240" w:lineRule="auto" w:before="45"/>
        <w:ind w:left="535" w:right="0"/>
        <w:jc w:val="left"/>
      </w:pPr>
      <w:r>
        <w:rPr>
          <w:rFonts w:ascii="Times New Roman" w:hAnsi="Times New Roman" w:cs="Times New Roman" w:eastAsia="Times New Roman" w:hint="default"/>
        </w:rPr>
        <w:t>b</w:t>
      </w:r>
      <w:r>
        <w:rPr/>
        <w:t>、其他金融负债。</w:t>
      </w:r>
    </w:p>
    <w:p>
      <w:pPr>
        <w:pStyle w:val="BodyText"/>
        <w:spacing w:line="331" w:lineRule="auto" w:before="100"/>
        <w:ind w:left="535" w:right="3241"/>
        <w:jc w:val="left"/>
      </w:pPr>
      <w:r>
        <w:rPr/>
        <w:t>（</w:t>
      </w:r>
      <w:r>
        <w:rPr>
          <w:rFonts w:ascii="Times New Roman" w:hAnsi="Times New Roman" w:cs="Times New Roman" w:eastAsia="Times New Roman" w:hint="default"/>
        </w:rPr>
        <w:t>2</w:t>
      </w:r>
      <w:r>
        <w:rPr/>
        <w:t>）金融工具确认</w:t>
      </w:r>
      <w:r>
        <w:rPr>
          <w:w w:val="99"/>
        </w:rPr>
        <w:t> </w:t>
      </w:r>
      <w:r>
        <w:rPr/>
        <w:t>公司成为金融工具合同的一方时，确认一项金融资产或金融负债。</w:t>
      </w:r>
      <w:r>
        <w:rPr>
          <w:w w:val="99"/>
        </w:rPr>
        <w:t> </w:t>
      </w:r>
      <w:r>
        <w:rPr/>
        <w:t>金融资产满足下列条件之一时，终止确认：</w:t>
      </w:r>
    </w:p>
    <w:p>
      <w:pPr>
        <w:pStyle w:val="BodyText"/>
        <w:spacing w:line="240" w:lineRule="auto" w:before="34"/>
        <w:ind w:left="535" w:right="0"/>
        <w:jc w:val="left"/>
      </w:pPr>
      <w:r>
        <w:rPr/>
        <w:t>①收取该金融资产现金流量的合同权利终止。</w:t>
      </w:r>
    </w:p>
    <w:p>
      <w:pPr>
        <w:pStyle w:val="BodyText"/>
        <w:spacing w:line="338" w:lineRule="auto" w:before="116"/>
        <w:ind w:left="535" w:right="0"/>
        <w:jc w:val="left"/>
      </w:pPr>
      <w:r>
        <w:rPr>
          <w:w w:val="95"/>
        </w:rPr>
        <w:t>②该金融资产发生转移的，当本公司已将金融资产所有权上的几乎所有风险和报酬转移给转入方时。</w:t>
      </w:r>
      <w:r>
        <w:rPr>
          <w:spacing w:val="50"/>
          <w:w w:val="95"/>
        </w:rPr>
        <w:t> </w:t>
      </w:r>
      <w:r>
        <w:rPr>
          <w:spacing w:val="50"/>
          <w:w w:val="95"/>
        </w:rPr>
      </w:r>
      <w:r>
        <w:rPr/>
        <w:t>当金融负债的现时义务全部或部分已经解除的，终止确认该金融负债或其一部分。</w:t>
      </w:r>
    </w:p>
    <w:p>
      <w:pPr>
        <w:pStyle w:val="BodyText"/>
        <w:spacing w:line="321" w:lineRule="auto" w:before="30"/>
        <w:ind w:left="535" w:right="0"/>
        <w:jc w:val="left"/>
      </w:pPr>
      <w:r>
        <w:rPr/>
        <w:t>（</w:t>
      </w:r>
      <w:r>
        <w:rPr>
          <w:rFonts w:ascii="Times New Roman" w:hAnsi="Times New Roman" w:cs="Times New Roman" w:eastAsia="Times New Roman" w:hint="default"/>
        </w:rPr>
        <w:t>3</w:t>
      </w:r>
      <w:r>
        <w:rPr/>
        <w:t>）金融工具的初始计量</w:t>
      </w:r>
      <w:r>
        <w:rPr>
          <w:w w:val="99"/>
        </w:rPr>
        <w:t> </w:t>
      </w:r>
      <w:r>
        <w:rPr>
          <w:w w:val="95"/>
        </w:rPr>
        <w:t>公司初始确认金融资产或金融负债，按照公允价值计量。对于以公允价值计量且其变动计入当期损益</w:t>
      </w:r>
      <w:r>
        <w:rPr/>
      </w:r>
    </w:p>
    <w:p>
      <w:pPr>
        <w:pStyle w:val="BodyText"/>
        <w:spacing w:line="338" w:lineRule="auto" w:before="45"/>
        <w:ind w:right="132"/>
        <w:jc w:val="both"/>
      </w:pPr>
      <w:r>
        <w:rPr>
          <w:w w:val="95"/>
        </w:rPr>
        <w:t>的金融资产或金融负债，相关交易费用计入当期损益；对于其他类别的金融资产或金融负债，相关交易费</w:t>
      </w:r>
      <w:r>
        <w:rPr>
          <w:spacing w:val="51"/>
          <w:w w:val="95"/>
        </w:rPr>
        <w:t> </w:t>
      </w:r>
      <w:r>
        <w:rPr>
          <w:spacing w:val="51"/>
          <w:w w:val="95"/>
        </w:rPr>
      </w:r>
      <w:r>
        <w:rPr/>
        <w:t>用计入初始确认金额，构成成本的组成部分。</w:t>
      </w:r>
    </w:p>
    <w:p>
      <w:pPr>
        <w:pStyle w:val="BodyText"/>
        <w:spacing w:line="240" w:lineRule="auto" w:before="30"/>
        <w:ind w:left="535" w:right="0"/>
        <w:jc w:val="left"/>
      </w:pPr>
      <w:r>
        <w:rPr/>
        <w:t>（</w:t>
      </w:r>
      <w:r>
        <w:rPr>
          <w:rFonts w:ascii="Times New Roman" w:hAnsi="Times New Roman" w:cs="Times New Roman" w:eastAsia="Times New Roman" w:hint="default"/>
        </w:rPr>
        <w:t>4</w:t>
      </w:r>
      <w:r>
        <w:rPr/>
        <w:t>）金融工具的后续计量</w:t>
      </w:r>
    </w:p>
    <w:p>
      <w:pPr>
        <w:pStyle w:val="BodyText"/>
        <w:spacing w:line="340" w:lineRule="auto" w:before="98"/>
        <w:ind w:right="0" w:firstLine="422"/>
        <w:jc w:val="left"/>
      </w:pPr>
      <w:r>
        <w:rPr>
          <w:w w:val="95"/>
        </w:rPr>
        <w:t>①以公允价值计量且其变动计入当期损益的金融资产或金融负债公允价值变动形成的利得或损失，计</w:t>
      </w:r>
      <w:r>
        <w:rPr>
          <w:spacing w:val="-93"/>
          <w:w w:val="95"/>
        </w:rPr>
        <w:t> </w:t>
      </w:r>
      <w:r>
        <w:rPr>
          <w:spacing w:val="-93"/>
          <w:w w:val="95"/>
        </w:rPr>
      </w:r>
      <w:r>
        <w:rPr/>
        <w:t>入当期损益。在终止确认时产生的利得或损失，计入当期损益；</w:t>
      </w:r>
    </w:p>
    <w:p>
      <w:pPr>
        <w:pStyle w:val="BodyText"/>
        <w:spacing w:line="240" w:lineRule="auto" w:before="25"/>
        <w:ind w:left="535" w:right="0"/>
        <w:jc w:val="left"/>
      </w:pPr>
      <w:r>
        <w:rPr/>
        <w:t>②持有至到期投资采用实际利率法，按摊余成本计量；在终止确认、发生减值或摊销时产生的利得或</w:t>
      </w:r>
    </w:p>
    <w:p>
      <w:pPr>
        <w:spacing w:after="0" w:line="240" w:lineRule="auto"/>
        <w:jc w:val="left"/>
        <w:sectPr>
          <w:pgSz w:w="11910" w:h="16840"/>
          <w:pgMar w:header="849" w:footer="976" w:top="1460" w:bottom="1160" w:left="1020" w:right="100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损失，计入当期损益。</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112" w:firstLine="422"/>
        <w:jc w:val="both"/>
      </w:pPr>
      <w:r>
        <w:rPr>
          <w:w w:val="95"/>
        </w:rPr>
        <w:t>因持有意图或能力发生改变，使某项投资不再适合划分为持有至到期投资的，将其重分类为可供出售</w:t>
      </w:r>
      <w:r>
        <w:rPr>
          <w:spacing w:val="-94"/>
          <w:w w:val="95"/>
        </w:rPr>
        <w:t> </w:t>
      </w:r>
      <w:r>
        <w:rPr>
          <w:spacing w:val="-94"/>
          <w:w w:val="95"/>
        </w:rPr>
      </w:r>
      <w:r>
        <w:rPr>
          <w:w w:val="95"/>
        </w:rPr>
        <w:t>金融资产，并以公允价值进行后续计量。重分类日，该投资的账面价值与公允价值之间的差额计入所有者</w:t>
      </w:r>
      <w:r>
        <w:rPr>
          <w:spacing w:val="52"/>
          <w:w w:val="95"/>
        </w:rPr>
        <w:t> </w:t>
      </w:r>
      <w:r>
        <w:rPr>
          <w:spacing w:val="52"/>
          <w:w w:val="95"/>
        </w:rPr>
      </w:r>
      <w:r>
        <w:rPr/>
        <w:t>权益，在该可供出售金融资产发生减值或终止确认时转出，计入当期损益；</w:t>
      </w:r>
    </w:p>
    <w:p>
      <w:pPr>
        <w:pStyle w:val="BodyText"/>
        <w:spacing w:line="338" w:lineRule="auto" w:before="25"/>
        <w:ind w:right="110" w:firstLine="422"/>
        <w:jc w:val="both"/>
      </w:pPr>
      <w:r>
        <w:rPr>
          <w:w w:val="95"/>
        </w:rPr>
        <w:t>③贷款和应收款项采用实际利率法，按摊余成本计量；在终止确认、发生减值或摊销时产生的利得或</w:t>
      </w:r>
      <w:r>
        <w:rPr>
          <w:spacing w:val="-90"/>
          <w:w w:val="95"/>
        </w:rPr>
        <w:t> </w:t>
      </w:r>
      <w:r>
        <w:rPr>
          <w:spacing w:val="-90"/>
          <w:w w:val="95"/>
        </w:rPr>
      </w:r>
      <w:r>
        <w:rPr/>
        <w:t>损失，计入当期损益；</w:t>
      </w:r>
    </w:p>
    <w:p>
      <w:pPr>
        <w:pStyle w:val="BodyText"/>
        <w:spacing w:line="340" w:lineRule="auto" w:before="30"/>
        <w:ind w:right="112" w:firstLine="422"/>
        <w:jc w:val="both"/>
      </w:pPr>
      <w:r>
        <w:rPr>
          <w:w w:val="95"/>
        </w:rPr>
        <w:t>④可供出售金融资产公允价值变动形成的利得或损失，除减值损失和外币货币性金融资产形成的汇兑</w:t>
      </w:r>
      <w:r>
        <w:rPr>
          <w:spacing w:val="-93"/>
          <w:w w:val="95"/>
        </w:rPr>
        <w:t> </w:t>
      </w:r>
      <w:r>
        <w:rPr>
          <w:spacing w:val="-93"/>
          <w:w w:val="95"/>
        </w:rPr>
      </w:r>
      <w:r>
        <w:rPr>
          <w:w w:val="95"/>
        </w:rPr>
        <w:t>差额外，直接计入所有者权益，在该金融资产终止确认时转出，计入当期损益。可供出售外币货币性金融</w:t>
      </w:r>
      <w:r>
        <w:rPr>
          <w:spacing w:val="52"/>
          <w:w w:val="95"/>
        </w:rPr>
        <w:t> </w:t>
      </w:r>
      <w:r>
        <w:rPr>
          <w:spacing w:val="52"/>
          <w:w w:val="95"/>
        </w:rPr>
      </w:r>
      <w:r>
        <w:rPr>
          <w:w w:val="95"/>
        </w:rPr>
        <w:t>资产形成的汇兑差额，计入当期损益。采用实际利率法计算的可供出售金融资产的利息，计入当期损益；</w:t>
      </w:r>
      <w:r>
        <w:rPr>
          <w:spacing w:val="51"/>
          <w:w w:val="95"/>
        </w:rPr>
        <w:t> </w:t>
      </w:r>
      <w:r>
        <w:rPr>
          <w:spacing w:val="51"/>
          <w:w w:val="95"/>
        </w:rPr>
      </w:r>
      <w:r>
        <w:rPr>
          <w:w w:val="95"/>
        </w:rPr>
        <w:t>可供出售权益工具投资的现金股利，应当在被投资单位宣告发放股利时计入当期损益。在终止确认时产生</w:t>
      </w:r>
      <w:r>
        <w:rPr>
          <w:spacing w:val="52"/>
          <w:w w:val="95"/>
        </w:rPr>
        <w:t> </w:t>
      </w:r>
      <w:r>
        <w:rPr>
          <w:spacing w:val="52"/>
          <w:w w:val="95"/>
        </w:rPr>
      </w:r>
      <w:r>
        <w:rPr/>
        <w:t>的利得或损失，计入当期损益；</w:t>
      </w:r>
    </w:p>
    <w:p>
      <w:pPr>
        <w:pStyle w:val="BodyText"/>
        <w:spacing w:line="240" w:lineRule="auto" w:before="28"/>
        <w:ind w:left="535" w:right="0"/>
        <w:jc w:val="left"/>
      </w:pPr>
      <w:r>
        <w:rPr/>
        <w:t>（</w:t>
      </w:r>
      <w:r>
        <w:rPr>
          <w:rFonts w:ascii="Times New Roman" w:hAnsi="Times New Roman" w:cs="Times New Roman" w:eastAsia="Times New Roman" w:hint="default"/>
        </w:rPr>
        <w:t>5</w:t>
      </w:r>
      <w:r>
        <w:rPr/>
        <w:t>）主要金融资产和金融负债的公允价值确定方法</w:t>
      </w:r>
    </w:p>
    <w:p>
      <w:pPr>
        <w:pStyle w:val="BodyText"/>
        <w:spacing w:line="240" w:lineRule="auto" w:before="98"/>
        <w:ind w:left="535" w:right="0"/>
        <w:jc w:val="left"/>
      </w:pPr>
      <w:r>
        <w:rPr/>
        <w:t>①存在活跃市场的金融资产或金融负债，活跃市场中的报价用于确定其公允价值。</w:t>
      </w:r>
    </w:p>
    <w:p>
      <w:pPr>
        <w:pStyle w:val="BodyText"/>
        <w:spacing w:line="240" w:lineRule="auto" w:before="116"/>
        <w:ind w:left="535" w:right="0"/>
        <w:jc w:val="left"/>
      </w:pPr>
      <w:r>
        <w:rPr/>
        <w:t>②金融工具不存在活跃市场的，公司采用估值技术确定其公允价值。</w:t>
      </w:r>
    </w:p>
    <w:p>
      <w:pPr>
        <w:pStyle w:val="BodyText"/>
        <w:spacing w:line="240" w:lineRule="auto" w:before="114"/>
        <w:ind w:left="535" w:right="0"/>
        <w:jc w:val="left"/>
      </w:pPr>
      <w:r>
        <w:rPr/>
        <w:t>③初始取得或源生的金融资产或承担的金融负债，应当以市场交易价格作为确定其公允值的基础。</w:t>
      </w:r>
    </w:p>
    <w:p>
      <w:pPr>
        <w:pStyle w:val="BodyText"/>
        <w:spacing w:line="340" w:lineRule="auto" w:before="114"/>
        <w:ind w:right="112" w:firstLine="422"/>
        <w:jc w:val="both"/>
      </w:pPr>
      <w:r>
        <w:rPr>
          <w:w w:val="95"/>
        </w:rPr>
        <w:t>④采用未来现金流量折现法确定金融工具公允价值的，使用合同条款和特征在实质上相同的其他金融</w:t>
      </w:r>
      <w:r>
        <w:rPr>
          <w:spacing w:val="-93"/>
          <w:w w:val="95"/>
        </w:rPr>
        <w:t> </w:t>
      </w:r>
      <w:r>
        <w:rPr>
          <w:spacing w:val="-93"/>
          <w:w w:val="95"/>
        </w:rPr>
      </w:r>
      <w:r>
        <w:rPr>
          <w:w w:val="95"/>
        </w:rPr>
        <w:t>工具的市场收益率作为折现率。没有标明利率的短期应收款项和应付款项的现值与实际交易价格相差很小</w:t>
      </w:r>
      <w:r>
        <w:rPr>
          <w:spacing w:val="52"/>
          <w:w w:val="95"/>
        </w:rPr>
        <w:t> </w:t>
      </w:r>
      <w:r>
        <w:rPr>
          <w:spacing w:val="52"/>
          <w:w w:val="95"/>
        </w:rPr>
      </w:r>
      <w:r>
        <w:rPr/>
        <w:t>的，按照实际交易价格计量。</w:t>
      </w:r>
    </w:p>
    <w:p>
      <w:pPr>
        <w:pStyle w:val="BodyText"/>
        <w:spacing w:line="321" w:lineRule="auto" w:before="28"/>
        <w:ind w:left="535" w:right="0"/>
        <w:jc w:val="left"/>
      </w:pPr>
      <w:r>
        <w:rPr/>
        <w:t>（</w:t>
      </w:r>
      <w:r>
        <w:rPr>
          <w:rFonts w:ascii="Times New Roman" w:hAnsi="Times New Roman" w:cs="Times New Roman" w:eastAsia="Times New Roman" w:hint="default"/>
        </w:rPr>
        <w:t>6</w:t>
      </w:r>
      <w:r>
        <w:rPr/>
        <w:t>）减值测试方法和减值准备计提方法</w:t>
      </w:r>
      <w:r>
        <w:rPr>
          <w:w w:val="99"/>
        </w:rPr>
        <w:t> </w:t>
      </w:r>
      <w:r>
        <w:rPr>
          <w:spacing w:val="3"/>
        </w:rPr>
        <w:t>公司在资产负债表日对以公允价值计量且其变动计入当期损益的金融资产以外的金融资产的账面价</w:t>
      </w:r>
    </w:p>
    <w:p>
      <w:pPr>
        <w:pStyle w:val="BodyText"/>
        <w:spacing w:line="340" w:lineRule="auto" w:before="45"/>
        <w:ind w:right="0"/>
        <w:jc w:val="left"/>
      </w:pPr>
      <w:r>
        <w:rPr>
          <w:w w:val="95"/>
        </w:rPr>
        <w:t>值进行检查，有客观证据表明该金融资产发生减值的，将该金融资产的账面价值与预计未来现金流量（不</w:t>
      </w:r>
      <w:r>
        <w:rPr>
          <w:spacing w:val="53"/>
          <w:w w:val="95"/>
        </w:rPr>
        <w:t> </w:t>
      </w:r>
      <w:r>
        <w:rPr>
          <w:spacing w:val="53"/>
          <w:w w:val="95"/>
        </w:rPr>
      </w:r>
      <w:r>
        <w:rPr/>
        <w:t>包括尚未发生的未来信用损失）现值的差额，计提减值准备。</w:t>
      </w:r>
    </w:p>
    <w:p>
      <w:pPr>
        <w:pStyle w:val="BodyText"/>
        <w:spacing w:line="340" w:lineRule="auto" w:before="25"/>
        <w:ind w:right="112" w:firstLine="422"/>
        <w:jc w:val="both"/>
      </w:pPr>
      <w:r>
        <w:rPr>
          <w:w w:val="95"/>
        </w:rPr>
        <w:t>①对于单项金额重大的持有至到期投资和应收款项，单独进行减值测试，有客观证据表明其发生了减</w:t>
      </w:r>
      <w:r>
        <w:rPr>
          <w:spacing w:val="-93"/>
          <w:w w:val="95"/>
        </w:rPr>
        <w:t> </w:t>
      </w:r>
      <w:r>
        <w:rPr>
          <w:spacing w:val="-93"/>
          <w:w w:val="95"/>
        </w:rPr>
      </w:r>
      <w:r>
        <w:rPr/>
        <w:t>值的，根据其未来现金流量现值低于其账面价值的差额，确认减值损失，计提减值准备。</w:t>
      </w:r>
    </w:p>
    <w:p>
      <w:pPr>
        <w:pStyle w:val="BodyText"/>
        <w:spacing w:line="340" w:lineRule="auto" w:before="25"/>
        <w:ind w:right="112" w:firstLine="422"/>
        <w:jc w:val="both"/>
      </w:pPr>
      <w:r>
        <w:rPr>
          <w:spacing w:val="3"/>
        </w:rPr>
        <w:t>②对于单项金额非重大的持有至到期投资和应收款项以及经单独测试后未减值的单项重大的持有至</w:t>
      </w:r>
      <w:r>
        <w:rPr>
          <w:w w:val="99"/>
        </w:rPr>
        <w:t> </w:t>
      </w:r>
      <w:r>
        <w:rPr>
          <w:w w:val="95"/>
        </w:rPr>
        <w:t>到期投资，按类似信用风险特征划分为若干组合，再按这些组合在资产负债表日余额的一定比例计算确定</w:t>
      </w:r>
      <w:r>
        <w:rPr>
          <w:spacing w:val="52"/>
          <w:w w:val="95"/>
        </w:rPr>
        <w:t> </w:t>
      </w:r>
      <w:r>
        <w:rPr>
          <w:spacing w:val="52"/>
          <w:w w:val="95"/>
        </w:rPr>
      </w:r>
      <w:r>
        <w:rPr/>
        <w:t>减值损失，计提减值准备。</w:t>
      </w:r>
    </w:p>
    <w:p>
      <w:pPr>
        <w:pStyle w:val="BodyText"/>
        <w:spacing w:line="338" w:lineRule="auto" w:before="28"/>
        <w:ind w:right="112" w:firstLine="422"/>
        <w:jc w:val="both"/>
      </w:pPr>
      <w:r>
        <w:rPr>
          <w:w w:val="95"/>
        </w:rPr>
        <w:t>期末，如果可供出售金额资产的公允价值发生较大幅度下降，或在综合考虑各种相关因素后，预期这</w:t>
      </w:r>
      <w:r>
        <w:rPr>
          <w:spacing w:val="-95"/>
          <w:w w:val="95"/>
        </w:rPr>
        <w:t> </w:t>
      </w:r>
      <w:r>
        <w:rPr>
          <w:spacing w:val="-95"/>
          <w:w w:val="95"/>
        </w:rPr>
      </w:r>
      <w:r>
        <w:rPr/>
        <w:t>种下降趋势属于非暂时性的，则按其公允价值低于其账面价值的差额，确认减值损失，计提减值准备。</w:t>
      </w:r>
    </w:p>
    <w:p>
      <w:pPr>
        <w:pStyle w:val="BodyText"/>
        <w:spacing w:line="321" w:lineRule="auto" w:before="30"/>
        <w:ind w:left="535" w:right="5951"/>
        <w:jc w:val="left"/>
      </w:pPr>
      <w:r>
        <w:rPr>
          <w:rFonts w:ascii="Times New Roman" w:hAnsi="Times New Roman" w:cs="Times New Roman" w:eastAsia="Times New Roman" w:hint="default"/>
        </w:rPr>
        <w:t>7</w:t>
      </w:r>
      <w:r>
        <w:rPr/>
        <w:t>、应收款项</w:t>
      </w:r>
      <w:r>
        <w:rPr>
          <w:w w:val="99"/>
        </w:rPr>
        <w:t> </w:t>
      </w:r>
      <w:r>
        <w:rPr/>
        <w:t>公司应收款项坏账核算采用备抵法。</w:t>
      </w:r>
    </w:p>
    <w:p>
      <w:pPr>
        <w:pStyle w:val="BodyText"/>
        <w:spacing w:line="340" w:lineRule="auto" w:before="45"/>
        <w:ind w:right="112" w:firstLine="422"/>
        <w:jc w:val="both"/>
      </w:pPr>
      <w:r>
        <w:rPr>
          <w:w w:val="95"/>
        </w:rPr>
        <w:t>对于单项金额重大的应收款项，单独进行减值测试。对个别回收风险显著不同的款项采用个别认定法</w:t>
      </w:r>
      <w:r>
        <w:rPr>
          <w:spacing w:val="-93"/>
          <w:w w:val="95"/>
        </w:rPr>
        <w:t> </w:t>
      </w:r>
      <w:r>
        <w:rPr>
          <w:spacing w:val="-93"/>
          <w:w w:val="95"/>
        </w:rPr>
      </w:r>
      <w:r>
        <w:rPr>
          <w:w w:val="95"/>
        </w:rPr>
        <w:t>进行计提。然后将其余款项（含前述单独进行减值测试未发生减值的应收款项）按账龄划分为若干个应收</w:t>
      </w:r>
      <w:r>
        <w:rPr>
          <w:spacing w:val="52"/>
          <w:w w:val="95"/>
        </w:rPr>
        <w:t> </w:t>
      </w:r>
      <w:r>
        <w:rPr>
          <w:spacing w:val="52"/>
          <w:w w:val="95"/>
        </w:rPr>
      </w:r>
      <w:r>
        <w:rPr/>
        <w:t>款项组合，并估计每个组合发生减值的可能性，以此来确定相应的坏账准备。具体计提比例如下：</w:t>
      </w:r>
    </w:p>
    <w:p>
      <w:pPr>
        <w:tabs>
          <w:tab w:pos="4226" w:val="left" w:leader="none"/>
        </w:tabs>
        <w:spacing w:before="25"/>
        <w:ind w:left="0" w:right="1269" w:firstLine="0"/>
        <w:jc w:val="center"/>
        <w:rPr>
          <w:rFonts w:ascii="宋体" w:hAnsi="宋体" w:cs="宋体" w:eastAsia="宋体" w:hint="default"/>
          <w:sz w:val="18"/>
          <w:szCs w:val="18"/>
        </w:rPr>
      </w:pPr>
      <w:r>
        <w:rPr>
          <w:rFonts w:ascii="宋体" w:hAnsi="宋体" w:cs="宋体" w:eastAsia="宋体" w:hint="default"/>
          <w:sz w:val="18"/>
          <w:szCs w:val="18"/>
        </w:rPr>
        <w:t>账龄</w:t>
        <w:tab/>
        <w:t>计提比例</w:t>
      </w:r>
    </w:p>
    <w:p>
      <w:pPr>
        <w:spacing w:line="240" w:lineRule="auto" w:before="2"/>
        <w:rPr>
          <w:rFonts w:ascii="宋体" w:hAnsi="宋体" w:cs="宋体" w:eastAsia="宋体" w:hint="default"/>
          <w:sz w:val="6"/>
          <w:szCs w:val="6"/>
        </w:rPr>
      </w:pPr>
    </w:p>
    <w:p>
      <w:pPr>
        <w:tabs>
          <w:tab w:pos="4780" w:val="left" w:leader="none"/>
        </w:tabs>
        <w:spacing w:line="20" w:lineRule="exact"/>
        <w:ind w:left="108" w:right="0" w:firstLine="0"/>
        <w:rPr>
          <w:rFonts w:ascii="宋体" w:hAnsi="宋体" w:cs="宋体" w:eastAsia="宋体" w:hint="default"/>
          <w:sz w:val="2"/>
          <w:szCs w:val="2"/>
        </w:rPr>
      </w:pPr>
      <w:r>
        <w:rPr>
          <w:rFonts w:ascii="宋体"/>
          <w:sz w:val="2"/>
        </w:rPr>
        <w:pict>
          <v:group style="width:189.5pt;height:.5pt;mso-position-horizontal-relative:char;mso-position-vertical-relative:line" coordorigin="0,0" coordsize="3790,10">
            <v:group style="position:absolute;left:5;top:5;width:3780;height:2" coordorigin="5,5" coordsize="3780,2">
              <v:shape style="position:absolute;left:5;top:5;width:3780;height:2" coordorigin="5,5" coordsize="3780,0" path="m5,5l3785,5e" filled="false" stroked="true" strokeweight=".48pt" strokecolor="#000000">
                <v:path arrowok="t"/>
              </v:shape>
            </v:group>
          </v:group>
        </w:pict>
      </w:r>
      <w:r>
        <w:rPr>
          <w:rFonts w:ascii="宋体"/>
          <w:sz w:val="2"/>
        </w:rPr>
      </w:r>
      <w:r>
        <w:rPr>
          <w:rFonts w:ascii="宋体"/>
          <w:sz w:val="2"/>
        </w:rPr>
        <w:tab/>
      </w:r>
      <w:r>
        <w:rPr>
          <w:rFonts w:ascii="宋体"/>
          <w:sz w:val="2"/>
        </w:rPr>
        <w:pict>
          <v:group style="width:162.85pt;height:.5pt;mso-position-horizontal-relative:char;mso-position-vertical-relative:line" coordorigin="0,0" coordsize="3257,10">
            <v:group style="position:absolute;left:5;top:5;width:3248;height:2" coordorigin="5,5" coordsize="3248,2">
              <v:shape style="position:absolute;left:5;top:5;width:3248;height:2" coordorigin="5,5" coordsize="3248,0" path="m5,5l3252,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49" w:footer="976" w:top="1460" w:bottom="1160" w:left="1020" w:right="1020"/>
        </w:sectPr>
      </w:pPr>
    </w:p>
    <w:p>
      <w:pPr>
        <w:spacing w:line="240" w:lineRule="auto" w:before="5"/>
        <w:rPr>
          <w:rFonts w:ascii="宋体" w:hAnsi="宋体" w:cs="宋体" w:eastAsia="宋体" w:hint="default"/>
          <w:sz w:val="3"/>
          <w:szCs w:val="3"/>
        </w:rPr>
      </w:pPr>
    </w:p>
    <w:tbl>
      <w:tblPr>
        <w:tblW w:w="0" w:type="auto"/>
        <w:jc w:val="left"/>
        <w:tblInd w:w="1181" w:type="dxa"/>
        <w:tblLayout w:type="fixed"/>
        <w:tblCellMar>
          <w:top w:w="0" w:type="dxa"/>
          <w:left w:w="0" w:type="dxa"/>
          <w:bottom w:w="0" w:type="dxa"/>
          <w:right w:w="0" w:type="dxa"/>
        </w:tblCellMar>
        <w:tblLook w:val="01E0"/>
      </w:tblPr>
      <w:tblGrid>
        <w:gridCol w:w="3315"/>
        <w:gridCol w:w="2161"/>
      </w:tblGrid>
      <w:tr>
        <w:trPr>
          <w:trHeight w:val="36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67" w:right="0"/>
              <w:jc w:val="center"/>
              <w:rPr>
                <w:rFonts w:ascii="Times New Roman" w:hAnsi="Times New Roman" w:cs="Times New Roman" w:eastAsia="Times New Roman" w:hint="default"/>
                <w:sz w:val="18"/>
                <w:szCs w:val="18"/>
              </w:rPr>
            </w:pPr>
            <w:r>
              <w:rPr>
                <w:rFonts w:ascii="Times New Roman"/>
                <w:sz w:val="18"/>
              </w:rPr>
              <w:t>5%</w:t>
            </w:r>
          </w:p>
        </w:tc>
      </w:tr>
      <w:tr>
        <w:trPr>
          <w:trHeight w:val="341"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6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70" w:right="0"/>
              <w:jc w:val="center"/>
              <w:rPr>
                <w:rFonts w:ascii="Times New Roman" w:hAnsi="Times New Roman" w:cs="Times New Roman" w:eastAsia="Times New Roman" w:hint="default"/>
                <w:sz w:val="18"/>
                <w:szCs w:val="18"/>
              </w:rPr>
            </w:pPr>
            <w:r>
              <w:rPr>
                <w:rFonts w:ascii="Times New Roman"/>
                <w:sz w:val="18"/>
              </w:rPr>
              <w:t>10%</w:t>
            </w:r>
          </w:p>
        </w:tc>
      </w:tr>
      <w:tr>
        <w:trPr>
          <w:trHeight w:val="340"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68"/>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70" w:right="0"/>
              <w:jc w:val="center"/>
              <w:rPr>
                <w:rFonts w:ascii="Times New Roman" w:hAnsi="Times New Roman" w:cs="Times New Roman" w:eastAsia="Times New Roman" w:hint="default"/>
                <w:sz w:val="18"/>
                <w:szCs w:val="18"/>
              </w:rPr>
            </w:pPr>
            <w:r>
              <w:rPr>
                <w:rFonts w:ascii="Times New Roman"/>
                <w:sz w:val="18"/>
              </w:rPr>
              <w:t>30%</w:t>
            </w:r>
          </w:p>
        </w:tc>
      </w:tr>
      <w:tr>
        <w:trPr>
          <w:trHeight w:val="340"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6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70" w:right="0"/>
              <w:jc w:val="center"/>
              <w:rPr>
                <w:rFonts w:ascii="Times New Roman" w:hAnsi="Times New Roman" w:cs="Times New Roman" w:eastAsia="Times New Roman" w:hint="default"/>
                <w:sz w:val="18"/>
                <w:szCs w:val="18"/>
              </w:rPr>
            </w:pPr>
            <w:r>
              <w:rPr>
                <w:rFonts w:ascii="Times New Roman"/>
                <w:sz w:val="18"/>
              </w:rPr>
              <w:t>50%</w:t>
            </w:r>
          </w:p>
        </w:tc>
      </w:tr>
      <w:tr>
        <w:trPr>
          <w:trHeight w:val="341"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68"/>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70" w:right="0"/>
              <w:jc w:val="center"/>
              <w:rPr>
                <w:rFonts w:ascii="Times New Roman" w:hAnsi="Times New Roman" w:cs="Times New Roman" w:eastAsia="Times New Roman" w:hint="default"/>
                <w:sz w:val="18"/>
                <w:szCs w:val="18"/>
              </w:rPr>
            </w:pPr>
            <w:r>
              <w:rPr>
                <w:rFonts w:ascii="Times New Roman"/>
                <w:sz w:val="18"/>
              </w:rPr>
              <w:t>80%</w:t>
            </w:r>
          </w:p>
        </w:tc>
      </w:tr>
      <w:tr>
        <w:trPr>
          <w:trHeight w:val="365"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7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70"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24" w:lineRule="auto"/>
        <w:ind w:left="535" w:right="0"/>
        <w:jc w:val="left"/>
      </w:pPr>
      <w:r>
        <w:rPr/>
        <w:pict>
          <v:group style="position:absolute;margin-left:56.279999pt;margin-top:-105.096344pt;width:482.65pt;height:12.4pt;mso-position-horizontal-relative:page;mso-position-vertical-relative:paragraph;z-index:-631168" coordorigin="1126,-2102" coordsize="9653,248">
            <v:shape style="position:absolute;left:1135;top:-2102;width:797;height:144" type="#_x0000_t75" stroked="false">
              <v:imagedata r:id="rId8" o:title=""/>
            </v:shape>
            <v:shape style="position:absolute;left:1966;top:-2102;width:430;height:101" type="#_x0000_t75" stroked="false">
              <v:imagedata r:id="rId9" o:title=""/>
            </v:shape>
            <v:group style="position:absolute;left:1133;top:-1948;width:1251;height:94" coordorigin="1133,-1948" coordsize="1251,94">
              <v:shape style="position:absolute;left:1133;top:-1948;width:1251;height:94" coordorigin="1133,-1948" coordsize="1251,94" path="m1133,-1855l1227,-1870,1312,-1881,1407,-1892,1511,-1903,1646,-1913,1819,-1924,2383,-1948,1133,-1855xe" filled="true" fillcolor="#074278" stroked="false">
                <v:path arrowok="t"/>
                <v:fill type="solid"/>
              </v:shape>
            </v:group>
            <v:group style="position:absolute;left:1133;top:-2083;width:9639;height:2" coordorigin="1133,-2083" coordsize="9639,2">
              <v:shape style="position:absolute;left:1133;top:-2083;width:9639;height:2" coordorigin="1133,-2083" coordsize="9639,0" path="m1133,-2083l10771,-2083e" filled="false" stroked="true" strokeweight=".72pt" strokecolor="#000000">
                <v:path arrowok="t"/>
              </v:shape>
            </v:group>
            <v:group style="position:absolute;left:1133;top:-2068;width:3780;height:2" coordorigin="1133,-2068" coordsize="3780,2">
              <v:shape style="position:absolute;left:1133;top:-2068;width:3780;height:2" coordorigin="1133,-2068" coordsize="3780,0" path="m1133,-2068l4913,-2068e" filled="false" stroked="true" strokeweight=".48pt" strokecolor="#000000">
                <v:path arrowok="t"/>
              </v:shape>
            </v:group>
            <v:group style="position:absolute;left:5806;top:-2068;width:3248;height:2" coordorigin="5806,-2068" coordsize="3248,2">
              <v:shape style="position:absolute;left:5806;top:-2068;width:3248;height:2" coordorigin="5806,-2068" coordsize="3248,0" path="m5806,-2068l9053,-2068e" filled="false" stroked="true" strokeweight=".48pt" strokecolor="#000000">
                <v:path arrowok="t"/>
              </v:shape>
            </v:group>
            <w10:wrap type="none"/>
          </v:group>
        </w:pict>
      </w:r>
      <w:r>
        <w:rPr>
          <w:rFonts w:ascii="Times New Roman" w:hAnsi="Times New Roman" w:cs="Times New Roman" w:eastAsia="Times New Roman" w:hint="default"/>
        </w:rPr>
        <w:t>8</w:t>
      </w:r>
      <w:r>
        <w:rPr/>
        <w:t>、存货</w:t>
      </w:r>
      <w:r>
        <w:rPr>
          <w:w w:val="99"/>
        </w:rPr>
        <w:t> </w:t>
      </w:r>
      <w:r>
        <w:rPr>
          <w:w w:val="95"/>
        </w:rPr>
        <w:t>公司存货分为：原材料、在产品、产成品、库存商品、周转材料等。存货取得时按实际成本计价，存</w:t>
      </w:r>
      <w:r>
        <w:rPr/>
      </w:r>
    </w:p>
    <w:p>
      <w:pPr>
        <w:pStyle w:val="BodyText"/>
        <w:spacing w:line="324" w:lineRule="auto" w:before="40"/>
        <w:ind w:right="132"/>
        <w:jc w:val="both"/>
      </w:pPr>
      <w:r>
        <w:rPr/>
        <w:t>货发出时采用加权平均法确定发出存货成本。周转材料采用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摊销，存货的盘点制度采用永续</w:t>
      </w:r>
      <w:r>
        <w:rPr>
          <w:w w:val="99"/>
        </w:rPr>
        <w:t> </w:t>
      </w:r>
      <w:r>
        <w:rPr/>
        <w:t>盘存制。期末存货采用成本与可变现净值孰低计价。</w:t>
      </w:r>
    </w:p>
    <w:p>
      <w:pPr>
        <w:pStyle w:val="BodyText"/>
        <w:spacing w:line="340" w:lineRule="auto" w:before="40"/>
        <w:ind w:left="535" w:right="0"/>
        <w:jc w:val="left"/>
      </w:pPr>
      <w:r>
        <w:rPr/>
        <w:t>应计入存货成本的借款费用，按照本公司会计政策中关于借款费用的相关规定进行处理。</w:t>
      </w:r>
      <w:r>
        <w:rPr>
          <w:w w:val="99"/>
        </w:rPr>
        <w:t> </w:t>
      </w:r>
      <w:r>
        <w:rPr>
          <w:w w:val="95"/>
        </w:rPr>
        <w:t>可变现净值的确定方法为：产成品、库存商品和用于出售的材料等直接用于出售的商品存货，在正常</w:t>
      </w:r>
      <w:r>
        <w:rPr/>
      </w:r>
    </w:p>
    <w:p>
      <w:pPr>
        <w:pStyle w:val="BodyText"/>
        <w:spacing w:line="340" w:lineRule="auto" w:before="25"/>
        <w:ind w:right="130"/>
        <w:jc w:val="both"/>
      </w:pPr>
      <w:r>
        <w:rPr>
          <w:w w:val="95"/>
        </w:rPr>
        <w:t>生产经营过程中，以该存货的估计售价减去估计的销售费用和相关税费后的金额确定其可变现净值；为执</w:t>
      </w:r>
      <w:r>
        <w:rPr>
          <w:spacing w:val="51"/>
          <w:w w:val="95"/>
        </w:rPr>
        <w:t> </w:t>
      </w:r>
      <w:r>
        <w:rPr>
          <w:spacing w:val="51"/>
          <w:w w:val="95"/>
        </w:rPr>
      </w:r>
      <w:r>
        <w:rPr>
          <w:w w:val="95"/>
        </w:rPr>
        <w:t>行销售合同或者劳务合同而持有的存货，其可变现净值以合同价格为基础计算，若持有存货的数量多于销</w:t>
      </w:r>
      <w:r>
        <w:rPr>
          <w:spacing w:val="52"/>
          <w:w w:val="95"/>
        </w:rPr>
        <w:t> </w:t>
      </w:r>
      <w:r>
        <w:rPr>
          <w:spacing w:val="52"/>
          <w:w w:val="95"/>
        </w:rPr>
      </w:r>
      <w:r>
        <w:rPr>
          <w:w w:val="95"/>
        </w:rPr>
        <w:t>售合同订购数量的，超出部分存货的可变现净值以一般销售价格为基础计算；用于生产的材料、在产品等</w:t>
      </w:r>
      <w:r>
        <w:rPr>
          <w:spacing w:val="53"/>
          <w:w w:val="95"/>
        </w:rPr>
        <w:t> </w:t>
      </w:r>
      <w:r>
        <w:rPr>
          <w:spacing w:val="53"/>
          <w:w w:val="95"/>
        </w:rPr>
      </w:r>
      <w:r>
        <w:rPr>
          <w:w w:val="95"/>
        </w:rPr>
        <w:t>需要经过加工的材料存货，在正常生产经营过程中，以所生产的产成品的估计售价减去至完工时估计将要</w:t>
      </w:r>
      <w:r>
        <w:rPr>
          <w:spacing w:val="52"/>
          <w:w w:val="95"/>
        </w:rPr>
        <w:t> </w:t>
      </w:r>
      <w:r>
        <w:rPr>
          <w:spacing w:val="52"/>
          <w:w w:val="95"/>
        </w:rPr>
      </w:r>
      <w:r>
        <w:rPr/>
        <w:t>发生的成本、估计的销售费用以及相关税费后的金额确定其可变现净值。</w:t>
      </w:r>
    </w:p>
    <w:p>
      <w:pPr>
        <w:pStyle w:val="BodyText"/>
        <w:spacing w:line="340" w:lineRule="auto" w:before="28"/>
        <w:ind w:right="132" w:firstLine="422"/>
        <w:jc w:val="both"/>
      </w:pPr>
      <w:r>
        <w:rPr>
          <w:w w:val="95"/>
        </w:rPr>
        <w:t>存货跌价准备的计提方法为：期末存货采用成本与可变现净值孰低计量，按照单个存货项目计提存货</w:t>
      </w:r>
      <w:r>
        <w:rPr>
          <w:spacing w:val="-94"/>
          <w:w w:val="95"/>
        </w:rPr>
        <w:t> </w:t>
      </w:r>
      <w:r>
        <w:rPr>
          <w:spacing w:val="-94"/>
          <w:w w:val="95"/>
        </w:rPr>
      </w:r>
      <w:r>
        <w:rPr>
          <w:w w:val="95"/>
        </w:rPr>
        <w:t>跌价准备。对于数量繁多、单价较低的存货，按照存货类别计提存货跌价准备。与在同一地区生产和销售</w:t>
      </w:r>
      <w:r>
        <w:rPr>
          <w:spacing w:val="52"/>
          <w:w w:val="95"/>
        </w:rPr>
        <w:t> </w:t>
      </w:r>
      <w:r>
        <w:rPr>
          <w:spacing w:val="52"/>
          <w:w w:val="95"/>
        </w:rPr>
      </w:r>
      <w:r>
        <w:rPr>
          <w:w w:val="95"/>
        </w:rPr>
        <w:t>的产品系列相关、具有相同或类似最终用途或目的，且难以与其他项目分开计量的存货，合并计提存货跌</w:t>
      </w:r>
      <w:r>
        <w:rPr>
          <w:spacing w:val="51"/>
          <w:w w:val="95"/>
        </w:rPr>
        <w:t> </w:t>
      </w:r>
      <w:r>
        <w:rPr>
          <w:spacing w:val="51"/>
          <w:w w:val="95"/>
        </w:rPr>
      </w:r>
      <w:r>
        <w:rPr/>
        <w:t>价准备。</w:t>
      </w:r>
    </w:p>
    <w:p>
      <w:pPr>
        <w:pStyle w:val="BodyText"/>
        <w:spacing w:line="240" w:lineRule="auto" w:before="28"/>
        <w:ind w:left="535" w:right="0"/>
        <w:jc w:val="left"/>
      </w:pPr>
      <w:r>
        <w:rPr>
          <w:rFonts w:ascii="Times New Roman" w:hAnsi="Times New Roman" w:cs="Times New Roman" w:eastAsia="Times New Roman" w:hint="default"/>
        </w:rPr>
        <w:t>9</w:t>
      </w:r>
      <w:r>
        <w:rPr/>
        <w:t>、长期股权投资</w:t>
      </w:r>
    </w:p>
    <w:p>
      <w:pPr>
        <w:pStyle w:val="BodyText"/>
        <w:spacing w:line="240" w:lineRule="auto" w:before="98"/>
        <w:ind w:left="535" w:right="0"/>
        <w:jc w:val="left"/>
      </w:pPr>
      <w:r>
        <w:rPr/>
        <w:t>（</w:t>
      </w:r>
      <w:r>
        <w:rPr>
          <w:rFonts w:ascii="Times New Roman" w:hAnsi="Times New Roman" w:cs="Times New Roman" w:eastAsia="Times New Roman" w:hint="default"/>
        </w:rPr>
        <w:t>1</w:t>
      </w:r>
      <w:r>
        <w:rPr/>
        <w:t>）作为长期股权投资进行核算的权益性投资包括：</w:t>
      </w:r>
    </w:p>
    <w:p>
      <w:pPr>
        <w:pStyle w:val="BodyText"/>
        <w:spacing w:line="240" w:lineRule="auto" w:before="100"/>
        <w:ind w:left="535" w:right="0"/>
        <w:jc w:val="left"/>
      </w:pPr>
      <w:r>
        <w:rPr/>
        <w:t>①公司持有的能够对被投资单位实施控制的权益性投资，即对子公司投资。</w:t>
      </w:r>
    </w:p>
    <w:p>
      <w:pPr>
        <w:pStyle w:val="BodyText"/>
        <w:spacing w:line="240" w:lineRule="auto" w:before="114"/>
        <w:ind w:left="535" w:right="0"/>
        <w:jc w:val="left"/>
      </w:pPr>
      <w:r>
        <w:rPr/>
        <w:t>②公司持有的能够与其他合营方一同对被投资单位实施共同控制的权益性投资，即对合营企业投资。</w:t>
      </w:r>
    </w:p>
    <w:p>
      <w:pPr>
        <w:pStyle w:val="BodyText"/>
        <w:spacing w:line="240" w:lineRule="auto" w:before="116"/>
        <w:ind w:left="535" w:right="0"/>
        <w:jc w:val="left"/>
      </w:pPr>
      <w:r>
        <w:rPr/>
        <w:t>③公司持有的能够对被投资单位施加重大影响的权益性投资，即对联营企业投资。</w:t>
      </w:r>
    </w:p>
    <w:p>
      <w:pPr>
        <w:pStyle w:val="BodyText"/>
        <w:spacing w:line="340" w:lineRule="auto" w:before="114"/>
        <w:ind w:right="132" w:firstLine="422"/>
        <w:jc w:val="both"/>
      </w:pPr>
      <w:r>
        <w:rPr>
          <w:w w:val="95"/>
        </w:rPr>
        <w:t>④公司对被投资单位不具有控制、共同控制或重大影响，且在活跃市场中没有报价、公允价值不能可</w:t>
      </w:r>
      <w:r>
        <w:rPr>
          <w:spacing w:val="-94"/>
          <w:w w:val="95"/>
        </w:rPr>
        <w:t> </w:t>
      </w:r>
      <w:r>
        <w:rPr>
          <w:spacing w:val="-94"/>
          <w:w w:val="95"/>
        </w:rPr>
      </w:r>
      <w:r>
        <w:rPr/>
        <w:t>靠计量的权益性投资。</w:t>
      </w:r>
    </w:p>
    <w:p>
      <w:pPr>
        <w:pStyle w:val="BodyText"/>
        <w:spacing w:line="340" w:lineRule="auto" w:before="25"/>
        <w:ind w:right="132" w:firstLine="422"/>
        <w:jc w:val="both"/>
      </w:pPr>
      <w:r>
        <w:rPr>
          <w:w w:val="95"/>
        </w:rPr>
        <w:t>除上述情况以外，公司持有的其他权益性投资，应当按照本公司会计政策中金融工具的相关规定进行</w:t>
      </w:r>
      <w:r>
        <w:rPr>
          <w:spacing w:val="-93"/>
          <w:w w:val="95"/>
        </w:rPr>
        <w:t> </w:t>
      </w:r>
      <w:r>
        <w:rPr>
          <w:spacing w:val="-93"/>
          <w:w w:val="95"/>
        </w:rPr>
      </w:r>
      <w:r>
        <w:rPr/>
        <w:t>核算。</w:t>
      </w:r>
    </w:p>
    <w:p>
      <w:pPr>
        <w:pStyle w:val="BodyText"/>
        <w:spacing w:line="240" w:lineRule="auto" w:before="25"/>
        <w:ind w:left="535" w:right="0"/>
        <w:jc w:val="left"/>
      </w:pPr>
      <w:r>
        <w:rPr/>
        <w:t>（</w:t>
      </w:r>
      <w:r>
        <w:rPr>
          <w:rFonts w:ascii="Times New Roman" w:hAnsi="Times New Roman" w:cs="Times New Roman" w:eastAsia="Times New Roman" w:hint="default"/>
        </w:rPr>
        <w:t>2</w:t>
      </w:r>
      <w:r>
        <w:rPr/>
        <w:t>）长期股权投资的初始计量</w:t>
      </w:r>
    </w:p>
    <w:p>
      <w:pPr>
        <w:pStyle w:val="BodyText"/>
        <w:spacing w:line="340" w:lineRule="auto" w:before="100"/>
        <w:ind w:right="130" w:firstLine="422"/>
        <w:jc w:val="both"/>
      </w:pPr>
      <w:r>
        <w:rPr>
          <w:w w:val="95"/>
        </w:rPr>
        <w:t>①同一控制下的企业合并，在合并日按照取得被合并方所有者权益账面价值的份额作为长期股权投资</w:t>
      </w:r>
      <w:r>
        <w:rPr>
          <w:spacing w:val="-93"/>
          <w:w w:val="95"/>
        </w:rPr>
        <w:t> </w:t>
      </w:r>
      <w:r>
        <w:rPr>
          <w:spacing w:val="-93"/>
          <w:w w:val="95"/>
        </w:rPr>
      </w:r>
      <w:r>
        <w:rPr>
          <w:w w:val="95"/>
        </w:rPr>
        <w:t>的初始投资成本。长期股权投资初始投资成本与支付的现金、转让的非现金资产、所承担债务账面价值以</w:t>
      </w:r>
      <w:r>
        <w:rPr>
          <w:spacing w:val="54"/>
          <w:w w:val="95"/>
        </w:rPr>
        <w:t> </w:t>
      </w:r>
      <w:r>
        <w:rPr>
          <w:spacing w:val="54"/>
          <w:w w:val="95"/>
        </w:rPr>
      </w:r>
      <w:r>
        <w:rPr/>
        <w:t>及所发行股份面值总额之间的差额，调整资本公积；资本公积不足冲减的，调整留存收益。</w:t>
      </w:r>
    </w:p>
    <w:p>
      <w:pPr>
        <w:pStyle w:val="BodyText"/>
        <w:spacing w:line="340" w:lineRule="auto" w:before="25"/>
        <w:ind w:right="132" w:firstLine="422"/>
        <w:jc w:val="both"/>
      </w:pPr>
      <w:r>
        <w:rPr>
          <w:w w:val="95"/>
        </w:rPr>
        <w:t>②非同一控制下的企业合并，在购买日按照合并成本确定长期股权投资的初始投资成本。合并成本为</w:t>
      </w:r>
      <w:r>
        <w:rPr>
          <w:spacing w:val="-93"/>
          <w:w w:val="95"/>
        </w:rPr>
        <w:t> </w:t>
      </w:r>
      <w:r>
        <w:rPr>
          <w:spacing w:val="-93"/>
          <w:w w:val="95"/>
        </w:rPr>
      </w:r>
      <w:r>
        <w:rPr>
          <w:w w:val="95"/>
        </w:rPr>
        <w:t>购买方在购买日为取得对被购买方的控制权而付出的资产、发生或承担的负债以及发行的权益性证券的公</w:t>
      </w:r>
      <w:r>
        <w:rPr/>
      </w:r>
    </w:p>
    <w:p>
      <w:pPr>
        <w:spacing w:after="0" w:line="340" w:lineRule="auto"/>
        <w:jc w:val="both"/>
        <w:sectPr>
          <w:pgSz w:w="11910" w:h="16840"/>
          <w:pgMar w:header="849" w:footer="976" w:top="1460" w:bottom="1160" w:left="1020" w:right="100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w w:val="95"/>
                          <w:sz w:val="21"/>
                          <w:szCs w:val="21"/>
                        </w:rPr>
                        <w:t>允价值。为进行企业合并发生的各项直接相关费用也计入公司合并成本。在合并合同或协议中对可能影响</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0"/>
        <w:jc w:val="left"/>
      </w:pPr>
      <w:r>
        <w:rPr>
          <w:w w:val="95"/>
        </w:rPr>
        <w:t>合并成本的未来事项作出约定的，购买日如果估计未来事项很可能发生并且对合并成本的影响金额能够可</w:t>
      </w:r>
      <w:r>
        <w:rPr>
          <w:spacing w:val="52"/>
          <w:w w:val="95"/>
        </w:rPr>
        <w:t> </w:t>
      </w:r>
      <w:r>
        <w:rPr>
          <w:spacing w:val="52"/>
          <w:w w:val="95"/>
        </w:rPr>
      </w:r>
      <w:r>
        <w:rPr/>
        <w:t>靠计量的，将其计入合并成本。</w:t>
      </w:r>
    </w:p>
    <w:p>
      <w:pPr>
        <w:pStyle w:val="BodyText"/>
        <w:spacing w:line="338" w:lineRule="auto" w:before="28"/>
        <w:ind w:right="112" w:firstLine="422"/>
        <w:jc w:val="both"/>
      </w:pPr>
      <w:r>
        <w:rPr>
          <w:w w:val="95"/>
        </w:rPr>
        <w:t>对合并成本大于合并中取得的被购买方可辨认净资产公允价值份额的差额，确认为商誉。对合并成本</w:t>
      </w:r>
      <w:r>
        <w:rPr>
          <w:spacing w:val="-94"/>
          <w:w w:val="95"/>
        </w:rPr>
        <w:t> </w:t>
      </w:r>
      <w:r>
        <w:rPr>
          <w:spacing w:val="-94"/>
          <w:w w:val="95"/>
        </w:rPr>
      </w:r>
      <w:r>
        <w:rPr/>
        <w:t>小于合并中取得的被购买方可辨认净资产公允价值份额的差额，计入当期损益。</w:t>
      </w:r>
    </w:p>
    <w:p>
      <w:pPr>
        <w:pStyle w:val="BodyText"/>
        <w:spacing w:line="340" w:lineRule="auto" w:before="28"/>
        <w:ind w:right="112" w:firstLine="422"/>
        <w:jc w:val="both"/>
      </w:pPr>
      <w:r>
        <w:rPr>
          <w:w w:val="95"/>
        </w:rPr>
        <w:t>③除企业合并形成的长期股权投资以外，其他方式取得的长期股权投资，按照下列规定确定其初始投</w:t>
      </w:r>
      <w:r>
        <w:rPr>
          <w:spacing w:val="-93"/>
          <w:w w:val="95"/>
        </w:rPr>
        <w:t> </w:t>
      </w:r>
      <w:r>
        <w:rPr>
          <w:spacing w:val="-93"/>
          <w:w w:val="95"/>
        </w:rPr>
      </w:r>
      <w:r>
        <w:rPr/>
        <w:t>资成本</w:t>
      </w:r>
    </w:p>
    <w:p>
      <w:pPr>
        <w:pStyle w:val="BodyText"/>
        <w:spacing w:line="324" w:lineRule="auto" w:before="25"/>
        <w:ind w:right="155" w:firstLine="422"/>
        <w:jc w:val="both"/>
      </w:pPr>
      <w:r>
        <w:rPr>
          <w:rFonts w:ascii="Times New Roman" w:hAnsi="Times New Roman" w:cs="Times New Roman" w:eastAsia="Times New Roman" w:hint="default"/>
        </w:rPr>
        <w:t>a</w:t>
      </w:r>
      <w:r>
        <w:rPr/>
        <w:t>、以支付现金取得的长期股权投资，按照实际支付的购买价款作为初始投资成本。初始投资成本包</w:t>
      </w:r>
      <w:r>
        <w:rPr>
          <w:w w:val="99"/>
        </w:rPr>
        <w:t> </w:t>
      </w:r>
      <w:r>
        <w:rPr/>
        <w:t>括与取得长期股权投资直接相关的费用、税金及其他必要支出。</w:t>
      </w:r>
    </w:p>
    <w:p>
      <w:pPr>
        <w:pStyle w:val="BodyText"/>
        <w:spacing w:line="321" w:lineRule="auto" w:before="43"/>
        <w:ind w:left="535" w:right="0"/>
        <w:jc w:val="left"/>
      </w:pPr>
      <w:r>
        <w:rPr>
          <w:rFonts w:ascii="Times New Roman" w:hAnsi="Times New Roman" w:cs="Times New Roman" w:eastAsia="Times New Roman" w:hint="default"/>
        </w:rPr>
        <w:t>b</w:t>
      </w:r>
      <w:r>
        <w:rPr/>
        <w:t>、以发行权益性证券取得的长期股权投资，按照发行权益性证券的公允价值作为初始投资成本。</w:t>
      </w:r>
      <w:r>
        <w:rPr>
          <w:w w:val="99"/>
        </w:rPr>
        <w:t> </w:t>
      </w:r>
      <w:r>
        <w:rPr>
          <w:rFonts w:ascii="Times New Roman" w:hAnsi="Times New Roman" w:cs="Times New Roman" w:eastAsia="Times New Roman" w:hint="default"/>
        </w:rPr>
        <w:t>c</w:t>
      </w:r>
      <w:r>
        <w:rPr/>
        <w:t>、投资者投入的长期股权投资，按照投资合同或协议约定的价值作为初始投资成本，但合同或协议</w:t>
      </w:r>
    </w:p>
    <w:p>
      <w:pPr>
        <w:pStyle w:val="BodyText"/>
        <w:spacing w:line="240" w:lineRule="auto" w:before="21"/>
        <w:ind w:right="0"/>
        <w:jc w:val="left"/>
      </w:pPr>
      <w:r>
        <w:rPr/>
        <w:t>约定价值不公允的除外。</w:t>
      </w:r>
    </w:p>
    <w:p>
      <w:pPr>
        <w:pStyle w:val="BodyText"/>
        <w:spacing w:line="331" w:lineRule="auto" w:before="114"/>
        <w:ind w:right="112" w:firstLine="422"/>
        <w:jc w:val="both"/>
      </w:pPr>
      <w:r>
        <w:rPr>
          <w:rFonts w:ascii="Times New Roman" w:hAnsi="Times New Roman" w:cs="Times New Roman" w:eastAsia="Times New Roman" w:hint="default"/>
        </w:rPr>
        <w:t>d</w:t>
      </w:r>
      <w:r>
        <w:rPr/>
        <w:t>、通过非货币性资产交换取得的长期股权投资，当该项交换具有商业实质且换入资产或换出资产的</w:t>
      </w:r>
      <w:r>
        <w:rPr>
          <w:w w:val="99"/>
        </w:rPr>
        <w:t> </w:t>
      </w:r>
      <w:r>
        <w:rPr>
          <w:w w:val="95"/>
        </w:rPr>
        <w:t>公允价值能够可靠计量时，其初始投资成本以公允价值和应支付的相关税费确定，否则以换出资产的账面</w:t>
      </w:r>
      <w:r>
        <w:rPr>
          <w:spacing w:val="52"/>
          <w:w w:val="95"/>
        </w:rPr>
        <w:t> </w:t>
      </w:r>
      <w:r>
        <w:rPr>
          <w:spacing w:val="52"/>
          <w:w w:val="95"/>
        </w:rPr>
      </w:r>
      <w:r>
        <w:rPr/>
        <w:t>价值和应支付的相关税费确定。</w:t>
      </w:r>
    </w:p>
    <w:p>
      <w:pPr>
        <w:pStyle w:val="BodyText"/>
        <w:spacing w:line="324" w:lineRule="auto" w:before="34"/>
        <w:ind w:left="535" w:right="0"/>
        <w:jc w:val="left"/>
      </w:pPr>
      <w:r>
        <w:rPr>
          <w:rFonts w:ascii="Times New Roman" w:hAnsi="Times New Roman" w:cs="Times New Roman" w:eastAsia="Times New Roman" w:hint="default"/>
        </w:rPr>
        <w:t>e</w:t>
      </w:r>
      <w:r>
        <w:rPr/>
        <w:t>、债务重组取得的长期股权投资以享有股份的公允价值确定。</w:t>
      </w:r>
      <w:r>
        <w:rPr>
          <w:w w:val="99"/>
        </w:rPr>
        <w:t> </w:t>
      </w:r>
      <w:r>
        <w:rPr>
          <w:w w:val="95"/>
        </w:rPr>
        <w:t>上述取得长期股权投资所实际支付的价款或对价中包含的已宣告但尚未发放的现金股利或利润，作为</w:t>
      </w:r>
      <w:r>
        <w:rPr/>
      </w:r>
    </w:p>
    <w:p>
      <w:pPr>
        <w:pStyle w:val="BodyText"/>
        <w:spacing w:line="240" w:lineRule="auto" w:before="40"/>
        <w:ind w:right="0"/>
        <w:jc w:val="left"/>
      </w:pPr>
      <w:r>
        <w:rPr/>
        <w:t>应收项目处理，不作为取得长期股权投资的成本。</w:t>
      </w:r>
    </w:p>
    <w:p>
      <w:pPr>
        <w:pStyle w:val="BodyText"/>
        <w:spacing w:line="240" w:lineRule="auto" w:before="116"/>
        <w:ind w:left="535" w:right="0"/>
        <w:jc w:val="left"/>
      </w:pPr>
      <w:r>
        <w:rPr/>
        <w:t>（</w:t>
      </w:r>
      <w:r>
        <w:rPr>
          <w:rFonts w:ascii="Times New Roman" w:hAnsi="Times New Roman" w:cs="Times New Roman" w:eastAsia="Times New Roman" w:hint="default"/>
        </w:rPr>
        <w:t>3</w:t>
      </w:r>
      <w:r>
        <w:rPr/>
        <w:t>）后续计量及收益确认方法</w:t>
      </w:r>
    </w:p>
    <w:p>
      <w:pPr>
        <w:pStyle w:val="BodyText"/>
        <w:spacing w:line="340" w:lineRule="auto" w:before="98"/>
        <w:ind w:right="112" w:firstLine="422"/>
        <w:jc w:val="both"/>
      </w:pPr>
      <w:r>
        <w:rPr>
          <w:w w:val="95"/>
        </w:rPr>
        <w:t>①能够对被投资单位实施控制的长期股权投资、对被投资单位不具有共同控制或重大影响，并且在活</w:t>
      </w:r>
      <w:r>
        <w:rPr>
          <w:spacing w:val="-93"/>
          <w:w w:val="95"/>
        </w:rPr>
        <w:t> </w:t>
      </w:r>
      <w:r>
        <w:rPr>
          <w:spacing w:val="-93"/>
          <w:w w:val="95"/>
        </w:rPr>
      </w:r>
      <w:r>
        <w:rPr>
          <w:w w:val="95"/>
        </w:rPr>
        <w:t>跃市场中没有报价、公允价值不能可靠计量的长期股权投资按照成本法核算。采用成本法核算的长期股权</w:t>
      </w:r>
      <w:r>
        <w:rPr>
          <w:spacing w:val="52"/>
          <w:w w:val="95"/>
        </w:rPr>
        <w:t> </w:t>
      </w:r>
      <w:r>
        <w:rPr>
          <w:spacing w:val="52"/>
          <w:w w:val="95"/>
        </w:rPr>
      </w:r>
      <w:r>
        <w:rPr/>
        <w:t>投资按照初始投资成本计价，被投资单位宣告分派的现金股利或利润，确认为当期投资收益。</w:t>
      </w:r>
    </w:p>
    <w:p>
      <w:pPr>
        <w:pStyle w:val="BodyText"/>
        <w:spacing w:line="340" w:lineRule="auto" w:before="25"/>
        <w:ind w:right="112" w:firstLine="422"/>
        <w:jc w:val="both"/>
      </w:pPr>
      <w:r>
        <w:rPr>
          <w:w w:val="95"/>
        </w:rPr>
        <w:t>②对被投资单位具有共同控制或重大影响的长期股权投资，采用权益法核算。长期股权投资的初始投</w:t>
      </w:r>
      <w:r>
        <w:rPr>
          <w:spacing w:val="-93"/>
          <w:w w:val="95"/>
        </w:rPr>
        <w:t> </w:t>
      </w:r>
      <w:r>
        <w:rPr>
          <w:spacing w:val="-93"/>
          <w:w w:val="95"/>
        </w:rPr>
      </w:r>
      <w:r>
        <w:rPr>
          <w:spacing w:val="3"/>
        </w:rPr>
        <w:t>资成本大于投资时应享有被投资单位可辨认净资产公允价值份额的，不调整长期股权投资的初始投资成</w:t>
      </w:r>
      <w:r>
        <w:rPr>
          <w:w w:val="99"/>
        </w:rPr>
        <w:t> </w:t>
      </w:r>
      <w:r>
        <w:rPr>
          <w:w w:val="95"/>
        </w:rPr>
        <w:t>本；长期股权投资的初始投资成本小于投资时应享有被投资单位可辨认净资产公允价值份额的，其差额计</w:t>
      </w:r>
      <w:r>
        <w:rPr>
          <w:spacing w:val="51"/>
          <w:w w:val="95"/>
        </w:rPr>
        <w:t> </w:t>
      </w:r>
      <w:r>
        <w:rPr>
          <w:spacing w:val="51"/>
          <w:w w:val="95"/>
        </w:rPr>
      </w:r>
      <w:r>
        <w:rPr/>
        <w:t>入当期损益，同时调整长期股权投资的成本。</w:t>
      </w:r>
    </w:p>
    <w:p>
      <w:pPr>
        <w:pStyle w:val="BodyText"/>
        <w:spacing w:line="340" w:lineRule="auto" w:before="25"/>
        <w:ind w:right="112" w:firstLine="422"/>
        <w:jc w:val="both"/>
      </w:pPr>
      <w:r>
        <w:rPr>
          <w:w w:val="95"/>
        </w:rPr>
        <w:t>公司取得长期股权投资后，按照应享有或应分担的被投资单位实现的净损益的份额，确认投资损益并</w:t>
      </w:r>
      <w:r>
        <w:rPr>
          <w:spacing w:val="-93"/>
          <w:w w:val="95"/>
        </w:rPr>
        <w:t> </w:t>
      </w:r>
      <w:r>
        <w:rPr>
          <w:spacing w:val="-93"/>
          <w:w w:val="95"/>
        </w:rPr>
      </w:r>
      <w:r>
        <w:rPr>
          <w:w w:val="95"/>
        </w:rPr>
        <w:t>调整长期股权投资的账面价值。投资企业按照被投资单位宣告分派的利润或现金股利计算应分得的部分，</w:t>
      </w:r>
      <w:r>
        <w:rPr>
          <w:spacing w:val="51"/>
          <w:w w:val="95"/>
        </w:rPr>
        <w:t> </w:t>
      </w:r>
      <w:r>
        <w:rPr>
          <w:spacing w:val="51"/>
          <w:w w:val="95"/>
        </w:rPr>
      </w:r>
      <w:r>
        <w:rPr/>
        <w:t>相应减少长期股权投资的账面价值。</w:t>
      </w:r>
    </w:p>
    <w:p>
      <w:pPr>
        <w:pStyle w:val="BodyText"/>
        <w:spacing w:line="340" w:lineRule="auto" w:before="28"/>
        <w:ind w:right="110" w:firstLine="422"/>
        <w:jc w:val="both"/>
      </w:pPr>
      <w:r>
        <w:rPr>
          <w:w w:val="95"/>
        </w:rPr>
        <w:t>公司确认被投资单位发生的净亏损，以长期股权投资的账面价值以及其他实质上构成对被投资单位净</w:t>
      </w:r>
      <w:r>
        <w:rPr>
          <w:spacing w:val="-93"/>
          <w:w w:val="95"/>
        </w:rPr>
        <w:t> </w:t>
      </w:r>
      <w:r>
        <w:rPr>
          <w:spacing w:val="-93"/>
          <w:w w:val="95"/>
        </w:rPr>
      </w:r>
      <w:r>
        <w:rPr>
          <w:w w:val="95"/>
        </w:rPr>
        <w:t>投资的长期权益减记至零为限，公司负有承担额外损失的情况除外。被投资单位以后实现净利润的，公司</w:t>
      </w:r>
      <w:r>
        <w:rPr>
          <w:spacing w:val="54"/>
          <w:w w:val="95"/>
        </w:rPr>
        <w:t> </w:t>
      </w:r>
      <w:r>
        <w:rPr>
          <w:spacing w:val="54"/>
          <w:w w:val="95"/>
        </w:rPr>
      </w:r>
      <w:r>
        <w:rPr/>
        <w:t>在其收益分享额弥补未确认的亏损分担额后，恢复确认收益分享额。</w:t>
      </w:r>
    </w:p>
    <w:p>
      <w:pPr>
        <w:pStyle w:val="BodyText"/>
        <w:spacing w:line="340" w:lineRule="auto" w:before="25"/>
        <w:ind w:right="112" w:firstLine="422"/>
        <w:jc w:val="both"/>
      </w:pPr>
      <w:r>
        <w:rPr>
          <w:w w:val="95"/>
        </w:rPr>
        <w:t>公司在确认应享有被投资单位净损益的份额时，以取得投资时被投资单位各项可辨认资产等的公允价</w:t>
      </w:r>
      <w:r>
        <w:rPr>
          <w:spacing w:val="-93"/>
          <w:w w:val="95"/>
        </w:rPr>
        <w:t> </w:t>
      </w:r>
      <w:r>
        <w:rPr>
          <w:spacing w:val="-93"/>
          <w:w w:val="95"/>
        </w:rPr>
      </w:r>
      <w:r>
        <w:rPr>
          <w:w w:val="95"/>
        </w:rPr>
        <w:t>值为基础，对被投资单位的净利润进行适当调整后确认。公司对于被投资单位除净损益以外股东权益的其</w:t>
      </w:r>
      <w:r>
        <w:rPr>
          <w:spacing w:val="52"/>
          <w:w w:val="95"/>
        </w:rPr>
        <w:t> </w:t>
      </w:r>
      <w:r>
        <w:rPr>
          <w:spacing w:val="52"/>
          <w:w w:val="95"/>
        </w:rPr>
      </w:r>
      <w:r>
        <w:rPr/>
        <w:t>他变动，调整长期股权投资的账面价值并计入股东权益。</w:t>
      </w:r>
    </w:p>
    <w:p>
      <w:pPr>
        <w:spacing w:after="0" w:line="340" w:lineRule="auto"/>
        <w:jc w:val="both"/>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w w:val="95"/>
                          <w:sz w:val="21"/>
                          <w:szCs w:val="21"/>
                        </w:rPr>
                        <w:t>③处置长期股权投资时，其账面价值与实际取得价款的差额，计入当期损益。采用权益法核算的长期</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0"/>
        <w:jc w:val="left"/>
      </w:pPr>
      <w:r>
        <w:rPr>
          <w:w w:val="95"/>
        </w:rPr>
        <w:t>股权投资，因被投资单位除净损益以外股东权益的其他变动而计入股东权益的，处置该项投资时将原计入</w:t>
      </w:r>
      <w:r>
        <w:rPr>
          <w:spacing w:val="52"/>
          <w:w w:val="95"/>
        </w:rPr>
        <w:t> </w:t>
      </w:r>
      <w:r>
        <w:rPr>
          <w:spacing w:val="52"/>
          <w:w w:val="95"/>
        </w:rPr>
      </w:r>
      <w:r>
        <w:rPr/>
        <w:t>股东权益的部分按相应比例转入当期损益。</w:t>
      </w:r>
    </w:p>
    <w:p>
      <w:pPr>
        <w:pStyle w:val="BodyText"/>
        <w:spacing w:line="240" w:lineRule="auto" w:before="28"/>
        <w:ind w:left="535" w:right="0"/>
        <w:jc w:val="left"/>
      </w:pPr>
      <w:r>
        <w:rPr>
          <w:rFonts w:ascii="Times New Roman" w:hAnsi="Times New Roman" w:cs="Times New Roman" w:eastAsia="Times New Roman" w:hint="default"/>
        </w:rPr>
        <w:t>10</w:t>
      </w:r>
      <w:r>
        <w:rPr/>
        <w:t>、投资性房地产</w:t>
      </w:r>
    </w:p>
    <w:p>
      <w:pPr>
        <w:pStyle w:val="BodyText"/>
        <w:spacing w:line="321" w:lineRule="auto" w:before="98"/>
        <w:ind w:left="535" w:right="0"/>
        <w:jc w:val="left"/>
      </w:pPr>
      <w:r>
        <w:rPr/>
        <w:t>（</w:t>
      </w:r>
      <w:r>
        <w:rPr>
          <w:rFonts w:ascii="Times New Roman" w:hAnsi="Times New Roman" w:cs="Times New Roman" w:eastAsia="Times New Roman" w:hint="default"/>
        </w:rPr>
        <w:t>1</w:t>
      </w:r>
      <w:r>
        <w:rPr/>
        <w:t>）确认</w:t>
      </w:r>
      <w:r>
        <w:rPr>
          <w:w w:val="99"/>
        </w:rPr>
        <w:t> </w:t>
      </w:r>
      <w:r>
        <w:rPr>
          <w:w w:val="95"/>
        </w:rPr>
        <w:t>公司将为赚取租金或资本增值，或两者兼有而持有的且能单独计量和出售房地产，确认为投资性房地</w:t>
      </w:r>
      <w:r>
        <w:rPr/>
      </w:r>
    </w:p>
    <w:p>
      <w:pPr>
        <w:pStyle w:val="BodyText"/>
        <w:spacing w:line="338" w:lineRule="auto" w:before="45"/>
        <w:ind w:left="535" w:right="0" w:hanging="423"/>
        <w:jc w:val="left"/>
      </w:pPr>
      <w:r>
        <w:rPr/>
        <w:t>产，包括已出租的土地使用权，持有并准备增值后转让的土地使用权和已出租的建筑物。</w:t>
      </w:r>
      <w:r>
        <w:rPr>
          <w:w w:val="99"/>
        </w:rPr>
        <w:t> </w:t>
      </w:r>
      <w:r>
        <w:rPr>
          <w:w w:val="95"/>
        </w:rPr>
        <w:t>某项房地产，部分用于赚取租金或资本增值、部分用于生产商品、提供劳务或经营管理，能够单独计</w:t>
      </w:r>
      <w:r>
        <w:rPr/>
      </w:r>
    </w:p>
    <w:p>
      <w:pPr>
        <w:pStyle w:val="BodyText"/>
        <w:spacing w:line="340" w:lineRule="auto" w:before="30"/>
        <w:ind w:right="0"/>
        <w:jc w:val="left"/>
      </w:pPr>
      <w:r>
        <w:rPr>
          <w:w w:val="95"/>
        </w:rPr>
        <w:t>量和出售的、用于赚取租金或资本增值的部分，应当确认为投资性房地产；不能够单独计量和出售的、用</w:t>
      </w:r>
      <w:r>
        <w:rPr>
          <w:spacing w:val="52"/>
          <w:w w:val="95"/>
        </w:rPr>
        <w:t> </w:t>
      </w:r>
      <w:r>
        <w:rPr>
          <w:spacing w:val="52"/>
          <w:w w:val="95"/>
        </w:rPr>
      </w:r>
      <w:r>
        <w:rPr/>
        <w:t>于赚取租金或资本增值的部分，不确认为投资性房地产。</w:t>
      </w:r>
    </w:p>
    <w:p>
      <w:pPr>
        <w:pStyle w:val="BodyText"/>
        <w:spacing w:line="324" w:lineRule="auto" w:before="25"/>
        <w:ind w:left="535" w:right="0"/>
        <w:jc w:val="left"/>
      </w:pPr>
      <w:r>
        <w:rPr/>
        <w:t>（</w:t>
      </w:r>
      <w:r>
        <w:rPr>
          <w:rFonts w:ascii="Times New Roman" w:hAnsi="Times New Roman" w:cs="Times New Roman" w:eastAsia="Times New Roman" w:hint="default"/>
        </w:rPr>
        <w:t>2</w:t>
      </w:r>
      <w:r>
        <w:rPr/>
        <w:t>）初始计量</w:t>
      </w:r>
      <w:r>
        <w:rPr>
          <w:w w:val="99"/>
        </w:rPr>
        <w:t> </w:t>
      </w:r>
      <w:r>
        <w:rPr>
          <w:w w:val="95"/>
        </w:rPr>
        <w:t>投资性房地产按照成本进行初始计量，与投资性房地产有关的后续支出相关的经济利益很可能流入公</w:t>
      </w:r>
      <w:r>
        <w:rPr/>
      </w:r>
    </w:p>
    <w:p>
      <w:pPr>
        <w:pStyle w:val="BodyText"/>
        <w:spacing w:line="240" w:lineRule="auto" w:before="40"/>
        <w:ind w:right="0"/>
        <w:jc w:val="left"/>
      </w:pPr>
      <w:r>
        <w:rPr/>
        <w:t>司且成本能够可靠地计量的，计入投资性房地产成本。</w:t>
      </w:r>
    </w:p>
    <w:p>
      <w:pPr>
        <w:pStyle w:val="BodyText"/>
        <w:spacing w:line="321" w:lineRule="auto" w:before="116"/>
        <w:ind w:left="535" w:right="0"/>
        <w:jc w:val="left"/>
      </w:pPr>
      <w:r>
        <w:rPr/>
        <w:t>（</w:t>
      </w:r>
      <w:r>
        <w:rPr>
          <w:rFonts w:ascii="Times New Roman" w:hAnsi="Times New Roman" w:cs="Times New Roman" w:eastAsia="Times New Roman" w:hint="default"/>
        </w:rPr>
        <w:t>3</w:t>
      </w:r>
      <w:r>
        <w:rPr/>
        <w:t>）后续计量</w:t>
      </w:r>
      <w:r>
        <w:rPr>
          <w:w w:val="99"/>
        </w:rPr>
        <w:t> </w:t>
      </w:r>
      <w:r>
        <w:rPr>
          <w:w w:val="95"/>
        </w:rPr>
        <w:t>公司采用成本模式对于投资性房地产进行后续计量。采用成本模式计量的建筑物，采用年限平均法计</w:t>
      </w:r>
      <w:r>
        <w:rPr/>
      </w:r>
    </w:p>
    <w:p>
      <w:pPr>
        <w:pStyle w:val="BodyText"/>
        <w:spacing w:line="331" w:lineRule="auto" w:before="42"/>
        <w:ind w:left="535" w:right="0" w:hanging="423"/>
        <w:jc w:val="left"/>
      </w:pPr>
      <w:r>
        <w:rPr/>
        <w:t>算折旧</w:t>
      </w:r>
      <w:r>
        <w:rPr>
          <w:rFonts w:ascii="Times New Roman" w:hAnsi="Times New Roman" w:cs="Times New Roman" w:eastAsia="Times New Roman" w:hint="default"/>
        </w:rPr>
        <w:t>,</w:t>
      </w:r>
      <w:r>
        <w:rPr/>
        <w:t>按估计经济使用年限和估计残值率确定其折旧率</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采用成本模式计量的土地使用权，采用直线法，按土地使用权的使用年限进行摊销。</w:t>
      </w:r>
      <w:r>
        <w:rPr>
          <w:w w:val="99"/>
        </w:rPr>
        <w:t> </w:t>
      </w:r>
      <w:r>
        <w:rPr>
          <w:w w:val="95"/>
        </w:rPr>
        <w:t>期末，逐项对采用成本模式计量的投资性房地产进行全面检查，按可收回金额低于其账面价值的差额</w:t>
      </w:r>
      <w:r>
        <w:rPr/>
      </w:r>
    </w:p>
    <w:p>
      <w:pPr>
        <w:pStyle w:val="BodyText"/>
        <w:spacing w:line="338" w:lineRule="auto" w:before="36"/>
        <w:ind w:right="281"/>
        <w:jc w:val="left"/>
      </w:pPr>
      <w:r>
        <w:rPr>
          <w:w w:val="95"/>
        </w:rPr>
        <w:t>计提减值准备，计入当期损益。资产减值损失一经确认，无论价值是否得到回升，在以后会计期间不得转   </w:t>
      </w:r>
      <w:r>
        <w:rPr>
          <w:spacing w:val="54"/>
          <w:w w:val="95"/>
        </w:rPr>
        <w:t> </w:t>
      </w:r>
      <w:r>
        <w:rPr>
          <w:spacing w:val="54"/>
          <w:w w:val="95"/>
        </w:rPr>
      </w:r>
      <w:r>
        <w:rPr/>
        <w:t>回。</w:t>
      </w:r>
    </w:p>
    <w:p>
      <w:pPr>
        <w:pStyle w:val="BodyText"/>
        <w:spacing w:line="324" w:lineRule="auto" w:before="30"/>
        <w:ind w:left="535" w:right="0"/>
        <w:jc w:val="left"/>
      </w:pPr>
      <w:r>
        <w:rPr/>
        <w:t>（</w:t>
      </w:r>
      <w:r>
        <w:rPr>
          <w:rFonts w:ascii="Times New Roman" w:hAnsi="Times New Roman" w:cs="Times New Roman" w:eastAsia="Times New Roman" w:hint="default"/>
        </w:rPr>
        <w:t>4</w:t>
      </w:r>
      <w:r>
        <w:rPr/>
        <w:t>）转换</w:t>
      </w:r>
      <w:r>
        <w:rPr>
          <w:w w:val="99"/>
        </w:rPr>
        <w:t> </w:t>
      </w:r>
      <w:r>
        <w:rPr>
          <w:w w:val="95"/>
        </w:rPr>
        <w:t>有确凿证据表明房地产用途发生改变，满足下列条件之一的，应当将投资性房地产转换为其他资产或</w:t>
      </w:r>
      <w:r>
        <w:rPr/>
      </w:r>
    </w:p>
    <w:p>
      <w:pPr>
        <w:pStyle w:val="BodyText"/>
        <w:spacing w:line="240" w:lineRule="auto" w:before="40"/>
        <w:ind w:left="19" w:right="6297"/>
        <w:jc w:val="center"/>
      </w:pPr>
      <w:r>
        <w:rPr/>
        <w:t>者将其他资产转换为投资性房地产：</w:t>
      </w:r>
    </w:p>
    <w:p>
      <w:pPr>
        <w:pStyle w:val="BodyText"/>
        <w:spacing w:line="240" w:lineRule="auto" w:before="116"/>
        <w:ind w:left="535" w:right="0"/>
        <w:jc w:val="left"/>
      </w:pPr>
      <w:r>
        <w:rPr/>
        <w:t>①投资性房地产开始自用。</w:t>
      </w:r>
    </w:p>
    <w:p>
      <w:pPr>
        <w:pStyle w:val="BodyText"/>
        <w:spacing w:line="240" w:lineRule="auto" w:before="114"/>
        <w:ind w:left="535" w:right="0"/>
        <w:jc w:val="left"/>
      </w:pPr>
      <w:r>
        <w:rPr/>
        <w:t>②作为存货的房地产，改为出租。</w:t>
      </w:r>
    </w:p>
    <w:p>
      <w:pPr>
        <w:pStyle w:val="BodyText"/>
        <w:spacing w:line="240" w:lineRule="auto" w:before="116"/>
        <w:ind w:left="535" w:right="0"/>
        <w:jc w:val="left"/>
      </w:pPr>
      <w:r>
        <w:rPr/>
        <w:t>③自用土地使用权停止自用，用于赚取租金或资本增值。</w:t>
      </w:r>
    </w:p>
    <w:p>
      <w:pPr>
        <w:pStyle w:val="BodyText"/>
        <w:spacing w:line="340" w:lineRule="auto" w:before="114"/>
        <w:ind w:left="535" w:right="2171"/>
        <w:jc w:val="left"/>
      </w:pPr>
      <w:r>
        <w:rPr/>
        <w:t>④自用建筑物停止自用，改为出租。</w:t>
      </w:r>
      <w:r>
        <w:rPr>
          <w:w w:val="99"/>
        </w:rPr>
        <w:t> </w:t>
      </w:r>
      <w:r>
        <w:rPr/>
        <w:t>在成本计量模式下，应当将房地产转换前的账面价值作为转换后的入账价值。</w:t>
      </w:r>
    </w:p>
    <w:p>
      <w:pPr>
        <w:pStyle w:val="BodyText"/>
        <w:spacing w:line="240" w:lineRule="auto" w:before="25"/>
        <w:ind w:left="535" w:right="0"/>
        <w:jc w:val="left"/>
      </w:pPr>
      <w:r>
        <w:rPr/>
        <w:t>（</w:t>
      </w:r>
      <w:r>
        <w:rPr>
          <w:rFonts w:ascii="Times New Roman" w:hAnsi="Times New Roman" w:cs="Times New Roman" w:eastAsia="Times New Roman" w:hint="default"/>
        </w:rPr>
        <w:t>5</w:t>
      </w:r>
      <w:r>
        <w:rPr/>
        <w:t>）处置</w:t>
      </w:r>
    </w:p>
    <w:p>
      <w:pPr>
        <w:pStyle w:val="BodyText"/>
        <w:spacing w:line="338" w:lineRule="auto" w:before="100"/>
        <w:ind w:right="0" w:firstLine="422"/>
        <w:jc w:val="left"/>
      </w:pPr>
      <w:r>
        <w:rPr>
          <w:w w:val="95"/>
        </w:rPr>
        <w:t>①当投资性房地产被处置，或者永久退出使用且预计不能从其处置中取得经济利益时，应当终止确认</w:t>
      </w:r>
      <w:r>
        <w:rPr>
          <w:spacing w:val="-93"/>
          <w:w w:val="95"/>
        </w:rPr>
        <w:t> </w:t>
      </w:r>
      <w:r>
        <w:rPr>
          <w:spacing w:val="-93"/>
          <w:w w:val="95"/>
        </w:rPr>
      </w:r>
      <w:r>
        <w:rPr/>
        <w:t>该项投资性房地产。</w:t>
      </w:r>
    </w:p>
    <w:p>
      <w:pPr>
        <w:pStyle w:val="BodyText"/>
        <w:spacing w:line="338" w:lineRule="auto" w:before="30"/>
        <w:ind w:right="0" w:firstLine="422"/>
        <w:jc w:val="left"/>
      </w:pPr>
      <w:r>
        <w:rPr>
          <w:w w:val="95"/>
        </w:rPr>
        <w:t>②公司出售、转让、报废投资性房地产或者发生投资性房地产毁损，应当将处置收入扣除其账面价值</w:t>
      </w:r>
      <w:r>
        <w:rPr>
          <w:spacing w:val="-92"/>
          <w:w w:val="95"/>
        </w:rPr>
        <w:t> </w:t>
      </w:r>
      <w:r>
        <w:rPr>
          <w:spacing w:val="-92"/>
          <w:w w:val="95"/>
        </w:rPr>
      </w:r>
      <w:r>
        <w:rPr/>
        <w:t>和相关税费后的金额计入当期损益。</w:t>
      </w:r>
    </w:p>
    <w:p>
      <w:pPr>
        <w:pStyle w:val="BodyText"/>
        <w:spacing w:line="240" w:lineRule="auto" w:before="30"/>
        <w:ind w:left="535" w:right="0"/>
        <w:jc w:val="left"/>
      </w:pPr>
      <w:r>
        <w:rPr>
          <w:rFonts w:ascii="Times New Roman" w:hAnsi="Times New Roman" w:cs="Times New Roman" w:eastAsia="Times New Roman" w:hint="default"/>
        </w:rPr>
        <w:t>11</w:t>
      </w:r>
      <w:r>
        <w:rPr/>
        <w:t>、固定资产</w:t>
      </w:r>
    </w:p>
    <w:p>
      <w:pPr>
        <w:pStyle w:val="BodyText"/>
        <w:spacing w:line="240" w:lineRule="auto" w:before="98"/>
        <w:ind w:left="535" w:right="0"/>
        <w:jc w:val="left"/>
      </w:pPr>
      <w:r>
        <w:rPr/>
        <w:t>（</w:t>
      </w:r>
      <w:r>
        <w:rPr>
          <w:rFonts w:ascii="Times New Roman" w:hAnsi="Times New Roman" w:cs="Times New Roman" w:eastAsia="Times New Roman" w:hint="default"/>
        </w:rPr>
        <w:t>1</w:t>
      </w:r>
      <w:r>
        <w:rPr/>
        <w:t>）确认</w:t>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w w:val="95"/>
                          <w:sz w:val="21"/>
                          <w:szCs w:val="21"/>
                        </w:rPr>
                        <w:t>固定资产是指为生产商品、提供劳务、出租或经营管理而持有的使用寿命超过一个会计年度的有形资</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0"/>
        <w:jc w:val="left"/>
      </w:pPr>
      <w:r>
        <w:rPr>
          <w:w w:val="95"/>
        </w:rPr>
        <w:t>产，但不包括作为投资性房地产的以经营租赁方式租出的建筑物。其确认条件为与该固定资产有关的经济</w:t>
      </w:r>
      <w:r>
        <w:rPr>
          <w:spacing w:val="52"/>
          <w:w w:val="95"/>
        </w:rPr>
        <w:t> </w:t>
      </w:r>
      <w:r>
        <w:rPr>
          <w:spacing w:val="52"/>
          <w:w w:val="95"/>
        </w:rPr>
      </w:r>
      <w:r>
        <w:rPr/>
        <w:t>利益很可能流入公司且该固定资产的成本能够可靠地计量。</w:t>
      </w:r>
    </w:p>
    <w:p>
      <w:pPr>
        <w:pStyle w:val="BodyText"/>
        <w:spacing w:line="333" w:lineRule="auto" w:before="28"/>
        <w:ind w:left="535" w:right="4061"/>
        <w:jc w:val="left"/>
      </w:pPr>
      <w:r>
        <w:rPr/>
        <w:t>（</w:t>
      </w:r>
      <w:r>
        <w:rPr>
          <w:rFonts w:ascii="Times New Roman" w:hAnsi="Times New Roman" w:cs="Times New Roman" w:eastAsia="Times New Roman" w:hint="default"/>
        </w:rPr>
        <w:t>2</w:t>
      </w:r>
      <w:r>
        <w:rPr/>
        <w:t>）计量</w:t>
      </w:r>
      <w:r>
        <w:rPr>
          <w:w w:val="99"/>
        </w:rPr>
        <w:t> </w:t>
      </w:r>
      <w:r>
        <w:rPr/>
        <w:t>计量基础为按照成本进行初始计量并按月计提折旧。</w:t>
      </w:r>
      <w:r>
        <w:rPr>
          <w:w w:val="99"/>
        </w:rPr>
        <w:t> </w:t>
      </w:r>
      <w:r>
        <w:rPr/>
        <w:t>固定资产的折旧方法为年限平均法。</w:t>
      </w:r>
      <w:r>
        <w:rPr>
          <w:w w:val="99"/>
        </w:rPr>
        <w:t> </w:t>
      </w:r>
      <w:r>
        <w:rPr/>
        <w:t>各类固定资产的估计残值率、折旧年限和年折旧率如下：</w:t>
      </w:r>
    </w:p>
    <w:tbl>
      <w:tblPr>
        <w:tblW w:w="0" w:type="auto"/>
        <w:jc w:val="left"/>
        <w:tblInd w:w="112" w:type="dxa"/>
        <w:tblLayout w:type="fixed"/>
        <w:tblCellMar>
          <w:top w:w="0" w:type="dxa"/>
          <w:left w:w="0" w:type="dxa"/>
          <w:bottom w:w="0" w:type="dxa"/>
          <w:right w:w="0" w:type="dxa"/>
        </w:tblCellMar>
        <w:tblLook w:val="01E0"/>
      </w:tblPr>
      <w:tblGrid>
        <w:gridCol w:w="2767"/>
        <w:gridCol w:w="293"/>
        <w:gridCol w:w="2160"/>
        <w:gridCol w:w="295"/>
        <w:gridCol w:w="2405"/>
      </w:tblGrid>
      <w:tr>
        <w:trPr>
          <w:trHeight w:val="363" w:hRule="exact"/>
        </w:trPr>
        <w:tc>
          <w:tcPr>
            <w:tcW w:w="276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9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c>
          <w:tcPr>
            <w:tcW w:w="295"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2" w:right="0"/>
              <w:jc w:val="center"/>
              <w:rPr>
                <w:rFonts w:ascii="宋体" w:hAnsi="宋体" w:cs="宋体" w:eastAsia="宋体" w:hint="default"/>
                <w:sz w:val="18"/>
                <w:szCs w:val="18"/>
              </w:rPr>
            </w:pPr>
            <w:r>
              <w:rPr>
                <w:rFonts w:ascii="宋体" w:hAnsi="宋体" w:cs="宋体" w:eastAsia="宋体" w:hint="default"/>
                <w:sz w:val="18"/>
                <w:szCs w:val="18"/>
              </w:rPr>
              <w:t>净残值率（％）</w:t>
            </w:r>
          </w:p>
        </w:tc>
      </w:tr>
      <w:tr>
        <w:trPr>
          <w:trHeight w:val="343" w:hRule="exact"/>
        </w:trPr>
        <w:tc>
          <w:tcPr>
            <w:tcW w:w="276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9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20</w:t>
            </w:r>
          </w:p>
        </w:tc>
        <w:tc>
          <w:tcPr>
            <w:tcW w:w="295"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36"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9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10</w:t>
            </w:r>
          </w:p>
        </w:tc>
        <w:tc>
          <w:tcPr>
            <w:tcW w:w="295"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35"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1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9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5</w:t>
            </w:r>
          </w:p>
        </w:tc>
        <w:tc>
          <w:tcPr>
            <w:tcW w:w="295"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35"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1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9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w:t>
            </w:r>
          </w:p>
        </w:tc>
        <w:tc>
          <w:tcPr>
            <w:tcW w:w="295"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63"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5</w:t>
            </w:r>
          </w:p>
        </w:tc>
        <w:tc>
          <w:tcPr>
            <w:tcW w:w="295"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10</w:t>
            </w:r>
          </w:p>
        </w:tc>
      </w:tr>
    </w:tbl>
    <w:p>
      <w:pPr>
        <w:pStyle w:val="BodyText"/>
        <w:spacing w:line="253" w:lineRule="exact"/>
        <w:ind w:right="0" w:firstLine="422"/>
        <w:jc w:val="left"/>
      </w:pPr>
      <w:r>
        <w:rPr/>
        <w:t>每年年度终了，公司对固定资产的使用寿命、预计净残值和折旧方法进行复核。使用寿命预计数与原</w:t>
      </w:r>
    </w:p>
    <w:p>
      <w:pPr>
        <w:pStyle w:val="BodyText"/>
        <w:spacing w:line="340" w:lineRule="auto" w:before="116"/>
        <w:ind w:right="111"/>
        <w:jc w:val="both"/>
      </w:pPr>
      <w:r>
        <w:rPr>
          <w:w w:val="95"/>
        </w:rPr>
        <w:t>先估计数有差异的，调整固定资产使用寿命。净残值预计数与原先估计数有差异的，调整预计净残值。公</w:t>
      </w:r>
      <w:r>
        <w:rPr>
          <w:spacing w:val="52"/>
          <w:w w:val="95"/>
        </w:rPr>
        <w:t> </w:t>
      </w:r>
      <w:r>
        <w:rPr>
          <w:spacing w:val="52"/>
          <w:w w:val="95"/>
        </w:rPr>
      </w:r>
      <w:r>
        <w:rPr>
          <w:spacing w:val="-2"/>
          <w:w w:val="98"/>
        </w:rPr>
        <w:t>司持有待售的固定资产，对其预计净残值进行调整。公司将发生的固定资产后续支出计入固定资产成本的，</w:t>
      </w:r>
      <w:r>
        <w:rPr>
          <w:spacing w:val="-90"/>
          <w:w w:val="98"/>
        </w:rPr>
        <w:t> </w:t>
      </w:r>
      <w:r>
        <w:rPr>
          <w:spacing w:val="-90"/>
          <w:w w:val="98"/>
        </w:rPr>
      </w:r>
      <w:r>
        <w:rPr/>
        <w:t>终止确认被替换部分的账面价值。</w:t>
      </w:r>
    </w:p>
    <w:p>
      <w:pPr>
        <w:pStyle w:val="BodyText"/>
        <w:spacing w:line="340" w:lineRule="auto" w:before="25"/>
        <w:ind w:left="535" w:right="4481"/>
        <w:jc w:val="left"/>
      </w:pPr>
      <w:r>
        <w:rPr/>
        <w:t>固定资产减值准备的计提见资产减值相关会计政策。</w:t>
      </w:r>
      <w:r>
        <w:rPr>
          <w:w w:val="99"/>
        </w:rPr>
        <w:t> </w:t>
      </w:r>
      <w:r>
        <w:rPr/>
        <w:t>减值损失一经确认，在以后会计期间不得转回。</w:t>
      </w:r>
      <w:r>
        <w:rPr>
          <w:w w:val="99"/>
        </w:rPr>
        <w:t> </w:t>
      </w:r>
      <w:r>
        <w:rPr/>
        <w:t>已全额计提减值准备的固定资产，不再计提折旧。</w:t>
      </w:r>
    </w:p>
    <w:p>
      <w:pPr>
        <w:pStyle w:val="BodyText"/>
        <w:spacing w:line="338" w:lineRule="auto" w:before="28"/>
        <w:ind w:right="0" w:firstLine="422"/>
        <w:jc w:val="left"/>
      </w:pPr>
      <w:r>
        <w:rPr>
          <w:w w:val="95"/>
        </w:rPr>
        <w:t>公司出售、转让、报废固定资产或发生固定资产毁损，将处置收入扣除账面价值和相关税费后的金额</w:t>
      </w:r>
      <w:r>
        <w:rPr>
          <w:spacing w:val="-92"/>
          <w:w w:val="95"/>
        </w:rPr>
        <w:t> </w:t>
      </w:r>
      <w:r>
        <w:rPr>
          <w:spacing w:val="-92"/>
          <w:w w:val="95"/>
        </w:rPr>
      </w:r>
      <w:r>
        <w:rPr/>
        <w:t>计入当期损益。固定资产的账面价值是固定资产成本扣减累计折旧和累计减值准备后的金额。</w:t>
      </w:r>
    </w:p>
    <w:p>
      <w:pPr>
        <w:pStyle w:val="BodyText"/>
        <w:spacing w:line="240" w:lineRule="auto" w:before="30"/>
        <w:ind w:left="535" w:right="0"/>
        <w:jc w:val="left"/>
      </w:pPr>
      <w:r>
        <w:rPr>
          <w:rFonts w:ascii="Times New Roman" w:hAnsi="Times New Roman" w:cs="Times New Roman" w:eastAsia="Times New Roman" w:hint="default"/>
        </w:rPr>
        <w:t>12</w:t>
      </w:r>
      <w:r>
        <w:rPr/>
        <w:t>、在建工程</w:t>
      </w:r>
    </w:p>
    <w:p>
      <w:pPr>
        <w:pStyle w:val="BodyText"/>
        <w:spacing w:line="324" w:lineRule="auto" w:before="98"/>
        <w:ind w:left="535" w:right="0"/>
        <w:jc w:val="left"/>
      </w:pPr>
      <w:r>
        <w:rPr/>
        <w:t>（</w:t>
      </w:r>
      <w:r>
        <w:rPr>
          <w:rFonts w:ascii="Times New Roman" w:hAnsi="Times New Roman" w:cs="Times New Roman" w:eastAsia="Times New Roman" w:hint="default"/>
        </w:rPr>
        <w:t>1</w:t>
      </w:r>
      <w:r>
        <w:rPr/>
        <w:t>）计价</w:t>
      </w:r>
      <w:r>
        <w:rPr>
          <w:w w:val="99"/>
        </w:rPr>
        <w:t> </w:t>
      </w:r>
      <w:r>
        <w:rPr>
          <w:w w:val="95"/>
        </w:rPr>
        <w:t>自营工程按直接材料、直接人工、直接施工费等计量；出包工程按应支付的工程价款等计量；设备安</w:t>
      </w:r>
      <w:r>
        <w:rPr/>
      </w:r>
    </w:p>
    <w:p>
      <w:pPr>
        <w:pStyle w:val="BodyText"/>
        <w:spacing w:line="340" w:lineRule="auto" w:before="40"/>
        <w:ind w:right="110"/>
        <w:jc w:val="both"/>
      </w:pPr>
      <w:r>
        <w:rPr>
          <w:w w:val="95"/>
        </w:rPr>
        <w:t>装工程按所安装设备的价值、安装费用、工程试运行等所发生的支出等确定工程成本。在建工程成本还包</w:t>
      </w:r>
      <w:r>
        <w:rPr>
          <w:spacing w:val="54"/>
          <w:w w:val="95"/>
        </w:rPr>
        <w:t> </w:t>
      </w:r>
      <w:r>
        <w:rPr>
          <w:spacing w:val="54"/>
          <w:w w:val="95"/>
        </w:rPr>
      </w:r>
      <w:r>
        <w:rPr/>
        <w:t>括应当资本化的借款费用和汇兑损益。</w:t>
      </w:r>
    </w:p>
    <w:p>
      <w:pPr>
        <w:pStyle w:val="BodyText"/>
        <w:spacing w:line="340" w:lineRule="auto" w:before="25"/>
        <w:ind w:left="535" w:right="4481"/>
        <w:jc w:val="left"/>
      </w:pPr>
      <w:r>
        <w:rPr/>
        <w:t>在建工程减值准备的计提见资产减值相关会计政策。</w:t>
      </w:r>
      <w:r>
        <w:rPr>
          <w:w w:val="99"/>
        </w:rPr>
        <w:t> </w:t>
      </w:r>
      <w:r>
        <w:rPr/>
        <w:t>减值损失一经确认，在以后会计期间不得转回。</w:t>
      </w:r>
    </w:p>
    <w:p>
      <w:pPr>
        <w:pStyle w:val="BodyText"/>
        <w:spacing w:line="324" w:lineRule="auto" w:before="25"/>
        <w:ind w:left="535" w:right="0"/>
        <w:jc w:val="left"/>
      </w:pPr>
      <w:r>
        <w:rPr/>
        <w:t>（</w:t>
      </w:r>
      <w:r>
        <w:rPr>
          <w:rFonts w:ascii="Times New Roman" w:hAnsi="Times New Roman" w:cs="Times New Roman" w:eastAsia="Times New Roman" w:hint="default"/>
        </w:rPr>
        <w:t>2</w:t>
      </w:r>
      <w:r>
        <w:rPr/>
        <w:t>）转出</w:t>
      </w:r>
      <w:r>
        <w:rPr>
          <w:w w:val="99"/>
        </w:rPr>
        <w:t> </w:t>
      </w:r>
      <w:r>
        <w:rPr>
          <w:w w:val="95"/>
        </w:rPr>
        <w:t>将该项在建工程达到预定可使用状态前所发生的必要支出转入固定资产，从次月开始计提折旧。已达</w:t>
      </w:r>
      <w:r>
        <w:rPr/>
      </w:r>
    </w:p>
    <w:p>
      <w:pPr>
        <w:pStyle w:val="BodyText"/>
        <w:spacing w:line="340" w:lineRule="auto" w:before="40"/>
        <w:ind w:right="112"/>
        <w:jc w:val="both"/>
      </w:pPr>
      <w:r>
        <w:rPr>
          <w:w w:val="95"/>
        </w:rPr>
        <w:t>到预定可使用状态但尚未办理竣工决算的固定资产，应当按照估计价值确定其成本，并计提折旧；待办理</w:t>
      </w:r>
      <w:r>
        <w:rPr>
          <w:spacing w:val="50"/>
          <w:w w:val="95"/>
        </w:rPr>
        <w:t> </w:t>
      </w:r>
      <w:r>
        <w:rPr>
          <w:spacing w:val="50"/>
          <w:w w:val="95"/>
        </w:rPr>
      </w:r>
      <w:r>
        <w:rPr/>
        <w:t>竣工决算后，再按实际成本调整原来的暂估价值，但不需要调整原已计提的折旧额。</w:t>
      </w:r>
    </w:p>
    <w:p>
      <w:pPr>
        <w:pStyle w:val="BodyText"/>
        <w:spacing w:line="240" w:lineRule="auto" w:before="25"/>
        <w:ind w:left="535" w:right="0"/>
        <w:jc w:val="left"/>
      </w:pPr>
      <w:r>
        <w:rPr>
          <w:rFonts w:ascii="Times New Roman" w:hAnsi="Times New Roman" w:cs="Times New Roman" w:eastAsia="Times New Roman" w:hint="default"/>
        </w:rPr>
        <w:t>13</w:t>
      </w:r>
      <w:r>
        <w:rPr/>
        <w:t>、无形资产</w:t>
      </w:r>
    </w:p>
    <w:p>
      <w:pPr>
        <w:pStyle w:val="BodyText"/>
        <w:spacing w:line="321" w:lineRule="auto" w:before="100"/>
        <w:ind w:left="535" w:right="2381"/>
        <w:jc w:val="left"/>
      </w:pPr>
      <w:r>
        <w:rPr/>
        <w:t>（</w:t>
      </w:r>
      <w:r>
        <w:rPr>
          <w:rFonts w:ascii="Times New Roman" w:hAnsi="Times New Roman" w:cs="Times New Roman" w:eastAsia="Times New Roman" w:hint="default"/>
        </w:rPr>
        <w:t>1</w:t>
      </w:r>
      <w:r>
        <w:rPr/>
        <w:t>）确认</w:t>
      </w:r>
      <w:r>
        <w:rPr>
          <w:w w:val="99"/>
        </w:rPr>
        <w:t> </w:t>
      </w:r>
      <w:r>
        <w:rPr/>
        <w:t>无形资产，是指公司拥有或者控制的没有实物形态的可辨认非货币性资产。</w:t>
      </w:r>
    </w:p>
    <w:p>
      <w:pPr>
        <w:spacing w:after="0" w:line="321"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无形资产主要包括：专利权、非专利技术、商标权、著作权、土地使用权、特许权等。</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left="535" w:right="0"/>
        <w:jc w:val="left"/>
      </w:pPr>
      <w:r>
        <w:rPr/>
        <w:t>除下列情形外，无形项目的支出均应于发生时计入当期损益：</w:t>
      </w:r>
    </w:p>
    <w:p>
      <w:pPr>
        <w:pStyle w:val="BodyText"/>
        <w:spacing w:line="240" w:lineRule="auto" w:before="116"/>
        <w:ind w:left="535" w:right="0"/>
        <w:jc w:val="left"/>
      </w:pPr>
      <w:r>
        <w:rPr/>
        <w:t>①符合规定的确认条件、构成无形资产成本的部分；</w:t>
      </w:r>
    </w:p>
    <w:p>
      <w:pPr>
        <w:pStyle w:val="BodyText"/>
        <w:spacing w:line="338" w:lineRule="auto" w:before="116"/>
        <w:ind w:left="535" w:right="0"/>
        <w:jc w:val="left"/>
      </w:pPr>
      <w:r>
        <w:rPr/>
        <w:t>②非同一控制下公司合并中取得的、不能单独确认为无形资产、构成购买日确认的商誉的部分。</w:t>
      </w:r>
      <w:r>
        <w:rPr>
          <w:w w:val="99"/>
        </w:rPr>
        <w:t> </w:t>
      </w:r>
      <w:r>
        <w:rPr>
          <w:w w:val="95"/>
        </w:rPr>
        <w:t>公司内部研究开发项目的支出，应当区分研究阶段支出与开发阶段支出。公司内部研究开发项目研究</w:t>
      </w:r>
      <w:r>
        <w:rPr/>
      </w:r>
    </w:p>
    <w:p>
      <w:pPr>
        <w:pStyle w:val="BodyText"/>
        <w:spacing w:line="340" w:lineRule="auto" w:before="28"/>
        <w:ind w:right="132"/>
        <w:jc w:val="both"/>
      </w:pPr>
      <w:r>
        <w:rPr>
          <w:w w:val="95"/>
        </w:rPr>
        <w:t>阶段的支出，于发生时计入当期损益。公司内部研究开发项目开发阶段的支出，同时满足下列条件的，确</w:t>
      </w:r>
      <w:r>
        <w:rPr>
          <w:spacing w:val="52"/>
          <w:w w:val="95"/>
        </w:rPr>
        <w:t> </w:t>
      </w:r>
      <w:r>
        <w:rPr>
          <w:spacing w:val="52"/>
          <w:w w:val="95"/>
        </w:rPr>
      </w:r>
      <w:r>
        <w:rPr/>
        <w:t>认为无形资产：</w:t>
      </w:r>
    </w:p>
    <w:p>
      <w:pPr>
        <w:pStyle w:val="BodyText"/>
        <w:spacing w:line="240" w:lineRule="auto" w:before="25"/>
        <w:ind w:left="535" w:right="0"/>
        <w:jc w:val="left"/>
      </w:pPr>
      <w:r>
        <w:rPr/>
        <w:t>①完成该无形资产以使其能够使用或出售在技术上具有可行性；</w:t>
      </w:r>
    </w:p>
    <w:p>
      <w:pPr>
        <w:pStyle w:val="BodyText"/>
        <w:spacing w:line="240" w:lineRule="auto" w:before="116"/>
        <w:ind w:left="535" w:right="0"/>
        <w:jc w:val="left"/>
      </w:pPr>
      <w:r>
        <w:rPr/>
        <w:t>②具有完成该无形资产并使用或出售的意图；</w:t>
      </w:r>
    </w:p>
    <w:p>
      <w:pPr>
        <w:pStyle w:val="BodyText"/>
        <w:spacing w:line="338" w:lineRule="auto" w:before="116"/>
        <w:ind w:right="0" w:firstLine="422"/>
        <w:jc w:val="left"/>
      </w:pPr>
      <w:r>
        <w:rPr>
          <w:w w:val="95"/>
        </w:rPr>
        <w:t>③无形资产产生经济利益的方式，包括能够证明运用该无形资产生产的产品存在市场或无形资产自身</w:t>
      </w:r>
      <w:r>
        <w:rPr>
          <w:spacing w:val="-93"/>
          <w:w w:val="95"/>
        </w:rPr>
        <w:t> </w:t>
      </w:r>
      <w:r>
        <w:rPr>
          <w:spacing w:val="-93"/>
          <w:w w:val="95"/>
        </w:rPr>
      </w:r>
      <w:r>
        <w:rPr/>
        <w:t>存在市场，无形资产将在内部使用的，应当证明其有用性；</w:t>
      </w:r>
    </w:p>
    <w:p>
      <w:pPr>
        <w:pStyle w:val="BodyText"/>
        <w:spacing w:line="338" w:lineRule="auto" w:before="30"/>
        <w:ind w:right="0" w:firstLine="422"/>
        <w:jc w:val="left"/>
      </w:pPr>
      <w:r>
        <w:rPr>
          <w:w w:val="95"/>
        </w:rPr>
        <w:t>④有足够的技术、财务资源和其他资源支持，以完成该无形资产的开发，并有能力使用或出售该无形</w:t>
      </w:r>
      <w:r>
        <w:rPr>
          <w:spacing w:val="-90"/>
          <w:w w:val="95"/>
        </w:rPr>
        <w:t> </w:t>
      </w:r>
      <w:r>
        <w:rPr>
          <w:spacing w:val="-90"/>
          <w:w w:val="95"/>
        </w:rPr>
      </w:r>
      <w:r>
        <w:rPr/>
        <w:t>资产；</w:t>
      </w:r>
    </w:p>
    <w:p>
      <w:pPr>
        <w:pStyle w:val="BodyText"/>
        <w:spacing w:line="338" w:lineRule="auto" w:before="30"/>
        <w:ind w:left="535" w:right="0"/>
        <w:jc w:val="left"/>
      </w:pPr>
      <w:r>
        <w:rPr/>
        <w:t>⑤归属于该无形资产开发阶段的支出能够可靠地计量。</w:t>
      </w:r>
      <w:r>
        <w:rPr>
          <w:w w:val="99"/>
        </w:rPr>
        <w:t> </w:t>
      </w:r>
      <w:r>
        <w:rPr>
          <w:w w:val="95"/>
        </w:rPr>
        <w:t>公司取得的土地使用权通常应确认为无形资产。自行开发建造厂房等地上建筑物时，土地使用权与地</w:t>
      </w:r>
      <w:r>
        <w:rPr/>
      </w:r>
    </w:p>
    <w:p>
      <w:pPr>
        <w:pStyle w:val="BodyText"/>
        <w:spacing w:line="340" w:lineRule="auto" w:before="28"/>
        <w:ind w:right="132"/>
        <w:jc w:val="both"/>
      </w:pPr>
      <w:r>
        <w:rPr>
          <w:w w:val="95"/>
        </w:rPr>
        <w:t>上建筑物分别进行摊销和提取折旧。但公司外购的土地及房屋建筑物支付的价款无法在地上建筑物与土地</w:t>
      </w:r>
      <w:r>
        <w:rPr>
          <w:spacing w:val="52"/>
          <w:w w:val="95"/>
        </w:rPr>
        <w:t> </w:t>
      </w:r>
      <w:r>
        <w:rPr>
          <w:spacing w:val="52"/>
          <w:w w:val="95"/>
        </w:rPr>
      </w:r>
      <w:r>
        <w:rPr/>
        <w:t>使用权之间分配的，应当按照本公司会计政策中固定资产的规定，确认为固定资产原价。</w:t>
      </w:r>
    </w:p>
    <w:p>
      <w:pPr>
        <w:pStyle w:val="BodyText"/>
        <w:spacing w:line="240" w:lineRule="auto" w:before="25"/>
        <w:ind w:left="535" w:right="0"/>
        <w:jc w:val="left"/>
      </w:pPr>
      <w:r>
        <w:rPr/>
        <w:t>公司改变土地使用权的用途，将其作为用于出租或增值目的时，应将其账面价值转为投资性房地产。</w:t>
      </w:r>
    </w:p>
    <w:p>
      <w:pPr>
        <w:pStyle w:val="BodyText"/>
        <w:spacing w:line="321" w:lineRule="auto" w:before="116"/>
        <w:ind w:left="535" w:right="0"/>
        <w:jc w:val="left"/>
      </w:pPr>
      <w:r>
        <w:rPr/>
        <w:t>（</w:t>
      </w:r>
      <w:r>
        <w:rPr>
          <w:rFonts w:ascii="Times New Roman" w:hAnsi="Times New Roman" w:cs="Times New Roman" w:eastAsia="Times New Roman" w:hint="default"/>
        </w:rPr>
        <w:t>2</w:t>
      </w:r>
      <w:r>
        <w:rPr/>
        <w:t>）计量</w:t>
      </w:r>
      <w:r>
        <w:rPr>
          <w:w w:val="99"/>
        </w:rPr>
        <w:t> </w:t>
      </w:r>
      <w:r>
        <w:rPr>
          <w:w w:val="95"/>
        </w:rPr>
        <w:t>外购无形资产的成本，按购买价款、相关税费以及直接归属于使该项资产达到预定用途所发生的其他</w:t>
      </w:r>
      <w:r>
        <w:rPr/>
      </w:r>
    </w:p>
    <w:p>
      <w:pPr>
        <w:pStyle w:val="BodyText"/>
        <w:spacing w:line="340" w:lineRule="auto" w:before="45"/>
        <w:ind w:right="130"/>
        <w:jc w:val="both"/>
      </w:pPr>
      <w:r>
        <w:rPr>
          <w:w w:val="95"/>
        </w:rPr>
        <w:t>支出进行计量。自行开发的无形资产，按开发阶段所发生的支出总额进行计量，但是对于以前期间已经费</w:t>
      </w:r>
      <w:r>
        <w:rPr>
          <w:spacing w:val="51"/>
          <w:w w:val="95"/>
        </w:rPr>
        <w:t> </w:t>
      </w:r>
      <w:r>
        <w:rPr>
          <w:spacing w:val="51"/>
          <w:w w:val="95"/>
        </w:rPr>
      </w:r>
      <w:r>
        <w:rPr>
          <w:w w:val="95"/>
        </w:rPr>
        <w:t>用化的支出不再调整。投资者投入无形资产的成本，按照投资合同或协议约定的价值确定，但合同或协议</w:t>
      </w:r>
      <w:r>
        <w:rPr>
          <w:spacing w:val="53"/>
          <w:w w:val="95"/>
        </w:rPr>
        <w:t> </w:t>
      </w:r>
      <w:r>
        <w:rPr>
          <w:spacing w:val="53"/>
          <w:w w:val="95"/>
        </w:rPr>
      </w:r>
      <w:r>
        <w:rPr/>
        <w:t>约定价值不公允的除外。</w:t>
      </w:r>
    </w:p>
    <w:p>
      <w:pPr>
        <w:pStyle w:val="BodyText"/>
        <w:spacing w:line="338" w:lineRule="auto" w:before="28"/>
        <w:ind w:left="535" w:right="0"/>
        <w:jc w:val="left"/>
      </w:pPr>
      <w:r>
        <w:rPr/>
        <w:t>公司应当于取得无形资产时分析判断其使用寿命。</w:t>
      </w:r>
      <w:r>
        <w:rPr>
          <w:w w:val="99"/>
        </w:rPr>
        <w:t> </w:t>
      </w:r>
      <w:r>
        <w:rPr>
          <w:w w:val="95"/>
        </w:rPr>
        <w:t>使用寿命有限的无形资产按使用寿命采用直线法摊销的方法进行摊销，使用寿命不确定的无形资产不</w:t>
      </w:r>
      <w:r>
        <w:rPr/>
      </w:r>
    </w:p>
    <w:p>
      <w:pPr>
        <w:pStyle w:val="BodyText"/>
        <w:spacing w:line="338" w:lineRule="auto" w:before="30"/>
        <w:ind w:right="132"/>
        <w:jc w:val="both"/>
      </w:pPr>
      <w:r>
        <w:rPr>
          <w:w w:val="95"/>
        </w:rPr>
        <w:t>摊销。每年年度终了，对使用寿命有限的无形资产的使用寿命及摊销方法进行复核。无形资产的使用寿命</w:t>
      </w:r>
      <w:r>
        <w:rPr>
          <w:spacing w:val="50"/>
          <w:w w:val="95"/>
        </w:rPr>
        <w:t> </w:t>
      </w:r>
      <w:r>
        <w:rPr>
          <w:spacing w:val="50"/>
          <w:w w:val="95"/>
        </w:rPr>
      </w:r>
      <w:r>
        <w:rPr/>
        <w:t>及摊销方法与以前估计不同的，改变摊销期限和摊销方法。</w:t>
      </w:r>
    </w:p>
    <w:p>
      <w:pPr>
        <w:pStyle w:val="BodyText"/>
        <w:spacing w:line="340" w:lineRule="auto" w:before="30"/>
        <w:ind w:right="132" w:firstLine="422"/>
        <w:jc w:val="both"/>
      </w:pPr>
      <w:r>
        <w:rPr>
          <w:spacing w:val="3"/>
        </w:rPr>
        <w:t>摊销金额一般应确认为当期损益。某项无形资产包含的经济利益通过所生产的产品或其他资产实现</w:t>
      </w:r>
      <w:r>
        <w:rPr>
          <w:w w:val="99"/>
        </w:rPr>
        <w:t> </w:t>
      </w:r>
      <w:r>
        <w:rPr>
          <w:w w:val="95"/>
        </w:rPr>
        <w:t>的，其摊销金额应当计入相关资产的成本。能够取得使用费等其他业务收入的无形资产，其摊销金额计入</w:t>
      </w:r>
      <w:r>
        <w:rPr>
          <w:spacing w:val="50"/>
          <w:w w:val="95"/>
        </w:rPr>
        <w:t> </w:t>
      </w:r>
      <w:r>
        <w:rPr>
          <w:spacing w:val="50"/>
          <w:w w:val="95"/>
        </w:rPr>
      </w:r>
      <w:r>
        <w:rPr/>
        <w:t>其他业务成本。</w:t>
      </w:r>
    </w:p>
    <w:p>
      <w:pPr>
        <w:pStyle w:val="BodyText"/>
        <w:spacing w:line="340" w:lineRule="auto" w:before="25"/>
        <w:ind w:right="0" w:firstLine="422"/>
        <w:jc w:val="left"/>
      </w:pPr>
      <w:r>
        <w:rPr>
          <w:w w:val="95"/>
        </w:rPr>
        <w:t>无形资产的应摊销金额为其成本扣除预计残值后的金额。已计提减值准备的无形资产，还应扣除已计</w:t>
      </w:r>
      <w:r>
        <w:rPr>
          <w:spacing w:val="-93"/>
          <w:w w:val="95"/>
        </w:rPr>
        <w:t> </w:t>
      </w:r>
      <w:r>
        <w:rPr>
          <w:spacing w:val="-93"/>
          <w:w w:val="95"/>
        </w:rPr>
      </w:r>
      <w:r>
        <w:rPr/>
        <w:t>提的无形资产减值准备累计金额。</w:t>
      </w:r>
    </w:p>
    <w:p>
      <w:pPr>
        <w:pStyle w:val="BodyText"/>
        <w:spacing w:line="340" w:lineRule="auto" w:before="25"/>
        <w:ind w:left="535" w:right="4501"/>
        <w:jc w:val="left"/>
      </w:pPr>
      <w:r>
        <w:rPr/>
        <w:t>无形资产减值准备的计提见资产减值相关会计政策。</w:t>
      </w:r>
      <w:r>
        <w:rPr>
          <w:w w:val="99"/>
        </w:rPr>
        <w:t> </w:t>
      </w:r>
      <w:r>
        <w:rPr/>
        <w:t>减值损失一经确认，在以后会计期间不得转回。</w:t>
      </w:r>
    </w:p>
    <w:p>
      <w:pPr>
        <w:pStyle w:val="BodyText"/>
        <w:spacing w:line="240" w:lineRule="auto" w:before="25"/>
        <w:ind w:left="535" w:right="0"/>
        <w:jc w:val="left"/>
      </w:pPr>
      <w:r>
        <w:rPr/>
        <w:t>（</w:t>
      </w:r>
      <w:r>
        <w:rPr>
          <w:rFonts w:ascii="Times New Roman" w:hAnsi="Times New Roman" w:cs="Times New Roman" w:eastAsia="Times New Roman" w:hint="default"/>
        </w:rPr>
        <w:t>3</w:t>
      </w:r>
      <w:r>
        <w:rPr/>
        <w:t>）处置和报废</w:t>
      </w:r>
    </w:p>
    <w:p>
      <w:pPr>
        <w:spacing w:after="0" w:line="240" w:lineRule="auto"/>
        <w:jc w:val="left"/>
        <w:sectPr>
          <w:pgSz w:w="11910" w:h="16840"/>
          <w:pgMar w:header="849" w:footer="976" w:top="1460" w:bottom="1160" w:left="1020" w:right="100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w w:val="95"/>
                          <w:sz w:val="21"/>
                          <w:szCs w:val="21"/>
                        </w:rPr>
                        <w:t>出售无形资产，应当将取得的价款与该无形资产账面价值的差额作为处置非流动资产利得或损失分别</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33" w:lineRule="auto" w:before="34"/>
        <w:ind w:left="535" w:right="103" w:hanging="423"/>
        <w:jc w:val="left"/>
      </w:pPr>
      <w:r>
        <w:rPr/>
        <w:t>计入营业外收入或营业外支出。</w:t>
      </w:r>
      <w:r>
        <w:rPr>
          <w:w w:val="99"/>
        </w:rPr>
        <w:t> </w:t>
      </w:r>
      <w:r>
        <w:rPr>
          <w:spacing w:val="-2"/>
          <w:w w:val="95"/>
        </w:rPr>
        <w:t>无形资产预期不能为公司带来经济利益的，应当将该无形资产的账面价值予以转销，计入营业外支出。</w:t>
      </w:r>
      <w:r>
        <w:rPr>
          <w:w w:val="99"/>
        </w:rPr>
        <w:t> </w:t>
      </w:r>
      <w:r>
        <w:rPr>
          <w:rFonts w:ascii="Times New Roman" w:hAnsi="Times New Roman" w:cs="Times New Roman" w:eastAsia="Times New Roman" w:hint="default"/>
        </w:rPr>
        <w:t>14</w:t>
      </w:r>
      <w:r>
        <w:rPr/>
        <w:t>、商誉</w:t>
      </w:r>
      <w:r>
        <w:rPr>
          <w:w w:val="99"/>
        </w:rPr>
        <w:t> </w:t>
      </w:r>
      <w:r>
        <w:rPr/>
        <w:t>商誉为股权投资成本超过应享有被投资单位于投资取得日的公允价值份额的差额，或者为非同一控制</w:t>
      </w:r>
    </w:p>
    <w:p>
      <w:pPr>
        <w:pStyle w:val="BodyText"/>
        <w:spacing w:line="340" w:lineRule="auto" w:before="32"/>
        <w:ind w:left="535" w:right="103" w:hanging="423"/>
        <w:jc w:val="left"/>
      </w:pPr>
      <w:r>
        <w:rPr/>
        <w:t>下企业合并成本超过企业合并中取得的被购买方可辨认净资产于购买日公允价值份额的差额。</w:t>
      </w:r>
      <w:r>
        <w:rPr>
          <w:w w:val="99"/>
        </w:rPr>
        <w:t> </w:t>
      </w:r>
      <w:r>
        <w:rPr>
          <w:w w:val="95"/>
        </w:rPr>
        <w:t>企业合并形成的商誉在合并财务报表上单独列示。购买联营企业和合营企业股权投资成本超过投资时</w:t>
      </w:r>
      <w:r>
        <w:rPr/>
      </w:r>
    </w:p>
    <w:p>
      <w:pPr>
        <w:pStyle w:val="BodyText"/>
        <w:spacing w:line="240" w:lineRule="auto" w:before="25"/>
        <w:ind w:right="103"/>
        <w:jc w:val="left"/>
      </w:pPr>
      <w:r>
        <w:rPr/>
        <w:t>应享有被投资单位的公允价值份额的差额，包含于长期股权投资。</w:t>
      </w:r>
    </w:p>
    <w:p>
      <w:pPr>
        <w:pStyle w:val="BodyText"/>
        <w:spacing w:line="324" w:lineRule="auto" w:before="116"/>
        <w:ind w:left="535" w:right="103"/>
        <w:jc w:val="left"/>
      </w:pPr>
      <w:r>
        <w:rPr>
          <w:rFonts w:ascii="Times New Roman" w:hAnsi="Times New Roman" w:cs="Times New Roman" w:eastAsia="Times New Roman" w:hint="default"/>
        </w:rPr>
        <w:t>15</w:t>
      </w:r>
      <w:r>
        <w:rPr/>
        <w:t>、长期待摊费用</w:t>
      </w:r>
      <w:r>
        <w:rPr>
          <w:w w:val="99"/>
        </w:rPr>
        <w:t> </w:t>
      </w:r>
      <w:r>
        <w:rPr>
          <w:w w:val="95"/>
        </w:rPr>
        <w:t>长期待摊费用按实际发生额入账，按受益期限平均摊销。不能使以后会计期间受益的长期待摊费用项</w:t>
      </w:r>
      <w:r>
        <w:rPr/>
      </w:r>
    </w:p>
    <w:p>
      <w:pPr>
        <w:pStyle w:val="BodyText"/>
        <w:spacing w:line="240" w:lineRule="auto" w:before="40"/>
        <w:ind w:right="103"/>
        <w:jc w:val="left"/>
      </w:pPr>
      <w:r>
        <w:rPr/>
        <w:t>目，在确定时将该项目的摊余价值全部计入当期损益。</w:t>
      </w:r>
    </w:p>
    <w:p>
      <w:pPr>
        <w:pStyle w:val="BodyText"/>
        <w:spacing w:line="240" w:lineRule="auto" w:before="116"/>
        <w:ind w:left="535" w:right="103"/>
        <w:jc w:val="left"/>
      </w:pPr>
      <w:r>
        <w:rPr>
          <w:rFonts w:ascii="Times New Roman" w:hAnsi="Times New Roman" w:cs="Times New Roman" w:eastAsia="Times New Roman" w:hint="default"/>
        </w:rPr>
        <w:t>16</w:t>
      </w:r>
      <w:r>
        <w:rPr/>
        <w:t>、资产减值</w:t>
      </w:r>
    </w:p>
    <w:p>
      <w:pPr>
        <w:pStyle w:val="BodyText"/>
        <w:spacing w:line="240" w:lineRule="auto" w:before="98"/>
        <w:ind w:left="535" w:right="103"/>
        <w:jc w:val="left"/>
      </w:pPr>
      <w:r>
        <w:rPr/>
        <w:t>（</w:t>
      </w:r>
      <w:r>
        <w:rPr>
          <w:rFonts w:ascii="Times New Roman" w:hAnsi="Times New Roman" w:cs="Times New Roman" w:eastAsia="Times New Roman" w:hint="default"/>
        </w:rPr>
        <w:t>1</w:t>
      </w:r>
      <w:r>
        <w:rPr/>
        <w:t>）资产减值会计政策的适用范围：</w:t>
      </w:r>
    </w:p>
    <w:p>
      <w:pPr>
        <w:pStyle w:val="BodyText"/>
        <w:spacing w:line="240" w:lineRule="auto" w:before="100"/>
        <w:ind w:left="535" w:right="103"/>
        <w:jc w:val="left"/>
      </w:pPr>
      <w:r>
        <w:rPr/>
        <w:t>①对子公司、联营企业和合营企业的长期股权投资；</w:t>
      </w:r>
    </w:p>
    <w:p>
      <w:pPr>
        <w:pStyle w:val="BodyText"/>
        <w:spacing w:line="240" w:lineRule="auto" w:before="114"/>
        <w:ind w:left="535" w:right="103"/>
        <w:jc w:val="left"/>
      </w:pPr>
      <w:r>
        <w:rPr/>
        <w:t>②采用成本模式进行后续计量的投资性房地产；</w:t>
      </w:r>
    </w:p>
    <w:p>
      <w:pPr>
        <w:pStyle w:val="BodyText"/>
        <w:spacing w:line="240" w:lineRule="auto" w:before="114"/>
        <w:ind w:left="535" w:right="103"/>
        <w:jc w:val="left"/>
      </w:pPr>
      <w:r>
        <w:rPr/>
        <w:t>③固定资产；</w:t>
      </w:r>
    </w:p>
    <w:p>
      <w:pPr>
        <w:pStyle w:val="BodyText"/>
        <w:spacing w:line="240" w:lineRule="auto" w:before="116"/>
        <w:ind w:left="535" w:right="103"/>
        <w:jc w:val="left"/>
      </w:pPr>
      <w:r>
        <w:rPr/>
        <w:t>④生产性生物资产；</w:t>
      </w:r>
    </w:p>
    <w:p>
      <w:pPr>
        <w:pStyle w:val="BodyText"/>
        <w:spacing w:line="240" w:lineRule="auto" w:before="114"/>
        <w:ind w:left="535" w:right="103"/>
        <w:jc w:val="left"/>
      </w:pPr>
      <w:r>
        <w:rPr/>
        <w:t>⑤无形资产；</w:t>
      </w:r>
    </w:p>
    <w:p>
      <w:pPr>
        <w:pStyle w:val="BodyText"/>
        <w:spacing w:line="240" w:lineRule="auto" w:before="116"/>
        <w:ind w:left="535" w:right="103"/>
        <w:jc w:val="left"/>
      </w:pPr>
      <w:r>
        <w:rPr/>
        <w:t>⑥商誉。</w:t>
      </w:r>
    </w:p>
    <w:p>
      <w:pPr>
        <w:pStyle w:val="BodyText"/>
        <w:spacing w:line="331" w:lineRule="auto" w:before="114"/>
        <w:ind w:right="212" w:firstLine="422"/>
        <w:jc w:val="both"/>
      </w:pPr>
      <w:r>
        <w:rPr/>
        <w:t>（</w:t>
      </w:r>
      <w:r>
        <w:rPr>
          <w:rFonts w:ascii="Times New Roman" w:hAnsi="Times New Roman" w:cs="Times New Roman" w:eastAsia="Times New Roman" w:hint="default"/>
        </w:rPr>
        <w:t>2</w:t>
      </w:r>
      <w:r>
        <w:rPr/>
        <w:t>）公司在资产负债表日判断资产是否存在可能发生减值的迹象。资产存在减值迹象的，应当估计</w:t>
      </w:r>
      <w:r>
        <w:rPr>
          <w:w w:val="99"/>
        </w:rPr>
        <w:t> </w:t>
      </w:r>
      <w:r>
        <w:rPr>
          <w:w w:val="95"/>
        </w:rPr>
        <w:t>其可收回金额。可收回金额应当根据资产的公允价值减去处置费用后的净额与资产预计未来现金流量的现</w:t>
      </w:r>
      <w:r>
        <w:rPr>
          <w:spacing w:val="52"/>
          <w:w w:val="95"/>
        </w:rPr>
        <w:t> </w:t>
      </w:r>
      <w:r>
        <w:rPr>
          <w:spacing w:val="52"/>
          <w:w w:val="95"/>
        </w:rPr>
      </w:r>
      <w:r>
        <w:rPr/>
        <w:t>值两者之间较高者确定。</w:t>
      </w:r>
    </w:p>
    <w:p>
      <w:pPr>
        <w:pStyle w:val="BodyText"/>
        <w:spacing w:line="340" w:lineRule="auto" w:before="34"/>
        <w:ind w:right="212" w:firstLine="422"/>
        <w:jc w:val="both"/>
      </w:pPr>
      <w:r>
        <w:rPr>
          <w:w w:val="95"/>
        </w:rPr>
        <w:t>可收回金额的计量结果表明，资产的可收回金额低于其账面价值的，应当将资产的账面价值减记至可</w:t>
      </w:r>
      <w:r>
        <w:rPr>
          <w:spacing w:val="-94"/>
          <w:w w:val="95"/>
        </w:rPr>
        <w:t> </w:t>
      </w:r>
      <w:r>
        <w:rPr>
          <w:spacing w:val="-94"/>
          <w:w w:val="95"/>
        </w:rPr>
      </w:r>
      <w:r>
        <w:rPr>
          <w:w w:val="95"/>
        </w:rPr>
        <w:t>收回金额，减记的金额确认为资产减值损失，计入当期损益，同时计提相应的资产减值准备。资产减值损</w:t>
      </w:r>
      <w:r>
        <w:rPr>
          <w:spacing w:val="52"/>
          <w:w w:val="95"/>
        </w:rPr>
        <w:t> </w:t>
      </w:r>
      <w:r>
        <w:rPr>
          <w:spacing w:val="52"/>
          <w:w w:val="95"/>
        </w:rPr>
      </w:r>
      <w:r>
        <w:rPr/>
        <w:t>失一经确认，在以后会计期间不得转回。</w:t>
      </w:r>
    </w:p>
    <w:p>
      <w:pPr>
        <w:pStyle w:val="BodyText"/>
        <w:spacing w:line="240" w:lineRule="auto" w:before="28"/>
        <w:ind w:left="535" w:right="103"/>
        <w:jc w:val="left"/>
      </w:pPr>
      <w:r>
        <w:rPr/>
        <w:t>（</w:t>
      </w:r>
      <w:r>
        <w:rPr>
          <w:rFonts w:ascii="Times New Roman" w:hAnsi="Times New Roman" w:cs="Times New Roman" w:eastAsia="Times New Roman" w:hint="default"/>
        </w:rPr>
        <w:t>3</w:t>
      </w:r>
      <w:r>
        <w:rPr/>
        <w:t>）资产组的核算方法</w:t>
      </w:r>
    </w:p>
    <w:p>
      <w:pPr>
        <w:pStyle w:val="BodyText"/>
        <w:spacing w:line="340" w:lineRule="auto" w:before="98"/>
        <w:ind w:right="210" w:firstLine="422"/>
        <w:jc w:val="both"/>
      </w:pPr>
      <w:r>
        <w:rPr>
          <w:w w:val="95"/>
        </w:rPr>
        <w:t>①资产组的认定：以资产组产生的主要现金流入是否独立于其他资产或者资产组的现金流入为依据，</w:t>
      </w:r>
      <w:r>
        <w:rPr>
          <w:spacing w:val="-95"/>
          <w:w w:val="95"/>
        </w:rPr>
        <w:t> </w:t>
      </w:r>
      <w:r>
        <w:rPr>
          <w:spacing w:val="-95"/>
          <w:w w:val="95"/>
        </w:rPr>
      </w:r>
      <w:r>
        <w:rPr>
          <w:w w:val="95"/>
        </w:rPr>
        <w:t>考虑公司管理生产经营活动的方式（如是按照生产线、业务种类还是按照地区或者区域等）和对资产的持</w:t>
      </w:r>
      <w:r>
        <w:rPr>
          <w:spacing w:val="54"/>
          <w:w w:val="95"/>
        </w:rPr>
        <w:t> </w:t>
      </w:r>
      <w:r>
        <w:rPr>
          <w:spacing w:val="54"/>
          <w:w w:val="95"/>
        </w:rPr>
      </w:r>
      <w:r>
        <w:rPr/>
        <w:t>续使用或者处置的决策方式等。</w:t>
      </w:r>
    </w:p>
    <w:p>
      <w:pPr>
        <w:pStyle w:val="BodyText"/>
        <w:spacing w:line="340" w:lineRule="auto" w:before="28"/>
        <w:ind w:right="212" w:firstLine="422"/>
        <w:jc w:val="both"/>
      </w:pPr>
      <w:r>
        <w:rPr>
          <w:w w:val="95"/>
        </w:rPr>
        <w:t>②资产组的减值：可收回金额应当按照该资产组的公允价值减去处置费用后的净额与其预计未来现金</w:t>
      </w:r>
      <w:r>
        <w:rPr>
          <w:spacing w:val="-93"/>
          <w:w w:val="95"/>
        </w:rPr>
        <w:t> </w:t>
      </w:r>
      <w:r>
        <w:rPr>
          <w:spacing w:val="-93"/>
          <w:w w:val="95"/>
        </w:rPr>
      </w:r>
      <w:r>
        <w:rPr>
          <w:w w:val="95"/>
        </w:rPr>
        <w:t>流量的现值两者之间较高者确定。资产组或者资产组组合的可收回金额低于其账面价值的，确认相应的减</w:t>
      </w:r>
      <w:r>
        <w:rPr>
          <w:spacing w:val="52"/>
          <w:w w:val="95"/>
        </w:rPr>
        <w:t> </w:t>
      </w:r>
      <w:r>
        <w:rPr>
          <w:spacing w:val="52"/>
          <w:w w:val="95"/>
        </w:rPr>
      </w:r>
      <w:r>
        <w:rPr/>
        <w:t>值损失。</w:t>
      </w:r>
    </w:p>
    <w:p>
      <w:pPr>
        <w:pStyle w:val="BodyText"/>
        <w:spacing w:line="340" w:lineRule="auto" w:before="25"/>
        <w:ind w:right="212" w:firstLine="422"/>
        <w:jc w:val="both"/>
      </w:pPr>
      <w:r>
        <w:rPr>
          <w:w w:val="95"/>
        </w:rPr>
        <w:t>③商誉的减值：因企业合并所形成的商誉，在每年度终了结合与其相关的资产组或者资产组组合进行</w:t>
      </w:r>
      <w:r>
        <w:rPr>
          <w:spacing w:val="-93"/>
          <w:w w:val="95"/>
        </w:rPr>
        <w:t> </w:t>
      </w:r>
      <w:r>
        <w:rPr>
          <w:spacing w:val="-93"/>
          <w:w w:val="95"/>
        </w:rPr>
      </w:r>
      <w:r>
        <w:rPr>
          <w:w w:val="95"/>
        </w:rPr>
        <w:t>减值测试。如相关资产组或者资产组组合的可收回金额低于其账面价值的，确认商誉的减值损失。相关资</w:t>
      </w:r>
      <w:r>
        <w:rPr>
          <w:spacing w:val="51"/>
          <w:w w:val="95"/>
        </w:rPr>
        <w:t> </w:t>
      </w:r>
      <w:r>
        <w:rPr>
          <w:spacing w:val="51"/>
          <w:w w:val="95"/>
        </w:rPr>
      </w:r>
      <w:r>
        <w:rPr>
          <w:w w:val="95"/>
        </w:rPr>
        <w:t>产组或者资产组组合减值损失金额先抵减分摊至资产组或者资产组组合中商誉的账面价值，再根据资产组</w:t>
      </w:r>
      <w:r>
        <w:rPr/>
      </w:r>
    </w:p>
    <w:p>
      <w:pPr>
        <w:spacing w:after="0" w:line="340" w:lineRule="auto"/>
        <w:jc w:val="both"/>
        <w:sectPr>
          <w:pgSz w:w="11910" w:h="16840"/>
          <w:pgMar w:header="849" w:footer="976" w:top="1460" w:bottom="1160" w:left="1020" w:right="9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pacing w:val="3"/>
                          <w:sz w:val="21"/>
                          <w:szCs w:val="21"/>
                        </w:rPr>
                        <w:t>或者资产组组合中除商誉之外的其他各项资产的账面价值所占比重，按比例抵减其他各项资产的账面价</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right="0"/>
        <w:jc w:val="left"/>
      </w:pPr>
      <w:r>
        <w:rPr/>
        <w:t>值。</w:t>
      </w:r>
    </w:p>
    <w:p>
      <w:pPr>
        <w:pStyle w:val="BodyText"/>
        <w:spacing w:line="240" w:lineRule="auto" w:before="116"/>
        <w:ind w:left="535" w:right="0"/>
        <w:jc w:val="left"/>
      </w:pPr>
      <w:r>
        <w:rPr>
          <w:rFonts w:ascii="Times New Roman" w:hAnsi="Times New Roman" w:cs="Times New Roman" w:eastAsia="Times New Roman" w:hint="default"/>
        </w:rPr>
        <w:t>17</w:t>
      </w:r>
      <w:r>
        <w:rPr/>
        <w:t>、借款费用</w:t>
      </w:r>
    </w:p>
    <w:p>
      <w:pPr>
        <w:pStyle w:val="BodyText"/>
        <w:spacing w:line="321" w:lineRule="auto" w:before="100"/>
        <w:ind w:left="535" w:right="0"/>
        <w:jc w:val="left"/>
      </w:pPr>
      <w:r>
        <w:rPr/>
        <w:t>（</w:t>
      </w:r>
      <w:r>
        <w:rPr>
          <w:rFonts w:ascii="Times New Roman" w:hAnsi="Times New Roman" w:cs="Times New Roman" w:eastAsia="Times New Roman" w:hint="default"/>
        </w:rPr>
        <w:t>1</w:t>
      </w:r>
      <w:r>
        <w:rPr/>
        <w:t>）借款费用资本化的确认原则</w:t>
      </w:r>
      <w:r>
        <w:rPr>
          <w:w w:val="99"/>
        </w:rPr>
        <w:t> </w:t>
      </w:r>
      <w:r>
        <w:rPr>
          <w:w w:val="95"/>
        </w:rPr>
        <w:t>发生的借款费用，可直接归属于需要经过相当长时间的购建或者生产活动才能达到预定可使用或者可</w:t>
      </w:r>
      <w:r>
        <w:rPr/>
      </w:r>
    </w:p>
    <w:p>
      <w:pPr>
        <w:pStyle w:val="BodyText"/>
        <w:spacing w:line="340" w:lineRule="auto" w:before="42"/>
        <w:ind w:right="0"/>
        <w:jc w:val="left"/>
      </w:pPr>
      <w:r>
        <w:rPr>
          <w:w w:val="95"/>
        </w:rPr>
        <w:t>销售状态的固定资产、投资性房地产和存货等资产的购建或者生产的，予以资本化，计入相关资产成本；</w:t>
      </w:r>
      <w:r>
        <w:rPr>
          <w:spacing w:val="51"/>
          <w:w w:val="95"/>
        </w:rPr>
        <w:t> </w:t>
      </w:r>
      <w:r>
        <w:rPr>
          <w:spacing w:val="51"/>
          <w:w w:val="95"/>
        </w:rPr>
      </w:r>
      <w:r>
        <w:rPr/>
        <w:t>其他借款费用，在发生时根据其发生额确认为费用，计入当期损益。</w:t>
      </w:r>
    </w:p>
    <w:p>
      <w:pPr>
        <w:pStyle w:val="BodyText"/>
        <w:spacing w:line="240" w:lineRule="auto" w:before="25"/>
        <w:ind w:left="535" w:right="0"/>
        <w:jc w:val="left"/>
      </w:pPr>
      <w:r>
        <w:rPr/>
        <w:t>（</w:t>
      </w:r>
      <w:r>
        <w:rPr>
          <w:rFonts w:ascii="Times New Roman" w:hAnsi="Times New Roman" w:cs="Times New Roman" w:eastAsia="Times New Roman" w:hint="default"/>
        </w:rPr>
        <w:t>2</w:t>
      </w:r>
      <w:r>
        <w:rPr/>
        <w:t>）资本化期间</w:t>
      </w:r>
    </w:p>
    <w:p>
      <w:pPr>
        <w:pStyle w:val="BodyText"/>
        <w:spacing w:line="340" w:lineRule="auto" w:before="100"/>
        <w:ind w:left="535" w:right="0"/>
        <w:jc w:val="left"/>
      </w:pPr>
      <w:r>
        <w:rPr/>
        <w:t>①开始资本化</w:t>
      </w:r>
      <w:r>
        <w:rPr>
          <w:w w:val="99"/>
        </w:rPr>
        <w:t> </w:t>
      </w:r>
      <w:r>
        <w:rPr>
          <w:w w:val="95"/>
        </w:rPr>
        <w:t>同时满足下列条件的开始资本化：资产支出已经发生，资产支出包括为购建或者生产符合资本化条件</w:t>
      </w:r>
      <w:r>
        <w:rPr/>
      </w:r>
    </w:p>
    <w:p>
      <w:pPr>
        <w:pStyle w:val="BodyText"/>
        <w:spacing w:line="340" w:lineRule="auto" w:before="25"/>
        <w:ind w:right="0"/>
        <w:jc w:val="left"/>
      </w:pPr>
      <w:r>
        <w:rPr>
          <w:w w:val="95"/>
        </w:rPr>
        <w:t>的资产而以支付现金、转移非现金资产或者承担带息债务形式发生的支出；借款费用已经发生；为使资产</w:t>
      </w:r>
      <w:r>
        <w:rPr>
          <w:spacing w:val="53"/>
          <w:w w:val="95"/>
        </w:rPr>
        <w:t> </w:t>
      </w:r>
      <w:r>
        <w:rPr>
          <w:spacing w:val="53"/>
          <w:w w:val="95"/>
        </w:rPr>
      </w:r>
      <w:r>
        <w:rPr/>
        <w:t>达到预定可使用或者可销售状态所必要的购建或者生产活动已经开始。</w:t>
      </w:r>
    </w:p>
    <w:p>
      <w:pPr>
        <w:pStyle w:val="BodyText"/>
        <w:spacing w:line="240" w:lineRule="auto" w:before="25"/>
        <w:ind w:left="535" w:right="0"/>
        <w:jc w:val="left"/>
      </w:pPr>
      <w:r>
        <w:rPr/>
        <w:t>②暂停资本化</w:t>
      </w:r>
    </w:p>
    <w:p>
      <w:pPr>
        <w:pStyle w:val="BodyText"/>
        <w:spacing w:line="321" w:lineRule="auto" w:before="116"/>
        <w:ind w:right="130" w:firstLine="422"/>
        <w:jc w:val="both"/>
      </w:pPr>
      <w:r>
        <w:rPr/>
        <w:t>符合资本化条件的资产在购建或者生产过程中发生非正常中断、且中断时间连续超过</w:t>
      </w:r>
      <w:r>
        <w:rPr>
          <w:spacing w:val="-28"/>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6"/>
        </w:rPr>
        <w:t>个月的，应当</w:t>
      </w:r>
      <w:r>
        <w:rPr>
          <w:w w:val="99"/>
        </w:rPr>
        <w:t> </w:t>
      </w:r>
      <w:r>
        <w:rPr/>
        <w:t>暂停借款费用的资本化。</w:t>
      </w:r>
    </w:p>
    <w:p>
      <w:pPr>
        <w:pStyle w:val="BodyText"/>
        <w:spacing w:line="340" w:lineRule="auto" w:before="42"/>
        <w:ind w:left="535" w:right="0"/>
        <w:jc w:val="left"/>
      </w:pPr>
      <w:r>
        <w:rPr/>
        <w:t>③停止资本化</w:t>
      </w:r>
      <w:r>
        <w:rPr>
          <w:w w:val="99"/>
        </w:rPr>
        <w:t> </w:t>
      </w:r>
      <w:r>
        <w:rPr>
          <w:w w:val="95"/>
        </w:rPr>
        <w:t>购建或者生产符合资本化条件的资产达到预定可使用或者可销售状态时，借款费用应当停止资本化。</w:t>
      </w:r>
      <w:r>
        <w:rPr/>
      </w:r>
    </w:p>
    <w:p>
      <w:pPr>
        <w:pStyle w:val="BodyText"/>
        <w:spacing w:line="240" w:lineRule="auto" w:before="25"/>
        <w:ind w:left="535" w:right="0"/>
        <w:jc w:val="left"/>
      </w:pPr>
      <w:r>
        <w:rPr/>
        <w:t>（</w:t>
      </w:r>
      <w:r>
        <w:rPr>
          <w:rFonts w:ascii="Times New Roman" w:hAnsi="Times New Roman" w:cs="Times New Roman" w:eastAsia="Times New Roman" w:hint="default"/>
        </w:rPr>
        <w:t>3</w:t>
      </w:r>
      <w:r>
        <w:rPr/>
        <w:t>）借款费用资本化金额的计算方法。</w:t>
      </w:r>
    </w:p>
    <w:p>
      <w:pPr>
        <w:pStyle w:val="BodyText"/>
        <w:spacing w:line="340" w:lineRule="auto" w:before="100"/>
        <w:ind w:right="132" w:firstLine="422"/>
        <w:jc w:val="both"/>
      </w:pPr>
      <w:r>
        <w:rPr>
          <w:w w:val="95"/>
        </w:rPr>
        <w:t>①为购建或者生产符合资本化条件的资产而借入专门借款的，应当以专门借款当期实际发生的利息费</w:t>
      </w:r>
      <w:r>
        <w:rPr>
          <w:spacing w:val="-93"/>
          <w:w w:val="95"/>
        </w:rPr>
        <w:t> </w:t>
      </w:r>
      <w:r>
        <w:rPr>
          <w:spacing w:val="-93"/>
          <w:w w:val="95"/>
        </w:rPr>
      </w:r>
      <w:r>
        <w:rPr>
          <w:spacing w:val="3"/>
        </w:rPr>
        <w:t>用，减去将尚未动用的借款资金存入银行取得的利息收入或进行暂时性投资取得的投资收益后的金额确</w:t>
      </w:r>
      <w:r>
        <w:rPr>
          <w:w w:val="99"/>
        </w:rPr>
        <w:t> </w:t>
      </w:r>
      <w:r>
        <w:rPr/>
        <w:t>定。</w:t>
      </w:r>
    </w:p>
    <w:p>
      <w:pPr>
        <w:pStyle w:val="BodyText"/>
        <w:spacing w:line="340" w:lineRule="auto" w:before="28"/>
        <w:ind w:right="132" w:firstLine="422"/>
        <w:jc w:val="both"/>
      </w:pPr>
      <w:r>
        <w:rPr>
          <w:w w:val="95"/>
        </w:rPr>
        <w:t>②为购建或者生产符合资本化条件的资产而占用了一般借款的，公司根据累计资产支出超过专门借款</w:t>
      </w:r>
      <w:r>
        <w:rPr>
          <w:spacing w:val="-93"/>
          <w:w w:val="95"/>
        </w:rPr>
        <w:t> </w:t>
      </w:r>
      <w:r>
        <w:rPr>
          <w:spacing w:val="-93"/>
          <w:w w:val="95"/>
        </w:rPr>
      </w:r>
      <w:r>
        <w:rPr>
          <w:w w:val="95"/>
        </w:rPr>
        <w:t>部分的资产支出加权平均数乘以所占用一般借款的资本化率，计算确定一般借款应予资本化的利息金额。</w:t>
      </w:r>
      <w:r>
        <w:rPr>
          <w:spacing w:val="51"/>
          <w:w w:val="95"/>
        </w:rPr>
        <w:t> </w:t>
      </w:r>
      <w:r>
        <w:rPr>
          <w:spacing w:val="51"/>
          <w:w w:val="95"/>
        </w:rPr>
      </w:r>
      <w:r>
        <w:rPr/>
        <w:t>资本化率应当根据一般借款加权平均利率计算确定。</w:t>
      </w:r>
    </w:p>
    <w:p>
      <w:pPr>
        <w:pStyle w:val="BodyText"/>
        <w:spacing w:line="240" w:lineRule="auto" w:before="25"/>
        <w:ind w:left="535" w:right="0"/>
        <w:jc w:val="left"/>
      </w:pPr>
      <w:r>
        <w:rPr>
          <w:rFonts w:ascii="Times New Roman" w:hAnsi="Times New Roman" w:cs="Times New Roman" w:eastAsia="Times New Roman" w:hint="default"/>
        </w:rPr>
        <w:t>18</w:t>
      </w:r>
      <w:r>
        <w:rPr/>
        <w:t>、职工薪酬</w:t>
      </w:r>
    </w:p>
    <w:p>
      <w:pPr>
        <w:pStyle w:val="BodyText"/>
        <w:spacing w:line="321" w:lineRule="auto" w:before="100"/>
        <w:ind w:left="535" w:right="0"/>
        <w:jc w:val="left"/>
      </w:pPr>
      <w:r>
        <w:rPr/>
        <w:t>（</w:t>
      </w:r>
      <w:r>
        <w:rPr>
          <w:rFonts w:ascii="Times New Roman" w:hAnsi="Times New Roman" w:cs="Times New Roman" w:eastAsia="Times New Roman" w:hint="default"/>
        </w:rPr>
        <w:t>1</w:t>
      </w:r>
      <w:r>
        <w:rPr/>
        <w:t>）分类</w:t>
      </w:r>
      <w:r>
        <w:rPr>
          <w:w w:val="99"/>
        </w:rPr>
        <w:t> </w:t>
      </w:r>
      <w:r>
        <w:rPr>
          <w:w w:val="95"/>
        </w:rPr>
        <w:t>职工薪酬，指公司为获得职工提供的服务而给予各种形式的报酬以及其他相关支出。包括职工工资、</w:t>
      </w:r>
      <w:r>
        <w:rPr/>
      </w:r>
    </w:p>
    <w:p>
      <w:pPr>
        <w:pStyle w:val="BodyText"/>
        <w:spacing w:line="338" w:lineRule="auto" w:before="45"/>
        <w:ind w:right="0"/>
        <w:jc w:val="left"/>
      </w:pPr>
      <w:r>
        <w:rPr>
          <w:w w:val="95"/>
        </w:rPr>
        <w:t>奖金、津贴和补贴、职工福利费、社会统筹保险费、住房公积金、工会经费和职工教育经费、非货币性福</w:t>
      </w:r>
      <w:r>
        <w:rPr>
          <w:spacing w:val="50"/>
          <w:w w:val="95"/>
        </w:rPr>
        <w:t> </w:t>
      </w:r>
      <w:r>
        <w:rPr>
          <w:spacing w:val="50"/>
          <w:w w:val="95"/>
        </w:rPr>
      </w:r>
      <w:r>
        <w:rPr/>
        <w:t>利、解除劳动关系补偿金等。</w:t>
      </w:r>
    </w:p>
    <w:p>
      <w:pPr>
        <w:pStyle w:val="BodyText"/>
        <w:spacing w:line="321" w:lineRule="auto" w:before="30"/>
        <w:ind w:left="535" w:right="0"/>
        <w:jc w:val="left"/>
      </w:pPr>
      <w:r>
        <w:rPr/>
        <w:t>（</w:t>
      </w:r>
      <w:r>
        <w:rPr>
          <w:rFonts w:ascii="Times New Roman" w:hAnsi="Times New Roman" w:cs="Times New Roman" w:eastAsia="Times New Roman" w:hint="default"/>
        </w:rPr>
        <w:t>2</w:t>
      </w:r>
      <w:r>
        <w:rPr/>
        <w:t>）确认和计量</w:t>
      </w:r>
      <w:r>
        <w:rPr>
          <w:w w:val="99"/>
        </w:rPr>
        <w:t> </w:t>
      </w:r>
      <w:r>
        <w:rPr>
          <w:w w:val="95"/>
        </w:rPr>
        <w:t>公司在职工为其提供服务的会计期间，将应付的职工薪酬确认为负债，除因解除劳动关系补偿金外，</w:t>
      </w:r>
      <w:r>
        <w:rPr/>
      </w:r>
    </w:p>
    <w:p>
      <w:pPr>
        <w:pStyle w:val="BodyText"/>
        <w:spacing w:line="338" w:lineRule="auto" w:before="45"/>
        <w:ind w:right="0"/>
        <w:jc w:val="left"/>
      </w:pPr>
      <w:r>
        <w:rPr>
          <w:w w:val="95"/>
        </w:rPr>
        <w:t>根据职工提供服务的受益对象，计入相关费用或资产。根据有关规定，公司按工资总额的一定比例且在不</w:t>
      </w:r>
      <w:r>
        <w:rPr>
          <w:spacing w:val="52"/>
          <w:w w:val="95"/>
        </w:rPr>
        <w:t> </w:t>
      </w:r>
      <w:r>
        <w:rPr>
          <w:spacing w:val="52"/>
          <w:w w:val="95"/>
        </w:rPr>
      </w:r>
      <w:r>
        <w:rPr/>
        <w:t>超过规定上限的基础上提取保险费，并向劳动和社会保障机构缴纳，相应的支出计入当期成本或费用。</w:t>
      </w:r>
    </w:p>
    <w:p>
      <w:pPr>
        <w:pStyle w:val="BodyText"/>
        <w:spacing w:line="240" w:lineRule="auto" w:before="30"/>
        <w:ind w:left="535" w:right="0"/>
        <w:jc w:val="left"/>
      </w:pPr>
      <w:r>
        <w:rPr>
          <w:rFonts w:ascii="Times New Roman" w:hAnsi="Times New Roman" w:cs="Times New Roman" w:eastAsia="Times New Roman" w:hint="default"/>
        </w:rPr>
        <w:t>19</w:t>
      </w:r>
      <w:r>
        <w:rPr/>
        <w:t>、或有事项</w:t>
      </w:r>
    </w:p>
    <w:p>
      <w:pPr>
        <w:pStyle w:val="BodyText"/>
        <w:spacing w:line="240" w:lineRule="auto" w:before="98"/>
        <w:ind w:left="535" w:right="0"/>
        <w:jc w:val="left"/>
      </w:pPr>
      <w:r>
        <w:rPr/>
        <w:t>（</w:t>
      </w:r>
      <w:r>
        <w:rPr>
          <w:rFonts w:ascii="Times New Roman" w:hAnsi="Times New Roman" w:cs="Times New Roman" w:eastAsia="Times New Roman" w:hint="default"/>
        </w:rPr>
        <w:t>1</w:t>
      </w:r>
      <w:r>
        <w:rPr/>
        <w:t>）或有事项是指过去的交易或者事项形成的，其结果须由某些未来事项的发生或不发生才能决定</w:t>
      </w:r>
    </w:p>
    <w:p>
      <w:pPr>
        <w:spacing w:after="0" w:line="240" w:lineRule="auto"/>
        <w:jc w:val="left"/>
        <w:sectPr>
          <w:footerReference w:type="default" r:id="rId39"/>
          <w:pgSz w:w="11910" w:h="16840"/>
          <w:pgMar w:footer="976" w:header="849" w:top="1460" w:bottom="1160" w:left="1020" w:right="1000"/>
          <w:pgNumType w:start="9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w w:val="95"/>
                          <w:sz w:val="21"/>
                          <w:szCs w:val="21"/>
                        </w:rPr>
                        <w:t>的不确定事项。主要包括：未决诉讼或仲裁、债务担保、产品质量保证（含产品安全保证）、承诺、亏损</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left="535" w:right="0" w:hanging="423"/>
        <w:jc w:val="left"/>
      </w:pPr>
      <w:r>
        <w:rPr/>
        <w:t>合同、重组义务等情况。</w:t>
      </w:r>
      <w:r>
        <w:rPr>
          <w:w w:val="99"/>
        </w:rPr>
        <w:t> </w:t>
      </w:r>
      <w:r>
        <w:rPr>
          <w:w w:val="95"/>
        </w:rPr>
        <w:t>职工薪酬、建造合同、所得税、企业合并、租赁等形成的或有事项，按本公司会计政策中的相关规定</w:t>
      </w:r>
      <w:r>
        <w:rPr/>
      </w:r>
    </w:p>
    <w:p>
      <w:pPr>
        <w:pStyle w:val="BodyText"/>
        <w:spacing w:line="240" w:lineRule="auto" w:before="28"/>
        <w:ind w:right="0"/>
        <w:jc w:val="left"/>
      </w:pPr>
      <w:r>
        <w:rPr/>
        <w:t>处理。</w:t>
      </w:r>
    </w:p>
    <w:p>
      <w:pPr>
        <w:pStyle w:val="BodyText"/>
        <w:spacing w:line="240" w:lineRule="auto" w:before="114"/>
        <w:ind w:left="535" w:right="0"/>
        <w:jc w:val="left"/>
      </w:pPr>
      <w:r>
        <w:rPr/>
        <w:t>（</w:t>
      </w:r>
      <w:r>
        <w:rPr>
          <w:rFonts w:ascii="Times New Roman" w:hAnsi="Times New Roman" w:cs="Times New Roman" w:eastAsia="Times New Roman" w:hint="default"/>
        </w:rPr>
        <w:t>2</w:t>
      </w:r>
      <w:r>
        <w:rPr/>
        <w:t>）公司与或有事项相关的义务同时满足下列条件的，应当确认为预计负债：</w:t>
      </w:r>
    </w:p>
    <w:p>
      <w:pPr>
        <w:pStyle w:val="BodyText"/>
        <w:spacing w:line="240" w:lineRule="auto" w:before="98"/>
        <w:ind w:left="535" w:right="0"/>
        <w:jc w:val="left"/>
      </w:pPr>
      <w:r>
        <w:rPr/>
        <w:t>①该义务是公司承担的现时义务；</w:t>
      </w:r>
    </w:p>
    <w:p>
      <w:pPr>
        <w:pStyle w:val="BodyText"/>
        <w:spacing w:line="240" w:lineRule="auto" w:before="116"/>
        <w:ind w:left="535" w:right="0"/>
        <w:jc w:val="left"/>
      </w:pPr>
      <w:r>
        <w:rPr/>
        <w:t>②履行该义务很可能（大于</w:t>
      </w:r>
      <w:r>
        <w:rPr>
          <w:spacing w:val="-57"/>
        </w:rPr>
        <w:t> </w:t>
      </w:r>
      <w:r>
        <w:rPr>
          <w:rFonts w:ascii="Times New Roman" w:hAnsi="Times New Roman" w:cs="Times New Roman" w:eastAsia="Times New Roman" w:hint="default"/>
        </w:rPr>
        <w:t>50%</w:t>
      </w:r>
      <w:r>
        <w:rPr/>
        <w:t>但小于或等于</w:t>
      </w:r>
      <w:r>
        <w:rPr>
          <w:spacing w:val="-59"/>
        </w:rPr>
        <w:t> </w:t>
      </w:r>
      <w:r>
        <w:rPr>
          <w:rFonts w:ascii="Times New Roman" w:hAnsi="Times New Roman" w:cs="Times New Roman" w:eastAsia="Times New Roman" w:hint="default"/>
        </w:rPr>
        <w:t>95%</w:t>
      </w:r>
      <w:r>
        <w:rPr/>
        <w:t>）导致经济利益流出公司；</w:t>
      </w:r>
    </w:p>
    <w:p>
      <w:pPr>
        <w:pStyle w:val="BodyText"/>
        <w:spacing w:line="240" w:lineRule="auto" w:before="98"/>
        <w:ind w:left="535" w:right="0"/>
        <w:jc w:val="left"/>
      </w:pPr>
      <w:r>
        <w:rPr/>
        <w:t>③该义务的金额能够可靠地计量。</w:t>
      </w:r>
    </w:p>
    <w:p>
      <w:pPr>
        <w:pStyle w:val="BodyText"/>
        <w:spacing w:line="240" w:lineRule="auto" w:before="116"/>
        <w:ind w:left="535" w:right="0"/>
        <w:jc w:val="left"/>
      </w:pPr>
      <w:r>
        <w:rPr/>
        <w:t>（</w:t>
      </w:r>
      <w:r>
        <w:rPr>
          <w:rFonts w:ascii="Times New Roman" w:hAnsi="Times New Roman" w:cs="Times New Roman" w:eastAsia="Times New Roman" w:hint="default"/>
        </w:rPr>
        <w:t>3</w:t>
      </w:r>
      <w:r>
        <w:rPr/>
        <w:t>）公司不应当确认或有负债和或有资产，并不应当就未来经营亏损确认预计负债。</w:t>
      </w:r>
    </w:p>
    <w:p>
      <w:pPr>
        <w:pStyle w:val="BodyText"/>
        <w:spacing w:line="331" w:lineRule="auto" w:before="100"/>
        <w:ind w:right="110" w:firstLine="422"/>
        <w:jc w:val="both"/>
      </w:pPr>
      <w:r>
        <w:rPr/>
        <w:t>（</w:t>
      </w:r>
      <w:r>
        <w:rPr>
          <w:rFonts w:ascii="Times New Roman" w:hAnsi="Times New Roman" w:cs="Times New Roman" w:eastAsia="Times New Roman" w:hint="default"/>
        </w:rPr>
        <w:t>4</w:t>
      </w:r>
      <w:r>
        <w:rPr/>
        <w:t>）确认负债的金额是清偿该负债所需支出的最佳估计数。如果所需支出存在一个金额范围，则最</w:t>
      </w:r>
      <w:r>
        <w:rPr>
          <w:w w:val="99"/>
        </w:rPr>
        <w:t> </w:t>
      </w:r>
      <w:r>
        <w:rPr>
          <w:w w:val="95"/>
        </w:rPr>
        <w:t>佳估计数按该范围的上、下限金额的平均数确定；如果所需支出不存在一个金额范围，则最佳估计数按如</w:t>
      </w:r>
      <w:r>
        <w:rPr>
          <w:spacing w:val="54"/>
          <w:w w:val="95"/>
        </w:rPr>
        <w:t> </w:t>
      </w:r>
      <w:r>
        <w:rPr>
          <w:spacing w:val="54"/>
          <w:w w:val="95"/>
        </w:rPr>
      </w:r>
      <w:r>
        <w:rPr/>
        <w:t>下方法确定：</w:t>
      </w:r>
    </w:p>
    <w:p>
      <w:pPr>
        <w:pStyle w:val="BodyText"/>
        <w:spacing w:line="240" w:lineRule="auto" w:before="34"/>
        <w:ind w:left="535" w:right="0"/>
        <w:jc w:val="left"/>
      </w:pPr>
      <w:r>
        <w:rPr/>
        <w:t>①或有事项涉及单个项目时，最佳估计数按最可能发生金额确定；</w:t>
      </w:r>
    </w:p>
    <w:p>
      <w:pPr>
        <w:pStyle w:val="BodyText"/>
        <w:spacing w:line="338" w:lineRule="auto" w:before="116"/>
        <w:ind w:left="535" w:right="0"/>
        <w:jc w:val="left"/>
      </w:pPr>
      <w:r>
        <w:rPr/>
        <w:t>②或有事项涉及多个项目时，最佳估计数按各种可能发生额及其发生概率计算确定。</w:t>
      </w:r>
      <w:r>
        <w:rPr>
          <w:w w:val="99"/>
        </w:rPr>
        <w:t> </w:t>
      </w:r>
      <w:r>
        <w:rPr>
          <w:w w:val="95"/>
        </w:rPr>
        <w:t>确认的负债所需支出全部或部分预期由第三方或其他方补偿的，则补偿金额在基本确定能收到时，作</w:t>
      </w:r>
      <w:r>
        <w:rPr/>
      </w:r>
    </w:p>
    <w:p>
      <w:pPr>
        <w:pStyle w:val="BodyText"/>
        <w:spacing w:line="240" w:lineRule="auto" w:before="28"/>
        <w:ind w:right="0"/>
        <w:jc w:val="left"/>
      </w:pPr>
      <w:r>
        <w:rPr/>
        <w:t>为资产单独确认。确认的补偿金额不超过所确认负债的账面价值。</w:t>
      </w:r>
    </w:p>
    <w:p>
      <w:pPr>
        <w:pStyle w:val="BodyText"/>
        <w:spacing w:line="240" w:lineRule="auto" w:before="116"/>
        <w:ind w:left="535" w:right="0"/>
        <w:jc w:val="left"/>
      </w:pPr>
      <w:r>
        <w:rPr>
          <w:rFonts w:ascii="Times New Roman" w:hAnsi="Times New Roman" w:cs="Times New Roman" w:eastAsia="Times New Roman" w:hint="default"/>
        </w:rPr>
        <w:t>20</w:t>
      </w:r>
      <w:r>
        <w:rPr/>
        <w:t>、租赁</w:t>
      </w:r>
    </w:p>
    <w:p>
      <w:pPr>
        <w:pStyle w:val="BodyText"/>
        <w:spacing w:line="324" w:lineRule="auto" w:before="98"/>
        <w:ind w:left="535" w:right="3011"/>
        <w:jc w:val="left"/>
      </w:pPr>
      <w:r>
        <w:rPr/>
        <w:t>（</w:t>
      </w:r>
      <w:r>
        <w:rPr>
          <w:rFonts w:ascii="Times New Roman" w:hAnsi="Times New Roman" w:cs="Times New Roman" w:eastAsia="Times New Roman" w:hint="default"/>
        </w:rPr>
        <w:t>1</w:t>
      </w:r>
      <w:r>
        <w:rPr/>
        <w:t>）租赁分类</w:t>
      </w:r>
      <w:r>
        <w:rPr>
          <w:w w:val="99"/>
        </w:rPr>
        <w:t> </w:t>
      </w:r>
      <w:r>
        <w:rPr/>
        <w:t>承租人和出租人应当在租赁开始日将租赁分为融资租赁和经营租赁。</w:t>
      </w:r>
    </w:p>
    <w:p>
      <w:pPr>
        <w:pStyle w:val="BodyText"/>
        <w:spacing w:line="340" w:lineRule="auto" w:before="40"/>
        <w:ind w:right="0" w:firstLine="422"/>
        <w:jc w:val="left"/>
      </w:pPr>
      <w:r>
        <w:rPr>
          <w:w w:val="95"/>
        </w:rPr>
        <w:t>融资租赁，是指实质上转移了与资产所有权有关的全部风险和报酬的租赁。其所有权最终可能转移，</w:t>
      </w:r>
      <w:r>
        <w:rPr>
          <w:spacing w:val="-95"/>
          <w:w w:val="95"/>
        </w:rPr>
        <w:t> </w:t>
      </w:r>
      <w:r>
        <w:rPr>
          <w:spacing w:val="-95"/>
          <w:w w:val="95"/>
        </w:rPr>
      </w:r>
      <w:r>
        <w:rPr/>
        <w:t>也可能不转移；经营租赁是指除融资租赁以外的其他租赁。</w:t>
      </w:r>
    </w:p>
    <w:p>
      <w:pPr>
        <w:pStyle w:val="BodyText"/>
        <w:spacing w:line="338" w:lineRule="auto" w:before="28"/>
        <w:ind w:left="535" w:right="1751"/>
        <w:jc w:val="left"/>
      </w:pPr>
      <w:r>
        <w:rPr/>
        <w:t>租赁开始日，是指租赁协议日与租赁各方就主要租赁条款作出承诺日中的较早者。</w:t>
      </w:r>
      <w:r>
        <w:rPr>
          <w:w w:val="99"/>
        </w:rPr>
        <w:t> </w:t>
      </w:r>
      <w:r>
        <w:rPr/>
        <w:t>符合下列一项或数项标准的，应当认定为融资租赁：</w:t>
      </w:r>
    </w:p>
    <w:p>
      <w:pPr>
        <w:pStyle w:val="BodyText"/>
        <w:spacing w:line="240" w:lineRule="auto" w:before="30"/>
        <w:ind w:left="535" w:right="0"/>
        <w:jc w:val="left"/>
      </w:pPr>
      <w:r>
        <w:rPr/>
        <w:t>①在租赁期届满时，租赁资产的所有权转移给承租人。</w:t>
      </w:r>
    </w:p>
    <w:p>
      <w:pPr>
        <w:pStyle w:val="BodyText"/>
        <w:spacing w:line="340" w:lineRule="auto" w:before="114"/>
        <w:ind w:right="0" w:firstLine="422"/>
        <w:jc w:val="left"/>
      </w:pPr>
      <w:r>
        <w:rPr>
          <w:w w:val="95"/>
        </w:rPr>
        <w:t>②承租人有购买租赁资产的选择权，所订立的购买价款预计将远低于行使选择权时租赁资产的公允价</w:t>
      </w:r>
      <w:r>
        <w:rPr>
          <w:spacing w:val="-93"/>
          <w:w w:val="95"/>
        </w:rPr>
        <w:t> </w:t>
      </w:r>
      <w:r>
        <w:rPr>
          <w:spacing w:val="-93"/>
          <w:w w:val="95"/>
        </w:rPr>
      </w:r>
      <w:r>
        <w:rPr/>
        <w:t>值，因而在租赁开始日就可以合理确定承租人将会行使这种选择权。</w:t>
      </w:r>
    </w:p>
    <w:p>
      <w:pPr>
        <w:pStyle w:val="BodyText"/>
        <w:spacing w:line="240" w:lineRule="auto" w:before="25"/>
        <w:ind w:left="535" w:right="0"/>
        <w:jc w:val="left"/>
      </w:pPr>
      <w:r>
        <w:rPr/>
        <w:t>③即使资产的所有权不转移，但租赁期占租赁资产使用寿命的</w:t>
      </w:r>
      <w:r>
        <w:rPr>
          <w:spacing w:val="-60"/>
        </w:rPr>
        <w:t> </w:t>
      </w:r>
      <w:r>
        <w:rPr>
          <w:rFonts w:ascii="Times New Roman" w:hAnsi="Times New Roman" w:cs="Times New Roman" w:eastAsia="Times New Roman" w:hint="default"/>
        </w:rPr>
        <w:t>75%</w:t>
      </w:r>
      <w:r>
        <w:rPr/>
        <w:t>（含</w:t>
      </w:r>
      <w:r>
        <w:rPr>
          <w:spacing w:val="-60"/>
        </w:rPr>
        <w:t> </w:t>
      </w:r>
      <w:r>
        <w:rPr>
          <w:rFonts w:ascii="Times New Roman" w:hAnsi="Times New Roman" w:cs="Times New Roman" w:eastAsia="Times New Roman" w:hint="default"/>
        </w:rPr>
        <w:t>75%</w:t>
      </w:r>
      <w:r>
        <w:rPr/>
        <w:t>）以上。</w:t>
      </w:r>
    </w:p>
    <w:p>
      <w:pPr>
        <w:pStyle w:val="BodyText"/>
        <w:spacing w:line="321" w:lineRule="auto" w:before="100"/>
        <w:ind w:right="109" w:firstLine="422"/>
        <w:jc w:val="both"/>
      </w:pPr>
      <w:r>
        <w:rPr>
          <w:w w:val="95"/>
        </w:rPr>
        <w:t>④承租人在租赁开始日的最低租赁付款额现值，相当于租赁开始日租赁资产公允价值的 </w:t>
      </w:r>
      <w:r>
        <w:rPr>
          <w:rFonts w:ascii="Times New Roman" w:hAnsi="Times New Roman" w:cs="Times New Roman" w:eastAsia="Times New Roman" w:hint="default"/>
          <w:spacing w:val="-16"/>
          <w:w w:val="95"/>
        </w:rPr>
        <w:t>90%</w:t>
      </w:r>
      <w:r>
        <w:rPr>
          <w:spacing w:val="-16"/>
          <w:w w:val="95"/>
        </w:rPr>
        <w:t>（含</w:t>
      </w:r>
      <w:r>
        <w:rPr>
          <w:spacing w:val="31"/>
          <w:w w:val="95"/>
        </w:rPr>
        <w:t> </w:t>
      </w:r>
      <w:r>
        <w:rPr>
          <w:rFonts w:ascii="Times New Roman" w:hAnsi="Times New Roman" w:cs="Times New Roman" w:eastAsia="Times New Roman" w:hint="default"/>
          <w:w w:val="95"/>
        </w:rPr>
        <w:t>90%</w:t>
      </w:r>
      <w:r>
        <w:rPr>
          <w:w w:val="95"/>
        </w:rPr>
        <w:t>）</w:t>
      </w:r>
      <w:r>
        <w:rPr>
          <w:w w:val="49"/>
        </w:rPr>
        <w:t> </w:t>
      </w:r>
      <w:r>
        <w:rPr>
          <w:spacing w:val="-2"/>
          <w:w w:val="95"/>
        </w:rPr>
        <w:t>以上；出租人在租赁开始日的最低租赁收款额现值，相当于租赁开始日租赁资产公允价值的</w:t>
      </w:r>
      <w:r>
        <w:rPr>
          <w:w w:val="95"/>
        </w:rPr>
        <w:t> </w:t>
      </w:r>
      <w:r>
        <w:rPr>
          <w:rFonts w:ascii="Times New Roman" w:hAnsi="Times New Roman" w:cs="Times New Roman" w:eastAsia="Times New Roman" w:hint="default"/>
          <w:spacing w:val="-11"/>
          <w:w w:val="95"/>
        </w:rPr>
        <w:t>90%</w:t>
      </w:r>
      <w:r>
        <w:rPr>
          <w:spacing w:val="-11"/>
          <w:w w:val="95"/>
        </w:rPr>
        <w:t>（含</w:t>
      </w:r>
      <w:r>
        <w:rPr>
          <w:w w:val="95"/>
        </w:rPr>
        <w:t> </w:t>
      </w:r>
      <w:r>
        <w:rPr>
          <w:rFonts w:ascii="Times New Roman" w:hAnsi="Times New Roman" w:cs="Times New Roman" w:eastAsia="Times New Roman" w:hint="default"/>
          <w:w w:val="95"/>
        </w:rPr>
        <w:t>90%</w:t>
      </w:r>
      <w:r>
        <w:rPr>
          <w:w w:val="95"/>
        </w:rPr>
        <w:t>）</w:t>
      </w:r>
      <w:r>
        <w:rPr>
          <w:spacing w:val="-43"/>
          <w:w w:val="95"/>
        </w:rPr>
        <w:t> </w:t>
      </w:r>
      <w:r>
        <w:rPr/>
        <w:t>以上。</w:t>
      </w:r>
    </w:p>
    <w:p>
      <w:pPr>
        <w:pStyle w:val="BodyText"/>
        <w:spacing w:line="240" w:lineRule="auto" w:before="42"/>
        <w:ind w:left="535" w:right="0"/>
        <w:jc w:val="left"/>
      </w:pPr>
      <w:r>
        <w:rPr/>
        <w:t>⑤租赁资产性质特殊，如果不作较大改造，只有承租人才能使用。</w:t>
      </w:r>
    </w:p>
    <w:p>
      <w:pPr>
        <w:pStyle w:val="BodyText"/>
        <w:spacing w:line="321" w:lineRule="auto" w:before="116"/>
        <w:ind w:left="535" w:right="0"/>
        <w:jc w:val="left"/>
      </w:pPr>
      <w:r>
        <w:rPr/>
        <w:t>（</w:t>
      </w:r>
      <w:r>
        <w:rPr>
          <w:rFonts w:ascii="Times New Roman" w:hAnsi="Times New Roman" w:cs="Times New Roman" w:eastAsia="Times New Roman" w:hint="default"/>
        </w:rPr>
        <w:t>2</w:t>
      </w:r>
      <w:r>
        <w:rPr/>
        <w:t>）融资租赁中承租人的会计处理</w:t>
      </w:r>
      <w:r>
        <w:rPr>
          <w:w w:val="99"/>
        </w:rPr>
        <w:t> </w:t>
      </w:r>
      <w:r>
        <w:rPr>
          <w:w w:val="95"/>
        </w:rPr>
        <w:t>在租赁期开始日，承租人应当将租赁开始日租赁资产公允价值与最低租赁付款额现值两者中较低者作</w:t>
      </w:r>
      <w:r>
        <w:rPr/>
      </w:r>
    </w:p>
    <w:p>
      <w:pPr>
        <w:pStyle w:val="BodyText"/>
        <w:spacing w:line="338" w:lineRule="auto" w:before="45"/>
        <w:ind w:left="535" w:right="0" w:hanging="423"/>
        <w:jc w:val="left"/>
      </w:pPr>
      <w:r>
        <w:rPr/>
        <w:t>为租入资产的入账价值，将最低租赁付款额作为长期应付款的入账价值，其差额作为未确认融资费用。</w:t>
      </w:r>
      <w:r>
        <w:rPr>
          <w:w w:val="99"/>
        </w:rPr>
        <w:t> </w:t>
      </w:r>
      <w:r>
        <w:rPr>
          <w:w w:val="95"/>
        </w:rPr>
        <w:t>承租人应当采用实际利率法将未确认融资费用在租赁期内各个期间进行分摊，计入当期损益（财务费</w:t>
      </w:r>
      <w:r>
        <w:rPr/>
      </w:r>
    </w:p>
    <w:p>
      <w:pPr>
        <w:spacing w:after="0" w:line="338"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用）。实际利率可采用出租人租赁内含利率、租赁合同规定的利率或同期银行贷款利率。</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left="535" w:right="2801"/>
        <w:jc w:val="left"/>
      </w:pPr>
      <w:r>
        <w:rPr/>
        <w:t>承租人应当采用与自有固定资产相一致的折旧政策计提租赁资产折旧。</w:t>
      </w:r>
      <w:r>
        <w:rPr>
          <w:w w:val="99"/>
        </w:rPr>
        <w:t> </w:t>
      </w:r>
      <w:r>
        <w:rPr/>
        <w:t>或有租金应当在实际发生时计入当期损益。</w:t>
      </w:r>
    </w:p>
    <w:p>
      <w:pPr>
        <w:pStyle w:val="BodyText"/>
        <w:spacing w:line="321" w:lineRule="auto" w:before="28"/>
        <w:ind w:left="535" w:right="0"/>
        <w:jc w:val="left"/>
      </w:pPr>
      <w:r>
        <w:rPr/>
        <w:t>（</w:t>
      </w:r>
      <w:r>
        <w:rPr>
          <w:rFonts w:ascii="Times New Roman" w:hAnsi="Times New Roman" w:cs="Times New Roman" w:eastAsia="Times New Roman" w:hint="default"/>
        </w:rPr>
        <w:t>3</w:t>
      </w:r>
      <w:r>
        <w:rPr/>
        <w:t>）融资租赁中出租人的会计处理</w:t>
      </w:r>
      <w:r>
        <w:rPr>
          <w:w w:val="99"/>
        </w:rPr>
        <w:t> </w:t>
      </w:r>
      <w:r>
        <w:rPr>
          <w:w w:val="95"/>
        </w:rPr>
        <w:t>在租赁期开始日，出租人应当将租赁开始日最低租赁收款额与初始直接费用之和作为应收融资租赁款</w:t>
      </w:r>
      <w:r>
        <w:rPr/>
      </w:r>
    </w:p>
    <w:p>
      <w:pPr>
        <w:pStyle w:val="BodyText"/>
        <w:spacing w:line="340" w:lineRule="auto" w:before="42"/>
        <w:ind w:right="112"/>
        <w:jc w:val="both"/>
      </w:pPr>
      <w:r>
        <w:rPr>
          <w:w w:val="95"/>
        </w:rPr>
        <w:t>的入账价值，同时记录未担保余值；将最低租赁收款额、初始直接费用及未担保余值之和与其现值之和的</w:t>
      </w:r>
      <w:r>
        <w:rPr>
          <w:spacing w:val="51"/>
          <w:w w:val="95"/>
        </w:rPr>
        <w:t> </w:t>
      </w:r>
      <w:r>
        <w:rPr>
          <w:spacing w:val="51"/>
          <w:w w:val="95"/>
        </w:rPr>
      </w:r>
      <w:r>
        <w:rPr>
          <w:w w:val="95"/>
        </w:rPr>
        <w:t>差额确认为未实现融资收益。出租人在租赁期开始日按照上述规定转出租赁资产，租赁资产公允价值与其</w:t>
      </w:r>
      <w:r>
        <w:rPr>
          <w:spacing w:val="52"/>
          <w:w w:val="95"/>
        </w:rPr>
        <w:t> </w:t>
      </w:r>
      <w:r>
        <w:rPr>
          <w:spacing w:val="52"/>
          <w:w w:val="95"/>
        </w:rPr>
      </w:r>
      <w:r>
        <w:rPr>
          <w:w w:val="95"/>
        </w:rPr>
        <w:t>账面价值如有差额，应当计入当期损益。出租人发生的初始直接费用，在确认各期融资收入时作为收入的</w:t>
      </w:r>
      <w:r>
        <w:rPr>
          <w:spacing w:val="51"/>
          <w:w w:val="95"/>
        </w:rPr>
        <w:t> </w:t>
      </w:r>
      <w:r>
        <w:rPr>
          <w:spacing w:val="51"/>
          <w:w w:val="95"/>
        </w:rPr>
      </w:r>
      <w:r>
        <w:rPr/>
        <w:t>调整，计入各期损益。</w:t>
      </w:r>
    </w:p>
    <w:p>
      <w:pPr>
        <w:pStyle w:val="BodyText"/>
        <w:spacing w:line="240" w:lineRule="auto" w:before="28"/>
        <w:ind w:left="535" w:right="0"/>
        <w:jc w:val="left"/>
      </w:pPr>
      <w:r>
        <w:rPr>
          <w:spacing w:val="3"/>
        </w:rPr>
        <w:t>未实现融资收益在租赁期内各个期间进行分配。出租人应当采用实际利率法计算确认当期的融资收</w:t>
      </w:r>
    </w:p>
    <w:p>
      <w:pPr>
        <w:pStyle w:val="BodyText"/>
        <w:spacing w:line="240" w:lineRule="auto" w:before="114"/>
        <w:ind w:right="0"/>
        <w:jc w:val="left"/>
      </w:pPr>
      <w:r>
        <w:rPr/>
        <w:t>入。</w:t>
      </w:r>
    </w:p>
    <w:p>
      <w:pPr>
        <w:pStyle w:val="BodyText"/>
        <w:spacing w:line="240" w:lineRule="auto" w:before="116"/>
        <w:ind w:left="535" w:right="0"/>
        <w:jc w:val="left"/>
      </w:pPr>
      <w:r>
        <w:rPr/>
        <w:t>或有租金应当在实际发生时计入当期损益。</w:t>
      </w:r>
    </w:p>
    <w:p>
      <w:pPr>
        <w:pStyle w:val="BodyText"/>
        <w:spacing w:line="331" w:lineRule="auto" w:before="114"/>
        <w:ind w:left="535" w:right="281"/>
        <w:jc w:val="left"/>
      </w:pPr>
      <w:r>
        <w:rPr/>
        <w:t>（</w:t>
      </w:r>
      <w:r>
        <w:rPr>
          <w:rFonts w:ascii="Times New Roman" w:hAnsi="Times New Roman" w:cs="Times New Roman" w:eastAsia="Times New Roman" w:hint="default"/>
        </w:rPr>
        <w:t>4</w:t>
      </w:r>
      <w:r>
        <w:rPr/>
        <w:t>）经营租赁中承租人的会计处理</w:t>
      </w:r>
      <w:r>
        <w:rPr>
          <w:w w:val="99"/>
        </w:rPr>
        <w:t> </w:t>
      </w:r>
      <w:r>
        <w:rPr/>
        <w:t>对于经营租赁的租金，承租人应当在租赁期内各个期间按照直线法计入相关资产成本或当期损益。</w:t>
      </w:r>
      <w:r>
        <w:rPr>
          <w:w w:val="99"/>
        </w:rPr>
        <w:t> </w:t>
      </w:r>
      <w:r>
        <w:rPr/>
        <w:t>承租人发生的初始直接费用，应当计入管理费用。</w:t>
      </w:r>
    </w:p>
    <w:p>
      <w:pPr>
        <w:pStyle w:val="BodyText"/>
        <w:spacing w:line="240" w:lineRule="auto" w:before="34"/>
        <w:ind w:left="535" w:right="0"/>
        <w:jc w:val="left"/>
      </w:pPr>
      <w:r>
        <w:rPr/>
        <w:t>或有租金应当在实际发生时计入当期损益。</w:t>
      </w:r>
    </w:p>
    <w:p>
      <w:pPr>
        <w:pStyle w:val="BodyText"/>
        <w:spacing w:line="336" w:lineRule="auto" w:before="116"/>
        <w:ind w:left="535" w:right="0"/>
        <w:jc w:val="left"/>
      </w:pPr>
      <w:r>
        <w:rPr/>
        <w:t>（</w:t>
      </w:r>
      <w:r>
        <w:rPr>
          <w:rFonts w:ascii="Times New Roman" w:hAnsi="Times New Roman" w:cs="Times New Roman" w:eastAsia="Times New Roman" w:hint="default"/>
        </w:rPr>
        <w:t>5</w:t>
      </w:r>
      <w:r>
        <w:rPr/>
        <w:t>）经营租赁中出租人的会计处理</w:t>
      </w:r>
      <w:r>
        <w:rPr>
          <w:w w:val="99"/>
        </w:rPr>
        <w:t> </w:t>
      </w:r>
      <w:r>
        <w:rPr/>
        <w:t>出租人应当按资产的性质，将用作经营租赁的资产包括在资产负债表中的相关项目内。</w:t>
      </w:r>
      <w:r>
        <w:rPr>
          <w:w w:val="99"/>
        </w:rPr>
        <w:t> </w:t>
      </w:r>
      <w:r>
        <w:rPr/>
        <w:t>对于经营租赁的租金，出租人应当在租赁期内各个期间按照直线法确认为当期损益。</w:t>
      </w:r>
      <w:r>
        <w:rPr>
          <w:w w:val="99"/>
        </w:rPr>
        <w:t> </w:t>
      </w:r>
      <w:r>
        <w:rPr/>
        <w:t>出租人发生的初始直接费用，应当计入管理费用。</w:t>
      </w:r>
      <w:r>
        <w:rPr>
          <w:w w:val="99"/>
        </w:rPr>
        <w:t> </w:t>
      </w:r>
      <w:r>
        <w:rPr>
          <w:w w:val="95"/>
        </w:rPr>
        <w:t>对于经营租赁资产中的固定资产，出租人应当采用类似资产的折旧政策计提折旧；对于其他经营租赁</w:t>
      </w:r>
      <w:r>
        <w:rPr/>
      </w:r>
    </w:p>
    <w:p>
      <w:pPr>
        <w:pStyle w:val="BodyText"/>
        <w:spacing w:line="340" w:lineRule="auto" w:before="32"/>
        <w:ind w:left="535" w:right="5321" w:hanging="423"/>
        <w:jc w:val="left"/>
      </w:pPr>
      <w:r>
        <w:rPr/>
        <w:t>资产，应当采用系统合理的方法进行摊销。</w:t>
      </w:r>
      <w:r>
        <w:rPr>
          <w:w w:val="99"/>
        </w:rPr>
        <w:t> </w:t>
      </w:r>
      <w:r>
        <w:rPr/>
        <w:t>或有租金应当在实际发生时计入当期损益。</w:t>
      </w:r>
      <w:r>
        <w:rPr>
          <w:w w:val="99"/>
        </w:rPr>
        <w:t> </w:t>
      </w:r>
      <w:r>
        <w:rPr>
          <w:rFonts w:ascii="Times New Roman" w:hAnsi="Times New Roman" w:cs="Times New Roman" w:eastAsia="Times New Roman" w:hint="default"/>
        </w:rPr>
        <w:t>21</w:t>
      </w:r>
      <w:r>
        <w:rPr/>
        <w:t>、收入</w:t>
      </w:r>
    </w:p>
    <w:p>
      <w:pPr>
        <w:pStyle w:val="BodyText"/>
        <w:spacing w:line="324" w:lineRule="auto"/>
        <w:ind w:left="535" w:right="0"/>
        <w:jc w:val="left"/>
      </w:pPr>
      <w:r>
        <w:rPr/>
        <w:t>（</w:t>
      </w:r>
      <w:r>
        <w:rPr>
          <w:rFonts w:ascii="Times New Roman" w:hAnsi="Times New Roman" w:cs="Times New Roman" w:eastAsia="Times New Roman" w:hint="default"/>
        </w:rPr>
        <w:t>1</w:t>
      </w:r>
      <w:r>
        <w:rPr/>
        <w:t>）销售商品收入确认原则</w:t>
      </w:r>
      <w:r>
        <w:rPr>
          <w:w w:val="99"/>
        </w:rPr>
        <w:t> </w:t>
      </w:r>
      <w:r>
        <w:rPr>
          <w:w w:val="95"/>
        </w:rPr>
        <w:t>公司已将商品所有权上的主要风险和报酬转移给购货方；公司既没有保留通常与所有权相联系的继续</w:t>
      </w:r>
      <w:r>
        <w:rPr/>
      </w:r>
    </w:p>
    <w:p>
      <w:pPr>
        <w:pStyle w:val="BodyText"/>
        <w:spacing w:line="340" w:lineRule="auto" w:before="40"/>
        <w:ind w:right="110"/>
        <w:jc w:val="both"/>
      </w:pPr>
      <w:r>
        <w:rPr>
          <w:w w:val="95"/>
        </w:rPr>
        <w:t>管理权，也没有对已售出的商品实施有效控制；收入的金额能够可靠地计量；相关的经济利益很可能流入</w:t>
      </w:r>
      <w:r>
        <w:rPr>
          <w:spacing w:val="53"/>
          <w:w w:val="95"/>
        </w:rPr>
        <w:t> </w:t>
      </w:r>
      <w:r>
        <w:rPr>
          <w:spacing w:val="53"/>
          <w:w w:val="95"/>
        </w:rPr>
      </w:r>
      <w:r>
        <w:rPr/>
        <w:t>公司；相关的已发生或将发生的成本能够可靠地计量。</w:t>
      </w:r>
    </w:p>
    <w:p>
      <w:pPr>
        <w:pStyle w:val="BodyText"/>
        <w:spacing w:line="324" w:lineRule="auto" w:before="25"/>
        <w:ind w:left="535" w:right="0"/>
        <w:jc w:val="left"/>
      </w:pPr>
      <w:r>
        <w:rPr/>
        <w:t>（</w:t>
      </w:r>
      <w:r>
        <w:rPr>
          <w:rFonts w:ascii="Times New Roman" w:hAnsi="Times New Roman" w:cs="Times New Roman" w:eastAsia="Times New Roman" w:hint="default"/>
        </w:rPr>
        <w:t>2</w:t>
      </w:r>
      <w:r>
        <w:rPr/>
        <w:t>）定制软件销售收入确认原则</w:t>
      </w:r>
      <w:r>
        <w:rPr>
          <w:w w:val="99"/>
        </w:rPr>
        <w:t> </w:t>
      </w:r>
      <w:r>
        <w:rPr>
          <w:spacing w:val="3"/>
        </w:rPr>
        <w:t>提供定制软件劳务交易的结果在资产负债表日能够可靠估计的（同时满足收入的金额能够可靠地计</w:t>
      </w:r>
    </w:p>
    <w:p>
      <w:pPr>
        <w:pStyle w:val="BodyText"/>
        <w:spacing w:line="340" w:lineRule="auto" w:before="40"/>
        <w:ind w:right="112"/>
        <w:jc w:val="both"/>
      </w:pPr>
      <w:r>
        <w:rPr>
          <w:w w:val="95"/>
        </w:rPr>
        <w:t>量、相关经济利益很可能流入、交易的完工进度能够可靠地确定、交易中已发生和将发生的成本能够可靠</w:t>
      </w:r>
      <w:r>
        <w:rPr>
          <w:spacing w:val="50"/>
          <w:w w:val="95"/>
        </w:rPr>
        <w:t> </w:t>
      </w:r>
      <w:r>
        <w:rPr>
          <w:spacing w:val="50"/>
          <w:w w:val="95"/>
        </w:rPr>
      </w:r>
      <w:r>
        <w:rPr>
          <w:w w:val="95"/>
        </w:rPr>
        <w:t>地计量），采用完工百分比法确认提供劳务的收入，并按已经发生的成本占估计总成本的比例确定提供劳</w:t>
      </w:r>
      <w:r>
        <w:rPr>
          <w:spacing w:val="51"/>
          <w:w w:val="95"/>
        </w:rPr>
        <w:t> </w:t>
      </w:r>
      <w:r>
        <w:rPr>
          <w:spacing w:val="51"/>
          <w:w w:val="95"/>
        </w:rPr>
      </w:r>
      <w:r>
        <w:rPr/>
        <w:t>务交易的完工进度。</w:t>
      </w:r>
    </w:p>
    <w:p>
      <w:pPr>
        <w:pStyle w:val="BodyText"/>
        <w:spacing w:line="338" w:lineRule="auto" w:before="28"/>
        <w:ind w:right="0" w:firstLine="422"/>
        <w:jc w:val="left"/>
      </w:pPr>
      <w:r>
        <w:rPr>
          <w:w w:val="95"/>
        </w:rPr>
        <w:t>提供定制软件劳务交易的结果在资产负债表日不能够可靠估计的，若已经发生的劳务成本预计能够得</w:t>
      </w:r>
      <w:r>
        <w:rPr>
          <w:spacing w:val="-94"/>
          <w:w w:val="95"/>
        </w:rPr>
        <w:t> </w:t>
      </w:r>
      <w:r>
        <w:rPr>
          <w:spacing w:val="-94"/>
          <w:w w:val="95"/>
        </w:rPr>
      </w:r>
      <w:r>
        <w:rPr>
          <w:w w:val="95"/>
        </w:rPr>
        <w:t>到补偿，按已经发生的劳务成本金额确认提供劳务收入，并按相同金额结转劳务成本；若已经发生的劳务</w:t>
      </w:r>
      <w:r>
        <w:rPr/>
      </w:r>
    </w:p>
    <w:p>
      <w:pPr>
        <w:spacing w:after="0" w:line="338"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7" w:right="0" w:firstLine="0"/>
                        <w:jc w:val="left"/>
                        <w:rPr>
                          <w:rFonts w:ascii="宋体" w:hAnsi="宋体" w:cs="宋体" w:eastAsia="宋体" w:hint="default"/>
                          <w:sz w:val="21"/>
                          <w:szCs w:val="21"/>
                        </w:rPr>
                      </w:pPr>
                      <w:r>
                        <w:rPr>
                          <w:rFonts w:ascii="宋体" w:hAnsi="宋体" w:cs="宋体" w:eastAsia="宋体" w:hint="default"/>
                          <w:sz w:val="21"/>
                          <w:szCs w:val="21"/>
                        </w:rPr>
                        <w:t>成本预计不能够得到补偿，将已经发生的劳务成本计入当期损益，不确认劳务收入。</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24" w:lineRule="auto" w:before="34"/>
        <w:ind w:right="115" w:firstLine="422"/>
        <w:jc w:val="both"/>
      </w:pPr>
      <w:r>
        <w:rPr/>
        <w:t>由公司负责免费维护的完工软件产品，在确认收入的同时，合理地估计并按收入的</w:t>
      </w:r>
      <w:r>
        <w:rPr>
          <w:spacing w:val="-17"/>
        </w:rPr>
        <w:t> </w:t>
      </w:r>
      <w:r>
        <w:rPr>
          <w:rFonts w:ascii="Times New Roman" w:hAnsi="Times New Roman" w:cs="Times New Roman" w:eastAsia="Times New Roman" w:hint="default"/>
        </w:rPr>
        <w:t>2%</w:t>
      </w:r>
      <w:r>
        <w:rPr/>
        <w:t>预提软件维护</w:t>
      </w:r>
      <w:r>
        <w:rPr>
          <w:w w:val="99"/>
        </w:rPr>
        <w:t> </w:t>
      </w:r>
      <w:r>
        <w:rPr/>
        <w:t>费用。</w:t>
      </w:r>
    </w:p>
    <w:p>
      <w:pPr>
        <w:pStyle w:val="BodyText"/>
        <w:spacing w:line="321" w:lineRule="auto" w:before="43"/>
        <w:ind w:left="535" w:right="0"/>
        <w:jc w:val="left"/>
      </w:pPr>
      <w:r>
        <w:rPr/>
        <w:t>（</w:t>
      </w:r>
      <w:r>
        <w:rPr>
          <w:rFonts w:ascii="Times New Roman" w:hAnsi="Times New Roman" w:cs="Times New Roman" w:eastAsia="Times New Roman" w:hint="default"/>
        </w:rPr>
        <w:t>3</w:t>
      </w:r>
      <w:r>
        <w:rPr/>
        <w:t>）服务收入确认原则</w:t>
      </w:r>
      <w:r>
        <w:rPr>
          <w:w w:val="99"/>
        </w:rPr>
        <w:t> </w:t>
      </w:r>
      <w:r>
        <w:rPr>
          <w:w w:val="95"/>
        </w:rPr>
        <w:t>根据合同约定提供了相应服务，取得明确的收款证据，相关成本能够可靠地计量时，确认收入。合同</w:t>
      </w:r>
      <w:r>
        <w:rPr/>
      </w:r>
    </w:p>
    <w:p>
      <w:pPr>
        <w:pStyle w:val="BodyText"/>
        <w:spacing w:line="340" w:lineRule="auto" w:before="42"/>
        <w:ind w:right="0"/>
        <w:jc w:val="left"/>
      </w:pPr>
      <w:r>
        <w:rPr>
          <w:w w:val="95"/>
        </w:rPr>
        <w:t>规定约定服务期限的，在合同约定的服务期限内，按进度确认收入；合同明确约定了服务成果需经客户验</w:t>
      </w:r>
      <w:r>
        <w:rPr>
          <w:spacing w:val="55"/>
          <w:w w:val="95"/>
        </w:rPr>
        <w:t> </w:t>
      </w:r>
      <w:r>
        <w:rPr>
          <w:spacing w:val="55"/>
          <w:w w:val="95"/>
        </w:rPr>
      </w:r>
      <w:r>
        <w:rPr/>
        <w:t>收确认的，根据客户验收情况确认收入。</w:t>
      </w:r>
    </w:p>
    <w:p>
      <w:pPr>
        <w:pStyle w:val="BodyText"/>
        <w:spacing w:line="331" w:lineRule="auto" w:before="25"/>
        <w:ind w:right="111" w:firstLine="422"/>
        <w:jc w:val="both"/>
      </w:pPr>
      <w:r>
        <w:rPr>
          <w:w w:val="95"/>
        </w:rPr>
        <w:t>（</w:t>
      </w:r>
      <w:r>
        <w:rPr>
          <w:rFonts w:ascii="Times New Roman" w:hAnsi="Times New Roman" w:cs="Times New Roman" w:eastAsia="Times New Roman" w:hint="default"/>
          <w:w w:val="95"/>
        </w:rPr>
        <w:t>4</w:t>
      </w:r>
      <w:r>
        <w:rPr>
          <w:w w:val="95"/>
        </w:rPr>
        <w:t>）让渡资产使用权收入确认原则：相关的经济利益很可能流入公司；收入的金额能够可靠地计量。</w:t>
      </w:r>
      <w:r>
        <w:rPr>
          <w:w w:val="49"/>
        </w:rPr>
        <w:t> </w:t>
      </w:r>
      <w:r>
        <w:rPr>
          <w:w w:val="95"/>
        </w:rPr>
        <w:t>利息收入金额，按照他人使用本公司货币资金的时间和实际利率计算确定；使用费收入金额，按照有关合</w:t>
      </w:r>
      <w:r>
        <w:rPr>
          <w:spacing w:val="51"/>
          <w:w w:val="95"/>
        </w:rPr>
        <w:t> </w:t>
      </w:r>
      <w:r>
        <w:rPr>
          <w:spacing w:val="51"/>
          <w:w w:val="95"/>
        </w:rPr>
      </w:r>
      <w:r>
        <w:rPr/>
        <w:t>同或协议约定的收费时间和方法计算确定。</w:t>
      </w:r>
    </w:p>
    <w:p>
      <w:pPr>
        <w:pStyle w:val="BodyText"/>
        <w:spacing w:line="240" w:lineRule="auto" w:before="34"/>
        <w:ind w:left="535" w:right="0"/>
        <w:jc w:val="left"/>
      </w:pPr>
      <w:r>
        <w:rPr>
          <w:rFonts w:ascii="Times New Roman" w:hAnsi="Times New Roman" w:cs="Times New Roman" w:eastAsia="Times New Roman" w:hint="default"/>
        </w:rPr>
        <w:t>22</w:t>
      </w:r>
      <w:r>
        <w:rPr/>
        <w:t>、政府补助</w:t>
      </w:r>
    </w:p>
    <w:p>
      <w:pPr>
        <w:pStyle w:val="BodyText"/>
        <w:spacing w:line="321" w:lineRule="auto" w:before="100"/>
        <w:ind w:left="535" w:right="0"/>
        <w:jc w:val="left"/>
      </w:pPr>
      <w:r>
        <w:rPr/>
        <w:t>（</w:t>
      </w:r>
      <w:r>
        <w:rPr>
          <w:rFonts w:ascii="Times New Roman" w:hAnsi="Times New Roman" w:cs="Times New Roman" w:eastAsia="Times New Roman" w:hint="default"/>
        </w:rPr>
        <w:t>1</w:t>
      </w:r>
      <w:r>
        <w:rPr/>
        <w:t>）确认</w:t>
      </w:r>
      <w:r>
        <w:rPr>
          <w:w w:val="99"/>
        </w:rPr>
        <w:t> </w:t>
      </w:r>
      <w:r>
        <w:rPr>
          <w:w w:val="95"/>
        </w:rPr>
        <w:t>政府补助，是指公司从政府无偿取得货币性资产或非货币性资产，但不包括政府作为公司所有者投入</w:t>
      </w:r>
      <w:r>
        <w:rPr/>
      </w:r>
    </w:p>
    <w:p>
      <w:pPr>
        <w:pStyle w:val="BodyText"/>
        <w:spacing w:line="338" w:lineRule="auto" w:before="45"/>
        <w:ind w:right="0"/>
        <w:jc w:val="left"/>
      </w:pPr>
      <w:r>
        <w:rPr>
          <w:w w:val="95"/>
        </w:rPr>
        <w:t>的资本以及除税收返还之外的直接减征、免征、增加计税抵扣额、抵免部分税额、增值税出口退税等税收</w:t>
      </w:r>
      <w:r>
        <w:rPr>
          <w:spacing w:val="54"/>
          <w:w w:val="95"/>
        </w:rPr>
        <w:t> </w:t>
      </w:r>
      <w:r>
        <w:rPr>
          <w:spacing w:val="54"/>
          <w:w w:val="95"/>
        </w:rPr>
      </w:r>
      <w:r>
        <w:rPr/>
        <w:t>优惠。政府补助的形式包括：财政拨款、财政贴息、税收返还、无偿划拨非货币性资产等。</w:t>
      </w:r>
    </w:p>
    <w:p>
      <w:pPr>
        <w:pStyle w:val="BodyText"/>
        <w:spacing w:line="340" w:lineRule="auto" w:before="28"/>
        <w:ind w:right="110" w:firstLine="422"/>
        <w:jc w:val="both"/>
      </w:pPr>
      <w:r>
        <w:rPr>
          <w:w w:val="95"/>
        </w:rPr>
        <w:t>政府补助分为与资产相关的政府补助和与收益相关的政府补助。与资产相关的政府补助，是指公司取</w:t>
      </w:r>
      <w:r>
        <w:rPr>
          <w:spacing w:val="-93"/>
          <w:w w:val="95"/>
        </w:rPr>
        <w:t> </w:t>
      </w:r>
      <w:r>
        <w:rPr>
          <w:spacing w:val="-93"/>
          <w:w w:val="95"/>
        </w:rPr>
      </w:r>
      <w:r>
        <w:rPr>
          <w:w w:val="95"/>
        </w:rPr>
        <w:t>得的、用于购建或以其他方式形成长期资产的政府补助。与收益相关的政府补助，是指除与资产相关的政</w:t>
      </w:r>
      <w:r>
        <w:rPr>
          <w:spacing w:val="53"/>
          <w:w w:val="95"/>
        </w:rPr>
        <w:t> </w:t>
      </w:r>
      <w:r>
        <w:rPr>
          <w:spacing w:val="53"/>
          <w:w w:val="95"/>
        </w:rPr>
      </w:r>
      <w:r>
        <w:rPr/>
        <w:t>府补助之外的政府补助。</w:t>
      </w:r>
    </w:p>
    <w:p>
      <w:pPr>
        <w:pStyle w:val="BodyText"/>
        <w:spacing w:line="240" w:lineRule="auto" w:before="28"/>
        <w:ind w:left="535" w:right="0"/>
        <w:jc w:val="left"/>
      </w:pPr>
      <w:r>
        <w:rPr/>
        <w:t>政府补助确认条件：公司能够满足政府补助所附条件；公司能够收到政府补助。</w:t>
      </w:r>
    </w:p>
    <w:p>
      <w:pPr>
        <w:pStyle w:val="BodyText"/>
        <w:spacing w:line="240" w:lineRule="auto" w:before="114"/>
        <w:ind w:left="535" w:right="0"/>
        <w:jc w:val="left"/>
      </w:pPr>
      <w:r>
        <w:rPr/>
        <w:t>（</w:t>
      </w:r>
      <w:r>
        <w:rPr>
          <w:rFonts w:ascii="Times New Roman" w:hAnsi="Times New Roman" w:cs="Times New Roman" w:eastAsia="Times New Roman" w:hint="default"/>
        </w:rPr>
        <w:t>2</w:t>
      </w:r>
      <w:r>
        <w:rPr/>
        <w:t>）计量</w:t>
      </w:r>
    </w:p>
    <w:p>
      <w:pPr>
        <w:pStyle w:val="BodyText"/>
        <w:spacing w:line="340" w:lineRule="auto" w:before="100"/>
        <w:ind w:left="535" w:right="3431"/>
        <w:jc w:val="left"/>
      </w:pPr>
      <w:r>
        <w:rPr/>
        <w:t>①政府补助为货币性资产的，应当按照收到或应收的金额计量。</w:t>
      </w:r>
      <w:r>
        <w:rPr>
          <w:w w:val="99"/>
        </w:rPr>
        <w:t> </w:t>
      </w:r>
      <w:r>
        <w:rPr/>
        <w:t>政府补助为非货币性资产的，应当按照公允价值计量。</w:t>
      </w:r>
    </w:p>
    <w:p>
      <w:pPr>
        <w:pStyle w:val="BodyText"/>
        <w:spacing w:line="340" w:lineRule="auto" w:before="25"/>
        <w:ind w:right="110" w:firstLine="422"/>
        <w:jc w:val="both"/>
      </w:pPr>
      <w:r>
        <w:rPr>
          <w:w w:val="95"/>
        </w:rPr>
        <w:t>②与资产相关的政府补助，应当确认为递延收益，自相关资产达到预定可使用状态时起，在相关资产</w:t>
      </w:r>
      <w:r>
        <w:rPr>
          <w:spacing w:val="-93"/>
          <w:w w:val="95"/>
        </w:rPr>
        <w:t> </w:t>
      </w:r>
      <w:r>
        <w:rPr>
          <w:spacing w:val="-93"/>
          <w:w w:val="95"/>
        </w:rPr>
      </w:r>
      <w:r>
        <w:rPr>
          <w:w w:val="95"/>
        </w:rPr>
        <w:t>使用寿命内平均分配，分次计入以后各期营业外收入。按照名义金额计量的政府补助，直接计入营业外收   </w:t>
      </w:r>
      <w:r>
        <w:rPr>
          <w:spacing w:val="55"/>
          <w:w w:val="95"/>
        </w:rPr>
        <w:t> </w:t>
      </w:r>
      <w:r>
        <w:rPr>
          <w:spacing w:val="55"/>
          <w:w w:val="95"/>
        </w:rPr>
      </w:r>
      <w:r>
        <w:rPr/>
        <w:t>入。</w:t>
      </w:r>
    </w:p>
    <w:p>
      <w:pPr>
        <w:pStyle w:val="BodyText"/>
        <w:spacing w:line="338" w:lineRule="auto" w:before="28"/>
        <w:ind w:right="0" w:firstLine="422"/>
        <w:jc w:val="left"/>
      </w:pPr>
      <w:r>
        <w:rPr>
          <w:w w:val="95"/>
        </w:rPr>
        <w:t>相关资产在使用寿命结束前被出售、转让、报废或发生毁损的，应将尚未分配的递延收益余额一次性</w:t>
      </w:r>
      <w:r>
        <w:rPr>
          <w:spacing w:val="-91"/>
          <w:w w:val="95"/>
        </w:rPr>
        <w:t> </w:t>
      </w:r>
      <w:r>
        <w:rPr>
          <w:spacing w:val="-91"/>
          <w:w w:val="95"/>
        </w:rPr>
      </w:r>
      <w:r>
        <w:rPr/>
        <w:t>转入资产处置当期的损益（营业外收入）。</w:t>
      </w:r>
    </w:p>
    <w:p>
      <w:pPr>
        <w:pStyle w:val="BodyText"/>
        <w:spacing w:line="338" w:lineRule="auto" w:before="30"/>
        <w:ind w:left="535" w:right="0"/>
        <w:jc w:val="left"/>
      </w:pPr>
      <w:r>
        <w:rPr/>
        <w:t>③与收益相关的政府补助，应当分别下列情况处理：</w:t>
      </w:r>
      <w:r>
        <w:rPr>
          <w:w w:val="99"/>
        </w:rPr>
        <w:t> </w:t>
      </w:r>
      <w:r>
        <w:rPr>
          <w:w w:val="95"/>
        </w:rPr>
        <w:t>用于补偿公司以后期间的相关费用或损失的，取得时确认为递延收益，并在确认相关费用的期间，计</w:t>
      </w:r>
      <w:r>
        <w:rPr/>
      </w:r>
    </w:p>
    <w:p>
      <w:pPr>
        <w:pStyle w:val="BodyText"/>
        <w:spacing w:line="338" w:lineRule="auto" w:before="30"/>
        <w:ind w:left="535" w:right="2591" w:hanging="423"/>
        <w:jc w:val="left"/>
      </w:pPr>
      <w:r>
        <w:rPr/>
        <w:t>入营业外收入。</w:t>
      </w:r>
      <w:r>
        <w:rPr>
          <w:w w:val="99"/>
        </w:rPr>
        <w:t> </w:t>
      </w:r>
      <w:r>
        <w:rPr/>
        <w:t>用于补偿公司已发生的相关费用或损失的，取得时直接计入营业外收入。</w:t>
      </w:r>
    </w:p>
    <w:p>
      <w:pPr>
        <w:pStyle w:val="BodyText"/>
        <w:spacing w:line="340" w:lineRule="auto" w:before="30"/>
        <w:ind w:left="535" w:right="1961"/>
        <w:jc w:val="left"/>
      </w:pPr>
      <w:r>
        <w:rPr/>
        <w:t>④已确认的政府补助需要返还的，应当分别下列情况处理：</w:t>
      </w:r>
      <w:r>
        <w:rPr>
          <w:w w:val="99"/>
        </w:rPr>
        <w:t> </w:t>
      </w:r>
      <w:r>
        <w:rPr/>
        <w:t>存在相关递延收益的，冲减相关递延收益账面余额，超出部分计入营业外支出。</w:t>
      </w:r>
      <w:r>
        <w:rPr>
          <w:w w:val="99"/>
        </w:rPr>
        <w:t> </w:t>
      </w:r>
      <w:r>
        <w:rPr/>
        <w:t>不存在相关递延收益的，直接计入营业外支出。</w:t>
      </w:r>
    </w:p>
    <w:p>
      <w:pPr>
        <w:pStyle w:val="BodyText"/>
        <w:spacing w:line="240" w:lineRule="auto" w:before="25"/>
        <w:ind w:left="535" w:right="0"/>
        <w:jc w:val="left"/>
      </w:pPr>
      <w:r>
        <w:rPr>
          <w:rFonts w:ascii="Times New Roman" w:hAnsi="Times New Roman" w:cs="Times New Roman" w:eastAsia="Times New Roman" w:hint="default"/>
        </w:rPr>
        <w:t>23</w:t>
      </w:r>
      <w:r>
        <w:rPr/>
        <w:t>、所得税</w:t>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38"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95pt;mso-position-horizontal-relative:char;mso-position-vertical-relative:line" coordorigin="0,0" coordsize="9653,339">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39" type="#_x0000_t202" filled="false" stroked="false">
                <v:textbox inset="0,0,0,0">
                  <w:txbxContent>
                    <w:p>
                      <w:pPr>
                        <w:spacing w:line="286" w:lineRule="exact"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）本公司采用资产负债表债务法对所得税进行会计处理。</w:t>
                      </w:r>
                    </w:p>
                  </w:txbxContent>
                </v:textbox>
                <w10:wrap type="none"/>
              </v:shape>
            </v:group>
          </v:group>
        </w:pict>
      </w:r>
      <w:r>
        <w:rPr>
          <w:rFonts w:ascii="宋体" w:hAnsi="宋体" w:cs="宋体" w:eastAsia="宋体" w:hint="default"/>
          <w:position w:val="-6"/>
          <w:sz w:val="20"/>
          <w:szCs w:val="20"/>
        </w:rPr>
      </w:r>
    </w:p>
    <w:p>
      <w:pPr>
        <w:spacing w:line="240" w:lineRule="auto" w:before="2"/>
        <w:rPr>
          <w:rFonts w:ascii="宋体" w:hAnsi="宋体" w:cs="宋体" w:eastAsia="宋体" w:hint="default"/>
          <w:sz w:val="5"/>
          <w:szCs w:val="5"/>
        </w:rPr>
      </w:pPr>
    </w:p>
    <w:p>
      <w:pPr>
        <w:pStyle w:val="BodyText"/>
        <w:spacing w:line="324" w:lineRule="auto" w:before="34"/>
        <w:ind w:right="143" w:firstLine="422"/>
        <w:jc w:val="both"/>
      </w:pPr>
      <w:r>
        <w:rPr/>
        <w:t>（</w:t>
      </w:r>
      <w:r>
        <w:rPr>
          <w:rFonts w:ascii="Times New Roman" w:hAnsi="Times New Roman" w:cs="Times New Roman" w:eastAsia="Times New Roman" w:hint="default"/>
        </w:rPr>
        <w:t>2</w:t>
      </w:r>
      <w:r>
        <w:rPr/>
        <w:t>）除下列交易中产生的递延所得税负债以外，公司确认所有应纳税暂时性差异产生的递延所得税</w:t>
      </w:r>
      <w:r>
        <w:rPr>
          <w:w w:val="99"/>
        </w:rPr>
        <w:t> </w:t>
      </w:r>
      <w:r>
        <w:rPr/>
        <w:t>负债：</w:t>
      </w:r>
    </w:p>
    <w:p>
      <w:pPr>
        <w:pStyle w:val="BodyText"/>
        <w:spacing w:line="240" w:lineRule="auto" w:before="43"/>
        <w:ind w:left="535" w:right="0"/>
        <w:jc w:val="left"/>
      </w:pPr>
      <w:r>
        <w:rPr/>
        <w:t>①商誉的初始确认；</w:t>
      </w:r>
    </w:p>
    <w:p>
      <w:pPr>
        <w:pStyle w:val="BodyText"/>
        <w:spacing w:line="331" w:lineRule="auto" w:before="114"/>
        <w:ind w:left="535" w:right="2379"/>
        <w:jc w:val="left"/>
      </w:pPr>
      <w:r>
        <w:rPr/>
        <w:t>②同时具有下列特征的交易中产生的资产或负债的初始确认：</w:t>
      </w:r>
      <w:r>
        <w:rPr>
          <w:w w:val="99"/>
        </w:rPr>
        <w:t> </w:t>
      </w:r>
      <w:r>
        <w:rPr>
          <w:rFonts w:ascii="Times New Roman" w:hAnsi="Times New Roman" w:cs="Times New Roman" w:eastAsia="Times New Roman" w:hint="default"/>
        </w:rPr>
        <w:t>a</w:t>
      </w:r>
      <w:r>
        <w:rPr/>
        <w:t>、该项交易不是企业合并；</w:t>
      </w:r>
      <w:r>
        <w:rPr>
          <w:w w:val="99"/>
        </w:rPr>
        <w:t> </w:t>
      </w:r>
      <w:r>
        <w:rPr>
          <w:rFonts w:ascii="Times New Roman" w:hAnsi="Times New Roman" w:cs="Times New Roman" w:eastAsia="Times New Roman" w:hint="default"/>
          <w:w w:val="95"/>
        </w:rPr>
        <w:t>b</w:t>
      </w:r>
      <w:r>
        <w:rPr>
          <w:w w:val="95"/>
        </w:rPr>
        <w:t>、交易发生时既不影响会计利润也不影响应纳税所得额（或可抵扣亏损）。</w:t>
      </w:r>
      <w:r>
        <w:rPr/>
      </w:r>
    </w:p>
    <w:p>
      <w:pPr>
        <w:pStyle w:val="BodyText"/>
        <w:spacing w:line="331" w:lineRule="auto" w:before="9"/>
        <w:ind w:right="112" w:firstLine="422"/>
        <w:jc w:val="both"/>
      </w:pPr>
      <w:r>
        <w:rPr/>
        <w:t>（</w:t>
      </w:r>
      <w:r>
        <w:rPr>
          <w:rFonts w:ascii="Times New Roman" w:hAnsi="Times New Roman" w:cs="Times New Roman" w:eastAsia="Times New Roman" w:hint="default"/>
        </w:rPr>
        <w:t>3</w:t>
      </w:r>
      <w:r>
        <w:rPr/>
        <w:t>）公司以很可能取得用来抵扣可抵扣暂时性差异的应纳税所得额为限，确认由可抵扣暂时性差异</w:t>
      </w:r>
      <w:r>
        <w:rPr>
          <w:w w:val="99"/>
        </w:rPr>
        <w:t> </w:t>
      </w:r>
      <w:r>
        <w:rPr>
          <w:w w:val="95"/>
        </w:rPr>
        <w:t>产生的递延所得税资产。但同时具有下列特征的交易中因资产或负债的初始确认所产生的递延所得税资产</w:t>
      </w:r>
      <w:r>
        <w:rPr>
          <w:spacing w:val="52"/>
          <w:w w:val="95"/>
        </w:rPr>
        <w:t> </w:t>
      </w:r>
      <w:r>
        <w:rPr>
          <w:spacing w:val="52"/>
          <w:w w:val="95"/>
        </w:rPr>
      </w:r>
      <w:r>
        <w:rPr/>
        <w:t>不予确认：</w:t>
      </w:r>
    </w:p>
    <w:p>
      <w:pPr>
        <w:pStyle w:val="BodyText"/>
        <w:spacing w:line="240" w:lineRule="auto" w:before="34"/>
        <w:ind w:left="535" w:right="0"/>
        <w:jc w:val="left"/>
      </w:pPr>
      <w:r>
        <w:rPr/>
        <w:t>①该项交易不是企业合并；</w:t>
      </w:r>
    </w:p>
    <w:p>
      <w:pPr>
        <w:pStyle w:val="BodyText"/>
        <w:spacing w:line="338" w:lineRule="auto" w:before="116"/>
        <w:ind w:left="535" w:right="0"/>
        <w:jc w:val="left"/>
      </w:pPr>
      <w:r>
        <w:rPr/>
        <w:t>②交易发生时既不影响会计利润也不影响应纳税所得额（或可抵扣亏损）。</w:t>
      </w:r>
      <w:r>
        <w:rPr>
          <w:w w:val="99"/>
        </w:rPr>
        <w:t> </w:t>
      </w:r>
      <w:r>
        <w:rPr>
          <w:w w:val="95"/>
        </w:rPr>
        <w:t>资产负债表日，有确凿证据表明未来期间很可能获得足够的应纳税所得额用来抵扣可抵扣暂时性差异</w:t>
      </w:r>
      <w:r>
        <w:rPr/>
      </w:r>
    </w:p>
    <w:p>
      <w:pPr>
        <w:pStyle w:val="BodyText"/>
        <w:spacing w:line="240" w:lineRule="auto" w:before="30"/>
        <w:ind w:right="0"/>
        <w:jc w:val="left"/>
      </w:pPr>
      <w:r>
        <w:rPr/>
        <w:t>的，应当确认以前期间未确认的递延所得税资产。</w:t>
      </w:r>
    </w:p>
    <w:p>
      <w:pPr>
        <w:pStyle w:val="BodyText"/>
        <w:spacing w:line="331" w:lineRule="auto" w:before="114"/>
        <w:ind w:right="114" w:firstLine="422"/>
        <w:jc w:val="both"/>
      </w:pPr>
      <w:r>
        <w:rPr/>
        <w:t>（</w:t>
      </w:r>
      <w:r>
        <w:rPr>
          <w:rFonts w:ascii="Times New Roman" w:hAnsi="Times New Roman" w:cs="Times New Roman" w:eastAsia="Times New Roman" w:hint="default"/>
        </w:rPr>
        <w:t>4</w:t>
      </w:r>
      <w:r>
        <w:rPr/>
        <w:t>）资产负债表日，公司对于当期和以前期间形成的当期所得税负债（或资产），按照税法规定计</w:t>
      </w:r>
      <w:r>
        <w:rPr>
          <w:w w:val="99"/>
        </w:rPr>
        <w:t> </w:t>
      </w:r>
      <w:r>
        <w:rPr>
          <w:w w:val="95"/>
        </w:rPr>
        <w:t>算的预期应交纳（或返还）的所得税金额计量。对于递延所得税资产和递延所得税负债，根据税法规定，</w:t>
      </w:r>
      <w:r>
        <w:rPr>
          <w:spacing w:val="51"/>
          <w:w w:val="95"/>
        </w:rPr>
        <w:t> </w:t>
      </w:r>
      <w:r>
        <w:rPr>
          <w:spacing w:val="51"/>
          <w:w w:val="95"/>
        </w:rPr>
      </w:r>
      <w:r>
        <w:rPr/>
        <w:t>按照预期收回该资产或清偿该负债期间的适用税率计量。</w:t>
      </w:r>
    </w:p>
    <w:p>
      <w:pPr>
        <w:pStyle w:val="BodyText"/>
        <w:spacing w:line="340" w:lineRule="auto" w:before="34"/>
        <w:ind w:right="112" w:firstLine="422"/>
        <w:jc w:val="both"/>
      </w:pPr>
      <w:r>
        <w:rPr>
          <w:w w:val="95"/>
        </w:rPr>
        <w:t>适用税率发生变化的，对已确认的递延所得税资产和递延所得税负债进行重新计量，除直接在所有者</w:t>
      </w:r>
      <w:r>
        <w:rPr>
          <w:spacing w:val="-93"/>
          <w:w w:val="95"/>
        </w:rPr>
        <w:t> </w:t>
      </w:r>
      <w:r>
        <w:rPr>
          <w:spacing w:val="-93"/>
          <w:w w:val="95"/>
        </w:rPr>
      </w:r>
      <w:r>
        <w:rPr>
          <w:w w:val="95"/>
        </w:rPr>
        <w:t>权益中确认的交易或者事项产生的递延所得税资产和递延所得税负债以外，应当将其影响数计入变化当期</w:t>
      </w:r>
      <w:r>
        <w:rPr>
          <w:spacing w:val="52"/>
          <w:w w:val="95"/>
        </w:rPr>
        <w:t> </w:t>
      </w:r>
      <w:r>
        <w:rPr>
          <w:spacing w:val="52"/>
          <w:w w:val="95"/>
        </w:rPr>
      </w:r>
      <w:r>
        <w:rPr/>
        <w:t>的所得税费用。</w:t>
      </w:r>
    </w:p>
    <w:p>
      <w:pPr>
        <w:pStyle w:val="BodyText"/>
        <w:spacing w:line="324" w:lineRule="auto" w:before="28"/>
        <w:ind w:right="143" w:firstLine="422"/>
        <w:jc w:val="both"/>
      </w:pPr>
      <w:r>
        <w:rPr/>
        <w:t>（</w:t>
      </w:r>
      <w:r>
        <w:rPr>
          <w:rFonts w:ascii="Times New Roman" w:hAnsi="Times New Roman" w:cs="Times New Roman" w:eastAsia="Times New Roman" w:hint="default"/>
        </w:rPr>
        <w:t>5</w:t>
      </w:r>
      <w:r>
        <w:rPr/>
        <w:t>）公司对当期所得税和递延所得税作为所得税费用或收益计入当期损益，但不包括下列情况产生</w:t>
      </w:r>
      <w:r>
        <w:rPr>
          <w:w w:val="99"/>
        </w:rPr>
        <w:t> </w:t>
      </w:r>
      <w:r>
        <w:rPr/>
        <w:t>的所得税：</w:t>
      </w:r>
    </w:p>
    <w:p>
      <w:pPr>
        <w:pStyle w:val="BodyText"/>
        <w:spacing w:line="240" w:lineRule="auto" w:before="40"/>
        <w:ind w:left="535" w:right="0"/>
        <w:jc w:val="left"/>
      </w:pPr>
      <w:r>
        <w:rPr/>
        <w:t>①企业合并；</w:t>
      </w:r>
    </w:p>
    <w:p>
      <w:pPr>
        <w:pStyle w:val="BodyText"/>
        <w:spacing w:line="340" w:lineRule="auto" w:before="116"/>
        <w:ind w:left="535" w:right="491"/>
        <w:jc w:val="left"/>
      </w:pPr>
      <w:r>
        <w:rPr/>
        <w:t>②直接在所有者权益中确认的交易或者事项。</w:t>
      </w:r>
      <w:r>
        <w:rPr>
          <w:w w:val="99"/>
        </w:rPr>
        <w:t> </w:t>
      </w:r>
      <w:r>
        <w:rPr/>
        <w:t>与直接计入所有者权益的交易或者事项相关的当期所得税和递延所得税，应当计入所有者权益。</w:t>
      </w:r>
      <w:r>
        <w:rPr>
          <w:w w:val="99"/>
        </w:rPr>
        <w:t> </w:t>
      </w:r>
      <w:r>
        <w:rPr>
          <w:rFonts w:ascii="Times New Roman" w:hAnsi="Times New Roman" w:cs="Times New Roman" w:eastAsia="Times New Roman" w:hint="default"/>
        </w:rPr>
        <w:t>24</w:t>
      </w:r>
      <w:r>
        <w:rPr/>
        <w:t>、会计报表合并范围的确定原则及合并会计报表的编制方法</w:t>
      </w:r>
    </w:p>
    <w:p>
      <w:pPr>
        <w:pStyle w:val="BodyText"/>
        <w:spacing w:line="240" w:lineRule="auto"/>
        <w:ind w:left="535" w:right="0"/>
        <w:jc w:val="left"/>
      </w:pPr>
      <w:r>
        <w:rPr/>
        <w:t>（</w:t>
      </w:r>
      <w:r>
        <w:rPr>
          <w:rFonts w:ascii="Times New Roman" w:hAnsi="Times New Roman" w:cs="Times New Roman" w:eastAsia="Times New Roman" w:hint="default"/>
        </w:rPr>
        <w:t>1</w:t>
      </w:r>
      <w:r>
        <w:rPr/>
        <w:t>）合并范围的确定原则</w:t>
      </w:r>
    </w:p>
    <w:p>
      <w:pPr>
        <w:pStyle w:val="BodyText"/>
        <w:spacing w:line="338" w:lineRule="auto" w:before="100"/>
        <w:ind w:right="110" w:firstLine="422"/>
        <w:jc w:val="both"/>
      </w:pPr>
      <w:r>
        <w:rPr>
          <w:w w:val="95"/>
        </w:rPr>
        <w:t>①母公司拥有其半数以上权益性资本的被投资企业，包括母公司直接拥有、间接拥有、直接和间接方</w:t>
      </w:r>
      <w:r>
        <w:rPr>
          <w:spacing w:val="-93"/>
          <w:w w:val="95"/>
        </w:rPr>
        <w:t> </w:t>
      </w:r>
      <w:r>
        <w:rPr>
          <w:spacing w:val="-93"/>
          <w:w w:val="95"/>
        </w:rPr>
      </w:r>
      <w:r>
        <w:rPr/>
        <w:t>式合计拥有半数以上权益性资本；</w:t>
      </w:r>
    </w:p>
    <w:p>
      <w:pPr>
        <w:pStyle w:val="BodyText"/>
        <w:spacing w:line="340" w:lineRule="auto" w:before="30"/>
        <w:ind w:left="535" w:right="2171"/>
        <w:jc w:val="left"/>
      </w:pPr>
      <w:r>
        <w:rPr/>
        <w:t>②被母公司控制的其他被投资企业，包括：</w:t>
      </w:r>
      <w:r>
        <w:rPr>
          <w:w w:val="99"/>
        </w:rPr>
        <w:t> </w:t>
      </w:r>
      <w:r>
        <w:rPr/>
        <w:t>通过与被投资企业的其他投资者之间协议，持有被投资单位半数以上表决权；</w:t>
      </w:r>
      <w:r>
        <w:rPr>
          <w:w w:val="99"/>
        </w:rPr>
        <w:t> </w:t>
      </w:r>
      <w:r>
        <w:rPr/>
        <w:t>根据章程或协议，有权控制企业的财务和经营政策；</w:t>
      </w:r>
      <w:r>
        <w:rPr>
          <w:w w:val="99"/>
        </w:rPr>
        <w:t> </w:t>
      </w:r>
      <w:r>
        <w:rPr/>
        <w:t>有权任免公司董事会等类似权力机构的多数成员；</w:t>
      </w:r>
      <w:r>
        <w:rPr>
          <w:w w:val="99"/>
        </w:rPr>
        <w:t> </w:t>
      </w:r>
      <w:r>
        <w:rPr/>
        <w:t>在公司董事会或类似权力机构会议上有半数以上投票权。</w:t>
      </w:r>
    </w:p>
    <w:p>
      <w:pPr>
        <w:pStyle w:val="BodyText"/>
        <w:spacing w:line="240" w:lineRule="auto" w:before="25"/>
        <w:ind w:left="535" w:right="0"/>
        <w:jc w:val="left"/>
      </w:pPr>
      <w:r>
        <w:rPr/>
        <w:t>（</w:t>
      </w:r>
      <w:r>
        <w:rPr>
          <w:rFonts w:ascii="Times New Roman" w:hAnsi="Times New Roman" w:cs="Times New Roman" w:eastAsia="Times New Roman" w:hint="default"/>
        </w:rPr>
        <w:t>2</w:t>
      </w:r>
      <w:r>
        <w:rPr/>
        <w:t>）合并报表的编制方法</w:t>
      </w:r>
    </w:p>
    <w:p>
      <w:pPr>
        <w:spacing w:after="0" w:line="240" w:lineRule="auto"/>
        <w:jc w:val="left"/>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w w:val="95"/>
                          <w:sz w:val="21"/>
                          <w:szCs w:val="21"/>
                        </w:rPr>
                        <w:t>合并财务报表以母公司和其子公司的财务报表为基础，根据其他有关资料，按照权益法调整对子公司</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340" w:lineRule="auto" w:before="34"/>
        <w:ind w:right="110"/>
        <w:jc w:val="both"/>
      </w:pPr>
      <w:r>
        <w:rPr>
          <w:w w:val="95"/>
        </w:rPr>
        <w:t>的长期股权投资后，由母公司编制。合并资产负债表以母公司和子公司的资产负债表为基础，抵销母公司</w:t>
      </w:r>
      <w:r>
        <w:rPr>
          <w:spacing w:val="51"/>
          <w:w w:val="95"/>
        </w:rPr>
        <w:t> </w:t>
      </w:r>
      <w:r>
        <w:rPr>
          <w:spacing w:val="51"/>
          <w:w w:val="95"/>
        </w:rPr>
      </w:r>
      <w:r>
        <w:rPr>
          <w:w w:val="95"/>
        </w:rPr>
        <w:t>与子公司、子公司相互之间发生的内部交易对合并资产负债表的影响。合并利润表以母公司和子公司的利</w:t>
      </w:r>
      <w:r>
        <w:rPr>
          <w:spacing w:val="52"/>
          <w:w w:val="95"/>
        </w:rPr>
        <w:t> </w:t>
      </w:r>
      <w:r>
        <w:rPr>
          <w:spacing w:val="52"/>
          <w:w w:val="95"/>
        </w:rPr>
      </w:r>
      <w:r>
        <w:rPr>
          <w:w w:val="95"/>
        </w:rPr>
        <w:t>润表为基础，抵销母公司与子公司、子公司相互之间发生的内部交易对合并利润表的影响。合并现金流量</w:t>
      </w:r>
      <w:r>
        <w:rPr>
          <w:spacing w:val="53"/>
          <w:w w:val="95"/>
        </w:rPr>
        <w:t> </w:t>
      </w:r>
      <w:r>
        <w:rPr>
          <w:spacing w:val="53"/>
          <w:w w:val="95"/>
        </w:rPr>
      </w:r>
      <w:r>
        <w:rPr>
          <w:w w:val="95"/>
        </w:rPr>
        <w:t>表以母公司和子公司的现金流量表为基础，抵销母公司与子公司、子公司相互之间发生的内部交易对合并</w:t>
      </w:r>
      <w:r>
        <w:rPr>
          <w:spacing w:val="52"/>
          <w:w w:val="95"/>
        </w:rPr>
        <w:t> </w:t>
      </w:r>
      <w:r>
        <w:rPr>
          <w:spacing w:val="52"/>
          <w:w w:val="95"/>
        </w:rPr>
      </w:r>
      <w:r>
        <w:rPr>
          <w:w w:val="95"/>
        </w:rPr>
        <w:t>现金流量表的影响。合并所有者权益变动表以母公司和子公司的所有者权益变动表为基础，抵销母公司与</w:t>
      </w:r>
      <w:r>
        <w:rPr>
          <w:spacing w:val="52"/>
          <w:w w:val="95"/>
        </w:rPr>
        <w:t> </w:t>
      </w:r>
      <w:r>
        <w:rPr>
          <w:spacing w:val="52"/>
          <w:w w:val="95"/>
        </w:rPr>
      </w:r>
      <w:r>
        <w:rPr/>
        <w:t>子公司、子公司相互之间发生的内部交易对合并所有者权益变动表的影响。</w:t>
      </w:r>
    </w:p>
    <w:p>
      <w:pPr>
        <w:pStyle w:val="BodyText"/>
        <w:spacing w:line="340" w:lineRule="auto" w:before="25"/>
        <w:ind w:right="112" w:firstLine="422"/>
        <w:jc w:val="both"/>
      </w:pPr>
      <w:r>
        <w:rPr>
          <w:w w:val="95"/>
        </w:rPr>
        <w:t>母公司在报告期内因同一控制下企业合并增加的子公司，调整合并资产负债表的期初数，并将该子公</w:t>
      </w:r>
      <w:r>
        <w:rPr>
          <w:spacing w:val="-93"/>
          <w:w w:val="95"/>
        </w:rPr>
        <w:t> </w:t>
      </w:r>
      <w:r>
        <w:rPr>
          <w:spacing w:val="-93"/>
          <w:w w:val="95"/>
        </w:rPr>
      </w:r>
      <w:r>
        <w:rPr>
          <w:w w:val="95"/>
        </w:rPr>
        <w:t>司合并当期期初至报告期末的收入、费用、利润纳入合并利润表，将该子公司合并当期期初至报告期末的</w:t>
      </w:r>
      <w:r>
        <w:rPr>
          <w:spacing w:val="51"/>
          <w:w w:val="95"/>
        </w:rPr>
        <w:t> </w:t>
      </w:r>
      <w:r>
        <w:rPr>
          <w:spacing w:val="51"/>
          <w:w w:val="95"/>
        </w:rPr>
      </w:r>
      <w:r>
        <w:rPr/>
        <w:t>现金流量纳入合并现金流量表。</w:t>
      </w:r>
    </w:p>
    <w:p>
      <w:pPr>
        <w:pStyle w:val="BodyText"/>
        <w:spacing w:line="340" w:lineRule="auto" w:before="25"/>
        <w:ind w:right="111" w:firstLine="422"/>
        <w:jc w:val="both"/>
      </w:pPr>
      <w:r>
        <w:rPr>
          <w:w w:val="95"/>
        </w:rPr>
        <w:t>因非同一控制下企业合并增加的子公司，不调整合并资产负债表的期初数，将该子公司购买日至报告</w:t>
      </w:r>
      <w:r>
        <w:rPr>
          <w:spacing w:val="-93"/>
          <w:w w:val="95"/>
        </w:rPr>
        <w:t> </w:t>
      </w:r>
      <w:r>
        <w:rPr>
          <w:spacing w:val="-93"/>
          <w:w w:val="95"/>
        </w:rPr>
      </w:r>
      <w:r>
        <w:rPr>
          <w:spacing w:val="-2"/>
          <w:w w:val="95"/>
        </w:rPr>
        <w:t>期末的收入、费用、利润纳入合并利润表，将该子公司购买日至报告期末的现金流量纳入合并现金流量表。</w:t>
      </w:r>
      <w:r>
        <w:rPr>
          <w:spacing w:val="48"/>
          <w:w w:val="95"/>
        </w:rPr>
        <w:t> </w:t>
      </w:r>
      <w:r>
        <w:rPr>
          <w:spacing w:val="48"/>
          <w:w w:val="95"/>
        </w:rPr>
      </w:r>
      <w:r>
        <w:rPr>
          <w:spacing w:val="-2"/>
          <w:w w:val="95"/>
        </w:rPr>
        <w:t>母公司在报告期内处置子公司，不调整合并资产负债表的期初数；将该子公司期初至处置日的收入、费用、</w:t>
      </w:r>
      <w:r>
        <w:rPr>
          <w:spacing w:val="48"/>
          <w:w w:val="95"/>
        </w:rPr>
        <w:t> </w:t>
      </w:r>
      <w:r>
        <w:rPr>
          <w:spacing w:val="48"/>
          <w:w w:val="95"/>
        </w:rPr>
      </w:r>
      <w:r>
        <w:rPr/>
        <w:t>利润纳入合并利润表；将该子公司期初至处置日的现金流量纳入合并现金流量表。</w:t>
      </w:r>
    </w:p>
    <w:p>
      <w:pPr>
        <w:spacing w:line="240" w:lineRule="auto" w:before="0"/>
        <w:rPr>
          <w:rFonts w:ascii="宋体" w:hAnsi="宋体" w:cs="宋体" w:eastAsia="宋体" w:hint="default"/>
          <w:sz w:val="20"/>
          <w:szCs w:val="20"/>
        </w:rPr>
      </w:pPr>
    </w:p>
    <w:p>
      <w:pPr>
        <w:pStyle w:val="BodyText"/>
        <w:spacing w:line="240" w:lineRule="auto" w:before="153"/>
        <w:ind w:left="535" w:right="0"/>
        <w:jc w:val="left"/>
      </w:pPr>
      <w:r>
        <w:rPr/>
        <w:t>五、会计政策和会计估计变更以及前期差错更正的说明</w:t>
      </w:r>
    </w:p>
    <w:p>
      <w:pPr>
        <w:pStyle w:val="BodyText"/>
        <w:spacing w:line="321" w:lineRule="auto" w:before="116"/>
        <w:ind w:left="535" w:right="7736"/>
        <w:jc w:val="left"/>
      </w:pPr>
      <w:r>
        <w:rPr>
          <w:rFonts w:ascii="Times New Roman" w:hAnsi="Times New Roman" w:cs="Times New Roman" w:eastAsia="Times New Roman" w:hint="default"/>
        </w:rPr>
        <w:t>1</w:t>
      </w:r>
      <w:r>
        <w:rPr/>
        <w:t>、会计政策变更</w:t>
      </w:r>
      <w:r>
        <w:rPr>
          <w:w w:val="99"/>
        </w:rPr>
        <w:t> </w:t>
      </w:r>
      <w:r>
        <w:rPr/>
        <w:t>无</w:t>
      </w:r>
    </w:p>
    <w:p>
      <w:pPr>
        <w:spacing w:line="240" w:lineRule="auto" w:before="0"/>
        <w:rPr>
          <w:rFonts w:ascii="宋体" w:hAnsi="宋体" w:cs="宋体" w:eastAsia="宋体" w:hint="default"/>
          <w:sz w:val="20"/>
          <w:szCs w:val="20"/>
        </w:rPr>
      </w:pPr>
    </w:p>
    <w:p>
      <w:pPr>
        <w:pStyle w:val="BodyText"/>
        <w:spacing w:line="324" w:lineRule="auto" w:before="172"/>
        <w:ind w:left="535" w:right="7736"/>
        <w:jc w:val="left"/>
      </w:pPr>
      <w:r>
        <w:rPr>
          <w:rFonts w:ascii="Times New Roman" w:hAnsi="Times New Roman" w:cs="Times New Roman" w:eastAsia="Times New Roman" w:hint="default"/>
        </w:rPr>
        <w:t>2</w:t>
      </w:r>
      <w:r>
        <w:rPr/>
        <w:t>、会计估计变更</w:t>
      </w:r>
      <w:r>
        <w:rPr>
          <w:w w:val="99"/>
        </w:rPr>
        <w:t> </w:t>
      </w:r>
      <w:r>
        <w:rPr/>
        <w:t>无</w:t>
      </w:r>
    </w:p>
    <w:p>
      <w:pPr>
        <w:spacing w:line="240" w:lineRule="auto" w:before="0"/>
        <w:rPr>
          <w:rFonts w:ascii="宋体" w:hAnsi="宋体" w:cs="宋体" w:eastAsia="宋体" w:hint="default"/>
          <w:sz w:val="20"/>
          <w:szCs w:val="20"/>
        </w:rPr>
      </w:pPr>
    </w:p>
    <w:p>
      <w:pPr>
        <w:pStyle w:val="BodyText"/>
        <w:spacing w:line="324" w:lineRule="auto" w:before="170"/>
        <w:ind w:left="535" w:right="7736"/>
        <w:jc w:val="left"/>
      </w:pPr>
      <w:r>
        <w:rPr>
          <w:rFonts w:ascii="Times New Roman" w:hAnsi="Times New Roman" w:cs="Times New Roman" w:eastAsia="Times New Roman" w:hint="default"/>
        </w:rPr>
        <w:t>3</w:t>
      </w:r>
      <w:r>
        <w:rPr/>
        <w:t>、前期差错更正</w:t>
      </w:r>
      <w:r>
        <w:rPr>
          <w:w w:val="99"/>
        </w:rPr>
        <w:t> </w:t>
      </w:r>
      <w:r>
        <w:rPr/>
        <w:t>无</w:t>
      </w:r>
    </w:p>
    <w:p>
      <w:pPr>
        <w:spacing w:line="240" w:lineRule="auto" w:before="0"/>
        <w:rPr>
          <w:rFonts w:ascii="宋体" w:hAnsi="宋体" w:cs="宋体" w:eastAsia="宋体" w:hint="default"/>
          <w:sz w:val="20"/>
          <w:szCs w:val="20"/>
        </w:rPr>
      </w:pPr>
    </w:p>
    <w:p>
      <w:pPr>
        <w:pStyle w:val="BodyText"/>
        <w:spacing w:line="338" w:lineRule="auto" w:before="170"/>
        <w:ind w:left="535" w:right="6791"/>
        <w:jc w:val="left"/>
      </w:pPr>
      <w:r>
        <w:rPr/>
        <w:t>六、税项</w:t>
      </w:r>
      <w:r>
        <w:rPr>
          <w:w w:val="99"/>
        </w:rPr>
        <w:t> </w:t>
      </w:r>
      <w:r>
        <w:rPr/>
        <w:t>本公司应纳税项列示如下：</w:t>
      </w:r>
    </w:p>
    <w:tbl>
      <w:tblPr>
        <w:tblW w:w="0" w:type="auto"/>
        <w:jc w:val="left"/>
        <w:tblInd w:w="887" w:type="dxa"/>
        <w:tblLayout w:type="fixed"/>
        <w:tblCellMar>
          <w:top w:w="0" w:type="dxa"/>
          <w:left w:w="0" w:type="dxa"/>
          <w:bottom w:w="0" w:type="dxa"/>
          <w:right w:w="0" w:type="dxa"/>
        </w:tblCellMar>
        <w:tblLook w:val="01E0"/>
      </w:tblPr>
      <w:tblGrid>
        <w:gridCol w:w="2417"/>
        <w:gridCol w:w="238"/>
        <w:gridCol w:w="2854"/>
        <w:gridCol w:w="274"/>
        <w:gridCol w:w="2309"/>
      </w:tblGrid>
      <w:tr>
        <w:trPr>
          <w:trHeight w:val="367" w:hRule="exact"/>
        </w:trPr>
        <w:tc>
          <w:tcPr>
            <w:tcW w:w="2417"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left="362" w:right="0"/>
              <w:jc w:val="center"/>
              <w:rPr>
                <w:rFonts w:ascii="宋体" w:hAnsi="宋体" w:cs="宋体" w:eastAsia="宋体" w:hint="default"/>
                <w:sz w:val="18"/>
                <w:szCs w:val="18"/>
              </w:rPr>
            </w:pPr>
            <w:r>
              <w:rPr>
                <w:rFonts w:ascii="宋体" w:hAnsi="宋体" w:cs="宋体" w:eastAsia="宋体" w:hint="default"/>
                <w:sz w:val="18"/>
                <w:szCs w:val="18"/>
              </w:rPr>
              <w:t>税目</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计税基础</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2" w:hRule="exact"/>
        </w:trPr>
        <w:tc>
          <w:tcPr>
            <w:tcW w:w="241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873"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single" w:sz="6" w:space="0" w:color="000000"/>
              <w:left w:val="nil" w:sz="6" w:space="0" w:color="auto"/>
              <w:bottom w:val="nil" w:sz="6" w:space="0" w:color="auto"/>
              <w:right w:val="nil" w:sz="6" w:space="0" w:color="auto"/>
            </w:tcBorders>
          </w:tcPr>
          <w:p>
            <w:pPr>
              <w:pStyle w:val="TableParagraph"/>
              <w:spacing w:line="240" w:lineRule="auto" w:before="42"/>
              <w:ind w:left="2" w:right="0"/>
              <w:jc w:val="center"/>
              <w:rPr>
                <w:rFonts w:ascii="宋体" w:hAnsi="宋体" w:cs="宋体" w:eastAsia="宋体" w:hint="default"/>
                <w:sz w:val="15"/>
                <w:szCs w:val="15"/>
              </w:rPr>
            </w:pPr>
            <w:r>
              <w:rPr>
                <w:rFonts w:ascii="Times New Roman" w:hAnsi="Times New Roman" w:cs="Times New Roman" w:eastAsia="Times New Roman" w:hint="default"/>
                <w:sz w:val="18"/>
                <w:szCs w:val="18"/>
              </w:rPr>
              <w:t>17%</w:t>
            </w:r>
            <w:r>
              <w:rPr>
                <w:rFonts w:ascii="宋体" w:hAnsi="宋体" w:cs="宋体" w:eastAsia="宋体" w:hint="default"/>
                <w:sz w:val="15"/>
                <w:szCs w:val="15"/>
              </w:rPr>
              <w:t>（注</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r>
      <w:tr>
        <w:trPr>
          <w:trHeight w:val="338"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73" w:right="0"/>
              <w:jc w:val="left"/>
              <w:rPr>
                <w:rFonts w:ascii="宋体" w:hAnsi="宋体" w:cs="宋体" w:eastAsia="宋体" w:hint="default"/>
                <w:sz w:val="18"/>
                <w:szCs w:val="18"/>
              </w:rPr>
            </w:pPr>
            <w:r>
              <w:rPr>
                <w:rFonts w:ascii="宋体" w:hAnsi="宋体" w:cs="宋体" w:eastAsia="宋体" w:hint="default"/>
                <w:sz w:val="18"/>
                <w:szCs w:val="18"/>
              </w:rPr>
              <w:t>服务业务收入</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5"/>
                <w:szCs w:val="15"/>
              </w:rPr>
            </w:pPr>
            <w:r>
              <w:rPr>
                <w:rFonts w:ascii="Times New Roman" w:hAnsi="Times New Roman" w:cs="Times New Roman" w:eastAsia="Times New Roman" w:hint="default"/>
                <w:sz w:val="18"/>
                <w:szCs w:val="18"/>
              </w:rPr>
              <w:t>5%</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r>
      <w:tr>
        <w:trPr>
          <w:trHeight w:val="342"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7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15"/>
                <w:szCs w:val="15"/>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5"/>
                <w:szCs w:val="15"/>
              </w:rPr>
              <w:t>（注</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p>
        </w:tc>
      </w:tr>
      <w:tr>
        <w:trPr>
          <w:trHeight w:val="340"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5"/>
              <w:ind w:left="87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7%</w:t>
            </w:r>
          </w:p>
        </w:tc>
      </w:tr>
      <w:tr>
        <w:trPr>
          <w:trHeight w:val="340"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7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w:t>
            </w:r>
          </w:p>
        </w:tc>
      </w:tr>
      <w:tr>
        <w:trPr>
          <w:trHeight w:val="341"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河道维护管理费</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5"/>
              <w:ind w:left="87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363"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38" w:type="dxa"/>
            <w:tcBorders>
              <w:top w:val="nil" w:sz="6" w:space="0" w:color="auto"/>
              <w:left w:val="nil" w:sz="6" w:space="0" w:color="auto"/>
              <w:bottom w:val="nil" w:sz="6" w:space="0" w:color="auto"/>
              <w:right w:val="nil" w:sz="6" w:space="0" w:color="auto"/>
            </w:tcBorders>
          </w:tcPr>
          <w:p>
            <w:pP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5"/>
              <w:ind w:left="87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27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2%</w:t>
            </w:r>
          </w:p>
        </w:tc>
      </w:tr>
    </w:tbl>
    <w:p>
      <w:pPr>
        <w:spacing w:line="240" w:lineRule="auto" w:before="11"/>
        <w:rPr>
          <w:rFonts w:ascii="宋体" w:hAnsi="宋体" w:cs="宋体" w:eastAsia="宋体" w:hint="default"/>
          <w:sz w:val="6"/>
          <w:szCs w:val="6"/>
        </w:rPr>
      </w:pPr>
    </w:p>
    <w:p>
      <w:pPr>
        <w:spacing w:before="44"/>
        <w:ind w:left="223" w:right="0"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r>
        <w:rPr>
          <w:rFonts w:ascii="宋体" w:hAnsi="宋体" w:cs="宋体" w:eastAsia="宋体" w:hint="default"/>
          <w:sz w:val="18"/>
          <w:szCs w:val="18"/>
        </w:rPr>
        <w:t>： 根据《财政部 国家税务总局</w:t>
      </w:r>
      <w:r>
        <w:rPr>
          <w:rFonts w:ascii="宋体" w:hAnsi="宋体" w:cs="宋体" w:eastAsia="宋体" w:hint="default"/>
          <w:spacing w:val="26"/>
          <w:sz w:val="18"/>
          <w:szCs w:val="18"/>
        </w:rPr>
        <w:t> </w:t>
      </w:r>
      <w:r>
        <w:rPr>
          <w:rFonts w:ascii="宋体" w:hAnsi="宋体" w:cs="宋体" w:eastAsia="宋体" w:hint="default"/>
          <w:sz w:val="18"/>
          <w:szCs w:val="18"/>
        </w:rPr>
        <w:t>海关总署关于鼓励软件产业和集成电路产业发展有关税收政策</w:t>
      </w:r>
    </w:p>
    <w:p>
      <w:pPr>
        <w:spacing w:after="0"/>
        <w:jc w:val="left"/>
        <w:rPr>
          <w:rFonts w:ascii="宋体" w:hAnsi="宋体" w:cs="宋体" w:eastAsia="宋体" w:hint="default"/>
          <w:sz w:val="18"/>
          <w:szCs w:val="18"/>
        </w:rPr>
        <w:sectPr>
          <w:pgSz w:w="11910" w:h="16840"/>
          <w:pgMar w:header="849" w:footer="976" w:top="1460" w:bottom="1160" w:left="1020" w:right="1020"/>
        </w:sectPr>
      </w:pPr>
    </w:p>
    <w:p>
      <w:pPr>
        <w:spacing w:line="240" w:lineRule="auto" w:before="0"/>
        <w:rPr>
          <w:rFonts w:ascii="宋体" w:hAnsi="宋体" w:cs="宋体" w:eastAsia="宋体" w:hint="default"/>
          <w:sz w:val="2"/>
          <w:szCs w:val="2"/>
        </w:rPr>
      </w:pPr>
    </w:p>
    <w:p>
      <w:pPr>
        <w:spacing w:line="247" w:lineRule="exact"/>
        <w:ind w:left="10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248" type="#_x0000_t202" filled="false" stroked="false">
                <v:textbox inset="0,0,0,0">
                  <w:txbxContent>
                    <w:p>
                      <w:pPr>
                        <w:spacing w:line="247" w:lineRule="exact" w:before="0"/>
                        <w:ind w:left="763" w:right="0" w:firstLine="0"/>
                        <w:jc w:val="left"/>
                        <w:rPr>
                          <w:rFonts w:ascii="宋体" w:hAnsi="宋体" w:cs="宋体" w:eastAsia="宋体" w:hint="default"/>
                          <w:sz w:val="18"/>
                          <w:szCs w:val="18"/>
                        </w:rPr>
                      </w:pPr>
                      <w:r>
                        <w:rPr>
                          <w:rFonts w:ascii="宋体" w:hAnsi="宋体" w:cs="宋体" w:eastAsia="宋体" w:hint="default"/>
                          <w:sz w:val="18"/>
                          <w:szCs w:val="18"/>
                        </w:rPr>
                        <w:t>问题的通</w:t>
                      </w:r>
                      <w:r>
                        <w:rPr>
                          <w:rFonts w:ascii="宋体" w:hAnsi="宋体" w:cs="宋体" w:eastAsia="宋体" w:hint="default"/>
                          <w:spacing w:val="2"/>
                          <w:sz w:val="18"/>
                          <w:szCs w:val="18"/>
                        </w:rPr>
                        <w:t>知</w:t>
                      </w:r>
                      <w:r>
                        <w:rPr>
                          <w:rFonts w:ascii="宋体" w:hAnsi="宋体" w:cs="宋体" w:eastAsia="宋体" w:hint="default"/>
                          <w:spacing w:val="-108"/>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年底以前</w:t>
                      </w:r>
                      <w:r>
                        <w:rPr>
                          <w:rFonts w:ascii="宋体" w:hAnsi="宋体" w:cs="宋体" w:eastAsia="宋体" w:hint="default"/>
                          <w:spacing w:val="-17"/>
                          <w:sz w:val="18"/>
                          <w:szCs w:val="18"/>
                        </w:rPr>
                        <w:t>，</w:t>
                      </w:r>
                      <w:r>
                        <w:rPr>
                          <w:rFonts w:ascii="宋体" w:hAnsi="宋体" w:cs="宋体" w:eastAsia="宋体" w:hint="default"/>
                          <w:sz w:val="18"/>
                          <w:szCs w:val="18"/>
                        </w:rPr>
                        <w:t>本公司软件产品收入按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z w:val="18"/>
                          <w:szCs w:val="18"/>
                        </w:rPr>
                        <w:t>的法定税率</w:t>
                      </w:r>
                    </w:p>
                  </w:txbxContent>
                </v:textbox>
                <w10:wrap type="none"/>
              </v:shape>
            </v:group>
          </v:group>
        </w:pict>
      </w:r>
      <w:r>
        <w:rPr>
          <w:rFonts w:ascii="宋体" w:hAnsi="宋体" w:cs="宋体" w:eastAsia="宋体" w:hint="default"/>
          <w:position w:val="-4"/>
          <w:sz w:val="20"/>
          <w:szCs w:val="20"/>
        </w:rPr>
      </w:r>
    </w:p>
    <w:p>
      <w:pPr>
        <w:spacing w:before="43"/>
        <w:ind w:left="868" w:right="0" w:firstLine="0"/>
        <w:jc w:val="both"/>
        <w:rPr>
          <w:rFonts w:ascii="宋体" w:hAnsi="宋体" w:cs="宋体" w:eastAsia="宋体" w:hint="default"/>
          <w:sz w:val="18"/>
          <w:szCs w:val="18"/>
        </w:rPr>
      </w:pPr>
      <w:r>
        <w:rPr>
          <w:rFonts w:ascii="宋体" w:hAnsi="宋体" w:cs="宋体" w:eastAsia="宋体" w:hint="default"/>
          <w:sz w:val="18"/>
          <w:szCs w:val="18"/>
        </w:rPr>
        <w:t>征收增值税后，对增值税实际税负超过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的部分即征即退。</w:t>
      </w:r>
    </w:p>
    <w:p>
      <w:pPr>
        <w:spacing w:line="283" w:lineRule="auto" w:before="41"/>
        <w:ind w:left="868" w:right="1799" w:firstLine="0"/>
        <w:jc w:val="both"/>
        <w:rPr>
          <w:rFonts w:ascii="宋体" w:hAnsi="宋体" w:cs="宋体" w:eastAsia="宋体" w:hint="default"/>
          <w:sz w:val="18"/>
          <w:szCs w:val="18"/>
        </w:rPr>
      </w:pPr>
      <w:r>
        <w:rPr>
          <w:rFonts w:ascii="宋体" w:hAnsi="宋体" w:cs="宋体" w:eastAsia="宋体" w:hint="default"/>
          <w:sz w:val="18"/>
          <w:szCs w:val="18"/>
        </w:rPr>
        <w:t>根据《财政部 </w:t>
      </w:r>
      <w:r>
        <w:rPr>
          <w:rFonts w:ascii="宋体" w:hAnsi="宋体" w:cs="宋体" w:eastAsia="宋体" w:hint="default"/>
          <w:spacing w:val="-3"/>
          <w:sz w:val="18"/>
          <w:szCs w:val="18"/>
        </w:rPr>
        <w:t>国家税务总局关于软件产品增值税政策的通知》（财税</w:t>
      </w:r>
      <w:r>
        <w:rPr>
          <w:rFonts w:ascii="Times New Roman" w:hAnsi="Times New Roman" w:cs="Times New Roman" w:eastAsia="Times New Roman" w:hint="default"/>
          <w:spacing w:val="-3"/>
          <w:sz w:val="18"/>
          <w:szCs w:val="18"/>
        </w:rPr>
        <w:t>[2011]100</w:t>
      </w:r>
      <w:r>
        <w:rPr>
          <w:rFonts w:ascii="Times New Roman" w:hAnsi="Times New Roman" w:cs="Times New Roman" w:eastAsia="Times New Roman" w:hint="default"/>
          <w:sz w:val="18"/>
          <w:szCs w:val="18"/>
        </w:rPr>
        <w:t> </w:t>
      </w:r>
      <w:r>
        <w:rPr>
          <w:rFonts w:ascii="宋体" w:hAnsi="宋体" w:cs="宋体" w:eastAsia="宋体" w:hint="default"/>
          <w:spacing w:val="-23"/>
          <w:sz w:val="18"/>
          <w:szCs w:val="18"/>
        </w:rPr>
        <w:t>号），自</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日起增值税一般纳税人销售其自行开发生产的软件产品，按</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税率征收增值税后，</w:t>
      </w:r>
      <w:r>
        <w:rPr>
          <w:rFonts w:ascii="宋体" w:hAnsi="宋体" w:cs="宋体" w:eastAsia="宋体" w:hint="default"/>
          <w:w w:val="50"/>
          <w:sz w:val="18"/>
          <w:szCs w:val="18"/>
        </w:rPr>
        <w:t> </w:t>
      </w:r>
      <w:r>
        <w:rPr>
          <w:rFonts w:ascii="宋体" w:hAnsi="宋体" w:cs="宋体" w:eastAsia="宋体" w:hint="default"/>
          <w:sz w:val="18"/>
          <w:szCs w:val="18"/>
        </w:rPr>
        <w:t>对其增值税实际税负超过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w:t>
      </w:r>
    </w:p>
    <w:p>
      <w:pPr>
        <w:spacing w:line="280" w:lineRule="auto" w:before="5"/>
        <w:ind w:left="868" w:right="1796" w:hanging="646"/>
        <w:jc w:val="both"/>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8"/>
          <w:sz w:val="18"/>
          <w:szCs w:val="18"/>
        </w:rPr>
        <w:t>根据《财政部</w:t>
      </w:r>
      <w:r>
        <w:rPr>
          <w:rFonts w:ascii="宋体" w:hAnsi="宋体" w:cs="宋体" w:eastAsia="宋体" w:hint="default"/>
          <w:spacing w:val="-63"/>
          <w:sz w:val="18"/>
          <w:szCs w:val="18"/>
        </w:rPr>
        <w:t> </w:t>
      </w:r>
      <w:r>
        <w:rPr>
          <w:rFonts w:ascii="宋体" w:hAnsi="宋体" w:cs="宋体" w:eastAsia="宋体" w:hint="default"/>
          <w:spacing w:val="-3"/>
          <w:sz w:val="18"/>
          <w:szCs w:val="18"/>
        </w:rPr>
        <w:t>国家税务总局关于贯彻落实〈中共中央国务院关于加强技术创新，发展高科技，</w:t>
      </w:r>
      <w:r>
        <w:rPr>
          <w:rFonts w:ascii="宋体" w:hAnsi="宋体" w:cs="宋体" w:eastAsia="宋体" w:hint="default"/>
          <w:w w:val="50"/>
          <w:sz w:val="18"/>
          <w:szCs w:val="18"/>
        </w:rPr>
        <w:t> </w:t>
      </w:r>
      <w:r>
        <w:rPr>
          <w:rFonts w:ascii="宋体" w:hAnsi="宋体" w:cs="宋体" w:eastAsia="宋体" w:hint="default"/>
          <w:spacing w:val="-4"/>
          <w:sz w:val="18"/>
          <w:szCs w:val="18"/>
        </w:rPr>
        <w:t>实现产业化的决定〉有关税收问题的通知》（财税字</w:t>
      </w:r>
      <w:r>
        <w:rPr>
          <w:rFonts w:ascii="Times New Roman" w:hAnsi="Times New Roman" w:cs="Times New Roman" w:eastAsia="Times New Roman" w:hint="default"/>
          <w:spacing w:val="-4"/>
          <w:sz w:val="18"/>
          <w:szCs w:val="18"/>
        </w:rPr>
        <w:t>[1999]273</w:t>
      </w:r>
      <w:r>
        <w:rPr>
          <w:rFonts w:ascii="Times New Roman" w:hAnsi="Times New Roman" w:cs="Times New Roman" w:eastAsia="Times New Roman" w:hint="default"/>
          <w:spacing w:val="12"/>
          <w:sz w:val="18"/>
          <w:szCs w:val="18"/>
        </w:rPr>
        <w:t> </w:t>
      </w:r>
      <w:r>
        <w:rPr>
          <w:rFonts w:ascii="宋体" w:hAnsi="宋体" w:cs="宋体" w:eastAsia="宋体" w:hint="default"/>
          <w:spacing w:val="-8"/>
          <w:sz w:val="18"/>
          <w:szCs w:val="18"/>
        </w:rPr>
        <w:t>号），本公司符合条件的技术开</w:t>
      </w:r>
      <w:r>
        <w:rPr>
          <w:rFonts w:ascii="宋体" w:hAnsi="宋体" w:cs="宋体" w:eastAsia="宋体" w:hint="default"/>
          <w:sz w:val="18"/>
          <w:szCs w:val="18"/>
        </w:rPr>
        <w:t> 发转让收入免征营业税。</w:t>
      </w:r>
    </w:p>
    <w:p>
      <w:pPr>
        <w:spacing w:line="285" w:lineRule="auto" w:before="26"/>
        <w:ind w:left="868" w:right="1787" w:hanging="646"/>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32"/>
          <w:sz w:val="18"/>
          <w:szCs w:val="18"/>
        </w:rPr>
        <w:t> </w:t>
      </w:r>
      <w:r>
        <w:rPr>
          <w:rFonts w:ascii="宋体" w:hAnsi="宋体" w:cs="宋体" w:eastAsia="宋体" w:hint="default"/>
          <w:sz w:val="18"/>
          <w:szCs w:val="18"/>
        </w:rPr>
        <w:t>本公司于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年被上海市科学技术委员会、上海市财政局、上海市国家税务局、上海市地方 </w:t>
      </w:r>
      <w:r>
        <w:rPr>
          <w:rFonts w:ascii="宋体" w:hAnsi="宋体" w:cs="宋体" w:eastAsia="宋体" w:hint="default"/>
          <w:spacing w:val="-3"/>
          <w:sz w:val="18"/>
          <w:szCs w:val="18"/>
        </w:rPr>
        <w:t>税务局联合认定为高新技术企业（证书编号：</w:t>
      </w:r>
      <w:r>
        <w:rPr>
          <w:rFonts w:ascii="Times New Roman" w:hAnsi="Times New Roman" w:cs="Times New Roman" w:eastAsia="Times New Roman" w:hint="default"/>
          <w:spacing w:val="-3"/>
          <w:sz w:val="18"/>
          <w:szCs w:val="18"/>
        </w:rPr>
        <w:t>GR20093100077</w:t>
      </w:r>
      <w:r>
        <w:rPr>
          <w:rFonts w:ascii="宋体" w:hAnsi="宋体" w:cs="宋体" w:eastAsia="宋体" w:hint="default"/>
          <w:spacing w:val="-3"/>
          <w:sz w:val="18"/>
          <w:szCs w:val="18"/>
        </w:rPr>
        <w:t>，有效期三年），根据国家对高</w:t>
      </w:r>
      <w:r>
        <w:rPr>
          <w:rFonts w:ascii="宋体" w:hAnsi="宋体" w:cs="宋体" w:eastAsia="宋体" w:hint="default"/>
          <w:w w:val="100"/>
          <w:sz w:val="18"/>
          <w:szCs w:val="18"/>
        </w:rPr>
        <w:t> </w:t>
      </w:r>
      <w:r>
        <w:rPr>
          <w:rFonts w:ascii="宋体" w:hAnsi="宋体" w:cs="宋体" w:eastAsia="宋体" w:hint="default"/>
          <w:sz w:val="18"/>
          <w:szCs w:val="18"/>
        </w:rPr>
        <w:t>新技术企业的相关税收政策，本公司自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r>
        <w:rPr>
          <w:rFonts w:ascii="宋体" w:hAnsi="宋体" w:cs="宋体" w:eastAsia="宋体" w:hint="default"/>
          <w:w w:val="100"/>
          <w:sz w:val="18"/>
          <w:szCs w:val="18"/>
        </w:rPr>
        <w:t> </w:t>
      </w:r>
      <w:r>
        <w:rPr>
          <w:rFonts w:ascii="宋体" w:hAnsi="宋体" w:cs="宋体" w:eastAsia="宋体" w:hint="default"/>
          <w:spacing w:val="-3"/>
          <w:w w:val="100"/>
          <w:sz w:val="18"/>
          <w:szCs w:val="18"/>
        </w:rPr>
        <w:t>根据《财政部、国家税务总局关于企业所得税若干优惠政策的通知》（财税</w:t>
      </w:r>
      <w:r>
        <w:rPr>
          <w:rFonts w:ascii="Times New Roman" w:hAnsi="Times New Roman" w:cs="Times New Roman" w:eastAsia="Times New Roman" w:hint="default"/>
          <w:spacing w:val="-3"/>
          <w:w w:val="100"/>
          <w:sz w:val="18"/>
          <w:szCs w:val="18"/>
        </w:rPr>
        <w:t>[2008]1</w:t>
      </w:r>
      <w:r>
        <w:rPr>
          <w:rFonts w:ascii="Times New Roman" w:hAnsi="Times New Roman" w:cs="Times New Roman" w:eastAsia="Times New Roman" w:hint="default"/>
          <w:spacing w:val="1"/>
          <w:w w:val="100"/>
          <w:sz w:val="18"/>
          <w:szCs w:val="18"/>
        </w:rPr>
        <w:t> </w:t>
      </w:r>
      <w:r>
        <w:rPr>
          <w:rFonts w:ascii="宋体" w:hAnsi="宋体" w:cs="宋体" w:eastAsia="宋体" w:hint="default"/>
          <w:spacing w:val="-21"/>
          <w:w w:val="100"/>
          <w:sz w:val="18"/>
          <w:szCs w:val="18"/>
        </w:rPr>
        <w:t>号），软件</w:t>
      </w:r>
      <w:r>
        <w:rPr>
          <w:rFonts w:ascii="宋体" w:hAnsi="宋体" w:cs="宋体" w:eastAsia="宋体" w:hint="default"/>
          <w:w w:val="100"/>
          <w:sz w:val="18"/>
          <w:szCs w:val="18"/>
        </w:rPr>
        <w:t> </w:t>
      </w:r>
      <w:r>
        <w:rPr>
          <w:rFonts w:ascii="宋体" w:hAnsi="宋体" w:cs="宋体" w:eastAsia="宋体" w:hint="default"/>
          <w:sz w:val="18"/>
          <w:szCs w:val="18"/>
        </w:rPr>
        <w:t>生产企业实行增值税即征即退政策所退还的税款，由企业用于研究开发软件产品和扩大再生</w:t>
      </w:r>
      <w:r>
        <w:rPr>
          <w:rFonts w:ascii="宋体" w:hAnsi="宋体" w:cs="宋体" w:eastAsia="宋体" w:hint="default"/>
          <w:w w:val="100"/>
          <w:sz w:val="18"/>
          <w:szCs w:val="18"/>
        </w:rPr>
        <w:t> </w:t>
      </w:r>
      <w:r>
        <w:rPr>
          <w:rFonts w:ascii="宋体" w:hAnsi="宋体" w:cs="宋体" w:eastAsia="宋体" w:hint="default"/>
          <w:sz w:val="18"/>
          <w:szCs w:val="18"/>
        </w:rPr>
        <w:t>产，不作为企业所得税应税收入，不予征收企业所得税。</w:t>
      </w:r>
      <w:r>
        <w:rPr>
          <w:rFonts w:ascii="宋体" w:hAnsi="宋体" w:cs="宋体" w:eastAsia="宋体" w:hint="default"/>
          <w:w w:val="100"/>
          <w:sz w:val="18"/>
          <w:szCs w:val="18"/>
        </w:rPr>
        <w:t> </w:t>
      </w:r>
      <w:r>
        <w:rPr>
          <w:rFonts w:ascii="宋体" w:hAnsi="宋体" w:cs="宋体" w:eastAsia="宋体" w:hint="default"/>
          <w:sz w:val="18"/>
          <w:szCs w:val="18"/>
        </w:rPr>
        <w:t>子公司上海金仕达卫宁信息技术有限公司、江苏金仕达卫宁软件有限公司所得税率为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340" w:lineRule="auto"/>
        <w:ind w:left="535" w:right="6621"/>
        <w:jc w:val="left"/>
      </w:pPr>
      <w:r>
        <w:rPr/>
        <w:t>七、企业合并及合并财务报表</w:t>
      </w:r>
      <w:r>
        <w:rPr>
          <w:w w:val="99"/>
        </w:rPr>
        <w:t> </w:t>
      </w:r>
      <w:r>
        <w:rPr/>
        <w:t>控股子公司情况表</w:t>
      </w:r>
    </w:p>
    <w:p>
      <w:pPr>
        <w:spacing w:after="0" w:line="340" w:lineRule="auto"/>
        <w:jc w:val="left"/>
        <w:sectPr>
          <w:pgSz w:w="11910" w:h="16840"/>
          <w:pgMar w:header="849" w:footer="976" w:top="1460" w:bottom="1160" w:left="1020" w:right="980"/>
        </w:sectPr>
      </w:pPr>
    </w:p>
    <w:p>
      <w:pPr>
        <w:tabs>
          <w:tab w:pos="2507" w:val="left" w:leader="none"/>
          <w:tab w:pos="3369" w:val="left" w:leader="none"/>
        </w:tabs>
        <w:spacing w:line="243" w:lineRule="exact" w:before="125"/>
        <w:ind w:left="816" w:right="0" w:firstLine="0"/>
        <w:jc w:val="left"/>
        <w:rPr>
          <w:rFonts w:ascii="宋体" w:hAnsi="宋体" w:cs="宋体" w:eastAsia="宋体" w:hint="default"/>
          <w:sz w:val="15"/>
          <w:szCs w:val="15"/>
        </w:rPr>
      </w:pPr>
      <w:r>
        <w:rPr>
          <w:rFonts w:ascii="宋体" w:hAnsi="宋体" w:cs="宋体" w:eastAsia="宋体" w:hint="default"/>
          <w:w w:val="95"/>
          <w:sz w:val="15"/>
          <w:szCs w:val="15"/>
        </w:rPr>
        <w:t>子公司名称</w:t>
        <w:tab/>
      </w:r>
      <w:r>
        <w:rPr>
          <w:rFonts w:ascii="宋体" w:hAnsi="宋体" w:cs="宋体" w:eastAsia="宋体" w:hint="default"/>
          <w:w w:val="80"/>
          <w:sz w:val="15"/>
          <w:szCs w:val="15"/>
        </w:rPr>
        <w:t>注册地</w:t>
        <w:tab/>
      </w:r>
      <w:r>
        <w:rPr>
          <w:rFonts w:ascii="宋体" w:hAnsi="宋体" w:cs="宋体" w:eastAsia="宋体" w:hint="default"/>
          <w:w w:val="95"/>
          <w:position w:val="10"/>
          <w:sz w:val="15"/>
          <w:szCs w:val="15"/>
        </w:rPr>
        <w:t>注册资本</w:t>
      </w:r>
      <w:r>
        <w:rPr>
          <w:rFonts w:ascii="宋体" w:hAnsi="宋体" w:cs="宋体" w:eastAsia="宋体" w:hint="default"/>
          <w:sz w:val="15"/>
          <w:szCs w:val="15"/>
        </w:rPr>
      </w:r>
    </w:p>
    <w:p>
      <w:pPr>
        <w:spacing w:line="137" w:lineRule="exact" w:before="50"/>
        <w:ind w:left="3763"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持股比例</w:t>
      </w:r>
    </w:p>
    <w:p>
      <w:pPr>
        <w:tabs>
          <w:tab w:pos="2450" w:val="left" w:leader="none"/>
          <w:tab w:pos="3155" w:val="left" w:leader="none"/>
          <w:tab w:pos="5004" w:val="left" w:leader="none"/>
        </w:tabs>
        <w:spacing w:line="182" w:lineRule="exact" w:before="0"/>
        <w:ind w:left="816" w:right="0" w:firstLine="0"/>
        <w:jc w:val="left"/>
        <w:rPr>
          <w:rFonts w:ascii="宋体" w:hAnsi="宋体" w:cs="宋体" w:eastAsia="宋体" w:hint="default"/>
          <w:sz w:val="15"/>
          <w:szCs w:val="15"/>
        </w:rPr>
      </w:pPr>
      <w:r>
        <w:rPr>
          <w:rFonts w:ascii="宋体" w:hAnsi="宋体" w:cs="宋体" w:eastAsia="宋体" w:hint="default"/>
          <w:w w:val="95"/>
          <w:position w:val="-9"/>
          <w:sz w:val="15"/>
          <w:szCs w:val="15"/>
        </w:rPr>
        <w:t>经营范围</w:t>
        <w:tab/>
      </w:r>
      <w:r>
        <w:rPr>
          <w:rFonts w:ascii="宋体" w:hAnsi="宋体" w:cs="宋体" w:eastAsia="宋体" w:hint="default"/>
          <w:w w:val="95"/>
          <w:sz w:val="15"/>
          <w:szCs w:val="15"/>
        </w:rPr>
        <w:t>投资额</w:t>
        <w:tab/>
      </w:r>
      <w:r>
        <w:rPr>
          <w:rFonts w:ascii="Times New Roman" w:hAnsi="Times New Roman" w:cs="Times New Roman" w:eastAsia="Times New Roman" w:hint="default"/>
          <w:w w:val="95"/>
          <w:sz w:val="15"/>
          <w:szCs w:val="15"/>
        </w:rPr>
      </w:r>
      <w:r>
        <w:rPr>
          <w:rFonts w:ascii="Times New Roman" w:hAnsi="Times New Roman" w:cs="Times New Roman" w:eastAsia="Times New Roman" w:hint="default"/>
          <w:w w:val="95"/>
          <w:sz w:val="15"/>
          <w:szCs w:val="15"/>
          <w:u w:val="single" w:color="000000"/>
        </w:rPr>
        <w:t> </w:t>
        <w:tab/>
      </w:r>
      <w:r>
        <w:rPr>
          <w:rFonts w:ascii="Times New Roman" w:hAnsi="Times New Roman" w:cs="Times New Roman" w:eastAsia="Times New Roman" w:hint="default"/>
          <w:w w:val="95"/>
          <w:sz w:val="15"/>
          <w:szCs w:val="15"/>
        </w:rPr>
      </w:r>
      <w:r>
        <w:rPr>
          <w:rFonts w:ascii="宋体" w:hAnsi="宋体" w:cs="宋体" w:eastAsia="宋体" w:hint="default"/>
          <w:sz w:val="15"/>
          <w:szCs w:val="15"/>
        </w:rPr>
        <w:t>是否合</w:t>
      </w:r>
    </w:p>
    <w:p>
      <w:pPr>
        <w:spacing w:after="0" w:line="182" w:lineRule="exact"/>
        <w:jc w:val="left"/>
        <w:rPr>
          <w:rFonts w:ascii="宋体" w:hAnsi="宋体" w:cs="宋体" w:eastAsia="宋体" w:hint="default"/>
          <w:sz w:val="15"/>
          <w:szCs w:val="15"/>
        </w:rPr>
        <w:sectPr>
          <w:type w:val="continuous"/>
          <w:pgSz w:w="11910" w:h="16840"/>
          <w:pgMar w:top="1580" w:bottom="280" w:left="1020" w:right="980"/>
          <w:cols w:num="2" w:equalWidth="0">
            <w:col w:w="3968" w:space="204"/>
            <w:col w:w="5738"/>
          </w:cols>
        </w:sectPr>
      </w:pPr>
    </w:p>
    <w:p>
      <w:pPr>
        <w:spacing w:line="240" w:lineRule="auto" w:before="0"/>
        <w:rPr>
          <w:rFonts w:ascii="宋体" w:hAnsi="宋体" w:cs="宋体" w:eastAsia="宋体" w:hint="default"/>
          <w:sz w:val="14"/>
          <w:szCs w:val="14"/>
        </w:rPr>
      </w:pPr>
    </w:p>
    <w:p>
      <w:pPr>
        <w:spacing w:line="146" w:lineRule="exact" w:before="124"/>
        <w:ind w:left="223" w:right="0" w:firstLine="0"/>
        <w:jc w:val="left"/>
        <w:rPr>
          <w:rFonts w:ascii="宋体" w:hAnsi="宋体" w:cs="宋体" w:eastAsia="宋体" w:hint="default"/>
          <w:sz w:val="15"/>
          <w:szCs w:val="15"/>
        </w:rPr>
      </w:pPr>
      <w:r>
        <w:rPr/>
        <w:pict>
          <v:group style="position:absolute;margin-left:56.639999pt;margin-top:7.159766pt;width:483.75pt;height:.1pt;mso-position-horizontal-relative:page;mso-position-vertical-relative:paragraph;z-index:-630496" coordorigin="1133,143" coordsize="9675,2">
            <v:shape style="position:absolute;left:1133;top:143;width:9675;height:2" coordorigin="1133,143" coordsize="9675,0" path="m1133,143l10807,143e" filled="false" stroked="true" strokeweight=".48pt" strokecolor="#000000">
              <v:path arrowok="t"/>
            </v:shape>
            <w10:wrap type="none"/>
          </v:group>
        </w:pict>
      </w:r>
      <w:r>
        <w:rPr>
          <w:rFonts w:ascii="宋体" w:hAnsi="宋体" w:cs="宋体" w:eastAsia="宋体" w:hint="default"/>
          <w:spacing w:val="12"/>
          <w:w w:val="95"/>
          <w:sz w:val="15"/>
          <w:szCs w:val="15"/>
        </w:rPr>
        <w:t>上海金仕达卫宁信息技术有</w:t>
      </w:r>
      <w:r>
        <w:rPr>
          <w:rFonts w:ascii="宋体" w:hAnsi="宋体" w:cs="宋体" w:eastAsia="宋体" w:hint="default"/>
          <w:spacing w:val="12"/>
          <w:sz w:val="15"/>
          <w:szCs w:val="15"/>
        </w:rPr>
      </w:r>
    </w:p>
    <w:p>
      <w:pPr>
        <w:spacing w:line="149" w:lineRule="exact" w:before="0"/>
        <w:ind w:left="223" w:right="0" w:firstLine="0"/>
        <w:jc w:val="left"/>
        <w:rPr>
          <w:rFonts w:ascii="宋体" w:hAnsi="宋体" w:cs="宋体" w:eastAsia="宋体" w:hint="default"/>
          <w:sz w:val="15"/>
          <w:szCs w:val="15"/>
        </w:rPr>
      </w:pPr>
      <w:r>
        <w:rPr>
          <w:w w:val="95"/>
        </w:rPr>
        <w:br w:type="column"/>
      </w:r>
      <w:r>
        <w:rPr>
          <w:rFonts w:ascii="宋体" w:hAnsi="宋体" w:cs="宋体" w:eastAsia="宋体" w:hint="default"/>
          <w:w w:val="95"/>
          <w:sz w:val="15"/>
          <w:szCs w:val="15"/>
        </w:rPr>
        <w:t>（万元）</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146" w:lineRule="exact" w:before="124"/>
        <w:ind w:left="223" w:right="0" w:firstLine="0"/>
        <w:jc w:val="left"/>
        <w:rPr>
          <w:rFonts w:ascii="宋体" w:hAnsi="宋体" w:cs="宋体" w:eastAsia="宋体" w:hint="default"/>
          <w:sz w:val="15"/>
          <w:szCs w:val="15"/>
        </w:rPr>
      </w:pPr>
      <w:r>
        <w:rPr>
          <w:rFonts w:ascii="宋体" w:hAnsi="宋体" w:cs="宋体" w:eastAsia="宋体" w:hint="default"/>
          <w:w w:val="85"/>
          <w:sz w:val="15"/>
          <w:szCs w:val="15"/>
        </w:rPr>
        <w:t>计算机软硬件技术专业领域内的</w:t>
      </w:r>
      <w:r>
        <w:rPr>
          <w:rFonts w:ascii="宋体" w:hAnsi="宋体" w:cs="宋体" w:eastAsia="宋体" w:hint="default"/>
          <w:sz w:val="15"/>
          <w:szCs w:val="15"/>
        </w:rPr>
      </w:r>
    </w:p>
    <w:p>
      <w:pPr>
        <w:spacing w:line="149" w:lineRule="exact" w:before="0"/>
        <w:ind w:left="223" w:right="0" w:firstLine="0"/>
        <w:jc w:val="left"/>
        <w:rPr>
          <w:rFonts w:ascii="宋体" w:hAnsi="宋体" w:cs="宋体" w:eastAsia="宋体" w:hint="default"/>
          <w:sz w:val="15"/>
          <w:szCs w:val="15"/>
        </w:rPr>
      </w:pPr>
      <w:r>
        <w:rPr>
          <w:w w:val="95"/>
        </w:rPr>
        <w:br w:type="column"/>
      </w:r>
      <w:r>
        <w:rPr>
          <w:rFonts w:ascii="宋体" w:hAnsi="宋体" w:cs="宋体" w:eastAsia="宋体" w:hint="default"/>
          <w:w w:val="95"/>
          <w:sz w:val="15"/>
          <w:szCs w:val="15"/>
        </w:rPr>
        <w:t>（万元）</w:t>
      </w:r>
      <w:r>
        <w:rPr>
          <w:rFonts w:ascii="宋体" w:hAnsi="宋体" w:cs="宋体" w:eastAsia="宋体" w:hint="default"/>
          <w:sz w:val="15"/>
          <w:szCs w:val="15"/>
        </w:rPr>
      </w:r>
    </w:p>
    <w:p>
      <w:pPr>
        <w:tabs>
          <w:tab w:pos="1127" w:val="left" w:leader="none"/>
          <w:tab w:pos="1989" w:val="left" w:leader="none"/>
        </w:tabs>
        <w:spacing w:line="226" w:lineRule="exact" w:before="0"/>
        <w:ind w:left="223" w:right="0" w:firstLine="0"/>
        <w:jc w:val="left"/>
        <w:rPr>
          <w:rFonts w:ascii="宋体" w:hAnsi="宋体" w:cs="宋体" w:eastAsia="宋体" w:hint="default"/>
          <w:sz w:val="15"/>
          <w:szCs w:val="15"/>
        </w:rPr>
      </w:pPr>
      <w:r>
        <w:rPr>
          <w:w w:val="95"/>
        </w:rPr>
        <w:br w:type="column"/>
      </w:r>
      <w:r>
        <w:rPr>
          <w:rFonts w:ascii="宋体" w:hAnsi="宋体" w:cs="宋体" w:eastAsia="宋体" w:hint="default"/>
          <w:w w:val="95"/>
          <w:sz w:val="15"/>
          <w:szCs w:val="15"/>
        </w:rPr>
        <w:t>直接</w:t>
        <w:tab/>
        <w:t>间接</w:t>
        <w:tab/>
      </w:r>
      <w:r>
        <w:rPr>
          <w:rFonts w:ascii="宋体" w:hAnsi="宋体" w:cs="宋体" w:eastAsia="宋体" w:hint="default"/>
          <w:position w:val="8"/>
          <w:sz w:val="15"/>
          <w:szCs w:val="15"/>
        </w:rPr>
        <w:t>并</w:t>
      </w:r>
      <w:r>
        <w:rPr>
          <w:rFonts w:ascii="宋体" w:hAnsi="宋体" w:cs="宋体" w:eastAsia="宋体" w:hint="default"/>
          <w:sz w:val="15"/>
          <w:szCs w:val="15"/>
        </w:rPr>
      </w:r>
    </w:p>
    <w:p>
      <w:pPr>
        <w:spacing w:after="0" w:line="226" w:lineRule="exact"/>
        <w:jc w:val="left"/>
        <w:rPr>
          <w:rFonts w:ascii="宋体" w:hAnsi="宋体" w:cs="宋体" w:eastAsia="宋体" w:hint="default"/>
          <w:sz w:val="15"/>
          <w:szCs w:val="15"/>
        </w:rPr>
        <w:sectPr>
          <w:type w:val="continuous"/>
          <w:pgSz w:w="11910" w:h="16840"/>
          <w:pgMar w:top="1580" w:bottom="280" w:left="1020" w:right="980"/>
          <w:cols w:num="5" w:equalWidth="0">
            <w:col w:w="2156" w:space="991"/>
            <w:col w:w="821" w:space="124"/>
            <w:col w:w="2099" w:space="133"/>
            <w:col w:w="821" w:space="264"/>
            <w:col w:w="2501"/>
          </w:cols>
        </w:sectPr>
      </w:pPr>
    </w:p>
    <w:p>
      <w:pPr>
        <w:tabs>
          <w:tab w:pos="2548" w:val="left" w:leader="none"/>
          <w:tab w:pos="3688" w:val="left" w:leader="none"/>
        </w:tabs>
        <w:spacing w:line="249" w:lineRule="exact" w:before="0"/>
        <w:ind w:left="223" w:right="-1" w:firstLine="0"/>
        <w:jc w:val="left"/>
        <w:rPr>
          <w:rFonts w:ascii="Times New Roman" w:hAnsi="Times New Roman" w:cs="Times New Roman" w:eastAsia="Times New Roman" w:hint="default"/>
          <w:sz w:val="15"/>
          <w:szCs w:val="15"/>
        </w:rPr>
      </w:pPr>
      <w:r>
        <w:rPr>
          <w:rFonts w:ascii="宋体" w:hAnsi="宋体" w:cs="宋体" w:eastAsia="宋体" w:hint="default"/>
          <w:w w:val="95"/>
          <w:position w:val="-9"/>
          <w:sz w:val="15"/>
          <w:szCs w:val="15"/>
        </w:rPr>
        <w:t>限公司</w:t>
        <w:tab/>
      </w:r>
      <w:r>
        <w:rPr>
          <w:rFonts w:ascii="宋体" w:hAnsi="宋体" w:cs="宋体" w:eastAsia="宋体" w:hint="default"/>
          <w:w w:val="95"/>
          <w:sz w:val="15"/>
          <w:szCs w:val="15"/>
        </w:rPr>
        <w:t>上海</w:t>
      </w:r>
      <w:r>
        <w:rPr>
          <w:rFonts w:ascii="Times New Roman" w:hAnsi="Times New Roman" w:cs="Times New Roman" w:eastAsia="Times New Roman" w:hint="default"/>
          <w:w w:val="95"/>
          <w:sz w:val="15"/>
          <w:szCs w:val="15"/>
        </w:rPr>
        <w:tab/>
      </w:r>
      <w:r>
        <w:rPr>
          <w:rFonts w:ascii="Times New Roman" w:hAnsi="Times New Roman" w:cs="Times New Roman" w:eastAsia="Times New Roman" w:hint="default"/>
          <w:w w:val="95"/>
          <w:sz w:val="15"/>
          <w:szCs w:val="15"/>
        </w:rPr>
        <w:t>100.00</w:t>
      </w:r>
      <w:r>
        <w:rPr>
          <w:rFonts w:ascii="Times New Roman" w:hAnsi="Times New Roman" w:cs="Times New Roman" w:eastAsia="Times New Roman" w:hint="default"/>
          <w:sz w:val="15"/>
          <w:szCs w:val="15"/>
        </w:rPr>
      </w:r>
    </w:p>
    <w:p>
      <w:pPr>
        <w:spacing w:line="146" w:lineRule="exact" w:before="188"/>
        <w:ind w:left="223" w:right="-1" w:firstLine="0"/>
        <w:jc w:val="left"/>
        <w:rPr>
          <w:rFonts w:ascii="宋体" w:hAnsi="宋体" w:cs="宋体" w:eastAsia="宋体" w:hint="default"/>
          <w:sz w:val="15"/>
          <w:szCs w:val="15"/>
        </w:rPr>
      </w:pPr>
      <w:r>
        <w:rPr>
          <w:rFonts w:ascii="宋体" w:hAnsi="宋体" w:cs="宋体" w:eastAsia="宋体" w:hint="default"/>
          <w:spacing w:val="12"/>
          <w:sz w:val="15"/>
          <w:szCs w:val="15"/>
        </w:rPr>
        <w:t>江苏金仕达卫宁软件有限公</w:t>
      </w:r>
    </w:p>
    <w:p>
      <w:pPr>
        <w:tabs>
          <w:tab w:pos="2669" w:val="left" w:leader="none"/>
          <w:tab w:pos="3449" w:val="left" w:leader="none"/>
          <w:tab w:pos="5249" w:val="left" w:leader="none"/>
        </w:tabs>
        <w:spacing w:line="250" w:lineRule="exact" w:before="0"/>
        <w:ind w:left="175" w:right="0" w:firstLine="0"/>
        <w:jc w:val="left"/>
        <w:rPr>
          <w:rFonts w:ascii="宋体" w:hAnsi="宋体" w:cs="宋体" w:eastAsia="宋体" w:hint="default"/>
          <w:sz w:val="15"/>
          <w:szCs w:val="15"/>
        </w:rPr>
      </w:pPr>
      <w:r>
        <w:rPr>
          <w:spacing w:val="-1"/>
          <w:w w:val="85"/>
        </w:rPr>
        <w:br w:type="column"/>
      </w:r>
      <w:r>
        <w:rPr>
          <w:rFonts w:ascii="Times New Roman" w:hAnsi="Times New Roman" w:cs="Times New Roman" w:eastAsia="Times New Roman" w:hint="default"/>
          <w:spacing w:val="-1"/>
          <w:w w:val="85"/>
          <w:sz w:val="15"/>
          <w:szCs w:val="15"/>
        </w:rPr>
        <w:t>“</w:t>
      </w:r>
      <w:r>
        <w:rPr>
          <w:rFonts w:ascii="宋体" w:hAnsi="宋体" w:cs="宋体" w:eastAsia="宋体" w:hint="default"/>
          <w:spacing w:val="-1"/>
          <w:w w:val="85"/>
          <w:sz w:val="15"/>
          <w:szCs w:val="15"/>
        </w:rPr>
        <w:t>四技</w:t>
      </w:r>
      <w:r>
        <w:rPr>
          <w:rFonts w:ascii="Times New Roman" w:hAnsi="Times New Roman" w:cs="Times New Roman" w:eastAsia="Times New Roman" w:hint="default"/>
          <w:spacing w:val="-1"/>
          <w:w w:val="85"/>
          <w:sz w:val="15"/>
          <w:szCs w:val="15"/>
        </w:rPr>
        <w:t>”</w:t>
      </w:r>
      <w:r>
        <w:rPr>
          <w:rFonts w:ascii="宋体" w:hAnsi="宋体" w:cs="宋体" w:eastAsia="宋体" w:hint="default"/>
          <w:spacing w:val="-1"/>
          <w:w w:val="85"/>
          <w:sz w:val="15"/>
          <w:szCs w:val="15"/>
        </w:rPr>
        <w:t>服务，销售计算机及配件</w:t>
        <w:tab/>
      </w:r>
      <w:r>
        <w:rPr>
          <w:rFonts w:ascii="Times New Roman" w:hAnsi="Times New Roman" w:cs="Times New Roman" w:eastAsia="Times New Roman" w:hint="default"/>
          <w:w w:val="95"/>
          <w:position w:val="10"/>
          <w:sz w:val="15"/>
          <w:szCs w:val="15"/>
        </w:rPr>
        <w:t>100.00</w:t>
        <w:tab/>
        <w:t>100.00%</w:t>
        <w:tab/>
      </w:r>
      <w:r>
        <w:rPr>
          <w:rFonts w:ascii="宋体" w:hAnsi="宋体" w:cs="宋体" w:eastAsia="宋体" w:hint="default"/>
          <w:position w:val="10"/>
          <w:sz w:val="15"/>
          <w:szCs w:val="15"/>
        </w:rPr>
        <w:t>是</w:t>
      </w:r>
      <w:r>
        <w:rPr>
          <w:rFonts w:ascii="宋体" w:hAnsi="宋体" w:cs="宋体" w:eastAsia="宋体" w:hint="default"/>
          <w:sz w:val="15"/>
          <w:szCs w:val="15"/>
        </w:rPr>
      </w:r>
    </w:p>
    <w:p>
      <w:pPr>
        <w:spacing w:line="194" w:lineRule="exact" w:before="13"/>
        <w:ind w:left="175" w:right="3628" w:firstLine="0"/>
        <w:jc w:val="left"/>
        <w:rPr>
          <w:rFonts w:ascii="宋体" w:hAnsi="宋体" w:cs="宋体" w:eastAsia="宋体" w:hint="default"/>
          <w:sz w:val="15"/>
          <w:szCs w:val="15"/>
        </w:rPr>
      </w:pPr>
      <w:r>
        <w:rPr>
          <w:rFonts w:ascii="宋体" w:hAnsi="宋体" w:cs="宋体" w:eastAsia="宋体" w:hint="default"/>
          <w:w w:val="89"/>
          <w:sz w:val="15"/>
          <w:szCs w:val="15"/>
        </w:rPr>
        <w:t>计算机软件的技术开</w:t>
      </w:r>
      <w:r>
        <w:rPr>
          <w:rFonts w:ascii="宋体" w:hAnsi="宋体" w:cs="宋体" w:eastAsia="宋体" w:hint="default"/>
          <w:spacing w:val="2"/>
          <w:w w:val="89"/>
          <w:sz w:val="15"/>
          <w:szCs w:val="15"/>
        </w:rPr>
        <w:t>发</w:t>
      </w:r>
      <w:r>
        <w:rPr>
          <w:rFonts w:ascii="宋体" w:hAnsi="宋体" w:cs="宋体" w:eastAsia="宋体" w:hint="default"/>
          <w:spacing w:val="-82"/>
          <w:w w:val="99"/>
          <w:sz w:val="15"/>
          <w:szCs w:val="15"/>
        </w:rPr>
        <w:t>、</w:t>
      </w:r>
      <w:r>
        <w:rPr>
          <w:rFonts w:ascii="宋体" w:hAnsi="宋体" w:cs="宋体" w:eastAsia="宋体" w:hint="default"/>
          <w:w w:val="89"/>
          <w:sz w:val="15"/>
          <w:szCs w:val="15"/>
        </w:rPr>
        <w:t>设计和制</w:t>
      </w:r>
      <w:r>
        <w:rPr>
          <w:rFonts w:ascii="宋体" w:hAnsi="宋体" w:cs="宋体" w:eastAsia="宋体" w:hint="default"/>
          <w:w w:val="89"/>
          <w:sz w:val="15"/>
          <w:szCs w:val="15"/>
        </w:rPr>
        <w:t> 作</w:t>
      </w:r>
      <w:r>
        <w:rPr>
          <w:rFonts w:ascii="宋体" w:hAnsi="宋体" w:cs="宋体" w:eastAsia="宋体" w:hint="default"/>
          <w:spacing w:val="-82"/>
          <w:w w:val="99"/>
          <w:sz w:val="15"/>
          <w:szCs w:val="15"/>
        </w:rPr>
        <w:t>、</w:t>
      </w:r>
      <w:r>
        <w:rPr>
          <w:rFonts w:ascii="宋体" w:hAnsi="宋体" w:cs="宋体" w:eastAsia="宋体" w:hint="default"/>
          <w:w w:val="89"/>
          <w:sz w:val="15"/>
          <w:szCs w:val="15"/>
        </w:rPr>
        <w:t>技术咨询和技术服务及计算机</w:t>
      </w:r>
      <w:r>
        <w:rPr>
          <w:rFonts w:ascii="宋体" w:hAnsi="宋体" w:cs="宋体" w:eastAsia="宋体" w:hint="default"/>
          <w:sz w:val="15"/>
          <w:szCs w:val="15"/>
        </w:rPr>
      </w:r>
    </w:p>
    <w:p>
      <w:pPr>
        <w:spacing w:after="0" w:line="194" w:lineRule="exact"/>
        <w:jc w:val="left"/>
        <w:rPr>
          <w:rFonts w:ascii="宋体" w:hAnsi="宋体" w:cs="宋体" w:eastAsia="宋体" w:hint="default"/>
          <w:sz w:val="15"/>
          <w:szCs w:val="15"/>
        </w:rPr>
        <w:sectPr>
          <w:type w:val="continuous"/>
          <w:pgSz w:w="11910" w:h="16840"/>
          <w:pgMar w:top="1580" w:bottom="280" w:left="1020" w:right="980"/>
          <w:cols w:num="2" w:equalWidth="0">
            <w:col w:w="4100" w:space="39"/>
            <w:col w:w="5771"/>
          </w:cols>
        </w:sectPr>
      </w:pPr>
    </w:p>
    <w:p>
      <w:pPr>
        <w:tabs>
          <w:tab w:pos="2548" w:val="left" w:leader="none"/>
          <w:tab w:pos="3575" w:val="left" w:leader="none"/>
        </w:tabs>
        <w:spacing w:line="181" w:lineRule="exact" w:before="0"/>
        <w:ind w:left="223" w:right="0" w:firstLine="0"/>
        <w:jc w:val="left"/>
        <w:rPr>
          <w:rFonts w:ascii="Times New Roman" w:hAnsi="Times New Roman" w:cs="Times New Roman" w:eastAsia="Times New Roman" w:hint="default"/>
          <w:sz w:val="15"/>
          <w:szCs w:val="15"/>
        </w:rPr>
      </w:pPr>
      <w:r>
        <w:rPr>
          <w:rFonts w:ascii="宋体" w:hAnsi="宋体" w:cs="宋体" w:eastAsia="宋体" w:hint="default"/>
          <w:w w:val="95"/>
          <w:position w:val="-9"/>
          <w:sz w:val="15"/>
          <w:szCs w:val="15"/>
        </w:rPr>
        <w:t>司</w:t>
        <w:tab/>
      </w:r>
      <w:r>
        <w:rPr>
          <w:rFonts w:ascii="宋体" w:hAnsi="宋体" w:cs="宋体" w:eastAsia="宋体" w:hint="default"/>
          <w:w w:val="95"/>
          <w:sz w:val="15"/>
          <w:szCs w:val="15"/>
        </w:rPr>
        <w:t>常州</w:t>
        <w:tab/>
      </w:r>
      <w:r>
        <w:rPr>
          <w:rFonts w:ascii="Times New Roman" w:hAnsi="Times New Roman" w:cs="Times New Roman" w:eastAsia="Times New Roman" w:hint="default"/>
          <w:w w:val="95"/>
          <w:sz w:val="15"/>
          <w:szCs w:val="15"/>
        </w:rPr>
        <w:t>1,000.00</w:t>
      </w:r>
      <w:r>
        <w:rPr>
          <w:rFonts w:ascii="Times New Roman" w:hAnsi="Times New Roman" w:cs="Times New Roman" w:eastAsia="Times New Roman" w:hint="default"/>
          <w:sz w:val="15"/>
          <w:szCs w:val="15"/>
        </w:rPr>
      </w:r>
    </w:p>
    <w:p>
      <w:pPr>
        <w:spacing w:line="194" w:lineRule="exact" w:before="0"/>
        <w:ind w:left="175" w:right="-11" w:firstLine="0"/>
        <w:jc w:val="left"/>
        <w:rPr>
          <w:rFonts w:ascii="宋体" w:hAnsi="宋体" w:cs="宋体" w:eastAsia="宋体" w:hint="default"/>
          <w:sz w:val="15"/>
          <w:szCs w:val="15"/>
        </w:rPr>
      </w:pPr>
      <w:r>
        <w:rPr>
          <w:spacing w:val="-6"/>
          <w:w w:val="89"/>
        </w:rPr>
        <w:br w:type="column"/>
      </w:r>
      <w:r>
        <w:rPr>
          <w:rFonts w:ascii="宋体" w:hAnsi="宋体" w:cs="宋体" w:eastAsia="宋体" w:hint="default"/>
          <w:spacing w:val="-6"/>
          <w:w w:val="89"/>
          <w:sz w:val="15"/>
          <w:szCs w:val="15"/>
        </w:rPr>
        <w:t>配件的销售；计算机网络信息系统</w:t>
      </w:r>
      <w:r>
        <w:rPr>
          <w:rFonts w:ascii="宋体" w:hAnsi="宋体" w:cs="宋体" w:eastAsia="宋体" w:hint="default"/>
          <w:spacing w:val="-60"/>
          <w:w w:val="89"/>
          <w:sz w:val="15"/>
          <w:szCs w:val="15"/>
        </w:rPr>
        <w:t> </w:t>
      </w:r>
      <w:r>
        <w:rPr>
          <w:rFonts w:ascii="宋体" w:hAnsi="宋体" w:cs="宋体" w:eastAsia="宋体" w:hint="default"/>
          <w:spacing w:val="-60"/>
          <w:w w:val="89"/>
          <w:sz w:val="15"/>
          <w:szCs w:val="15"/>
        </w:rPr>
      </w:r>
      <w:r>
        <w:rPr>
          <w:rFonts w:ascii="宋体" w:hAnsi="宋体" w:cs="宋体" w:eastAsia="宋体" w:hint="default"/>
          <w:sz w:val="15"/>
          <w:szCs w:val="15"/>
        </w:rPr>
        <w:t>集成的维护</w:t>
      </w:r>
    </w:p>
    <w:p>
      <w:pPr>
        <w:tabs>
          <w:tab w:pos="1115" w:val="left" w:leader="none"/>
          <w:tab w:pos="2915" w:val="left" w:leader="none"/>
        </w:tabs>
        <w:spacing w:line="92" w:lineRule="exact" w:before="0"/>
        <w:ind w:left="223" w:right="0" w:firstLine="0"/>
        <w:jc w:val="left"/>
        <w:rPr>
          <w:rFonts w:ascii="宋体" w:hAnsi="宋体" w:cs="宋体" w:eastAsia="宋体" w:hint="default"/>
          <w:sz w:val="15"/>
          <w:szCs w:val="15"/>
        </w:rPr>
      </w:pPr>
      <w:r>
        <w:rPr>
          <w:w w:val="95"/>
        </w:rPr>
        <w:br w:type="column"/>
      </w:r>
      <w:r>
        <w:rPr>
          <w:rFonts w:ascii="Times New Roman" w:hAnsi="Times New Roman" w:cs="Times New Roman" w:eastAsia="Times New Roman" w:hint="default"/>
          <w:w w:val="95"/>
          <w:sz w:val="15"/>
          <w:szCs w:val="15"/>
        </w:rPr>
        <w:t>1,000.00</w:t>
        <w:tab/>
        <w:t>100.00%</w:t>
        <w:tab/>
      </w:r>
      <w:r>
        <w:rPr>
          <w:rFonts w:ascii="宋体" w:hAnsi="宋体" w:cs="宋体" w:eastAsia="宋体" w:hint="default"/>
          <w:sz w:val="15"/>
          <w:szCs w:val="15"/>
        </w:rPr>
        <w:t>是</w:t>
      </w:r>
    </w:p>
    <w:p>
      <w:pPr>
        <w:spacing w:after="0" w:line="92" w:lineRule="exact"/>
        <w:jc w:val="left"/>
        <w:rPr>
          <w:rFonts w:ascii="宋体" w:hAnsi="宋体" w:cs="宋体" w:eastAsia="宋体" w:hint="default"/>
          <w:sz w:val="15"/>
          <w:szCs w:val="15"/>
        </w:rPr>
        <w:sectPr>
          <w:type w:val="continuous"/>
          <w:pgSz w:w="11910" w:h="16840"/>
          <w:pgMar w:top="1580" w:bottom="280" w:left="1020" w:right="980"/>
          <w:cols w:num="3" w:equalWidth="0">
            <w:col w:w="4100" w:space="40"/>
            <w:col w:w="2119" w:space="215"/>
            <w:col w:w="3436"/>
          </w:cols>
        </w:sectPr>
      </w:pPr>
    </w:p>
    <w:p>
      <w:pPr>
        <w:spacing w:before="55"/>
        <w:ind w:left="475" w:right="142" w:firstLine="0"/>
        <w:jc w:val="left"/>
        <w:rPr>
          <w:rFonts w:ascii="宋体" w:hAnsi="宋体" w:cs="宋体" w:eastAsia="宋体" w:hint="default"/>
          <w:sz w:val="18"/>
          <w:szCs w:val="18"/>
        </w:rPr>
      </w:pPr>
      <w:r>
        <w:rPr>
          <w:rFonts w:ascii="宋体" w:hAnsi="宋体" w:cs="宋体" w:eastAsia="宋体" w:hint="default"/>
          <w:sz w:val="18"/>
          <w:szCs w:val="18"/>
        </w:rPr>
        <w:t>注：上海金仕达卫宁信息技术有限公司、江苏金仕达卫宁软件有限公司系本公司分别于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年新设成立。</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340" w:lineRule="auto"/>
        <w:ind w:left="535" w:right="5151"/>
        <w:jc w:val="left"/>
      </w:pPr>
      <w:r>
        <w:rPr/>
        <w:t>八、利润分配</w:t>
      </w:r>
      <w:r>
        <w:rPr>
          <w:w w:val="99"/>
        </w:rPr>
        <w:t> </w:t>
      </w:r>
      <w:r>
        <w:rPr/>
        <w:t>公司分配当年税后利润时，按下列顺序分配：</w:t>
      </w:r>
      <w:r>
        <w:rPr>
          <w:w w:val="99"/>
        </w:rPr>
        <w:t> </w:t>
      </w:r>
      <w:r>
        <w:rPr>
          <w:rFonts w:ascii="Times New Roman" w:hAnsi="Times New Roman" w:cs="Times New Roman" w:eastAsia="Times New Roman" w:hint="default"/>
        </w:rPr>
        <w:t>1</w:t>
      </w:r>
      <w:r>
        <w:rPr/>
        <w:t>、弥补上一年度的亏损；</w:t>
      </w:r>
    </w:p>
    <w:p>
      <w:pPr>
        <w:pStyle w:val="BodyText"/>
        <w:spacing w:line="240" w:lineRule="auto" w:before="3"/>
        <w:ind w:left="535" w:right="1787"/>
        <w:jc w:val="left"/>
      </w:pPr>
      <w:r>
        <w:rPr>
          <w:rFonts w:ascii="Times New Roman" w:hAnsi="Times New Roman" w:cs="Times New Roman" w:eastAsia="Times New Roman" w:hint="default"/>
        </w:rPr>
        <w:t>2</w:t>
      </w:r>
      <w:r>
        <w:rPr/>
        <w:t>、提取法定公积金</w:t>
      </w:r>
      <w:r>
        <w:rPr>
          <w:spacing w:val="-61"/>
        </w:rPr>
        <w:t> </w:t>
      </w:r>
      <w:r>
        <w:rPr>
          <w:rFonts w:ascii="Times New Roman" w:hAnsi="Times New Roman" w:cs="Times New Roman" w:eastAsia="Times New Roman" w:hint="default"/>
        </w:rPr>
        <w:t>10%</w:t>
      </w:r>
      <w:r>
        <w:rPr/>
        <w:t>；</w:t>
      </w:r>
    </w:p>
    <w:p>
      <w:pPr>
        <w:pStyle w:val="BodyText"/>
        <w:spacing w:line="240" w:lineRule="auto" w:before="98"/>
        <w:ind w:left="535" w:right="1787"/>
        <w:jc w:val="left"/>
      </w:pPr>
      <w:r>
        <w:rPr>
          <w:rFonts w:ascii="Times New Roman" w:hAnsi="Times New Roman" w:cs="Times New Roman" w:eastAsia="Times New Roman" w:hint="default"/>
        </w:rPr>
        <w:t>3</w:t>
      </w:r>
      <w:r>
        <w:rPr/>
        <w:t>、提取任意公积金；</w:t>
      </w:r>
    </w:p>
    <w:p>
      <w:pPr>
        <w:pStyle w:val="BodyText"/>
        <w:spacing w:line="321" w:lineRule="auto" w:before="100"/>
        <w:ind w:left="535" w:right="2211"/>
        <w:jc w:val="left"/>
      </w:pPr>
      <w:r>
        <w:rPr>
          <w:rFonts w:ascii="Times New Roman" w:hAnsi="Times New Roman" w:cs="Times New Roman" w:eastAsia="Times New Roman" w:hint="default"/>
        </w:rPr>
        <w:t>4</w:t>
      </w:r>
      <w:r>
        <w:rPr/>
        <w:t>、支付股东股利。</w:t>
      </w:r>
      <w:r>
        <w:rPr>
          <w:w w:val="99"/>
        </w:rPr>
        <w:t> </w:t>
      </w:r>
      <w:r>
        <w:rPr/>
        <w:t>公司法定公积金累计额为公司注册资本的百分之五十以上的，可以不再提取。</w:t>
      </w:r>
    </w:p>
    <w:p>
      <w:pPr>
        <w:pStyle w:val="BodyText"/>
        <w:spacing w:line="338" w:lineRule="auto" w:before="45"/>
        <w:ind w:right="142" w:firstLine="422"/>
        <w:jc w:val="left"/>
      </w:pPr>
      <w:r>
        <w:rPr>
          <w:w w:val="95"/>
        </w:rPr>
        <w:t>公司的法定公积金不足以弥补以前年度亏损的，在依照前款规定提取法定公积金之前，应当先用当年</w:t>
      </w:r>
      <w:r>
        <w:rPr>
          <w:spacing w:val="-93"/>
          <w:w w:val="95"/>
        </w:rPr>
        <w:t> </w:t>
      </w:r>
      <w:r>
        <w:rPr>
          <w:spacing w:val="-93"/>
          <w:w w:val="95"/>
        </w:rPr>
      </w:r>
      <w:r>
        <w:rPr/>
        <w:t>利润弥补亏损。公司不得在弥补公司亏损和提取法定公积金之前向股东分配利润。</w:t>
      </w:r>
    </w:p>
    <w:p>
      <w:pPr>
        <w:pStyle w:val="BodyText"/>
        <w:spacing w:line="240" w:lineRule="auto" w:before="30"/>
        <w:ind w:left="535" w:right="142"/>
        <w:jc w:val="left"/>
      </w:pPr>
      <w:r>
        <w:rPr/>
        <w:t>公司从税后利润中提取法定公积金后，经股东大会决议，还可以从税后利润中提取任意公积金。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35" w:right="1787"/>
        <w:jc w:val="left"/>
      </w:pPr>
      <w:r>
        <w:rPr/>
        <w:t>九、合并财务报表主要项目注释</w:t>
      </w:r>
    </w:p>
    <w:p>
      <w:pPr>
        <w:pStyle w:val="BodyText"/>
        <w:spacing w:line="240" w:lineRule="auto" w:before="114"/>
        <w:ind w:left="535" w:right="1787"/>
        <w:jc w:val="left"/>
      </w:pPr>
      <w:r>
        <w:rPr>
          <w:rFonts w:ascii="Times New Roman" w:hAnsi="Times New Roman" w:cs="Times New Roman" w:eastAsia="Times New Roman" w:hint="default"/>
        </w:rPr>
        <w:t>1</w:t>
      </w:r>
      <w:r>
        <w:rPr/>
        <w:t>、货币资金</w:t>
      </w:r>
    </w:p>
    <w:p>
      <w:pPr>
        <w:tabs>
          <w:tab w:pos="5191" w:val="left" w:leader="none"/>
          <w:tab w:pos="8183" w:val="left" w:leader="none"/>
        </w:tabs>
        <w:spacing w:before="106"/>
        <w:ind w:left="1636" w:right="142" w:firstLine="0"/>
        <w:jc w:val="left"/>
        <w:rPr>
          <w:rFonts w:ascii="宋体" w:hAnsi="宋体" w:cs="宋体" w:eastAsia="宋体" w:hint="default"/>
          <w:sz w:val="18"/>
          <w:szCs w:val="18"/>
        </w:rPr>
      </w:pPr>
      <w:r>
        <w:rPr>
          <w:rFonts w:ascii="宋体" w:hAnsi="宋体" w:cs="宋体" w:eastAsia="宋体" w:hint="default"/>
          <w:sz w:val="18"/>
          <w:szCs w:val="18"/>
        </w:rPr>
        <w:t>项  目</w:t>
        <w:tab/>
        <w:t>期末数</w:t>
        <w:tab/>
        <w:t>期初数</w:t>
      </w:r>
    </w:p>
    <w:p>
      <w:pPr>
        <w:spacing w:line="240" w:lineRule="auto" w:before="11"/>
        <w:rPr>
          <w:rFonts w:ascii="宋体" w:hAnsi="宋体" w:cs="宋体" w:eastAsia="宋体" w:hint="default"/>
          <w:sz w:val="6"/>
          <w:szCs w:val="6"/>
        </w:rPr>
      </w:pPr>
    </w:p>
    <w:p>
      <w:pPr>
        <w:tabs>
          <w:tab w:pos="4195" w:val="left" w:leader="none"/>
          <w:tab w:pos="7190" w:val="left" w:leader="none"/>
        </w:tabs>
        <w:spacing w:line="20" w:lineRule="exact"/>
        <w:ind w:left="108" w:right="0" w:firstLine="0"/>
        <w:rPr>
          <w:rFonts w:ascii="宋体" w:hAnsi="宋体" w:cs="宋体" w:eastAsia="宋体" w:hint="default"/>
          <w:sz w:val="2"/>
          <w:szCs w:val="2"/>
        </w:rPr>
      </w:pPr>
      <w:r>
        <w:rPr>
          <w:rFonts w:ascii="宋体"/>
          <w:sz w:val="2"/>
        </w:rPr>
        <w:pict>
          <v:group style="width:179.9pt;height:.5pt;mso-position-horizontal-relative:char;mso-position-vertical-relative:line" coordorigin="0,0" coordsize="3598,10">
            <v:group style="position:absolute;left:5;top:5;width:3588;height:2" coordorigin="5,5" coordsize="3588,2">
              <v:shape style="position:absolute;left:5;top:5;width:3588;height:2" coordorigin="5,5" coordsize="3588,0" path="m5,5l3593,5e" filled="false" stroked="true" strokeweight=".48pt" strokecolor="#000000">
                <v:path arrowok="t"/>
              </v:shape>
            </v:group>
          </v:group>
        </w:pict>
      </w:r>
      <w:r>
        <w:rPr>
          <w:rFonts w:ascii="宋体"/>
          <w:sz w:val="2"/>
        </w:rPr>
      </w:r>
      <w:r>
        <w:rPr>
          <w:rFonts w:ascii="宋体"/>
          <w:sz w:val="2"/>
        </w:rPr>
        <w:tab/>
      </w:r>
      <w:r>
        <w:rPr>
          <w:rFonts w:ascii="宋体"/>
          <w:sz w:val="2"/>
        </w:rPr>
        <w:pict>
          <v:group style="width:126.5pt;height:.5pt;mso-position-horizontal-relative:char;mso-position-vertical-relative:line" coordorigin="0,0" coordsize="2530,10">
            <v:group style="position:absolute;left:5;top:5;width:2520;height:2" coordorigin="5,5" coordsize="2520,2">
              <v:shape style="position:absolute;left:5;top:5;width:2520;height:2" coordorigin="5,5" coordsize="2520,0" path="m5,5l2525,5e" filled="false" stroked="true" strokeweight=".48pt" strokecolor="#000000">
                <v:path arrowok="t"/>
              </v:shape>
            </v:group>
          </v:group>
        </w:pict>
      </w:r>
      <w:r>
        <w:rPr>
          <w:rFonts w:ascii="宋体"/>
          <w:sz w:val="2"/>
        </w:rPr>
      </w:r>
      <w:r>
        <w:rPr>
          <w:rFonts w:ascii="宋体"/>
          <w:sz w:val="2"/>
        </w:rPr>
        <w:tab/>
      </w:r>
      <w:r>
        <w:rPr>
          <w:rFonts w:ascii="宋体"/>
          <w:sz w:val="2"/>
        </w:rPr>
        <w:pict>
          <v:group style="width:126.4pt;height:.5pt;mso-position-horizontal-relative:char;mso-position-vertical-relative:line" coordorigin="0,0" coordsize="2528,10">
            <v:group style="position:absolute;left:5;top:5;width:2518;height:2" coordorigin="5,5" coordsize="2518,2">
              <v:shape style="position:absolute;left:5;top:5;width:2518;height:2" coordorigin="5,5" coordsize="2518,0" path="m5,5l2522,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280" w:left="1020" w:right="980"/>
        </w:sectPr>
      </w:pPr>
    </w:p>
    <w:p>
      <w:pPr>
        <w:spacing w:line="240" w:lineRule="auto" w:before="12"/>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357"/>
        <w:gridCol w:w="437"/>
        <w:gridCol w:w="1794"/>
        <w:gridCol w:w="499"/>
        <w:gridCol w:w="2520"/>
        <w:gridCol w:w="475"/>
        <w:gridCol w:w="2518"/>
      </w:tblGrid>
      <w:tr>
        <w:trPr>
          <w:trHeight w:val="375" w:hRule="exact"/>
        </w:trPr>
        <w:tc>
          <w:tcPr>
            <w:tcW w:w="1357" w:type="dxa"/>
            <w:tcBorders>
              <w:top w:val="nil" w:sz="6" w:space="0" w:color="auto"/>
              <w:left w:val="nil" w:sz="6" w:space="0" w:color="auto"/>
              <w:bottom w:val="single" w:sz="4" w:space="0" w:color="000000"/>
              <w:right w:val="nil" w:sz="6" w:space="0" w:color="auto"/>
            </w:tcBorders>
          </w:tcPr>
          <w:p>
            <w:pPr/>
          </w:p>
        </w:tc>
        <w:tc>
          <w:tcPr>
            <w:tcW w:w="4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6"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6" w:hRule="exact"/>
        </w:trPr>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1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37" w:type="dxa"/>
            <w:tcBorders>
              <w:top w:val="single" w:sz="4" w:space="0" w:color="000000"/>
              <w:left w:val="nil" w:sz="6" w:space="0" w:color="auto"/>
              <w:bottom w:val="nil" w:sz="6" w:space="0" w:color="auto"/>
              <w:right w:val="nil" w:sz="6" w:space="0" w:color="auto"/>
            </w:tcBorders>
          </w:tcPr>
          <w:p>
            <w:pPr/>
          </w:p>
        </w:tc>
        <w:tc>
          <w:tcPr>
            <w:tcW w:w="1794" w:type="dxa"/>
            <w:tcBorders>
              <w:top w:val="single" w:sz="4" w:space="0" w:color="000000"/>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680"/>
              <w:jc w:val="right"/>
              <w:rPr>
                <w:rFonts w:ascii="Times New Roman" w:hAnsi="Times New Roman" w:cs="Times New Roman" w:eastAsia="Times New Roman" w:hint="default"/>
                <w:sz w:val="18"/>
                <w:szCs w:val="18"/>
              </w:rPr>
            </w:pPr>
            <w:r>
              <w:rPr>
                <w:rFonts w:ascii="Times New Roman"/>
                <w:spacing w:val="-1"/>
                <w:sz w:val="18"/>
              </w:rPr>
              <w:t>219,101.10</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680"/>
              <w:jc w:val="right"/>
              <w:rPr>
                <w:rFonts w:ascii="Times New Roman" w:hAnsi="Times New Roman" w:cs="Times New Roman" w:eastAsia="Times New Roman" w:hint="default"/>
                <w:sz w:val="18"/>
                <w:szCs w:val="18"/>
              </w:rPr>
            </w:pPr>
            <w:r>
              <w:rPr>
                <w:rFonts w:ascii="Times New Roman"/>
                <w:spacing w:val="-1"/>
                <w:sz w:val="18"/>
              </w:rPr>
              <w:t>65,251.67</w:t>
            </w:r>
          </w:p>
        </w:tc>
      </w:tr>
      <w:tr>
        <w:trPr>
          <w:trHeight w:val="356"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437"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80"/>
              <w:jc w:val="right"/>
              <w:rPr>
                <w:rFonts w:ascii="Times New Roman" w:hAnsi="Times New Roman" w:cs="Times New Roman" w:eastAsia="Times New Roman" w:hint="default"/>
                <w:sz w:val="18"/>
                <w:szCs w:val="18"/>
              </w:rPr>
            </w:pPr>
            <w:r>
              <w:rPr>
                <w:rFonts w:ascii="Times New Roman"/>
                <w:spacing w:val="-1"/>
                <w:sz w:val="18"/>
              </w:rPr>
              <w:t>400,387,501.77</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80"/>
              <w:jc w:val="right"/>
              <w:rPr>
                <w:rFonts w:ascii="Times New Roman" w:hAnsi="Times New Roman" w:cs="Times New Roman" w:eastAsia="Times New Roman" w:hint="default"/>
                <w:sz w:val="18"/>
                <w:szCs w:val="18"/>
              </w:rPr>
            </w:pPr>
            <w:r>
              <w:rPr>
                <w:rFonts w:ascii="Times New Roman"/>
                <w:spacing w:val="-1"/>
                <w:sz w:val="18"/>
              </w:rPr>
              <w:t>73,825,536.16</w:t>
            </w:r>
          </w:p>
        </w:tc>
      </w:tr>
      <w:tr>
        <w:trPr>
          <w:trHeight w:val="357"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437"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680"/>
              <w:jc w:val="right"/>
              <w:rPr>
                <w:rFonts w:ascii="Times New Roman" w:hAnsi="Times New Roman" w:cs="Times New Roman" w:eastAsia="Times New Roman" w:hint="default"/>
                <w:sz w:val="18"/>
                <w:szCs w:val="18"/>
              </w:rPr>
            </w:pPr>
            <w:r>
              <w:rPr>
                <w:rFonts w:ascii="Times New Roman"/>
                <w:spacing w:val="-1"/>
                <w:sz w:val="18"/>
              </w:rPr>
              <w:t>5,322,172.00</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680"/>
              <w:jc w:val="right"/>
              <w:rPr>
                <w:rFonts w:ascii="Times New Roman" w:hAnsi="Times New Roman" w:cs="Times New Roman" w:eastAsia="Times New Roman" w:hint="default"/>
                <w:sz w:val="18"/>
                <w:szCs w:val="18"/>
              </w:rPr>
            </w:pPr>
            <w:r>
              <w:rPr>
                <w:rFonts w:ascii="Times New Roman"/>
                <w:spacing w:val="-1"/>
                <w:sz w:val="18"/>
              </w:rPr>
              <w:t>789,999.99</w:t>
            </w:r>
          </w:p>
        </w:tc>
      </w:tr>
      <w:tr>
        <w:trPr>
          <w:trHeight w:val="384" w:hRule="exact"/>
        </w:trPr>
        <w:tc>
          <w:tcPr>
            <w:tcW w:w="13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6" w:right="0"/>
              <w:jc w:val="center"/>
              <w:rPr>
                <w:rFonts w:ascii="宋体" w:hAnsi="宋体" w:cs="宋体" w:eastAsia="宋体" w:hint="default"/>
                <w:sz w:val="18"/>
                <w:szCs w:val="18"/>
              </w:rPr>
            </w:pPr>
            <w:r>
              <w:rPr>
                <w:rFonts w:ascii="宋体" w:hAnsi="宋体" w:cs="宋体" w:eastAsia="宋体" w:hint="default"/>
                <w:sz w:val="18"/>
                <w:szCs w:val="18"/>
              </w:rPr>
              <w:t>合</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680"/>
              <w:jc w:val="right"/>
              <w:rPr>
                <w:rFonts w:ascii="Times New Roman" w:hAnsi="Times New Roman" w:cs="Times New Roman" w:eastAsia="Times New Roman" w:hint="default"/>
                <w:sz w:val="18"/>
                <w:szCs w:val="18"/>
              </w:rPr>
            </w:pPr>
            <w:r>
              <w:rPr>
                <w:rFonts w:ascii="Times New Roman"/>
                <w:spacing w:val="-1"/>
                <w:sz w:val="18"/>
              </w:rPr>
              <w:t>405,928,774.87</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680"/>
              <w:jc w:val="right"/>
              <w:rPr>
                <w:rFonts w:ascii="Times New Roman" w:hAnsi="Times New Roman" w:cs="Times New Roman" w:eastAsia="Times New Roman" w:hint="default"/>
                <w:sz w:val="18"/>
                <w:szCs w:val="18"/>
              </w:rPr>
            </w:pPr>
            <w:r>
              <w:rPr>
                <w:rFonts w:ascii="Times New Roman"/>
                <w:spacing w:val="-1"/>
                <w:sz w:val="18"/>
              </w:rPr>
              <w:t>74,680,787.82</w:t>
            </w:r>
          </w:p>
        </w:tc>
      </w:tr>
    </w:tbl>
    <w:p>
      <w:pPr>
        <w:spacing w:before="29"/>
        <w:ind w:left="475" w:right="0" w:firstLine="0"/>
        <w:jc w:val="left"/>
        <w:rPr>
          <w:rFonts w:ascii="宋体" w:hAnsi="宋体" w:cs="宋体" w:eastAsia="宋体" w:hint="default"/>
          <w:sz w:val="18"/>
          <w:szCs w:val="18"/>
        </w:rPr>
      </w:pPr>
      <w:r>
        <w:rPr/>
        <w:pict>
          <v:group style="position:absolute;margin-left:56.279999pt;margin-top:-95.438278pt;width:482.65pt;height:12.4pt;mso-position-horizontal-relative:page;mso-position-vertical-relative:paragraph;z-index:-630256" coordorigin="1126,-1909" coordsize="9653,248">
            <v:shape style="position:absolute;left:1135;top:-1909;width:797;height:144" type="#_x0000_t75" stroked="false">
              <v:imagedata r:id="rId8" o:title=""/>
            </v:shape>
            <v:shape style="position:absolute;left:1966;top:-1909;width:430;height:101" type="#_x0000_t75" stroked="false">
              <v:imagedata r:id="rId9" o:title=""/>
            </v:shape>
            <v:group style="position:absolute;left:1133;top:-1755;width:1251;height:94" coordorigin="1133,-1755" coordsize="1251,94">
              <v:shape style="position:absolute;left:1133;top:-1755;width:1251;height:94" coordorigin="1133,-1755" coordsize="1251,94" path="m1133,-1662l1227,-1676,1312,-1688,1407,-1699,1511,-1709,1646,-1720,1819,-1731,2383,-1755,1133,-1662xe" filled="true" fillcolor="#074278" stroked="false">
                <v:path arrowok="t"/>
                <v:fill type="solid"/>
              </v:shape>
            </v:group>
            <v:group style="position:absolute;left:1133;top:-1890;width:9639;height:2" coordorigin="1133,-1890" coordsize="9639,2">
              <v:shape style="position:absolute;left:1133;top:-1890;width:9639;height:2" coordorigin="1133,-1890" coordsize="9639,0" path="m1133,-1890l10771,-1890e" filled="false" stroked="true" strokeweight=".72pt" strokecolor="#000000">
                <v:path arrowok="t"/>
              </v:shape>
            </v:group>
            <w10:wrap type="none"/>
          </v:group>
        </w:pic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：其他货币资金为银行承兑汇票保证金。</w:t>
      </w:r>
    </w:p>
    <w:p>
      <w:pPr>
        <w:spacing w:line="376" w:lineRule="auto" w:before="139"/>
        <w:ind w:left="475" w:right="70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：银行存款中</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918,635.00</w:t>
      </w:r>
      <w:r>
        <w:rPr>
          <w:rFonts w:ascii="Times New Roman" w:hAnsi="Times New Roman" w:cs="Times New Roman" w:eastAsia="Times New Roman" w:hint="default"/>
          <w:sz w:val="18"/>
          <w:szCs w:val="18"/>
        </w:rPr>
        <w:t> </w:t>
      </w:r>
      <w:r>
        <w:rPr>
          <w:rFonts w:ascii="宋体" w:hAnsi="宋体" w:cs="宋体" w:eastAsia="宋体" w:hint="default"/>
          <w:sz w:val="18"/>
          <w:szCs w:val="18"/>
        </w:rPr>
        <w:t>元为尚未到期的履约保函保证金（其中</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670,135.00</w:t>
      </w:r>
      <w:r>
        <w:rPr>
          <w:rFonts w:ascii="Times New Roman" w:hAnsi="Times New Roman" w:cs="Times New Roman" w:eastAsia="Times New Roman" w:hint="default"/>
          <w:sz w:val="18"/>
          <w:szCs w:val="18"/>
        </w:rPr>
        <w:t> </w:t>
      </w:r>
      <w:r>
        <w:rPr>
          <w:rFonts w:ascii="宋体" w:hAnsi="宋体" w:cs="宋体" w:eastAsia="宋体" w:hint="default"/>
          <w:sz w:val="18"/>
          <w:szCs w:val="18"/>
        </w:rPr>
        <w:t>元距保证期结束超过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个月）。</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：货币资金大幅增加系本期公司发行新股募集资金增加及经营积累增加。</w:t>
      </w:r>
    </w:p>
    <w:p>
      <w:pPr>
        <w:spacing w:line="240" w:lineRule="auto" w:before="2"/>
        <w:rPr>
          <w:rFonts w:ascii="宋体" w:hAnsi="宋体" w:cs="宋体" w:eastAsia="宋体" w:hint="default"/>
          <w:sz w:val="23"/>
          <w:szCs w:val="23"/>
        </w:rPr>
      </w:pPr>
    </w:p>
    <w:p>
      <w:pPr>
        <w:pStyle w:val="BodyText"/>
        <w:spacing w:line="240" w:lineRule="auto"/>
        <w:ind w:left="535" w:right="0"/>
        <w:jc w:val="left"/>
      </w:pPr>
      <w:r>
        <w:rPr>
          <w:rFonts w:ascii="Times New Roman" w:hAnsi="Times New Roman" w:cs="Times New Roman" w:eastAsia="Times New Roman" w:hint="default"/>
        </w:rPr>
        <w:t>2</w:t>
      </w:r>
      <w:r>
        <w:rPr/>
        <w:t>、应收票据</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357"/>
        <w:gridCol w:w="437"/>
        <w:gridCol w:w="1794"/>
        <w:gridCol w:w="499"/>
        <w:gridCol w:w="2520"/>
        <w:gridCol w:w="475"/>
        <w:gridCol w:w="2518"/>
      </w:tblGrid>
      <w:tr>
        <w:trPr>
          <w:trHeight w:val="377" w:hRule="exact"/>
        </w:trPr>
        <w:tc>
          <w:tcPr>
            <w:tcW w:w="1357" w:type="dxa"/>
            <w:tcBorders>
              <w:top w:val="nil" w:sz="6" w:space="0" w:color="auto"/>
              <w:left w:val="nil" w:sz="6" w:space="0" w:color="auto"/>
              <w:bottom w:val="single" w:sz="4" w:space="0" w:color="000000"/>
              <w:right w:val="nil" w:sz="6" w:space="0" w:color="auto"/>
            </w:tcBorders>
          </w:tcPr>
          <w:p>
            <w:pPr/>
          </w:p>
        </w:tc>
        <w:tc>
          <w:tcPr>
            <w:tcW w:w="4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6"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39" w:hRule="exact"/>
        </w:trPr>
        <w:tc>
          <w:tcPr>
            <w:tcW w:w="1357" w:type="dxa"/>
            <w:tcBorders>
              <w:top w:val="single" w:sz="4" w:space="0" w:color="000000"/>
              <w:left w:val="nil" w:sz="6" w:space="0" w:color="auto"/>
              <w:bottom w:val="nil" w:sz="6" w:space="0" w:color="auto"/>
              <w:right w:val="nil" w:sz="6" w:space="0" w:color="auto"/>
            </w:tcBorders>
          </w:tcPr>
          <w:p>
            <w:pPr>
              <w:pStyle w:val="TableParagraph"/>
              <w:spacing w:line="372" w:lineRule="auto" w:before="37"/>
              <w:ind w:left="110" w:right="164"/>
              <w:jc w:val="left"/>
              <w:rPr>
                <w:rFonts w:ascii="宋体" w:hAnsi="宋体" w:cs="宋体" w:eastAsia="宋体" w:hint="default"/>
                <w:sz w:val="18"/>
                <w:szCs w:val="18"/>
              </w:rPr>
            </w:pPr>
            <w:r>
              <w:rPr>
                <w:rFonts w:ascii="宋体" w:hAnsi="宋体" w:cs="宋体" w:eastAsia="宋体" w:hint="default"/>
                <w:sz w:val="18"/>
                <w:szCs w:val="18"/>
              </w:rPr>
              <w:t>银行承兑汇票 商业承兑汇票</w:t>
            </w:r>
          </w:p>
        </w:tc>
        <w:tc>
          <w:tcPr>
            <w:tcW w:w="437" w:type="dxa"/>
            <w:tcBorders>
              <w:top w:val="single" w:sz="4" w:space="0" w:color="000000"/>
              <w:left w:val="nil" w:sz="6" w:space="0" w:color="auto"/>
              <w:bottom w:val="nil" w:sz="6" w:space="0" w:color="auto"/>
              <w:right w:val="nil" w:sz="6" w:space="0" w:color="auto"/>
            </w:tcBorders>
          </w:tcPr>
          <w:p>
            <w:pPr/>
          </w:p>
        </w:tc>
        <w:tc>
          <w:tcPr>
            <w:tcW w:w="1794" w:type="dxa"/>
            <w:tcBorders>
              <w:top w:val="single" w:sz="4" w:space="0" w:color="000000"/>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1,231,400.00</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851,900.00</w:t>
            </w:r>
          </w:p>
        </w:tc>
      </w:tr>
      <w:tr>
        <w:trPr>
          <w:trHeight w:val="394" w:hRule="exact"/>
        </w:trPr>
        <w:tc>
          <w:tcPr>
            <w:tcW w:w="13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6" w:right="0"/>
              <w:jc w:val="center"/>
              <w:rPr>
                <w:rFonts w:ascii="宋体" w:hAnsi="宋体" w:cs="宋体" w:eastAsia="宋体" w:hint="default"/>
                <w:sz w:val="18"/>
                <w:szCs w:val="18"/>
              </w:rPr>
            </w:pPr>
            <w:r>
              <w:rPr>
                <w:rFonts w:ascii="宋体" w:hAnsi="宋体" w:cs="宋体" w:eastAsia="宋体" w:hint="default"/>
                <w:sz w:val="18"/>
                <w:szCs w:val="18"/>
              </w:rPr>
              <w:t>合</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99"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single" w:sz="17" w:space="0" w:color="000000"/>
              <w:right w:val="nil" w:sz="6" w:space="0" w:color="auto"/>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1,231,400.00</w:t>
            </w:r>
          </w:p>
        </w:tc>
        <w:tc>
          <w:tcPr>
            <w:tcW w:w="475"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single" w:sz="17" w:space="0" w:color="000000"/>
              <w:right w:val="nil" w:sz="6" w:space="0" w:color="auto"/>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851,900.00</w:t>
            </w:r>
          </w:p>
        </w:tc>
      </w:tr>
    </w:tbl>
    <w:p>
      <w:pPr>
        <w:spacing w:before="29"/>
        <w:ind w:left="47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：期末本账户余额中无持有本公司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以上股份的股东欠款。</w:t>
      </w:r>
    </w:p>
    <w:p>
      <w:pPr>
        <w:spacing w:line="376" w:lineRule="auto" w:before="139"/>
        <w:ind w:left="112" w:right="101" w:firstLine="362"/>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：期末应收票据不存在贴现或质押及因出票人无力履约而将票据转为应收账款的票据，以及期末公司已经背书给他</w:t>
      </w:r>
      <w:r>
        <w:rPr>
          <w:rFonts w:ascii="宋体" w:hAnsi="宋体" w:cs="宋体" w:eastAsia="宋体" w:hint="default"/>
          <w:sz w:val="18"/>
          <w:szCs w:val="18"/>
        </w:rPr>
        <w:t> 方但尚未到期的票据情况。</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49" w:footer="976" w:top="1460" w:bottom="1160" w:left="1020" w:right="1020"/>
        </w:sectPr>
      </w:pPr>
    </w:p>
    <w:p>
      <w:pPr>
        <w:pStyle w:val="BodyText"/>
        <w:spacing w:line="240" w:lineRule="auto" w:before="34"/>
        <w:ind w:left="535" w:right="0"/>
        <w:jc w:val="left"/>
      </w:pPr>
      <w:r>
        <w:rPr>
          <w:rFonts w:ascii="Times New Roman" w:hAnsi="Times New Roman" w:cs="Times New Roman" w:eastAsia="Times New Roman" w:hint="default"/>
        </w:rPr>
        <w:t>3</w:t>
      </w:r>
      <w:r>
        <w:rPr/>
        <w:t>、应收账款</w:t>
      </w:r>
    </w:p>
    <w:p>
      <w:pPr>
        <w:pStyle w:val="BodyText"/>
        <w:spacing w:line="240" w:lineRule="auto" w:before="50"/>
        <w:ind w:left="535" w:right="0"/>
        <w:jc w:val="left"/>
      </w:pPr>
      <w:r>
        <w:rPr>
          <w:w w:val="95"/>
        </w:rPr>
        <w:t>（</w:t>
      </w:r>
      <w:r>
        <w:rPr>
          <w:rFonts w:ascii="Times New Roman" w:hAnsi="Times New Roman" w:cs="Times New Roman" w:eastAsia="Times New Roman" w:hint="default"/>
          <w:w w:val="95"/>
        </w:rPr>
        <w:t>1</w:t>
      </w:r>
      <w:r>
        <w:rPr>
          <w:w w:val="95"/>
        </w:rPr>
        <w:t>）应收账款按类别列示如下：</w:t>
      </w:r>
      <w:r>
        <w:rPr/>
      </w:r>
    </w:p>
    <w:p>
      <w:pPr>
        <w:spacing w:line="240" w:lineRule="auto" w:before="7"/>
        <w:rPr>
          <w:rFonts w:ascii="宋体" w:hAnsi="宋体" w:cs="宋体" w:eastAsia="宋体" w:hint="default"/>
          <w:sz w:val="21"/>
          <w:szCs w:val="21"/>
        </w:rPr>
      </w:pPr>
    </w:p>
    <w:p>
      <w:pPr>
        <w:spacing w:before="0"/>
        <w:ind w:left="2183" w:right="0" w:firstLine="0"/>
        <w:jc w:val="left"/>
        <w:rPr>
          <w:rFonts w:ascii="宋体" w:hAnsi="宋体" w:cs="宋体" w:eastAsia="宋体" w:hint="default"/>
          <w:sz w:val="18"/>
          <w:szCs w:val="18"/>
        </w:rPr>
      </w:pPr>
      <w:r>
        <w:rPr>
          <w:rFonts w:ascii="宋体" w:hAnsi="宋体" w:cs="宋体" w:eastAsia="宋体" w:hint="default"/>
          <w:sz w:val="18"/>
          <w:szCs w:val="18"/>
        </w:rPr>
        <w:t>类  别</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spacing w:before="0"/>
        <w:ind w:left="0" w:right="1473" w:firstLine="0"/>
        <w:jc w:val="center"/>
        <w:rPr>
          <w:rFonts w:ascii="宋体" w:hAnsi="宋体" w:cs="宋体" w:eastAsia="宋体" w:hint="default"/>
          <w:sz w:val="18"/>
          <w:szCs w:val="18"/>
        </w:rPr>
      </w:pPr>
      <w:r>
        <w:rPr>
          <w:rFonts w:ascii="宋体" w:hAnsi="宋体" w:cs="宋体" w:eastAsia="宋体" w:hint="default"/>
          <w:sz w:val="18"/>
          <w:szCs w:val="18"/>
        </w:rPr>
        <w:t>期末数</w:t>
      </w:r>
    </w:p>
    <w:p>
      <w:pPr>
        <w:spacing w:line="240" w:lineRule="auto" w:before="2"/>
        <w:rPr>
          <w:rFonts w:ascii="宋体" w:hAnsi="宋体" w:cs="宋体" w:eastAsia="宋体" w:hint="default"/>
          <w:sz w:val="6"/>
          <w:szCs w:val="6"/>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8pt" strokecolor="#000000">
                <v:path arrowok="t"/>
              </v:shape>
            </v:group>
          </v:group>
        </w:pict>
      </w:r>
      <w:r>
        <w:rPr>
          <w:rFonts w:ascii="宋体" w:hAnsi="宋体" w:cs="宋体" w:eastAsia="宋体" w:hint="default"/>
          <w:sz w:val="2"/>
          <w:szCs w:val="2"/>
        </w:rPr>
      </w:r>
    </w:p>
    <w:p>
      <w:pPr>
        <w:tabs>
          <w:tab w:pos="1190" w:val="left" w:leader="none"/>
          <w:tab w:pos="2090" w:val="left" w:leader="none"/>
        </w:tabs>
        <w:spacing w:before="14"/>
        <w:ind w:left="0" w:right="1363" w:firstLine="0"/>
        <w:jc w:val="center"/>
        <w:rPr>
          <w:rFonts w:ascii="宋体" w:hAnsi="宋体" w:cs="宋体" w:eastAsia="宋体" w:hint="default"/>
          <w:sz w:val="18"/>
          <w:szCs w:val="18"/>
        </w:rPr>
      </w:pPr>
      <w:r>
        <w:rPr>
          <w:rFonts w:ascii="宋体" w:hAnsi="宋体" w:cs="宋体" w:eastAsia="宋体" w:hint="default"/>
          <w:sz w:val="18"/>
          <w:szCs w:val="18"/>
        </w:rPr>
        <w:t>金  额</w:t>
        <w:tab/>
        <w:t>比例</w:t>
        <w:tab/>
        <w:t>坏账准备</w:t>
      </w:r>
    </w:p>
    <w:p>
      <w:pPr>
        <w:spacing w:after="0"/>
        <w:jc w:val="center"/>
        <w:rPr>
          <w:rFonts w:ascii="宋体" w:hAnsi="宋体" w:cs="宋体" w:eastAsia="宋体" w:hint="default"/>
          <w:sz w:val="18"/>
          <w:szCs w:val="18"/>
        </w:rPr>
        <w:sectPr>
          <w:type w:val="continuous"/>
          <w:pgSz w:w="11910" w:h="16840"/>
          <w:pgMar w:top="1580" w:bottom="280" w:left="1020" w:right="1020"/>
          <w:cols w:num="2" w:equalWidth="0">
            <w:col w:w="3579" w:space="1041"/>
            <w:col w:w="5250"/>
          </w:cols>
        </w:sectPr>
      </w:pPr>
    </w:p>
    <w:p>
      <w:pPr>
        <w:spacing w:line="240" w:lineRule="auto" w:before="2"/>
        <w:rPr>
          <w:rFonts w:ascii="宋体" w:hAnsi="宋体" w:cs="宋体" w:eastAsia="宋体" w:hint="default"/>
          <w:sz w:val="6"/>
          <w:szCs w:val="6"/>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05.5pt;height:.5pt;mso-position-horizontal-relative:char;mso-position-vertical-relative:line" coordorigin="0,0" coordsize="8110,10">
            <v:group style="position:absolute;left:5;top:5;width:8100;height:2" coordorigin="5,5" coordsize="8100,2">
              <v:shape style="position:absolute;left:5;top:5;width:8100;height:2" coordorigin="5,5" coordsize="8100,0" path="m5,5l8105,5e" filled="false" stroked="true" strokeweight=".48pt" strokecolor="#000000">
                <v:path arrowok="t"/>
              </v:shape>
            </v:group>
          </v:group>
        </w:pict>
      </w:r>
      <w:r>
        <w:rPr>
          <w:rFonts w:ascii="宋体" w:hAnsi="宋体" w:cs="宋体" w:eastAsia="宋体" w:hint="default"/>
          <w:sz w:val="2"/>
          <w:szCs w:val="2"/>
        </w:rPr>
      </w:r>
    </w:p>
    <w:p>
      <w:pPr>
        <w:tabs>
          <w:tab w:pos="4910" w:val="left" w:leader="none"/>
          <w:tab w:pos="6335" w:val="left" w:leader="none"/>
          <w:tab w:pos="7168" w:val="left" w:leader="none"/>
        </w:tabs>
        <w:spacing w:before="14"/>
        <w:ind w:left="2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w:t>
        <w:tab/>
      </w:r>
      <w:r>
        <w:rPr>
          <w:rFonts w:ascii="Times New Roman" w:hAnsi="Times New Roman" w:cs="Times New Roman" w:eastAsia="Times New Roman" w:hint="default"/>
          <w:spacing w:val="-1"/>
          <w:sz w:val="18"/>
          <w:szCs w:val="18"/>
        </w:rPr>
        <w:t>27,545,024.35</w:t>
        <w:tab/>
        <w:t>41.53%</w:t>
        <w:tab/>
        <w:t>1,763,611.12</w:t>
      </w:r>
    </w:p>
    <w:p>
      <w:pPr>
        <w:spacing w:line="196" w:lineRule="exact" w:before="39"/>
        <w:ind w:left="223" w:right="0" w:firstLine="0"/>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p>
    <w:p>
      <w:pPr>
        <w:tabs>
          <w:tab w:pos="5135" w:val="left" w:leader="none"/>
          <w:tab w:pos="6427" w:val="left" w:leader="none"/>
          <w:tab w:pos="7295" w:val="left" w:leader="none"/>
        </w:tabs>
        <w:spacing w:line="274" w:lineRule="exact" w:before="0"/>
        <w:ind w:left="22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较大</w:t>
        <w:tab/>
      </w:r>
      <w:r>
        <w:rPr>
          <w:rFonts w:ascii="Times New Roman" w:hAnsi="Times New Roman" w:cs="Times New Roman" w:eastAsia="Times New Roman" w:hint="default"/>
          <w:spacing w:val="-1"/>
          <w:sz w:val="18"/>
          <w:szCs w:val="18"/>
        </w:rPr>
        <w:t>423,400.00</w:t>
        <w:tab/>
      </w:r>
      <w:r>
        <w:rPr>
          <w:rFonts w:ascii="Times New Roman" w:hAnsi="Times New Roman" w:cs="Times New Roman" w:eastAsia="Times New Roman" w:hint="default"/>
          <w:sz w:val="18"/>
          <w:szCs w:val="18"/>
        </w:rPr>
        <w:t>0.64%</w:t>
        <w:tab/>
      </w:r>
      <w:r>
        <w:rPr>
          <w:rFonts w:ascii="Times New Roman" w:hAnsi="Times New Roman" w:cs="Times New Roman" w:eastAsia="Times New Roman" w:hint="default"/>
          <w:spacing w:val="-1"/>
          <w:sz w:val="18"/>
          <w:szCs w:val="18"/>
        </w:rPr>
        <w:t>423,400.00</w:t>
      </w:r>
    </w:p>
    <w:p>
      <w:pPr>
        <w:tabs>
          <w:tab w:pos="4910" w:val="left" w:leader="none"/>
          <w:tab w:pos="6335" w:val="left" w:leader="none"/>
          <w:tab w:pos="7161" w:val="left" w:leader="none"/>
        </w:tabs>
        <w:spacing w:before="47"/>
        <w:ind w:left="2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其他不重大</w:t>
        <w:tab/>
      </w:r>
      <w:r>
        <w:rPr>
          <w:rFonts w:ascii="Times New Roman" w:hAnsi="Times New Roman" w:cs="Times New Roman" w:eastAsia="Times New Roman" w:hint="default"/>
          <w:spacing w:val="-1"/>
          <w:sz w:val="18"/>
          <w:szCs w:val="18"/>
        </w:rPr>
        <w:t>38,363,703.73</w:t>
        <w:tab/>
        <w:t>57.83%</w:t>
        <w:tab/>
        <w:t>2,958,892.52</w:t>
      </w:r>
    </w:p>
    <w:p>
      <w:pPr>
        <w:spacing w:line="240" w:lineRule="auto" w:before="9"/>
        <w:rPr>
          <w:rFonts w:ascii="Times New Roman" w:hAnsi="Times New Roman" w:cs="Times New Roman" w:eastAsia="Times New Roman" w:hint="default"/>
          <w:sz w:val="5"/>
          <w:szCs w:val="5"/>
        </w:rPr>
      </w:pPr>
    </w:p>
    <w:p>
      <w:pPr>
        <w:spacing w:line="20" w:lineRule="exact"/>
        <w:ind w:left="47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4910" w:val="left" w:leader="none"/>
          <w:tab w:pos="6247" w:val="left" w:leader="none"/>
          <w:tab w:pos="7161" w:val="left" w:leader="none"/>
        </w:tabs>
        <w:spacing w:before="14"/>
        <w:ind w:left="21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66,332,128.08</w:t>
        <w:tab/>
        <w:t>100.00%</w:t>
        <w:tab/>
        <w:t>5,145,903.64</w:t>
      </w:r>
    </w:p>
    <w:p>
      <w:pPr>
        <w:spacing w:line="240" w:lineRule="auto" w:before="9"/>
        <w:rPr>
          <w:rFonts w:ascii="Times New Roman" w:hAnsi="Times New Roman" w:cs="Times New Roman" w:eastAsia="Times New Roman" w:hint="default"/>
          <w:sz w:val="5"/>
          <w:szCs w:val="5"/>
        </w:rPr>
      </w:pPr>
    </w:p>
    <w:p>
      <w:pPr>
        <w:spacing w:line="28" w:lineRule="exact"/>
        <w:ind w:left="47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71.5pt;height:1.45pt;mso-position-horizontal-relative:char;mso-position-vertical-relative:line" coordorigin="0,0" coordsize="3430,29">
            <v:group style="position:absolute;left:5;top:5;width:3420;height:2" coordorigin="5,5" coordsize="3420,2">
              <v:shape style="position:absolute;left:5;top:5;width:3420;height:2" coordorigin="5,5" coordsize="3420,0" path="m5,5l3425,5e" filled="false" stroked="true" strokeweight=".48pt" strokecolor="#000000">
                <v:path arrowok="t"/>
              </v:shape>
            </v:group>
            <v:group style="position:absolute;left:5;top:24;width:3420;height:2" coordorigin="5,24" coordsize="3420,2">
              <v:shape style="position:absolute;left:5;top:24;width:3420;height:2" coordorigin="5,24" coordsize="3420,0" path="m5,24l3425,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5" w:lineRule="exact" w:before="44"/>
        <w:ind w:left="3144" w:right="0" w:firstLine="0"/>
        <w:jc w:val="center"/>
        <w:rPr>
          <w:rFonts w:ascii="宋体" w:hAnsi="宋体" w:cs="宋体" w:eastAsia="宋体" w:hint="default"/>
          <w:sz w:val="18"/>
          <w:szCs w:val="18"/>
        </w:rPr>
      </w:pPr>
      <w:r>
        <w:rPr>
          <w:rFonts w:ascii="宋体" w:hAnsi="宋体" w:cs="宋体" w:eastAsia="宋体" w:hint="default"/>
          <w:sz w:val="18"/>
          <w:szCs w:val="18"/>
        </w:rPr>
        <w:t>期初数</w:t>
      </w:r>
    </w:p>
    <w:p>
      <w:pPr>
        <w:spacing w:line="175" w:lineRule="exact" w:before="0"/>
        <w:ind w:left="2183" w:right="0" w:firstLine="0"/>
        <w:jc w:val="left"/>
        <w:rPr>
          <w:rFonts w:ascii="宋体" w:hAnsi="宋体" w:cs="宋体" w:eastAsia="宋体" w:hint="default"/>
          <w:sz w:val="18"/>
          <w:szCs w:val="18"/>
        </w:rPr>
      </w:pPr>
      <w:r>
        <w:rPr/>
        <w:pict>
          <v:group style="position:absolute;margin-left:290.639984pt;margin-top:5.763032pt;width:171pt;height:.1pt;mso-position-horizontal-relative:page;mso-position-vertical-relative:paragraph;z-index:5584" coordorigin="5813,115" coordsize="3420,2">
            <v:shape style="position:absolute;left:5813;top:115;width:3420;height:2" coordorigin="5813,115" coordsize="3420,0" path="m5813,115l9233,115e" filled="false" stroked="true" strokeweight=".48pt" strokecolor="#000000">
              <v:path arrowok="t"/>
            </v:shape>
            <w10:wrap type="none"/>
          </v:group>
        </w:pict>
      </w:r>
      <w:r>
        <w:rPr>
          <w:rFonts w:ascii="宋体" w:hAnsi="宋体" w:cs="宋体" w:eastAsia="宋体" w:hint="default"/>
          <w:sz w:val="18"/>
          <w:szCs w:val="18"/>
        </w:rPr>
        <w:t>类  别</w:t>
      </w:r>
    </w:p>
    <w:p>
      <w:pPr>
        <w:tabs>
          <w:tab w:pos="4445" w:val="left" w:leader="none"/>
          <w:tab w:pos="5345" w:val="left" w:leader="none"/>
        </w:tabs>
        <w:spacing w:line="205" w:lineRule="exact" w:before="0"/>
        <w:ind w:left="3254" w:right="0" w:firstLine="0"/>
        <w:jc w:val="center"/>
        <w:rPr>
          <w:rFonts w:ascii="宋体" w:hAnsi="宋体" w:cs="宋体" w:eastAsia="宋体" w:hint="default"/>
          <w:sz w:val="18"/>
          <w:szCs w:val="18"/>
        </w:rPr>
      </w:pPr>
      <w:r>
        <w:rPr>
          <w:rFonts w:ascii="宋体" w:hAnsi="宋体" w:cs="宋体" w:eastAsia="宋体" w:hint="default"/>
          <w:sz w:val="18"/>
          <w:szCs w:val="18"/>
        </w:rPr>
        <w:t>金  额</w:t>
        <w:tab/>
        <w:t>比例</w:t>
        <w:tab/>
        <w:t>坏账准备</w:t>
      </w:r>
    </w:p>
    <w:p>
      <w:pPr>
        <w:spacing w:line="240" w:lineRule="auto" w:before="2"/>
        <w:rPr>
          <w:rFonts w:ascii="宋体" w:hAnsi="宋体" w:cs="宋体" w:eastAsia="宋体" w:hint="default"/>
          <w:sz w:val="6"/>
          <w:szCs w:val="6"/>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05.5pt;height:.5pt;mso-position-horizontal-relative:char;mso-position-vertical-relative:line" coordorigin="0,0" coordsize="8110,10">
            <v:group style="position:absolute;left:5;top:5;width:8100;height:2" coordorigin="5,5" coordsize="8100,2">
              <v:shape style="position:absolute;left:5;top:5;width:8100;height:2" coordorigin="5,5" coordsize="8100,0" path="m5,5l8105,5e" filled="false" stroked="true" strokeweight=".48pt" strokecolor="#000000">
                <v:path arrowok="t"/>
              </v:shape>
            </v:group>
          </v:group>
        </w:pict>
      </w:r>
      <w:r>
        <w:rPr>
          <w:rFonts w:ascii="宋体" w:hAnsi="宋体" w:cs="宋体" w:eastAsia="宋体" w:hint="default"/>
          <w:sz w:val="2"/>
          <w:szCs w:val="2"/>
        </w:rPr>
      </w:r>
    </w:p>
    <w:p>
      <w:pPr>
        <w:tabs>
          <w:tab w:pos="5001" w:val="left" w:leader="none"/>
          <w:tab w:pos="6335" w:val="left" w:leader="none"/>
          <w:tab w:pos="7295" w:val="left" w:leader="none"/>
        </w:tabs>
        <w:spacing w:before="14"/>
        <w:ind w:left="2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w:t>
        <w:tab/>
      </w:r>
      <w:r>
        <w:rPr>
          <w:rFonts w:ascii="Times New Roman" w:hAnsi="Times New Roman" w:cs="Times New Roman" w:eastAsia="Times New Roman" w:hint="default"/>
          <w:spacing w:val="-1"/>
          <w:sz w:val="18"/>
          <w:szCs w:val="18"/>
        </w:rPr>
        <w:t>3,953,190.00</w:t>
        <w:tab/>
        <w:t>13.33%</w:t>
        <w:tab/>
        <w:t>212,526.50</w:t>
      </w:r>
    </w:p>
    <w:p>
      <w:pPr>
        <w:spacing w:line="196" w:lineRule="exact" w:before="36"/>
        <w:ind w:left="223" w:right="0" w:firstLine="0"/>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p>
    <w:p>
      <w:pPr>
        <w:tabs>
          <w:tab w:pos="5135" w:val="left" w:leader="none"/>
          <w:tab w:pos="6427" w:val="left" w:leader="none"/>
          <w:tab w:pos="7295" w:val="left" w:leader="none"/>
        </w:tabs>
        <w:spacing w:line="274" w:lineRule="exact" w:before="0"/>
        <w:ind w:left="22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较大</w:t>
        <w:tab/>
      </w:r>
      <w:r>
        <w:rPr>
          <w:rFonts w:ascii="Times New Roman" w:hAnsi="Times New Roman" w:cs="Times New Roman" w:eastAsia="Times New Roman" w:hint="default"/>
          <w:spacing w:val="-1"/>
          <w:sz w:val="18"/>
          <w:szCs w:val="18"/>
        </w:rPr>
        <w:t>757,795.00</w:t>
        <w:tab/>
      </w:r>
      <w:r>
        <w:rPr>
          <w:rFonts w:ascii="Times New Roman" w:hAnsi="Times New Roman" w:cs="Times New Roman" w:eastAsia="Times New Roman" w:hint="default"/>
          <w:sz w:val="18"/>
          <w:szCs w:val="18"/>
        </w:rPr>
        <w:t>2.55%</w:t>
        <w:tab/>
      </w:r>
      <w:r>
        <w:rPr>
          <w:rFonts w:ascii="Times New Roman" w:hAnsi="Times New Roman" w:cs="Times New Roman" w:eastAsia="Times New Roman" w:hint="default"/>
          <w:spacing w:val="-1"/>
          <w:sz w:val="18"/>
          <w:szCs w:val="18"/>
        </w:rPr>
        <w:t>606,236.00</w:t>
      </w:r>
    </w:p>
    <w:p>
      <w:pPr>
        <w:tabs>
          <w:tab w:pos="4910" w:val="left" w:leader="none"/>
          <w:tab w:pos="6335" w:val="left" w:leader="none"/>
          <w:tab w:pos="7161" w:val="left" w:leader="none"/>
        </w:tabs>
        <w:spacing w:before="50"/>
        <w:ind w:left="2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其他不重大</w:t>
        <w:tab/>
      </w:r>
      <w:r>
        <w:rPr>
          <w:rFonts w:ascii="Times New Roman" w:hAnsi="Times New Roman" w:cs="Times New Roman" w:eastAsia="Times New Roman" w:hint="default"/>
          <w:spacing w:val="-1"/>
          <w:sz w:val="18"/>
          <w:szCs w:val="18"/>
        </w:rPr>
        <w:t>24,952,360.54</w:t>
        <w:tab/>
        <w:t>84.12%</w:t>
        <w:tab/>
        <w:t>1,480,237.21</w:t>
      </w:r>
    </w:p>
    <w:p>
      <w:pPr>
        <w:spacing w:line="240" w:lineRule="auto" w:before="9"/>
        <w:rPr>
          <w:rFonts w:ascii="Times New Roman" w:hAnsi="Times New Roman" w:cs="Times New Roman" w:eastAsia="Times New Roman" w:hint="default"/>
          <w:sz w:val="5"/>
          <w:szCs w:val="5"/>
        </w:rPr>
      </w:pPr>
    </w:p>
    <w:p>
      <w:pPr>
        <w:spacing w:line="20" w:lineRule="exact"/>
        <w:ind w:left="47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4910" w:val="left" w:leader="none"/>
          <w:tab w:pos="6247" w:val="left" w:leader="none"/>
          <w:tab w:pos="7161" w:val="left" w:leader="none"/>
        </w:tabs>
        <w:spacing w:before="14"/>
        <w:ind w:left="21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29,663,345.54</w:t>
        <w:tab/>
        <w:t>100.00%</w:t>
        <w:tab/>
        <w:t>2,298,999.71</w:t>
      </w:r>
    </w:p>
    <w:p>
      <w:pPr>
        <w:spacing w:line="240" w:lineRule="auto" w:before="9"/>
        <w:rPr>
          <w:rFonts w:ascii="Times New Roman" w:hAnsi="Times New Roman" w:cs="Times New Roman" w:eastAsia="Times New Roman" w:hint="default"/>
          <w:sz w:val="5"/>
          <w:szCs w:val="5"/>
        </w:rPr>
      </w:pPr>
    </w:p>
    <w:p>
      <w:pPr>
        <w:spacing w:line="28" w:lineRule="exact"/>
        <w:ind w:left="47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71.5pt;height:1.45pt;mso-position-horizontal-relative:char;mso-position-vertical-relative:line" coordorigin="0,0" coordsize="3430,29">
            <v:group style="position:absolute;left:5;top:5;width:3420;height:2" coordorigin="5,5" coordsize="3420,2">
              <v:shape style="position:absolute;left:5;top:5;width:3420;height:2" coordorigin="5,5" coordsize="3420,0" path="m5,5l3425,5e" filled="false" stroked="true" strokeweight=".48pt" strokecolor="#000000">
                <v:path arrowok="t"/>
              </v:shape>
            </v:group>
            <v:group style="position:absolute;left:5;top:24;width:3420;height:2" coordorigin="5,24" coordsize="3420,2">
              <v:shape style="position:absolute;left:5;top:24;width:3420;height:2" coordorigin="5,24" coordsize="3420,0" path="m5,24l3425,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before="49"/>
        <w:ind w:left="475"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before="155"/>
        <w:ind w:left="475" w:right="0" w:firstLine="0"/>
        <w:jc w:val="left"/>
        <w:rPr>
          <w:rFonts w:ascii="宋体" w:hAnsi="宋体" w:cs="宋体" w:eastAsia="宋体" w:hint="default"/>
          <w:sz w:val="18"/>
          <w:szCs w:val="18"/>
        </w:rPr>
      </w:pPr>
      <w:r>
        <w:rPr>
          <w:rFonts w:ascii="宋体" w:hAnsi="宋体" w:cs="宋体" w:eastAsia="宋体" w:hint="default"/>
          <w:sz w:val="18"/>
          <w:szCs w:val="18"/>
        </w:rPr>
        <w:t>本公司单项金额重大的应收账款是指单个客户金额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w:t>
      </w:r>
    </w:p>
    <w:p>
      <w:pPr>
        <w:pStyle w:val="BodyText"/>
        <w:spacing w:line="240" w:lineRule="auto" w:before="114"/>
        <w:ind w:left="535" w:right="0"/>
        <w:jc w:val="left"/>
      </w:pPr>
      <w:r>
        <w:rPr/>
        <w:t>（</w:t>
      </w:r>
      <w:r>
        <w:rPr>
          <w:rFonts w:ascii="Times New Roman" w:hAnsi="Times New Roman" w:cs="Times New Roman" w:eastAsia="Times New Roman" w:hint="default"/>
        </w:rPr>
        <w:t>2</w:t>
      </w:r>
      <w:r>
        <w:rPr/>
        <w:t>）应收账款账龄</w:t>
      </w:r>
    </w:p>
    <w:p>
      <w:pPr>
        <w:tabs>
          <w:tab w:pos="4960" w:val="left" w:leader="none"/>
        </w:tabs>
        <w:spacing w:before="99"/>
        <w:ind w:left="0" w:right="2740" w:firstLine="0"/>
        <w:jc w:val="center"/>
        <w:rPr>
          <w:rFonts w:ascii="宋体" w:hAnsi="宋体" w:cs="宋体" w:eastAsia="宋体" w:hint="default"/>
          <w:sz w:val="18"/>
          <w:szCs w:val="18"/>
        </w:rPr>
      </w:pPr>
      <w:r>
        <w:rPr>
          <w:rFonts w:ascii="宋体" w:hAnsi="宋体" w:cs="宋体" w:eastAsia="宋体" w:hint="default"/>
          <w:sz w:val="18"/>
          <w:szCs w:val="18"/>
        </w:rPr>
        <w:t>账  龄</w:t>
        <w:tab/>
        <w:t>期末数</w:t>
      </w:r>
    </w:p>
    <w:p>
      <w:pPr>
        <w:spacing w:line="240" w:lineRule="auto" w:before="2"/>
        <w:rPr>
          <w:rFonts w:ascii="宋体" w:hAnsi="宋体" w:cs="宋体" w:eastAsia="宋体" w:hint="default"/>
          <w:sz w:val="6"/>
          <w:szCs w:val="6"/>
        </w:rPr>
      </w:pPr>
    </w:p>
    <w:p>
      <w:pPr>
        <w:tabs>
          <w:tab w:pos="2390" w:val="left" w:leader="none"/>
        </w:tabs>
        <w:spacing w:line="20" w:lineRule="exact"/>
        <w:ind w:left="108" w:right="0" w:firstLine="0"/>
        <w:rPr>
          <w:rFonts w:ascii="宋体" w:hAnsi="宋体" w:cs="宋体" w:eastAsia="宋体" w:hint="default"/>
          <w:sz w:val="2"/>
          <w:szCs w:val="2"/>
        </w:rPr>
      </w:pPr>
      <w:r>
        <w:rPr>
          <w:rFonts w:ascii="宋体"/>
          <w:sz w:val="2"/>
        </w:rPr>
        <w:pict>
          <v:group style="width:97.2pt;height:.5pt;mso-position-horizontal-relative:char;mso-position-vertical-relative:line" coordorigin="0,0" coordsize="1944,10">
            <v:group style="position:absolute;left:5;top:5;width:1935;height:2" coordorigin="5,5" coordsize="1935,2">
              <v:shape style="position:absolute;left:5;top:5;width:1935;height:2" coordorigin="5,5" coordsize="1935,0" path="m5,5l1939,5e" filled="false" stroked="true" strokeweight=".48pt" strokecolor="#000000">
                <v:path arrowok="t"/>
              </v:shape>
            </v:group>
          </v:group>
        </w:pict>
      </w:r>
      <w:r>
        <w:rPr>
          <w:rFonts w:ascii="宋体"/>
          <w:sz w:val="2"/>
        </w:rPr>
      </w:r>
      <w:r>
        <w:rPr>
          <w:rFonts w:ascii="宋体"/>
          <w:sz w:val="2"/>
        </w:rPr>
        <w:tab/>
      </w:r>
      <w:r>
        <w:rPr>
          <w:rFonts w:ascii="宋体"/>
          <w:sz w:val="2"/>
        </w:rPr>
        <w:pict>
          <v:group style="width:365.2pt;height:.5pt;mso-position-horizontal-relative:char;mso-position-vertical-relative:line" coordorigin="0,0" coordsize="7304,10">
            <v:group style="position:absolute;left:5;top:5;width:7294;height:2" coordorigin="5,5" coordsize="7294,2">
              <v:shape style="position:absolute;left:5;top:5;width:7294;height:2" coordorigin="5,5" coordsize="7294,0" path="m5,5l7298,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280" w:left="1020" w:right="1020"/>
        </w:sectPr>
      </w:pPr>
    </w:p>
    <w:p>
      <w:pPr>
        <w:spacing w:line="240" w:lineRule="auto" w:before="5"/>
        <w:rPr>
          <w:rFonts w:ascii="宋体" w:hAnsi="宋体" w:cs="宋体" w:eastAsia="宋体" w:hint="default"/>
          <w:sz w:val="3"/>
          <w:szCs w:val="3"/>
        </w:rPr>
      </w:pPr>
    </w:p>
    <w:tbl>
      <w:tblPr>
        <w:tblW w:w="0" w:type="auto"/>
        <w:jc w:val="left"/>
        <w:tblInd w:w="472" w:type="dxa"/>
        <w:tblLayout w:type="fixed"/>
        <w:tblCellMar>
          <w:top w:w="0" w:type="dxa"/>
          <w:left w:w="0" w:type="dxa"/>
          <w:bottom w:w="0" w:type="dxa"/>
          <w:right w:w="0" w:type="dxa"/>
        </w:tblCellMar>
        <w:tblLook w:val="01E0"/>
      </w:tblPr>
      <w:tblGrid>
        <w:gridCol w:w="968"/>
        <w:gridCol w:w="966"/>
        <w:gridCol w:w="348"/>
        <w:gridCol w:w="1805"/>
        <w:gridCol w:w="283"/>
        <w:gridCol w:w="1224"/>
        <w:gridCol w:w="288"/>
        <w:gridCol w:w="1757"/>
        <w:gridCol w:w="288"/>
        <w:gridCol w:w="1711"/>
      </w:tblGrid>
      <w:tr>
        <w:trPr>
          <w:trHeight w:val="362" w:hRule="exact"/>
        </w:trPr>
        <w:tc>
          <w:tcPr>
            <w:tcW w:w="2282" w:type="dxa"/>
            <w:gridSpan w:val="3"/>
            <w:tcBorders>
              <w:top w:val="single" w:sz="6" w:space="0" w:color="000000"/>
              <w:left w:val="nil" w:sz="6" w:space="0" w:color="auto"/>
              <w:bottom w:val="nil" w:sz="6" w:space="0" w:color="auto"/>
              <w:right w:val="nil" w:sz="6" w:space="0" w:color="auto"/>
            </w:tcBorders>
          </w:tcPr>
          <w:p>
            <w:pPr/>
          </w:p>
        </w:tc>
        <w:tc>
          <w:tcPr>
            <w:tcW w:w="1805"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single" w:sz="6" w:space="0" w:color="000000"/>
              <w:left w:val="nil" w:sz="6" w:space="0" w:color="auto"/>
              <w:bottom w:val="nil" w:sz="6" w:space="0" w:color="auto"/>
              <w:right w:val="nil" w:sz="6" w:space="0" w:color="auto"/>
            </w:tcBorders>
          </w:tcPr>
          <w:p>
            <w:pPr/>
          </w:p>
        </w:tc>
        <w:tc>
          <w:tcPr>
            <w:tcW w:w="1224"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88" w:type="dxa"/>
            <w:tcBorders>
              <w:top w:val="single" w:sz="6" w:space="0" w:color="000000"/>
              <w:left w:val="nil" w:sz="6" w:space="0" w:color="auto"/>
              <w:bottom w:val="nil" w:sz="6" w:space="0" w:color="auto"/>
              <w:right w:val="nil" w:sz="6" w:space="0" w:color="auto"/>
            </w:tcBorders>
          </w:tcPr>
          <w:p>
            <w:pPr/>
          </w:p>
        </w:tc>
        <w:tc>
          <w:tcPr>
            <w:tcW w:w="1757"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8" w:type="dxa"/>
            <w:tcBorders>
              <w:top w:val="single" w:sz="6" w:space="0" w:color="000000"/>
              <w:left w:val="nil" w:sz="6" w:space="0" w:color="auto"/>
              <w:bottom w:val="nil" w:sz="6" w:space="0" w:color="auto"/>
              <w:right w:val="nil" w:sz="6" w:space="0" w:color="auto"/>
            </w:tcBorders>
          </w:tcPr>
          <w:p>
            <w:pPr/>
          </w:p>
        </w:tc>
        <w:tc>
          <w:tcPr>
            <w:tcW w:w="1711"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right="59"/>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51"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6" w:type="dxa"/>
            <w:tcBorders>
              <w:top w:val="single" w:sz="4"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54,452,119.64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82.09%</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2,722,605.98</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67"/>
              <w:jc w:val="right"/>
              <w:rPr>
                <w:rFonts w:ascii="Times New Roman" w:hAnsi="Times New Roman" w:cs="Times New Roman" w:eastAsia="Times New Roman" w:hint="default"/>
                <w:sz w:val="18"/>
                <w:szCs w:val="18"/>
              </w:rPr>
            </w:pPr>
            <w:r>
              <w:rPr>
                <w:rFonts w:ascii="Times New Roman"/>
                <w:spacing w:val="-1"/>
                <w:sz w:val="18"/>
              </w:rPr>
              <w:t>51,729,513.66</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8,365,473.84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12.61%</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836,547.38</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7"/>
              <w:jc w:val="right"/>
              <w:rPr>
                <w:rFonts w:ascii="Times New Roman" w:hAnsi="Times New Roman" w:cs="Times New Roman" w:eastAsia="Times New Roman" w:hint="default"/>
                <w:sz w:val="18"/>
                <w:szCs w:val="18"/>
              </w:rPr>
            </w:pPr>
            <w:r>
              <w:rPr>
                <w:rFonts w:ascii="Times New Roman"/>
                <w:spacing w:val="-1"/>
                <w:sz w:val="18"/>
              </w:rPr>
              <w:t>7,528,926.46</w:t>
            </w:r>
          </w:p>
        </w:tc>
      </w:tr>
      <w:tr>
        <w:trPr>
          <w:trHeight w:val="338"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3,170,472.60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z w:val="18"/>
              </w:rPr>
              <w:t>4.78%</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pacing w:val="-1"/>
                <w:sz w:val="18"/>
              </w:rPr>
              <w:t>1,247,521.78</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8"/>
                <w:szCs w:val="18"/>
              </w:rPr>
            </w:pPr>
            <w:r>
              <w:rPr>
                <w:rFonts w:ascii="Times New Roman"/>
                <w:spacing w:val="-1"/>
                <w:sz w:val="18"/>
              </w:rPr>
              <w:t>1,922,950.82</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344,062.00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0.52%</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339,228.50</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67"/>
              <w:jc w:val="right"/>
              <w:rPr>
                <w:rFonts w:ascii="Times New Roman" w:hAnsi="Times New Roman" w:cs="Times New Roman" w:eastAsia="Times New Roman" w:hint="default"/>
                <w:sz w:val="18"/>
                <w:szCs w:val="18"/>
              </w:rPr>
            </w:pPr>
            <w:r>
              <w:rPr>
                <w:rFonts w:ascii="Times New Roman"/>
                <w:spacing w:val="-1"/>
                <w:sz w:val="18"/>
              </w:rPr>
              <w:t>4,833.50</w:t>
            </w:r>
          </w:p>
        </w:tc>
      </w:tr>
      <w:tr>
        <w:trPr>
          <w:trHeight w:val="36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66,332,128.08</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5,145,903.64</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67"/>
              <w:jc w:val="right"/>
              <w:rPr>
                <w:rFonts w:ascii="Times New Roman" w:hAnsi="Times New Roman" w:cs="Times New Roman" w:eastAsia="Times New Roman" w:hint="default"/>
                <w:sz w:val="18"/>
                <w:szCs w:val="18"/>
              </w:rPr>
            </w:pPr>
            <w:r>
              <w:rPr>
                <w:rFonts w:ascii="Times New Roman"/>
                <w:spacing w:val="-1"/>
                <w:sz w:val="18"/>
              </w:rPr>
              <w:t>61,186,224.44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472" w:type="dxa"/>
        <w:tblLayout w:type="fixed"/>
        <w:tblCellMar>
          <w:top w:w="0" w:type="dxa"/>
          <w:left w:w="0" w:type="dxa"/>
          <w:bottom w:w="0" w:type="dxa"/>
          <w:right w:w="0" w:type="dxa"/>
        </w:tblCellMar>
        <w:tblLook w:val="01E0"/>
      </w:tblPr>
      <w:tblGrid>
        <w:gridCol w:w="968"/>
        <w:gridCol w:w="966"/>
        <w:gridCol w:w="348"/>
        <w:gridCol w:w="1805"/>
        <w:gridCol w:w="283"/>
        <w:gridCol w:w="1224"/>
        <w:gridCol w:w="706"/>
        <w:gridCol w:w="1339"/>
        <w:gridCol w:w="288"/>
        <w:gridCol w:w="1649"/>
      </w:tblGrid>
      <w:tr>
        <w:trPr>
          <w:trHeight w:val="713" w:hRule="exact"/>
        </w:trPr>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账</w:t>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51"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6" w:type="dxa"/>
            <w:tcBorders>
              <w:top w:val="single" w:sz="4"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23,994,494.94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80.89%</w:t>
            </w:r>
          </w:p>
        </w:tc>
        <w:tc>
          <w:tcPr>
            <w:tcW w:w="706"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1,199,724.75</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22,794,770.19</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5,324,788.60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17.95%</w:t>
            </w:r>
          </w:p>
        </w:tc>
        <w:tc>
          <w:tcPr>
            <w:tcW w:w="70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828,858.86</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4,495,929.74</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344,062.00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z w:val="18"/>
              </w:rPr>
              <w:t>1.16%</w:t>
            </w:r>
          </w:p>
        </w:tc>
        <w:tc>
          <w:tcPr>
            <w:tcW w:w="706" w:type="dxa"/>
            <w:tcBorders>
              <w:top w:val="nil" w:sz="6" w:space="0" w:color="auto"/>
              <w:left w:val="nil" w:sz="6" w:space="0" w:color="auto"/>
              <w:bottom w:val="single" w:sz="4" w:space="0" w:color="000000"/>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270,416.10</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73,645.90</w:t>
            </w:r>
          </w:p>
        </w:tc>
      </w:tr>
      <w:tr>
        <w:trPr>
          <w:trHeight w:val="358"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29,663,345.54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706" w:type="dxa"/>
            <w:tcBorders>
              <w:top w:val="single" w:sz="4" w:space="0" w:color="000000"/>
              <w:left w:val="nil" w:sz="6" w:space="0" w:color="auto"/>
              <w:bottom w:val="single" w:sz="12" w:space="0" w:color="000000"/>
              <w:right w:val="nil" w:sz="6" w:space="0" w:color="auto"/>
            </w:tcBorders>
          </w:tcPr>
          <w:p>
            <w:pPr/>
          </w:p>
        </w:tc>
        <w:tc>
          <w:tcPr>
            <w:tcW w:w="1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2,298,999.71</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27,364,345.83</w:t>
            </w:r>
          </w:p>
        </w:tc>
      </w:tr>
    </w:tbl>
    <w:p>
      <w:pPr>
        <w:spacing w:before="37"/>
        <w:ind w:left="835" w:right="0" w:firstLine="0"/>
        <w:jc w:val="left"/>
        <w:rPr>
          <w:rFonts w:ascii="宋体" w:hAnsi="宋体" w:cs="宋体" w:eastAsia="宋体" w:hint="default"/>
          <w:sz w:val="18"/>
          <w:szCs w:val="18"/>
        </w:rPr>
      </w:pPr>
      <w:r>
        <w:rPr/>
        <w:pict>
          <v:group style="position:absolute;margin-left:170.759995pt;margin-top:-88.318268pt;width:364.7pt;height:.1pt;mso-position-horizontal-relative:page;mso-position-vertical-relative:paragraph;z-index:-630088" coordorigin="3415,-1766" coordsize="7294,2">
            <v:shape style="position:absolute;left:3415;top:-1766;width:7294;height:2" coordorigin="3415,-1766" coordsize="7294,0" path="m3415,-1766l10709,-1766e" filled="false" stroked="true" strokeweight=".48pt" strokecolor="#000000">
              <v:path arrowok="t"/>
            </v:shape>
            <w10:wrap type="none"/>
          </v:group>
        </w:pic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：期末本账户余额中无持有本公司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以上股份的股东欠款。</w:t>
      </w:r>
    </w:p>
    <w:p>
      <w:pPr>
        <w:spacing w:before="142"/>
        <w:ind w:left="83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：本账户期末余额中欠款金额前五名和占应收账款账面余额比例如下：</w:t>
      </w:r>
    </w:p>
    <w:p>
      <w:pPr>
        <w:tabs>
          <w:tab w:pos="4958" w:val="left" w:leader="none"/>
          <w:tab w:pos="6856" w:val="left" w:leader="none"/>
          <w:tab w:pos="8594" w:val="left" w:leader="none"/>
        </w:tabs>
        <w:spacing w:before="63"/>
        <w:ind w:left="2075" w:right="0" w:firstLine="0"/>
        <w:jc w:val="left"/>
        <w:rPr>
          <w:rFonts w:ascii="宋体" w:hAnsi="宋体" w:cs="宋体" w:eastAsia="宋体" w:hint="default"/>
          <w:sz w:val="18"/>
          <w:szCs w:val="18"/>
        </w:rPr>
      </w:pPr>
      <w:r>
        <w:rPr/>
        <w:pict>
          <v:shape style="position:absolute;margin-left:56.639999pt;margin-top:17.567331pt;width:484.2pt;height:43.25pt;mso-position-horizontal-relative:page;mso-position-vertical-relative:paragraph;z-index:5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4"/>
                    <w:gridCol w:w="319"/>
                    <w:gridCol w:w="1565"/>
                    <w:gridCol w:w="319"/>
                    <w:gridCol w:w="1951"/>
                    <w:gridCol w:w="283"/>
                    <w:gridCol w:w="1682"/>
                  </w:tblGrid>
                  <w:tr>
                    <w:trPr>
                      <w:trHeight w:val="210" w:hRule="exact"/>
                    </w:trPr>
                    <w:tc>
                      <w:tcPr>
                        <w:tcW w:w="8002" w:type="dxa"/>
                        <w:gridSpan w:val="6"/>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r>
                  <w:tr>
                    <w:trPr>
                      <w:trHeight w:val="341" w:hRule="exact"/>
                    </w:trPr>
                    <w:tc>
                      <w:tcPr>
                        <w:tcW w:w="356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6,085,639.24</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9.17%</w:t>
                        </w:r>
                      </w:p>
                    </w:tc>
                  </w:tr>
                  <w:tr>
                    <w:trPr>
                      <w:trHeight w:val="314"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4,965,219.20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7.49%</w:t>
                        </w:r>
                      </w:p>
                    </w:tc>
                  </w:tr>
                </w:tbl>
                <w:p>
                  <w:pPr/>
                </w:p>
              </w:txbxContent>
            </v:textbox>
            <w10:wrap type="none"/>
          </v:shape>
        </w:pict>
      </w:r>
      <w:r>
        <w:rPr>
          <w:rFonts w:ascii="宋体" w:hAnsi="宋体" w:cs="宋体" w:eastAsia="宋体" w:hint="default"/>
          <w:position w:val="-11"/>
          <w:sz w:val="18"/>
          <w:szCs w:val="18"/>
        </w:rPr>
        <w:t>单位</w:t>
        <w:tab/>
        <w:t>金额</w:t>
        <w:tab/>
        <w:t>欠款年限</w:t>
        <w:tab/>
      </w:r>
      <w:r>
        <w:rPr>
          <w:rFonts w:ascii="宋体" w:hAnsi="宋体" w:cs="宋体" w:eastAsia="宋体" w:hint="default"/>
          <w:sz w:val="18"/>
          <w:szCs w:val="18"/>
        </w:rPr>
        <w:t>占应收款项总额比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49" w:footer="976" w:top="1460" w:bottom="1160" w:left="660" w:right="480"/>
        </w:sectPr>
      </w:pPr>
    </w:p>
    <w:p>
      <w:pPr>
        <w:tabs>
          <w:tab w:pos="4867" w:val="left" w:leader="none"/>
          <w:tab w:pos="6359" w:val="left" w:leader="none"/>
        </w:tabs>
        <w:spacing w:line="303" w:lineRule="exact" w:before="39"/>
        <w:ind w:left="583"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tab/>
      </w:r>
      <w:r>
        <w:rPr>
          <w:rFonts w:ascii="Times New Roman" w:hAnsi="Times New Roman" w:cs="Times New Roman" w:eastAsia="Times New Roman" w:hint="default"/>
          <w:spacing w:val="-1"/>
          <w:sz w:val="18"/>
          <w:szCs w:val="18"/>
        </w:rPr>
        <w:t>2,800,000.00</w:t>
        <w:tab/>
      </w:r>
      <w:r>
        <w:rPr>
          <w:rFonts w:ascii="Times New Roman" w:hAnsi="Times New Roman" w:cs="Times New Roman" w:eastAsia="Times New Roman" w:hint="default"/>
          <w:position w:val="12"/>
          <w:sz w:val="18"/>
          <w:szCs w:val="18"/>
        </w:rPr>
        <w:t>1 </w:t>
      </w:r>
      <w:r>
        <w:rPr>
          <w:rFonts w:ascii="宋体" w:hAnsi="宋体" w:cs="宋体" w:eastAsia="宋体" w:hint="default"/>
          <w:spacing w:val="-1"/>
          <w:position w:val="12"/>
          <w:sz w:val="18"/>
          <w:szCs w:val="18"/>
        </w:rPr>
        <w:t>年以内、</w:t>
      </w:r>
      <w:r>
        <w:rPr>
          <w:rFonts w:ascii="Times New Roman" w:hAnsi="Times New Roman" w:cs="Times New Roman" w:eastAsia="Times New Roman" w:hint="default"/>
          <w:spacing w:val="-1"/>
          <w:position w:val="12"/>
          <w:sz w:val="18"/>
          <w:szCs w:val="18"/>
        </w:rPr>
        <w:t>1</w:t>
      </w:r>
      <w:r>
        <w:rPr>
          <w:rFonts w:ascii="宋体" w:hAnsi="宋体" w:cs="宋体" w:eastAsia="宋体" w:hint="default"/>
          <w:spacing w:val="-1"/>
          <w:position w:val="12"/>
          <w:sz w:val="18"/>
          <w:szCs w:val="18"/>
        </w:rPr>
        <w:t>－</w:t>
      </w:r>
      <w:r>
        <w:rPr>
          <w:rFonts w:ascii="Times New Roman" w:hAnsi="Times New Roman" w:cs="Times New Roman" w:eastAsia="Times New Roman" w:hint="default"/>
          <w:spacing w:val="-1"/>
          <w:position w:val="12"/>
          <w:sz w:val="18"/>
          <w:szCs w:val="18"/>
        </w:rPr>
        <w:t>2</w:t>
      </w:r>
      <w:r>
        <w:rPr>
          <w:rFonts w:ascii="Times New Roman" w:hAnsi="Times New Roman" w:cs="Times New Roman" w:eastAsia="Times New Roman" w:hint="default"/>
          <w:spacing w:val="5"/>
          <w:position w:val="12"/>
          <w:sz w:val="18"/>
          <w:szCs w:val="18"/>
        </w:rPr>
        <w:t> </w:t>
      </w:r>
      <w:r>
        <w:rPr>
          <w:rFonts w:ascii="宋体" w:hAnsi="宋体" w:cs="宋体" w:eastAsia="宋体" w:hint="default"/>
          <w:position w:val="12"/>
          <w:sz w:val="18"/>
          <w:szCs w:val="18"/>
        </w:rPr>
        <w:t>年、</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183" w:lineRule="exact" w:before="0"/>
        <w:ind w:left="0" w:right="605" w:firstLine="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0" w:lineRule="auto" w:before="6"/>
        <w:rPr>
          <w:rFonts w:ascii="宋体" w:hAnsi="宋体" w:cs="宋体" w:eastAsia="宋体" w:hint="default"/>
          <w:sz w:val="15"/>
          <w:szCs w:val="15"/>
        </w:rPr>
      </w:pPr>
      <w:r>
        <w:rPr/>
        <w:br w:type="column"/>
      </w:r>
      <w:r>
        <w:rPr>
          <w:rFonts w:ascii="宋体"/>
          <w:sz w:val="15"/>
        </w:rPr>
      </w:r>
    </w:p>
    <w:p>
      <w:pPr>
        <w:spacing w:before="0"/>
        <w:ind w:left="583" w:right="0" w:firstLine="0"/>
        <w:jc w:val="left"/>
        <w:rPr>
          <w:rFonts w:ascii="Times New Roman" w:hAnsi="Times New Roman" w:cs="Times New Roman" w:eastAsia="Times New Roman" w:hint="default"/>
          <w:sz w:val="18"/>
          <w:szCs w:val="18"/>
        </w:rPr>
      </w:pPr>
      <w:r>
        <w:rPr>
          <w:rFonts w:ascii="Times New Roman"/>
          <w:sz w:val="18"/>
        </w:rPr>
        <w:t>4.22%</w:t>
      </w:r>
    </w:p>
    <w:p>
      <w:pPr>
        <w:spacing w:after="0"/>
        <w:jc w:val="left"/>
        <w:rPr>
          <w:rFonts w:ascii="Times New Roman" w:hAnsi="Times New Roman" w:cs="Times New Roman" w:eastAsia="Times New Roman" w:hint="default"/>
          <w:sz w:val="18"/>
          <w:szCs w:val="18"/>
        </w:rPr>
        <w:sectPr>
          <w:type w:val="continuous"/>
          <w:pgSz w:w="11910" w:h="16840"/>
          <w:pgMar w:top="1580" w:bottom="280" w:left="660" w:right="480"/>
          <w:cols w:num="2" w:equalWidth="0">
            <w:col w:w="8071" w:space="430"/>
            <w:col w:w="2269"/>
          </w:cols>
        </w:sectPr>
      </w:pPr>
    </w:p>
    <w:p>
      <w:pPr>
        <w:tabs>
          <w:tab w:pos="4867" w:val="left" w:leader="none"/>
          <w:tab w:pos="6496" w:val="left" w:leader="none"/>
          <w:tab w:pos="9083" w:val="left" w:leader="none"/>
        </w:tabs>
        <w:spacing w:before="34"/>
        <w:ind w:left="5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tab/>
      </w:r>
      <w:r>
        <w:rPr>
          <w:rFonts w:ascii="Times New Roman" w:hAnsi="Times New Roman" w:cs="Times New Roman" w:eastAsia="Times New Roman" w:hint="default"/>
          <w:spacing w:val="-1"/>
          <w:sz w:val="18"/>
          <w:szCs w:val="18"/>
        </w:rPr>
        <w:t>2,616,375.71</w:t>
        <w:tab/>
      </w:r>
      <w:r>
        <w:rPr>
          <w:rFonts w:ascii="Times New Roman" w:hAnsi="Times New Roman" w:cs="Times New Roman" w:eastAsia="Times New Roman" w:hint="default"/>
          <w:sz w:val="18"/>
          <w:szCs w:val="18"/>
        </w:rPr>
        <w:t>1 </w:t>
      </w:r>
      <w:r>
        <w:rPr>
          <w:rFonts w:ascii="宋体" w:hAnsi="宋体" w:cs="宋体" w:eastAsia="宋体" w:hint="default"/>
          <w:spacing w:val="-1"/>
          <w:sz w:val="18"/>
          <w:szCs w:val="18"/>
        </w:rPr>
        <w:t>年以内、</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3.94%</w:t>
      </w:r>
    </w:p>
    <w:p>
      <w:pPr>
        <w:spacing w:after="0"/>
        <w:jc w:val="left"/>
        <w:rPr>
          <w:rFonts w:ascii="Times New Roman" w:hAnsi="Times New Roman" w:cs="Times New Roman" w:eastAsia="Times New Roman" w:hint="default"/>
          <w:sz w:val="18"/>
          <w:szCs w:val="18"/>
        </w:rPr>
        <w:sectPr>
          <w:type w:val="continuous"/>
          <w:pgSz w:w="11910" w:h="16840"/>
          <w:pgMar w:top="1580" w:bottom="280" w:left="660" w:right="480"/>
        </w:sectPr>
      </w:pPr>
    </w:p>
    <w:p>
      <w:pPr>
        <w:tabs>
          <w:tab w:pos="4867" w:val="left" w:leader="none"/>
          <w:tab w:pos="6359" w:val="left" w:leader="none"/>
        </w:tabs>
        <w:spacing w:line="303" w:lineRule="exact" w:before="29"/>
        <w:ind w:left="583"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tab/>
      </w:r>
      <w:r>
        <w:rPr>
          <w:rFonts w:ascii="Times New Roman" w:hAnsi="Times New Roman" w:cs="Times New Roman" w:eastAsia="Times New Roman" w:hint="default"/>
          <w:spacing w:val="-1"/>
          <w:sz w:val="18"/>
          <w:szCs w:val="18"/>
        </w:rPr>
        <w:t>2,355,595.00</w:t>
        <w:tab/>
      </w:r>
      <w:r>
        <w:rPr>
          <w:rFonts w:ascii="Times New Roman" w:hAnsi="Times New Roman" w:cs="Times New Roman" w:eastAsia="Times New Roman" w:hint="default"/>
          <w:position w:val="12"/>
          <w:sz w:val="18"/>
          <w:szCs w:val="18"/>
        </w:rPr>
        <w:t>1 </w:t>
      </w:r>
      <w:r>
        <w:rPr>
          <w:rFonts w:ascii="宋体" w:hAnsi="宋体" w:cs="宋体" w:eastAsia="宋体" w:hint="default"/>
          <w:spacing w:val="-1"/>
          <w:position w:val="12"/>
          <w:sz w:val="18"/>
          <w:szCs w:val="18"/>
        </w:rPr>
        <w:t>年以内、</w:t>
      </w:r>
      <w:r>
        <w:rPr>
          <w:rFonts w:ascii="Times New Roman" w:hAnsi="Times New Roman" w:cs="Times New Roman" w:eastAsia="Times New Roman" w:hint="default"/>
          <w:spacing w:val="-1"/>
          <w:position w:val="12"/>
          <w:sz w:val="18"/>
          <w:szCs w:val="18"/>
        </w:rPr>
        <w:t>1</w:t>
      </w:r>
      <w:r>
        <w:rPr>
          <w:rFonts w:ascii="宋体" w:hAnsi="宋体" w:cs="宋体" w:eastAsia="宋体" w:hint="default"/>
          <w:spacing w:val="-1"/>
          <w:position w:val="12"/>
          <w:sz w:val="18"/>
          <w:szCs w:val="18"/>
        </w:rPr>
        <w:t>－</w:t>
      </w:r>
      <w:r>
        <w:rPr>
          <w:rFonts w:ascii="Times New Roman" w:hAnsi="Times New Roman" w:cs="Times New Roman" w:eastAsia="Times New Roman" w:hint="default"/>
          <w:spacing w:val="-1"/>
          <w:position w:val="12"/>
          <w:sz w:val="18"/>
          <w:szCs w:val="18"/>
        </w:rPr>
        <w:t>2</w:t>
      </w:r>
      <w:r>
        <w:rPr>
          <w:rFonts w:ascii="Times New Roman" w:hAnsi="Times New Roman" w:cs="Times New Roman" w:eastAsia="Times New Roman" w:hint="default"/>
          <w:spacing w:val="5"/>
          <w:position w:val="12"/>
          <w:sz w:val="18"/>
          <w:szCs w:val="18"/>
        </w:rPr>
        <w:t> </w:t>
      </w:r>
      <w:r>
        <w:rPr>
          <w:rFonts w:ascii="宋体" w:hAnsi="宋体" w:cs="宋体" w:eastAsia="宋体" w:hint="default"/>
          <w:position w:val="12"/>
          <w:sz w:val="18"/>
          <w:szCs w:val="18"/>
        </w:rPr>
        <w:t>年、</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183" w:lineRule="exact" w:before="0"/>
        <w:ind w:left="0" w:right="222" w:firstLine="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0" w:lineRule="auto" w:before="8"/>
        <w:rPr>
          <w:rFonts w:ascii="宋体" w:hAnsi="宋体" w:cs="宋体" w:eastAsia="宋体" w:hint="default"/>
          <w:sz w:val="14"/>
          <w:szCs w:val="14"/>
        </w:rPr>
      </w:pPr>
      <w:r>
        <w:rPr/>
        <w:br w:type="column"/>
      </w:r>
      <w:r>
        <w:rPr>
          <w:rFonts w:ascii="宋体"/>
          <w:sz w:val="14"/>
        </w:rPr>
      </w:r>
    </w:p>
    <w:p>
      <w:pPr>
        <w:spacing w:before="0"/>
        <w:ind w:left="583" w:right="0" w:firstLine="0"/>
        <w:jc w:val="left"/>
        <w:rPr>
          <w:rFonts w:ascii="Times New Roman" w:hAnsi="Times New Roman" w:cs="Times New Roman" w:eastAsia="Times New Roman" w:hint="default"/>
          <w:sz w:val="18"/>
          <w:szCs w:val="18"/>
        </w:rPr>
      </w:pPr>
      <w:r>
        <w:rPr>
          <w:rFonts w:ascii="Times New Roman"/>
          <w:sz w:val="18"/>
        </w:rPr>
        <w:t>3.55%</w:t>
      </w:r>
    </w:p>
    <w:p>
      <w:pPr>
        <w:spacing w:after="0"/>
        <w:jc w:val="left"/>
        <w:rPr>
          <w:rFonts w:ascii="Times New Roman" w:hAnsi="Times New Roman" w:cs="Times New Roman" w:eastAsia="Times New Roman" w:hint="default"/>
          <w:sz w:val="18"/>
          <w:szCs w:val="18"/>
        </w:rPr>
        <w:sectPr>
          <w:type w:val="continuous"/>
          <w:pgSz w:w="11910" w:h="16840"/>
          <w:pgMar w:top="1580" w:bottom="280" w:left="660" w:right="480"/>
          <w:cols w:num="2" w:equalWidth="0">
            <w:col w:w="8071" w:space="430"/>
            <w:col w:w="2269"/>
          </w:cols>
        </w:sectPr>
      </w:pPr>
    </w:p>
    <w:p>
      <w:pPr>
        <w:tabs>
          <w:tab w:pos="8469" w:val="left" w:leader="none"/>
        </w:tabs>
        <w:spacing w:line="20" w:lineRule="exact"/>
        <w:ind w:left="4351" w:right="0" w:firstLine="0"/>
        <w:rPr>
          <w:rFonts w:ascii="Times New Roman" w:hAnsi="Times New Roman" w:cs="Times New Roman" w:eastAsia="Times New Roman" w:hint="default"/>
          <w:sz w:val="2"/>
          <w:szCs w:val="2"/>
        </w:rPr>
      </w:pPr>
      <w:r>
        <w:rPr>
          <w:rFonts w:ascii="Times New Roman"/>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5;top:5;width:1565;height:2" coordorigin="5,5" coordsize="1565,2">
              <v:shape style="position:absolute;left:5;top:5;width:1565;height:2" coordorigin="5,5" coordsize="1565,0" path="m5,5l157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4.6pt;height:.6pt;mso-position-horizontal-relative:char;mso-position-vertical-relative:line" coordorigin="0,0" coordsize="1692,12">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5;top:7;width:1683;height:2" coordorigin="5,7" coordsize="1683,2">
              <v:shape style="position:absolute;left:5;top:7;width:1683;height:2" coordorigin="5,7" coordsize="1683,0" path="m5,7l1687,7e" filled="false" stroked="true" strokeweight=".48pt" strokecolor="#000000">
                <v:path arrowok="t"/>
              </v:shape>
            </v:group>
          </v:group>
        </w:pict>
      </w:r>
      <w:r>
        <w:rPr>
          <w:rFonts w:ascii="Times New Roman"/>
          <w:sz w:val="2"/>
        </w:rPr>
      </w:r>
    </w:p>
    <w:p>
      <w:pPr>
        <w:tabs>
          <w:tab w:pos="4778" w:val="left" w:leader="none"/>
          <w:tab w:pos="7036" w:val="left" w:leader="none"/>
          <w:tab w:pos="9038" w:val="left" w:leader="none"/>
        </w:tabs>
        <w:spacing w:before="21"/>
        <w:ind w:left="20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18,822,829.15</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28.37%</w:t>
      </w:r>
    </w:p>
    <w:p>
      <w:pPr>
        <w:spacing w:line="240" w:lineRule="auto" w:before="7"/>
        <w:rPr>
          <w:rFonts w:ascii="Times New Roman" w:hAnsi="Times New Roman" w:cs="Times New Roman" w:eastAsia="Times New Roman" w:hint="default"/>
          <w:sz w:val="5"/>
          <w:szCs w:val="5"/>
        </w:rPr>
      </w:pPr>
    </w:p>
    <w:p>
      <w:pPr>
        <w:tabs>
          <w:tab w:pos="8469" w:val="left" w:leader="none"/>
        </w:tabs>
        <w:spacing w:line="28" w:lineRule="exact"/>
        <w:ind w:left="4351" w:right="0" w:firstLine="0"/>
        <w:rPr>
          <w:rFonts w:ascii="Times New Roman" w:hAnsi="Times New Roman" w:cs="Times New Roman" w:eastAsia="Times New Roman" w:hint="default"/>
          <w:sz w:val="2"/>
          <w:szCs w:val="2"/>
        </w:rPr>
      </w:pPr>
      <w:r>
        <w:rPr>
          <w:rFonts w:ascii="Times New Roman"/>
          <w:position w:val="0"/>
          <w:sz w:val="2"/>
        </w:rPr>
        <w:pict>
          <v:group style="width:78.75pt;height:1.45pt;mso-position-horizontal-relative:char;mso-position-vertical-relative:line" coordorigin="0,0" coordsize="1575,29">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5;top:24;width:1565;height:2" coordorigin="5,24" coordsize="1565,2">
              <v:shape style="position:absolute;left:5;top:24;width:1565;height:2" coordorigin="5,24" coordsize="1565,0" path="m5,24l157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4.6pt;height:1.45pt;mso-position-horizontal-relative:char;mso-position-vertical-relative:line" coordorigin="0,0" coordsize="1692,29">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5;top:24;width:1683;height:2" coordorigin="5,24" coordsize="1683,2">
              <v:shape style="position:absolute;left:5;top:24;width:1683;height:2" coordorigin="5,24" coordsize="1683,0" path="m5,24l1687,24e" filled="false" stroked="true" strokeweight=".48pt" strokecolor="#000000">
                <v:path arrowok="t"/>
              </v:shape>
            </v:group>
          </v:group>
        </w:pict>
      </w:r>
      <w:r>
        <w:rPr>
          <w:rFonts w:ascii="Times New Roman"/>
          <w:position w:val="0"/>
          <w:sz w:val="2"/>
        </w:rPr>
      </w:r>
    </w:p>
    <w:p>
      <w:pPr>
        <w:spacing w:line="240" w:lineRule="auto" w:before="1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type w:val="continuous"/>
          <w:pgSz w:w="11910" w:h="16840"/>
          <w:pgMar w:top="1580" w:bottom="280" w:left="660" w:right="480"/>
        </w:sectPr>
      </w:pPr>
    </w:p>
    <w:p>
      <w:pPr>
        <w:pStyle w:val="BodyText"/>
        <w:spacing w:line="240" w:lineRule="auto" w:before="34"/>
        <w:ind w:left="998" w:right="0"/>
        <w:jc w:val="left"/>
      </w:pPr>
      <w:r>
        <w:rPr>
          <w:rFonts w:ascii="Times New Roman" w:hAnsi="Times New Roman" w:cs="Times New Roman" w:eastAsia="Times New Roman" w:hint="default"/>
          <w:w w:val="95"/>
        </w:rPr>
        <w:t>4</w:t>
      </w:r>
      <w:r>
        <w:rPr>
          <w:w w:val="95"/>
        </w:rPr>
        <w:t>、预付款项</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tabs>
          <w:tab w:pos="4797" w:val="left" w:leader="none"/>
        </w:tabs>
        <w:spacing w:before="0"/>
        <w:ind w:left="998" w:right="0" w:firstLine="0"/>
        <w:jc w:val="left"/>
        <w:rPr>
          <w:rFonts w:ascii="宋体" w:hAnsi="宋体" w:cs="宋体" w:eastAsia="宋体" w:hint="default"/>
          <w:sz w:val="18"/>
          <w:szCs w:val="18"/>
        </w:rPr>
      </w:pPr>
      <w:r>
        <w:rPr/>
        <w:pict>
          <v:group style="position:absolute;margin-left:170.759995pt;margin-top:15.191699pt;width:176.4pt;height:.1pt;mso-position-horizontal-relative:page;mso-position-vertical-relative:paragraph;z-index:-630064" coordorigin="3415,304" coordsize="3528,2">
            <v:shape style="position:absolute;left:3415;top:304;width:3528;height:2" coordorigin="3415,304" coordsize="3528,0" path="m3415,304l6943,304e" filled="false" stroked="true" strokeweight=".48pt" strokecolor="#000000">
              <v:path arrowok="t"/>
            </v:shape>
            <w10:wrap type="none"/>
          </v:group>
        </w:pict>
      </w:r>
      <w:r>
        <w:rPr/>
        <w:pict>
          <v:group style="position:absolute;margin-left:361.199982pt;margin-top:15.191699pt;width:175.35pt;height:.1pt;mso-position-horizontal-relative:page;mso-position-vertical-relative:paragraph;z-index:-630040" coordorigin="7224,304" coordsize="3507,2">
            <v:shape style="position:absolute;left:7224;top:304;width:3507;height:2" coordorigin="7224,304" coordsize="3507,0" path="m7224,304l10730,304e" filled="false" stroked="true" strokeweight=".48pt" strokecolor="#000000">
              <v:path arrowok="t"/>
            </v:shape>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type w:val="continuous"/>
          <w:pgSz w:w="11910" w:h="16840"/>
          <w:pgMar w:top="1580" w:bottom="280" w:left="660" w:right="480"/>
          <w:cols w:num="2" w:equalWidth="0">
            <w:col w:w="2153" w:space="1096"/>
            <w:col w:w="7521"/>
          </w:cols>
        </w:sectPr>
      </w:pPr>
    </w:p>
    <w:tbl>
      <w:tblPr>
        <w:tblW w:w="0" w:type="auto"/>
        <w:jc w:val="left"/>
        <w:tblInd w:w="548" w:type="dxa"/>
        <w:tblLayout w:type="fixed"/>
        <w:tblCellMar>
          <w:top w:w="0" w:type="dxa"/>
          <w:left w:w="0" w:type="dxa"/>
          <w:bottom w:w="0" w:type="dxa"/>
          <w:right w:w="0" w:type="dxa"/>
        </w:tblCellMar>
        <w:tblLook w:val="01E0"/>
      </w:tblPr>
      <w:tblGrid>
        <w:gridCol w:w="881"/>
        <w:gridCol w:w="956"/>
        <w:gridCol w:w="370"/>
        <w:gridCol w:w="2023"/>
        <w:gridCol w:w="1505"/>
        <w:gridCol w:w="281"/>
        <w:gridCol w:w="1840"/>
        <w:gridCol w:w="1666"/>
      </w:tblGrid>
      <w:tr>
        <w:trPr>
          <w:trHeight w:val="421"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173" w:lineRule="exact"/>
              <w:ind w:right="89"/>
              <w:jc w:val="right"/>
              <w:rPr>
                <w:rFonts w:ascii="宋体" w:hAnsi="宋体" w:cs="宋体" w:eastAsia="宋体" w:hint="default"/>
                <w:sz w:val="18"/>
                <w:szCs w:val="18"/>
              </w:rPr>
            </w:pPr>
            <w:r>
              <w:rPr>
                <w:rFonts w:ascii="宋体" w:hAnsi="宋体" w:cs="宋体" w:eastAsia="宋体" w:hint="default"/>
                <w:sz w:val="18"/>
                <w:szCs w:val="18"/>
              </w:rPr>
              <w:t>账</w:t>
            </w:r>
          </w:p>
        </w:tc>
        <w:tc>
          <w:tcPr>
            <w:tcW w:w="8641" w:type="dxa"/>
            <w:gridSpan w:val="7"/>
            <w:tcBorders>
              <w:top w:val="nil" w:sz="6" w:space="0" w:color="auto"/>
              <w:left w:val="nil" w:sz="6" w:space="0" w:color="auto"/>
              <w:bottom w:val="nil" w:sz="6" w:space="0" w:color="auto"/>
              <w:right w:val="nil" w:sz="6" w:space="0" w:color="auto"/>
            </w:tcBorders>
          </w:tcPr>
          <w:p>
            <w:pPr>
              <w:pStyle w:val="TableParagraph"/>
              <w:spacing w:line="134" w:lineRule="exact"/>
              <w:ind w:left="89" w:right="0"/>
              <w:jc w:val="left"/>
              <w:rPr>
                <w:rFonts w:ascii="宋体" w:hAnsi="宋体" w:cs="宋体" w:eastAsia="宋体" w:hint="default"/>
                <w:sz w:val="18"/>
                <w:szCs w:val="18"/>
              </w:rPr>
            </w:pPr>
            <w:r>
              <w:rPr>
                <w:rFonts w:ascii="宋体" w:hAnsi="宋体" w:cs="宋体" w:eastAsia="宋体" w:hint="default"/>
                <w:sz w:val="18"/>
                <w:szCs w:val="18"/>
              </w:rPr>
              <w:t>龄</w:t>
            </w:r>
          </w:p>
          <w:p>
            <w:pPr>
              <w:pStyle w:val="TableParagraph"/>
              <w:tabs>
                <w:tab w:pos="3812" w:val="left" w:leader="none"/>
                <w:tab w:pos="5842" w:val="left" w:leader="none"/>
                <w:tab w:pos="7594" w:val="left" w:leader="none"/>
              </w:tabs>
              <w:spacing w:line="197" w:lineRule="exact"/>
              <w:ind w:left="2050" w:right="0"/>
              <w:jc w:val="left"/>
              <w:rPr>
                <w:rFonts w:ascii="宋体" w:hAnsi="宋体" w:cs="宋体" w:eastAsia="宋体" w:hint="default"/>
                <w:sz w:val="18"/>
                <w:szCs w:val="18"/>
              </w:rPr>
            </w:pPr>
            <w:r>
              <w:rPr>
                <w:rFonts w:ascii="宋体" w:hAnsi="宋体" w:cs="宋体" w:eastAsia="宋体" w:hint="default"/>
                <w:sz w:val="18"/>
                <w:szCs w:val="18"/>
              </w:rPr>
              <w:t>金额</w:t>
              <w:tab/>
              <w:t>比例</w:t>
              <w:tab/>
              <w:t>金额</w:t>
              <w:tab/>
              <w:t>比例</w:t>
            </w:r>
          </w:p>
        </w:tc>
      </w:tr>
      <w:tr>
        <w:trPr>
          <w:trHeight w:val="346" w:hRule="exact"/>
        </w:trPr>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56" w:type="dxa"/>
            <w:tcBorders>
              <w:top w:val="single" w:sz="4" w:space="0" w:color="000000"/>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20"/>
              <w:jc w:val="right"/>
              <w:rPr>
                <w:rFonts w:ascii="Times New Roman" w:hAnsi="Times New Roman" w:cs="Times New Roman" w:eastAsia="Times New Roman" w:hint="default"/>
                <w:sz w:val="18"/>
                <w:szCs w:val="18"/>
              </w:rPr>
            </w:pPr>
            <w:r>
              <w:rPr>
                <w:rFonts w:ascii="Times New Roman"/>
                <w:spacing w:val="-1"/>
                <w:sz w:val="18"/>
              </w:rPr>
              <w:t>2,765,168.79</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80"/>
              <w:jc w:val="right"/>
              <w:rPr>
                <w:rFonts w:ascii="Times New Roman" w:hAnsi="Times New Roman" w:cs="Times New Roman" w:eastAsia="Times New Roman" w:hint="default"/>
                <w:sz w:val="18"/>
                <w:szCs w:val="18"/>
              </w:rPr>
            </w:pPr>
            <w:r>
              <w:rPr>
                <w:rFonts w:ascii="Times New Roman"/>
                <w:spacing w:val="-1"/>
                <w:sz w:val="18"/>
              </w:rPr>
              <w:t>97.96%</w:t>
            </w:r>
          </w:p>
        </w:tc>
        <w:tc>
          <w:tcPr>
            <w:tcW w:w="281"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415" w:right="0"/>
              <w:jc w:val="left"/>
              <w:rPr>
                <w:rFonts w:ascii="Times New Roman" w:hAnsi="Times New Roman" w:cs="Times New Roman" w:eastAsia="Times New Roman" w:hint="default"/>
                <w:sz w:val="18"/>
                <w:szCs w:val="18"/>
              </w:rPr>
            </w:pPr>
            <w:r>
              <w:rPr>
                <w:rFonts w:ascii="Times New Roman"/>
                <w:sz w:val="18"/>
              </w:rPr>
              <w:t>1,354,321.02</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523" w:right="0"/>
              <w:jc w:val="left"/>
              <w:rPr>
                <w:rFonts w:ascii="Times New Roman" w:hAnsi="Times New Roman" w:cs="Times New Roman" w:eastAsia="Times New Roman" w:hint="default"/>
                <w:sz w:val="18"/>
                <w:szCs w:val="18"/>
              </w:rPr>
            </w:pPr>
            <w:r>
              <w:rPr>
                <w:rFonts w:ascii="Times New Roman"/>
                <w:sz w:val="18"/>
              </w:rPr>
              <w:t>51.41%</w:t>
            </w:r>
          </w:p>
        </w:tc>
      </w:tr>
      <w:tr>
        <w:trPr>
          <w:trHeight w:val="336"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56"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20"/>
              <w:jc w:val="right"/>
              <w:rPr>
                <w:rFonts w:ascii="Times New Roman" w:hAnsi="Times New Roman" w:cs="Times New Roman" w:eastAsia="Times New Roman" w:hint="default"/>
                <w:sz w:val="18"/>
                <w:szCs w:val="18"/>
              </w:rPr>
            </w:pPr>
            <w:r>
              <w:rPr>
                <w:rFonts w:ascii="Times New Roman"/>
                <w:spacing w:val="-1"/>
                <w:sz w:val="18"/>
              </w:rPr>
              <w:t>57,469.00</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13" w:right="0"/>
              <w:jc w:val="left"/>
              <w:rPr>
                <w:rFonts w:ascii="Times New Roman" w:hAnsi="Times New Roman" w:cs="Times New Roman" w:eastAsia="Times New Roman" w:hint="default"/>
                <w:sz w:val="18"/>
                <w:szCs w:val="18"/>
              </w:rPr>
            </w:pPr>
            <w:r>
              <w:rPr>
                <w:rFonts w:ascii="Times New Roman"/>
                <w:sz w:val="18"/>
              </w:rPr>
              <w:t>2.04%</w:t>
            </w:r>
          </w:p>
        </w:tc>
        <w:tc>
          <w:tcPr>
            <w:tcW w:w="281"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15" w:right="0"/>
              <w:jc w:val="left"/>
              <w:rPr>
                <w:rFonts w:ascii="Times New Roman" w:hAnsi="Times New Roman" w:cs="Times New Roman" w:eastAsia="Times New Roman" w:hint="default"/>
                <w:sz w:val="18"/>
                <w:szCs w:val="18"/>
              </w:rPr>
            </w:pPr>
            <w:r>
              <w:rPr>
                <w:rFonts w:ascii="Times New Roman"/>
                <w:sz w:val="18"/>
              </w:rPr>
              <w:t>1,280,000.00</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523" w:right="0"/>
              <w:jc w:val="left"/>
              <w:rPr>
                <w:rFonts w:ascii="Times New Roman" w:hAnsi="Times New Roman" w:cs="Times New Roman" w:eastAsia="Times New Roman" w:hint="default"/>
                <w:sz w:val="18"/>
                <w:szCs w:val="18"/>
              </w:rPr>
            </w:pPr>
            <w:r>
              <w:rPr>
                <w:rFonts w:ascii="Times New Roman"/>
                <w:sz w:val="18"/>
              </w:rPr>
              <w:t>48.59%</w:t>
            </w:r>
          </w:p>
        </w:tc>
      </w:tr>
      <w:tr>
        <w:trPr>
          <w:trHeight w:val="365"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70" w:type="dxa"/>
            <w:tcBorders>
              <w:top w:val="nil" w:sz="6" w:space="0" w:color="auto"/>
              <w:left w:val="nil" w:sz="6" w:space="0" w:color="auto"/>
              <w:bottom w:val="nil" w:sz="6" w:space="0" w:color="auto"/>
              <w:right w:val="nil" w:sz="6" w:space="0" w:color="auto"/>
            </w:tcBorders>
          </w:tcPr>
          <w:p>
            <w:pPr/>
          </w:p>
        </w:tc>
        <w:tc>
          <w:tcPr>
            <w:tcW w:w="202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320"/>
              <w:jc w:val="right"/>
              <w:rPr>
                <w:rFonts w:ascii="Times New Roman" w:hAnsi="Times New Roman" w:cs="Times New Roman" w:eastAsia="Times New Roman" w:hint="default"/>
                <w:sz w:val="18"/>
                <w:szCs w:val="18"/>
              </w:rPr>
            </w:pPr>
            <w:r>
              <w:rPr>
                <w:rFonts w:ascii="Times New Roman"/>
                <w:spacing w:val="-1"/>
                <w:sz w:val="18"/>
              </w:rPr>
              <w:t>2,822,637.79</w:t>
            </w:r>
          </w:p>
        </w:tc>
        <w:tc>
          <w:tcPr>
            <w:tcW w:w="15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534"/>
              <w:jc w:val="right"/>
              <w:rPr>
                <w:rFonts w:ascii="Times New Roman" w:hAnsi="Times New Roman" w:cs="Times New Roman" w:eastAsia="Times New Roman" w:hint="default"/>
                <w:sz w:val="18"/>
                <w:szCs w:val="18"/>
              </w:rPr>
            </w:pPr>
            <w:r>
              <w:rPr>
                <w:rFonts w:ascii="Times New Roman"/>
                <w:spacing w:val="-1"/>
                <w:sz w:val="18"/>
              </w:rPr>
              <w:t>100.00%</w:t>
            </w:r>
          </w:p>
        </w:tc>
        <w:tc>
          <w:tcPr>
            <w:tcW w:w="281"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415" w:right="0"/>
              <w:jc w:val="left"/>
              <w:rPr>
                <w:rFonts w:ascii="Times New Roman" w:hAnsi="Times New Roman" w:cs="Times New Roman" w:eastAsia="Times New Roman" w:hint="default"/>
                <w:sz w:val="18"/>
                <w:szCs w:val="18"/>
              </w:rPr>
            </w:pPr>
            <w:r>
              <w:rPr>
                <w:rFonts w:ascii="Times New Roman"/>
                <w:sz w:val="18"/>
              </w:rPr>
              <w:t>2,634,321.02</w:t>
            </w:r>
          </w:p>
        </w:tc>
        <w:tc>
          <w:tcPr>
            <w:tcW w:w="1666"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478" w:right="0"/>
              <w:jc w:val="left"/>
              <w:rPr>
                <w:rFonts w:ascii="Times New Roman" w:hAnsi="Times New Roman" w:cs="Times New Roman" w:eastAsia="Times New Roman" w:hint="default"/>
                <w:sz w:val="18"/>
                <w:szCs w:val="18"/>
              </w:rPr>
            </w:pPr>
            <w:r>
              <w:rPr>
                <w:rFonts w:ascii="Times New Roman"/>
                <w:sz w:val="18"/>
              </w:rPr>
              <w:t>100.00%</w:t>
            </w:r>
          </w:p>
        </w:tc>
      </w:tr>
    </w:tbl>
    <w:p>
      <w:pPr>
        <w:spacing w:before="22"/>
        <w:ind w:left="835" w:right="0" w:firstLine="0"/>
        <w:jc w:val="left"/>
        <w:rPr>
          <w:rFonts w:ascii="宋体" w:hAnsi="宋体" w:cs="宋体" w:eastAsia="宋体" w:hint="default"/>
          <w:sz w:val="18"/>
          <w:szCs w:val="18"/>
        </w:rPr>
      </w:pPr>
      <w:r>
        <w:rPr/>
        <w:pict>
          <v:group style="position:absolute;margin-left:56.639999pt;margin-top:75.120026pt;width:63.15pt;height:12.4pt;mso-position-horizontal-relative:page;mso-position-vertical-relative:page;z-index:-630112"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：期末本账户余额中无持有本公司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以上股份的股东欠款。</w:t>
      </w:r>
    </w:p>
    <w:p>
      <w:pPr>
        <w:spacing w:before="139"/>
        <w:ind w:left="83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：本账户期末余额中欠款金额前五名和占预付款项账面余额比例如下：</w:t>
      </w:r>
    </w:p>
    <w:p>
      <w:pPr>
        <w:spacing w:line="240" w:lineRule="auto" w:before="3"/>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899"/>
        <w:gridCol w:w="2113"/>
        <w:gridCol w:w="283"/>
        <w:gridCol w:w="1656"/>
        <w:gridCol w:w="283"/>
        <w:gridCol w:w="1651"/>
        <w:gridCol w:w="283"/>
        <w:gridCol w:w="1438"/>
        <w:gridCol w:w="230"/>
        <w:gridCol w:w="1709"/>
      </w:tblGrid>
      <w:tr>
        <w:trPr>
          <w:trHeight w:val="360" w:hRule="exact"/>
        </w:trPr>
        <w:tc>
          <w:tcPr>
            <w:tcW w:w="899" w:type="dxa"/>
            <w:tcBorders>
              <w:top w:val="nil" w:sz="6" w:space="0" w:color="auto"/>
              <w:left w:val="nil" w:sz="6" w:space="0" w:color="auto"/>
              <w:bottom w:val="single" w:sz="4" w:space="0" w:color="000000"/>
              <w:right w:val="nil" w:sz="6" w:space="0" w:color="auto"/>
            </w:tcBorders>
          </w:tcPr>
          <w:p>
            <w:pPr/>
          </w:p>
        </w:tc>
        <w:tc>
          <w:tcPr>
            <w:tcW w:w="21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8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3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5" w:hRule="exact"/>
        </w:trPr>
        <w:tc>
          <w:tcPr>
            <w:tcW w:w="8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113"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3"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884,999.87</w:t>
            </w:r>
          </w:p>
        </w:tc>
        <w:tc>
          <w:tcPr>
            <w:tcW w:w="283" w:type="dxa"/>
            <w:tcBorders>
              <w:top w:val="nil" w:sz="6" w:space="0" w:color="auto"/>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预付硬件采购款</w:t>
            </w:r>
          </w:p>
        </w:tc>
      </w:tr>
      <w:tr>
        <w:trPr>
          <w:trHeight w:val="335"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11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Times New Roman" w:hAnsi="Times New Roman" w:cs="Times New Roman" w:eastAsia="Times New Roman" w:hint="default"/>
                <w:sz w:val="18"/>
                <w:szCs w:val="18"/>
              </w:rPr>
            </w:pPr>
            <w:r>
              <w:rPr>
                <w:rFonts w:ascii="Times New Roman"/>
                <w:spacing w:val="-1"/>
                <w:sz w:val="18"/>
              </w:rPr>
              <w:t>361,800.00</w:t>
            </w:r>
          </w:p>
        </w:tc>
        <w:tc>
          <w:tcPr>
            <w:tcW w:w="2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预付硬件采购款</w:t>
            </w:r>
          </w:p>
        </w:tc>
      </w:tr>
      <w:tr>
        <w:trPr>
          <w:trHeight w:val="334"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11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291,044.00</w:t>
            </w:r>
          </w:p>
        </w:tc>
        <w:tc>
          <w:tcPr>
            <w:tcW w:w="2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预付硬件采购款</w:t>
            </w:r>
          </w:p>
        </w:tc>
      </w:tr>
      <w:tr>
        <w:trPr>
          <w:trHeight w:val="334"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11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205,103.71</w:t>
            </w:r>
          </w:p>
        </w:tc>
        <w:tc>
          <w:tcPr>
            <w:tcW w:w="2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预付硬件采购款</w:t>
            </w:r>
          </w:p>
        </w:tc>
      </w:tr>
      <w:tr>
        <w:trPr>
          <w:trHeight w:val="333"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11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193,720.00</w:t>
            </w:r>
          </w:p>
        </w:tc>
        <w:tc>
          <w:tcPr>
            <w:tcW w:w="2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预付硬件采购款</w:t>
            </w:r>
          </w:p>
        </w:tc>
      </w:tr>
      <w:tr>
        <w:trPr>
          <w:trHeight w:val="355" w:hRule="exact"/>
        </w:trPr>
        <w:tc>
          <w:tcPr>
            <w:tcW w:w="899"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94"/>
              <w:jc w:val="center"/>
              <w:rPr>
                <w:rFonts w:ascii="宋体" w:hAnsi="宋体" w:cs="宋体" w:eastAsia="宋体" w:hint="default"/>
                <w:sz w:val="18"/>
                <w:szCs w:val="18"/>
              </w:rPr>
            </w:pPr>
            <w:r>
              <w:rPr>
                <w:rFonts w:ascii="宋体" w:hAnsi="宋体" w:cs="宋体" w:eastAsia="宋体" w:hint="default"/>
                <w:sz w:val="18"/>
                <w:szCs w:val="18"/>
              </w:rPr>
              <w:t>合计</w:t>
            </w:r>
          </w:p>
        </w:tc>
        <w:tc>
          <w:tcPr>
            <w:tcW w:w="28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1,936,667.58</w:t>
            </w:r>
          </w:p>
        </w:tc>
        <w:tc>
          <w:tcPr>
            <w:tcW w:w="283"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280" w:left="660" w:right="480"/>
        </w:sectPr>
      </w:pPr>
    </w:p>
    <w:p>
      <w:pPr>
        <w:spacing w:line="240" w:lineRule="auto" w:before="0"/>
        <w:rPr>
          <w:rFonts w:ascii="宋体" w:hAnsi="宋体" w:cs="宋体" w:eastAsia="宋体" w:hint="default"/>
          <w:sz w:val="2"/>
          <w:szCs w:val="2"/>
        </w:rPr>
      </w:pPr>
    </w:p>
    <w:p>
      <w:pPr>
        <w:spacing w:line="247" w:lineRule="exact"/>
        <w:ind w:left="18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宋体" w:hAnsi="宋体" w:cs="宋体" w:eastAsia="宋体" w:hint="default"/>
          <w:position w:val="-4"/>
          <w:sz w:val="20"/>
          <w:szCs w:val="20"/>
        </w:rPr>
      </w:r>
    </w:p>
    <w:p>
      <w:pPr>
        <w:spacing w:line="240" w:lineRule="auto" w:before="2"/>
        <w:rPr>
          <w:rFonts w:ascii="宋体" w:hAnsi="宋体" w:cs="宋体" w:eastAsia="宋体" w:hint="default"/>
          <w:sz w:val="12"/>
          <w:szCs w:val="12"/>
        </w:rPr>
      </w:pPr>
    </w:p>
    <w:p>
      <w:pPr>
        <w:pStyle w:val="BodyText"/>
        <w:spacing w:line="240" w:lineRule="auto" w:before="34"/>
        <w:ind w:left="615" w:right="2294"/>
        <w:jc w:val="left"/>
      </w:pPr>
      <w:r>
        <w:rPr>
          <w:rFonts w:ascii="Times New Roman" w:hAnsi="Times New Roman" w:cs="Times New Roman" w:eastAsia="Times New Roman" w:hint="default"/>
        </w:rPr>
        <w:t>5</w:t>
      </w:r>
      <w:r>
        <w:rPr/>
        <w:t>、应收利息</w:t>
      </w:r>
    </w:p>
    <w:p>
      <w:pPr>
        <w:spacing w:line="240" w:lineRule="auto" w:before="3"/>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705"/>
        <w:gridCol w:w="238"/>
        <w:gridCol w:w="1382"/>
        <w:gridCol w:w="240"/>
        <w:gridCol w:w="1423"/>
        <w:gridCol w:w="238"/>
        <w:gridCol w:w="1241"/>
        <w:gridCol w:w="238"/>
        <w:gridCol w:w="1409"/>
      </w:tblGrid>
      <w:tr>
        <w:trPr>
          <w:trHeight w:val="367" w:hRule="exact"/>
        </w:trPr>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39"/>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88"/>
              <w:jc w:val="right"/>
              <w:rPr>
                <w:rFonts w:ascii="宋体" w:hAnsi="宋体" w:cs="宋体" w:eastAsia="宋体" w:hint="default"/>
                <w:sz w:val="18"/>
                <w:szCs w:val="18"/>
              </w:rPr>
            </w:pPr>
            <w:r>
              <w:rPr>
                <w:rFonts w:ascii="宋体" w:hAnsi="宋体" w:cs="宋体" w:eastAsia="宋体" w:hint="default"/>
                <w:sz w:val="18"/>
                <w:szCs w:val="18"/>
              </w:rPr>
              <w:t>定期存款利息</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372" w:right="0"/>
              <w:jc w:val="left"/>
              <w:rPr>
                <w:rFonts w:ascii="Times New Roman" w:hAnsi="Times New Roman" w:cs="Times New Roman" w:eastAsia="Times New Roman" w:hint="default"/>
                <w:sz w:val="18"/>
                <w:szCs w:val="18"/>
              </w:rPr>
            </w:pPr>
            <w:r>
              <w:rPr>
                <w:rFonts w:ascii="Times New Roman"/>
                <w:sz w:val="18"/>
              </w:rPr>
              <w:t>2,996,417.66</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324" w:right="0"/>
              <w:jc w:val="left"/>
              <w:rPr>
                <w:rFonts w:ascii="Times New Roman" w:hAnsi="Times New Roman" w:cs="Times New Roman" w:eastAsia="Times New Roman" w:hint="default"/>
                <w:sz w:val="18"/>
                <w:szCs w:val="18"/>
              </w:rPr>
            </w:pPr>
            <w:r>
              <w:rPr>
                <w:rFonts w:ascii="Times New Roman"/>
                <w:sz w:val="18"/>
              </w:rPr>
              <w:t>624,416.18</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2,372,001.48</w:t>
            </w:r>
          </w:p>
        </w:tc>
      </w:tr>
      <w:tr>
        <w:trPr>
          <w:trHeight w:val="360"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12"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372" w:right="0"/>
              <w:jc w:val="left"/>
              <w:rPr>
                <w:rFonts w:ascii="Times New Roman" w:hAnsi="Times New Roman" w:cs="Times New Roman" w:eastAsia="Times New Roman" w:hint="default"/>
                <w:sz w:val="18"/>
                <w:szCs w:val="18"/>
              </w:rPr>
            </w:pPr>
            <w:r>
              <w:rPr>
                <w:rFonts w:ascii="Times New Roman"/>
                <w:sz w:val="18"/>
              </w:rPr>
              <w:t>2,996,417.66</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324" w:right="0"/>
              <w:jc w:val="left"/>
              <w:rPr>
                <w:rFonts w:ascii="Times New Roman" w:hAnsi="Times New Roman" w:cs="Times New Roman" w:eastAsia="Times New Roman" w:hint="default"/>
                <w:sz w:val="18"/>
                <w:szCs w:val="18"/>
              </w:rPr>
            </w:pPr>
            <w:r>
              <w:rPr>
                <w:rFonts w:ascii="Times New Roman"/>
                <w:sz w:val="18"/>
              </w:rPr>
              <w:t>624,416.18</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2,372,001.48</w:t>
            </w:r>
          </w:p>
        </w:tc>
      </w:tr>
    </w:tbl>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40"/>
          <w:pgSz w:w="11910" w:h="16840"/>
          <w:pgMar w:footer="976" w:header="849" w:top="1460" w:bottom="1160" w:left="940" w:right="1020"/>
          <w:pgNumType w:start="99"/>
        </w:sectPr>
      </w:pPr>
    </w:p>
    <w:p>
      <w:pPr>
        <w:pStyle w:val="BodyText"/>
        <w:spacing w:line="240" w:lineRule="auto" w:before="34"/>
        <w:ind w:left="615" w:right="0"/>
        <w:jc w:val="left"/>
      </w:pPr>
      <w:r>
        <w:rPr>
          <w:rFonts w:ascii="Times New Roman" w:hAnsi="Times New Roman" w:cs="Times New Roman" w:eastAsia="Times New Roman" w:hint="default"/>
        </w:rPr>
        <w:t>6</w:t>
      </w:r>
      <w:r>
        <w:rPr/>
        <w:t>、其他应收款</w:t>
      </w:r>
    </w:p>
    <w:p>
      <w:pPr>
        <w:pStyle w:val="BodyText"/>
        <w:spacing w:line="240" w:lineRule="auto" w:before="38"/>
        <w:ind w:left="615" w:right="0"/>
        <w:jc w:val="left"/>
      </w:pPr>
      <w:r>
        <w:rPr>
          <w:w w:val="95"/>
        </w:rPr>
        <w:t>（</w:t>
      </w:r>
      <w:r>
        <w:rPr>
          <w:rFonts w:ascii="Times New Roman" w:hAnsi="Times New Roman" w:cs="Times New Roman" w:eastAsia="Times New Roman" w:hint="default"/>
          <w:w w:val="95"/>
        </w:rPr>
        <w:t>1</w:t>
      </w:r>
      <w:r>
        <w:rPr>
          <w:w w:val="95"/>
        </w:rPr>
        <w:t>）其他应收款按类别列示如下：</w:t>
      </w:r>
      <w:r>
        <w:rPr/>
      </w:r>
    </w:p>
    <w:p>
      <w:pPr>
        <w:spacing w:line="240" w:lineRule="auto" w:before="10"/>
        <w:rPr>
          <w:rFonts w:ascii="宋体" w:hAnsi="宋体" w:cs="宋体" w:eastAsia="宋体" w:hint="default"/>
          <w:sz w:val="21"/>
          <w:szCs w:val="21"/>
        </w:rPr>
      </w:pPr>
    </w:p>
    <w:p>
      <w:pPr>
        <w:spacing w:before="0"/>
        <w:ind w:left="2263" w:right="0" w:firstLine="0"/>
        <w:jc w:val="left"/>
        <w:rPr>
          <w:rFonts w:ascii="宋体" w:hAnsi="宋体" w:cs="宋体" w:eastAsia="宋体" w:hint="default"/>
          <w:sz w:val="18"/>
          <w:szCs w:val="18"/>
        </w:rPr>
      </w:pPr>
      <w:r>
        <w:rPr>
          <w:rFonts w:ascii="宋体" w:hAnsi="宋体" w:cs="宋体" w:eastAsia="宋体" w:hint="default"/>
          <w:sz w:val="18"/>
          <w:szCs w:val="18"/>
        </w:rPr>
        <w:t>类  别</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0" w:right="1393" w:firstLine="0"/>
        <w:jc w:val="center"/>
        <w:rPr>
          <w:rFonts w:ascii="宋体" w:hAnsi="宋体" w:cs="宋体" w:eastAsia="宋体" w:hint="default"/>
          <w:sz w:val="18"/>
          <w:szCs w:val="18"/>
        </w:rPr>
      </w:pPr>
      <w:r>
        <w:rPr>
          <w:rFonts w:ascii="宋体" w:hAnsi="宋体" w:cs="宋体" w:eastAsia="宋体" w:hint="default"/>
          <w:sz w:val="18"/>
          <w:szCs w:val="18"/>
        </w:rPr>
        <w:t>期末数</w:t>
      </w:r>
    </w:p>
    <w:p>
      <w:pPr>
        <w:spacing w:line="240" w:lineRule="auto" w:before="2"/>
        <w:rPr>
          <w:rFonts w:ascii="宋体" w:hAnsi="宋体" w:cs="宋体" w:eastAsia="宋体" w:hint="default"/>
          <w:sz w:val="6"/>
          <w:szCs w:val="6"/>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8pt" strokecolor="#000000">
                <v:path arrowok="t"/>
              </v:shape>
            </v:group>
          </v:group>
        </w:pict>
      </w:r>
      <w:r>
        <w:rPr>
          <w:rFonts w:ascii="宋体" w:hAnsi="宋体" w:cs="宋体" w:eastAsia="宋体" w:hint="default"/>
          <w:sz w:val="2"/>
          <w:szCs w:val="2"/>
        </w:rPr>
      </w:r>
    </w:p>
    <w:p>
      <w:pPr>
        <w:tabs>
          <w:tab w:pos="1190" w:val="left" w:leader="none"/>
          <w:tab w:pos="2090" w:val="left" w:leader="none"/>
        </w:tabs>
        <w:spacing w:before="14"/>
        <w:ind w:left="0" w:right="1283" w:firstLine="0"/>
        <w:jc w:val="center"/>
        <w:rPr>
          <w:rFonts w:ascii="宋体" w:hAnsi="宋体" w:cs="宋体" w:eastAsia="宋体" w:hint="default"/>
          <w:sz w:val="18"/>
          <w:szCs w:val="18"/>
        </w:rPr>
      </w:pPr>
      <w:r>
        <w:rPr>
          <w:rFonts w:ascii="宋体" w:hAnsi="宋体" w:cs="宋体" w:eastAsia="宋体" w:hint="default"/>
          <w:sz w:val="18"/>
          <w:szCs w:val="18"/>
        </w:rPr>
        <w:t>金  额</w:t>
        <w:tab/>
        <w:t>比例</w:t>
        <w:tab/>
        <w:t>坏账准备</w:t>
      </w:r>
    </w:p>
    <w:p>
      <w:pPr>
        <w:spacing w:after="0"/>
        <w:jc w:val="center"/>
        <w:rPr>
          <w:rFonts w:ascii="宋体" w:hAnsi="宋体" w:cs="宋体" w:eastAsia="宋体" w:hint="default"/>
          <w:sz w:val="18"/>
          <w:szCs w:val="18"/>
        </w:rPr>
        <w:sectPr>
          <w:type w:val="continuous"/>
          <w:pgSz w:w="11910" w:h="16840"/>
          <w:pgMar w:top="1580" w:bottom="280" w:left="940" w:right="1020"/>
          <w:cols w:num="2" w:equalWidth="0">
            <w:col w:w="3870" w:space="750"/>
            <w:col w:w="5330"/>
          </w:cols>
        </w:sectPr>
      </w:pPr>
    </w:p>
    <w:p>
      <w:pPr>
        <w:spacing w:line="240" w:lineRule="auto" w:before="2"/>
        <w:rPr>
          <w:rFonts w:ascii="宋体" w:hAnsi="宋体" w:cs="宋体" w:eastAsia="宋体" w:hint="default"/>
          <w:sz w:val="6"/>
          <w:szCs w:val="6"/>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05.5pt;height:.5pt;mso-position-horizontal-relative:char;mso-position-vertical-relative:line" coordorigin="0,0" coordsize="8110,10">
            <v:group style="position:absolute;left:5;top:5;width:8100;height:2" coordorigin="5,5" coordsize="8100,2">
              <v:shape style="position:absolute;left:5;top:5;width:8100;height:2" coordorigin="5,5" coordsize="8100,0" path="m5,5l8105,5e" filled="false" stroked="true" strokeweight=".48pt" strokecolor="#000000">
                <v:path arrowok="t"/>
              </v:shape>
            </v:group>
          </v:group>
        </w:pict>
      </w:r>
      <w:r>
        <w:rPr>
          <w:rFonts w:ascii="宋体" w:hAnsi="宋体" w:cs="宋体" w:eastAsia="宋体" w:hint="default"/>
          <w:sz w:val="2"/>
          <w:szCs w:val="2"/>
        </w:rPr>
      </w:r>
    </w:p>
    <w:p>
      <w:pPr>
        <w:tabs>
          <w:tab w:pos="5081" w:val="left" w:leader="none"/>
          <w:tab w:pos="6415" w:val="left" w:leader="none"/>
        </w:tabs>
        <w:spacing w:before="14"/>
        <w:ind w:left="303" w:right="229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w:t>
        <w:tab/>
      </w:r>
      <w:r>
        <w:rPr>
          <w:rFonts w:ascii="Times New Roman" w:hAnsi="Times New Roman" w:cs="Times New Roman" w:eastAsia="Times New Roman" w:hint="default"/>
          <w:spacing w:val="-1"/>
          <w:sz w:val="18"/>
          <w:szCs w:val="18"/>
        </w:rPr>
        <w:t>6,850,597.81</w:t>
        <w:tab/>
        <w:t>30.42%</w:t>
      </w:r>
    </w:p>
    <w:p>
      <w:pPr>
        <w:spacing w:before="36"/>
        <w:ind w:left="303" w:right="4863" w:firstLine="0"/>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较大</w:t>
      </w:r>
    </w:p>
    <w:p>
      <w:pPr>
        <w:spacing w:before="50"/>
        <w:ind w:left="303" w:right="2294" w:firstLine="0"/>
        <w:jc w:val="left"/>
        <w:rPr>
          <w:rFonts w:ascii="宋体" w:hAnsi="宋体" w:cs="宋体" w:eastAsia="宋体" w:hint="default"/>
          <w:sz w:val="18"/>
          <w:szCs w:val="18"/>
        </w:rPr>
      </w:pPr>
      <w:r>
        <w:rPr/>
        <w:pict>
          <v:shape style="position:absolute;margin-left:290.639984pt;margin-top:5.769629pt;width:171pt;height:81.45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2"/>
                    <w:gridCol w:w="935"/>
                    <w:gridCol w:w="1203"/>
                  </w:tblGrid>
                  <w:tr>
                    <w:trPr>
                      <w:trHeight w:val="255" w:hRule="exact"/>
                    </w:trPr>
                    <w:tc>
                      <w:tcPr>
                        <w:tcW w:w="1282" w:type="dxa"/>
                        <w:tcBorders>
                          <w:top w:val="nil" w:sz="6" w:space="0" w:color="auto"/>
                          <w:left w:val="nil" w:sz="6" w:space="0" w:color="auto"/>
                          <w:bottom w:val="single" w:sz="4" w:space="0" w:color="000000"/>
                          <w:right w:val="nil" w:sz="6" w:space="0" w:color="auto"/>
                        </w:tcBorders>
                      </w:tcPr>
                      <w:p>
                        <w:pPr>
                          <w:pStyle w:val="TableParagraph"/>
                          <w:spacing w:line="184" w:lineRule="exact"/>
                          <w:ind w:right="9"/>
                          <w:jc w:val="center"/>
                          <w:rPr>
                            <w:rFonts w:ascii="Times New Roman" w:hAnsi="Times New Roman" w:cs="Times New Roman" w:eastAsia="Times New Roman" w:hint="default"/>
                            <w:sz w:val="18"/>
                            <w:szCs w:val="18"/>
                          </w:rPr>
                        </w:pPr>
                        <w:r>
                          <w:rPr>
                            <w:rFonts w:ascii="Times New Roman"/>
                            <w:sz w:val="18"/>
                          </w:rPr>
                          <w:t>15,672,940.18</w:t>
                        </w:r>
                      </w:p>
                    </w:tc>
                    <w:tc>
                      <w:tcPr>
                        <w:tcW w:w="935" w:type="dxa"/>
                        <w:tcBorders>
                          <w:top w:val="nil" w:sz="6" w:space="0" w:color="auto"/>
                          <w:left w:val="nil" w:sz="6" w:space="0" w:color="auto"/>
                          <w:bottom w:val="single" w:sz="4" w:space="0" w:color="000000"/>
                          <w:right w:val="nil" w:sz="6" w:space="0" w:color="auto"/>
                        </w:tcBorders>
                      </w:tcPr>
                      <w:p>
                        <w:pPr>
                          <w:pStyle w:val="TableParagraph"/>
                          <w:spacing w:line="184" w:lineRule="exact"/>
                          <w:ind w:left="174" w:right="0"/>
                          <w:jc w:val="left"/>
                          <w:rPr>
                            <w:rFonts w:ascii="Times New Roman" w:hAnsi="Times New Roman" w:cs="Times New Roman" w:eastAsia="Times New Roman" w:hint="default"/>
                            <w:sz w:val="18"/>
                            <w:szCs w:val="18"/>
                          </w:rPr>
                        </w:pPr>
                        <w:r>
                          <w:rPr>
                            <w:rFonts w:ascii="Times New Roman"/>
                            <w:sz w:val="18"/>
                          </w:rPr>
                          <w:t>69.58%</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184" w:lineRule="exact"/>
                          <w:ind w:left="54" w:right="0"/>
                          <w:jc w:val="center"/>
                          <w:rPr>
                            <w:rFonts w:ascii="Times New Roman" w:hAnsi="Times New Roman" w:cs="Times New Roman" w:eastAsia="Times New Roman" w:hint="default"/>
                            <w:sz w:val="18"/>
                            <w:szCs w:val="18"/>
                          </w:rPr>
                        </w:pPr>
                        <w:r>
                          <w:rPr>
                            <w:rFonts w:ascii="Times New Roman"/>
                            <w:sz w:val="18"/>
                          </w:rPr>
                          <w:t>1,059,110.65</w:t>
                        </w:r>
                      </w:p>
                    </w:tc>
                  </w:tr>
                  <w:tr>
                    <w:trPr>
                      <w:trHeight w:val="360" w:hRule="exact"/>
                    </w:trPr>
                    <w:tc>
                      <w:tcPr>
                        <w:tcW w:w="1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9"/>
                          <w:jc w:val="center"/>
                          <w:rPr>
                            <w:rFonts w:ascii="Times New Roman" w:hAnsi="Times New Roman" w:cs="Times New Roman" w:eastAsia="Times New Roman" w:hint="default"/>
                            <w:sz w:val="18"/>
                            <w:szCs w:val="18"/>
                          </w:rPr>
                        </w:pPr>
                        <w:r>
                          <w:rPr>
                            <w:rFonts w:ascii="Times New Roman"/>
                            <w:sz w:val="18"/>
                          </w:rPr>
                          <w:t>22,523,537.99</w:t>
                        </w:r>
                      </w:p>
                    </w:tc>
                    <w:tc>
                      <w:tcPr>
                        <w:tcW w:w="93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129" w:right="0"/>
                          <w:jc w:val="left"/>
                          <w:rPr>
                            <w:rFonts w:ascii="Times New Roman" w:hAnsi="Times New Roman" w:cs="Times New Roman" w:eastAsia="Times New Roman" w:hint="default"/>
                            <w:sz w:val="18"/>
                            <w:szCs w:val="18"/>
                          </w:rPr>
                        </w:pPr>
                        <w:r>
                          <w:rPr>
                            <w:rFonts w:ascii="Times New Roman"/>
                            <w:sz w:val="18"/>
                          </w:rPr>
                          <w:t>100.00%</w:t>
                        </w: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54" w:right="0"/>
                          <w:jc w:val="center"/>
                          <w:rPr>
                            <w:rFonts w:ascii="Times New Roman" w:hAnsi="Times New Roman" w:cs="Times New Roman" w:eastAsia="Times New Roman" w:hint="default"/>
                            <w:sz w:val="18"/>
                            <w:szCs w:val="18"/>
                          </w:rPr>
                        </w:pPr>
                        <w:r>
                          <w:rPr>
                            <w:rFonts w:ascii="Times New Roman"/>
                            <w:sz w:val="18"/>
                          </w:rPr>
                          <w:t>1,059,110.65</w:t>
                        </w:r>
                      </w:p>
                    </w:tc>
                  </w:tr>
                  <w:tr>
                    <w:trPr>
                      <w:trHeight w:val="662" w:hRule="exact"/>
                    </w:trPr>
                    <w:tc>
                      <w:tcPr>
                        <w:tcW w:w="1282" w:type="dxa"/>
                        <w:tcBorders>
                          <w:top w:val="single" w:sz="12" w:space="0" w:color="000000"/>
                          <w:left w:val="nil" w:sz="6" w:space="0" w:color="auto"/>
                          <w:bottom w:val="single" w:sz="4" w:space="0" w:color="000000"/>
                          <w:right w:val="nil" w:sz="6" w:space="0" w:color="auto"/>
                        </w:tcBorders>
                      </w:tcPr>
                      <w:p>
                        <w:pPr/>
                      </w:p>
                    </w:tc>
                    <w:tc>
                      <w:tcPr>
                        <w:tcW w:w="935"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3" w:type="dxa"/>
                        <w:tcBorders>
                          <w:top w:val="single" w:sz="12" w:space="0" w:color="000000"/>
                          <w:left w:val="nil" w:sz="6" w:space="0" w:color="auto"/>
                          <w:bottom w:val="single" w:sz="4" w:space="0" w:color="000000"/>
                          <w:right w:val="nil" w:sz="6" w:space="0" w:color="auto"/>
                        </w:tcBorders>
                      </w:tcPr>
                      <w:p>
                        <w:pPr/>
                      </w:p>
                    </w:tc>
                  </w:tr>
                  <w:tr>
                    <w:trPr>
                      <w:trHeight w:val="350" w:hRule="exact"/>
                    </w:trPr>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5"/>
                          <w:jc w:val="center"/>
                          <w:rPr>
                            <w:rFonts w:ascii="宋体" w:hAnsi="宋体" w:cs="宋体" w:eastAsia="宋体" w:hint="default"/>
                            <w:sz w:val="18"/>
                            <w:szCs w:val="18"/>
                          </w:rPr>
                        </w:pPr>
                        <w:r>
                          <w:rPr>
                            <w:rFonts w:ascii="宋体" w:hAnsi="宋体" w:cs="宋体" w:eastAsia="宋体" w:hint="default"/>
                            <w:sz w:val="18"/>
                            <w:szCs w:val="18"/>
                          </w:rPr>
                          <w:t>金  额</w:t>
                        </w: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r>
                </w:tbl>
                <w:p>
                  <w:pPr/>
                </w:p>
              </w:txbxContent>
            </v:textbox>
            <w10:wrap type="none"/>
          </v:shape>
        </w:pict>
      </w:r>
      <w:r>
        <w:rPr>
          <w:rFonts w:ascii="宋体" w:hAnsi="宋体" w:cs="宋体" w:eastAsia="宋体" w:hint="default"/>
          <w:sz w:val="18"/>
          <w:szCs w:val="18"/>
        </w:rPr>
        <w:t>其他不重大</w:t>
      </w:r>
    </w:p>
    <w:p>
      <w:pPr>
        <w:spacing w:before="115"/>
        <w:ind w:left="2263" w:right="2294"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2263" w:right="2294" w:firstLine="0"/>
        <w:jc w:val="left"/>
        <w:rPr>
          <w:rFonts w:ascii="宋体" w:hAnsi="宋体" w:cs="宋体" w:eastAsia="宋体" w:hint="default"/>
          <w:sz w:val="18"/>
          <w:szCs w:val="18"/>
        </w:rPr>
      </w:pPr>
      <w:r>
        <w:rPr>
          <w:rFonts w:ascii="宋体" w:hAnsi="宋体" w:cs="宋体" w:eastAsia="宋体" w:hint="default"/>
          <w:sz w:val="18"/>
          <w:szCs w:val="18"/>
        </w:rPr>
        <w:t>类  别</w:t>
      </w:r>
    </w:p>
    <w:p>
      <w:pPr>
        <w:spacing w:line="240" w:lineRule="auto" w:before="7"/>
        <w:rPr>
          <w:rFonts w:ascii="宋体" w:hAnsi="宋体" w:cs="宋体" w:eastAsia="宋体" w:hint="default"/>
          <w:sz w:val="19"/>
          <w:szCs w:val="19"/>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05.5pt;height:.5pt;mso-position-horizontal-relative:char;mso-position-vertical-relative:line" coordorigin="0,0" coordsize="8110,10">
            <v:group style="position:absolute;left:5;top:5;width:8100;height:2" coordorigin="5,5" coordsize="8100,2">
              <v:shape style="position:absolute;left:5;top:5;width:8100;height:2" coordorigin="5,5" coordsize="8100,0" path="m5,5l8105,5e" filled="false" stroked="true" strokeweight=".48pt" strokecolor="#000000">
                <v:path arrowok="t"/>
              </v:shape>
            </v:group>
          </v:group>
        </w:pict>
      </w:r>
      <w:r>
        <w:rPr>
          <w:rFonts w:ascii="宋体" w:hAnsi="宋体" w:cs="宋体" w:eastAsia="宋体" w:hint="default"/>
          <w:sz w:val="2"/>
          <w:szCs w:val="2"/>
        </w:rPr>
      </w:r>
    </w:p>
    <w:p>
      <w:pPr>
        <w:spacing w:before="14"/>
        <w:ind w:left="303" w:right="2294" w:firstLine="0"/>
        <w:jc w:val="left"/>
        <w:rPr>
          <w:rFonts w:ascii="宋体" w:hAnsi="宋体" w:cs="宋体" w:eastAsia="宋体" w:hint="default"/>
          <w:sz w:val="18"/>
          <w:szCs w:val="18"/>
        </w:rPr>
      </w:pPr>
      <w:r>
        <w:rPr>
          <w:rFonts w:ascii="宋体" w:hAnsi="宋体" w:cs="宋体" w:eastAsia="宋体" w:hint="default"/>
          <w:sz w:val="18"/>
          <w:szCs w:val="18"/>
        </w:rPr>
        <w:t>单项金额重大</w:t>
      </w:r>
    </w:p>
    <w:p>
      <w:pPr>
        <w:spacing w:line="232" w:lineRule="exact" w:before="74"/>
        <w:ind w:left="303" w:right="4863" w:firstLine="0"/>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较大</w:t>
      </w:r>
    </w:p>
    <w:p>
      <w:pPr>
        <w:tabs>
          <w:tab w:pos="5031" w:val="left" w:leader="none"/>
          <w:tab w:pos="6283" w:val="left" w:leader="none"/>
          <w:tab w:pos="7279" w:val="left" w:leader="none"/>
        </w:tabs>
        <w:spacing w:before="31"/>
        <w:ind w:left="30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其他不重大</w:t>
        <w:tab/>
      </w:r>
      <w:r>
        <w:rPr>
          <w:rFonts w:ascii="Times New Roman" w:hAnsi="Times New Roman" w:cs="Times New Roman" w:eastAsia="Times New Roman" w:hint="default"/>
          <w:spacing w:val="-1"/>
          <w:sz w:val="18"/>
          <w:szCs w:val="18"/>
        </w:rPr>
        <w:t>7,353,909.21</w:t>
        <w:tab/>
        <w:t>100.00%</w:t>
        <w:tab/>
        <w:t>449,364.39</w:t>
      </w:r>
    </w:p>
    <w:p>
      <w:pPr>
        <w:spacing w:line="240" w:lineRule="auto" w:before="9"/>
        <w:rPr>
          <w:rFonts w:ascii="Times New Roman" w:hAnsi="Times New Roman" w:cs="Times New Roman" w:eastAsia="Times New Roman" w:hint="default"/>
          <w:sz w:val="5"/>
          <w:szCs w:val="5"/>
        </w:rPr>
      </w:pPr>
    </w:p>
    <w:p>
      <w:pPr>
        <w:spacing w:line="20" w:lineRule="exact"/>
        <w:ind w:left="486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5031" w:val="left" w:leader="none"/>
          <w:tab w:pos="6283" w:val="left" w:leader="none"/>
          <w:tab w:pos="7279" w:val="left" w:leader="none"/>
        </w:tabs>
        <w:spacing w:before="14"/>
        <w:ind w:left="226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7,353,909.21</w:t>
        <w:tab/>
        <w:t>100.00%</w:t>
        <w:tab/>
        <w:t>449,364.39</w:t>
      </w:r>
    </w:p>
    <w:p>
      <w:pPr>
        <w:spacing w:line="240" w:lineRule="auto" w:before="7"/>
        <w:rPr>
          <w:rFonts w:ascii="Times New Roman" w:hAnsi="Times New Roman" w:cs="Times New Roman" w:eastAsia="Times New Roman" w:hint="default"/>
          <w:sz w:val="5"/>
          <w:szCs w:val="5"/>
        </w:rPr>
      </w:pPr>
    </w:p>
    <w:p>
      <w:pPr>
        <w:spacing w:line="28" w:lineRule="exact"/>
        <w:ind w:left="486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71.5pt;height:1.45pt;mso-position-horizontal-relative:char;mso-position-vertical-relative:line" coordorigin="0,0" coordsize="3430,29">
            <v:group style="position:absolute;left:5;top:5;width:3420;height:2" coordorigin="5,5" coordsize="3420,2">
              <v:shape style="position:absolute;left:5;top:5;width:3420;height:2" coordorigin="5,5" coordsize="3420,0" path="m5,5l3425,5e" filled="false" stroked="true" strokeweight=".48pt" strokecolor="#000000">
                <v:path arrowok="t"/>
              </v:shape>
            </v:group>
            <v:group style="position:absolute;left:5;top:24;width:3420;height:2" coordorigin="5,24" coordsize="3420,2">
              <v:shape style="position:absolute;left:5;top:24;width:3420;height:2" coordorigin="5,24" coordsize="3420,0" path="m5,24l3425,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before="52"/>
        <w:ind w:left="555" w:right="2294"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before="155"/>
        <w:ind w:left="555" w:right="2294" w:firstLine="0"/>
        <w:jc w:val="left"/>
        <w:rPr>
          <w:rFonts w:ascii="宋体" w:hAnsi="宋体" w:cs="宋体" w:eastAsia="宋体" w:hint="default"/>
          <w:sz w:val="18"/>
          <w:szCs w:val="18"/>
        </w:rPr>
      </w:pPr>
      <w:r>
        <w:rPr>
          <w:rFonts w:ascii="宋体" w:hAnsi="宋体" w:cs="宋体" w:eastAsia="宋体" w:hint="default"/>
          <w:sz w:val="18"/>
          <w:szCs w:val="18"/>
        </w:rPr>
        <w:t>本公司单项金额重大的其他应收款是指单个客户金额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w:t>
      </w:r>
    </w:p>
    <w:p>
      <w:pPr>
        <w:pStyle w:val="BodyText"/>
        <w:spacing w:line="240" w:lineRule="auto" w:before="114"/>
        <w:ind w:left="615" w:right="2294"/>
        <w:jc w:val="left"/>
      </w:pPr>
      <w:r>
        <w:rPr/>
        <w:t>（</w:t>
      </w:r>
      <w:r>
        <w:rPr>
          <w:rFonts w:ascii="Times New Roman" w:hAnsi="Times New Roman" w:cs="Times New Roman" w:eastAsia="Times New Roman" w:hint="default"/>
        </w:rPr>
        <w:t>2</w:t>
      </w:r>
      <w:r>
        <w:rPr/>
        <w:t>）其他应收款账龄</w:t>
      </w:r>
    </w:p>
    <w:p>
      <w:pPr>
        <w:spacing w:before="99"/>
        <w:ind w:left="2298" w:right="0" w:firstLine="0"/>
        <w:jc w:val="center"/>
        <w:rPr>
          <w:rFonts w:ascii="宋体" w:hAnsi="宋体" w:cs="宋体" w:eastAsia="宋体" w:hint="default"/>
          <w:sz w:val="18"/>
          <w:szCs w:val="18"/>
        </w:rPr>
      </w:pPr>
      <w:r>
        <w:rPr/>
        <w:pict>
          <v:group style="position:absolute;margin-left:170.759995pt;margin-top:20.981697pt;width:364.7pt;height:.1pt;mso-position-horizontal-relative:page;mso-position-vertical-relative:paragraph;z-index:-629728" coordorigin="3415,420" coordsize="7294,2">
            <v:shape style="position:absolute;left:3415;top:420;width:7294;height:2" coordorigin="3415,420" coordsize="7294,0" path="m3415,420l10709,420e" filled="false" stroked="true" strokeweight=".48pt" strokecolor="#000000">
              <v:path arrowok="t"/>
            </v:shape>
            <w10:wrap type="none"/>
          </v:group>
        </w:pict>
      </w:r>
      <w:r>
        <w:rPr>
          <w:rFonts w:ascii="宋体" w:hAnsi="宋体" w:cs="宋体" w:eastAsia="宋体" w:hint="default"/>
          <w:sz w:val="18"/>
          <w:szCs w:val="18"/>
        </w:rPr>
        <w:t>期末数</w:t>
      </w:r>
    </w:p>
    <w:tbl>
      <w:tblPr>
        <w:tblW w:w="0" w:type="auto"/>
        <w:jc w:val="left"/>
        <w:tblInd w:w="192" w:type="dxa"/>
        <w:tblLayout w:type="fixed"/>
        <w:tblCellMar>
          <w:top w:w="0" w:type="dxa"/>
          <w:left w:w="0" w:type="dxa"/>
          <w:bottom w:w="0" w:type="dxa"/>
          <w:right w:w="0" w:type="dxa"/>
        </w:tblCellMar>
        <w:tblLook w:val="01E0"/>
      </w:tblPr>
      <w:tblGrid>
        <w:gridCol w:w="968"/>
        <w:gridCol w:w="966"/>
        <w:gridCol w:w="348"/>
        <w:gridCol w:w="1805"/>
        <w:gridCol w:w="283"/>
        <w:gridCol w:w="1224"/>
        <w:gridCol w:w="288"/>
        <w:gridCol w:w="1759"/>
        <w:gridCol w:w="286"/>
        <w:gridCol w:w="1649"/>
      </w:tblGrid>
      <w:tr>
        <w:trPr>
          <w:trHeight w:val="440" w:hRule="exact"/>
        </w:trPr>
        <w:tc>
          <w:tcPr>
            <w:tcW w:w="968" w:type="dxa"/>
            <w:tcBorders>
              <w:top w:val="nil" w:sz="6" w:space="0" w:color="auto"/>
              <w:left w:val="nil" w:sz="6" w:space="0" w:color="auto"/>
              <w:bottom w:val="single" w:sz="4" w:space="0" w:color="000000"/>
              <w:right w:val="nil" w:sz="6" w:space="0" w:color="auto"/>
            </w:tcBorders>
          </w:tcPr>
          <w:p>
            <w:pPr>
              <w:pStyle w:val="TableParagraph"/>
              <w:spacing w:line="175" w:lineRule="exact"/>
              <w:ind w:right="89"/>
              <w:jc w:val="right"/>
              <w:rPr>
                <w:rFonts w:ascii="宋体" w:hAnsi="宋体" w:cs="宋体" w:eastAsia="宋体" w:hint="default"/>
                <w:sz w:val="18"/>
                <w:szCs w:val="18"/>
              </w:rPr>
            </w:pPr>
            <w:r>
              <w:rPr>
                <w:rFonts w:ascii="宋体" w:hAnsi="宋体" w:cs="宋体" w:eastAsia="宋体" w:hint="default"/>
                <w:sz w:val="18"/>
                <w:szCs w:val="18"/>
              </w:rPr>
              <w:t>账</w:t>
            </w:r>
          </w:p>
        </w:tc>
        <w:tc>
          <w:tcPr>
            <w:tcW w:w="966" w:type="dxa"/>
            <w:tcBorders>
              <w:top w:val="nil" w:sz="6" w:space="0" w:color="auto"/>
              <w:left w:val="nil" w:sz="6" w:space="0" w:color="auto"/>
              <w:bottom w:val="single" w:sz="4" w:space="0" w:color="000000"/>
              <w:right w:val="nil" w:sz="6" w:space="0" w:color="auto"/>
            </w:tcBorders>
          </w:tcPr>
          <w:p>
            <w:pPr>
              <w:pStyle w:val="TableParagraph"/>
              <w:spacing w:line="175" w:lineRule="exact"/>
              <w:ind w:left="89"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51"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6" w:type="dxa"/>
            <w:tcBorders>
              <w:top w:val="single" w:sz="4"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17,940,303.80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79.65%</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377,718.78</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17,562,585.02</w:t>
            </w:r>
          </w:p>
        </w:tc>
      </w:tr>
      <w:tr>
        <w:trPr>
          <w:trHeight w:val="338"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3,890,555.69</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pacing w:val="-1"/>
                <w:sz w:val="18"/>
              </w:rPr>
              <w:t>17.27%</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spacing w:val="-1"/>
                <w:sz w:val="18"/>
              </w:rPr>
              <w:t>386,180.82</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3,504,374.87</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484,203.50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z w:val="18"/>
              </w:rPr>
              <w:t>2.15%</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145,261.05</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338,942.45</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56,100.00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z w:val="18"/>
              </w:rPr>
              <w:t>0.25%</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28,050.00</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28,050.00</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152,375.00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0.68%</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spacing w:val="-1"/>
                <w:sz w:val="18"/>
              </w:rPr>
              <w:t>121,900.00</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30,475.00</w:t>
            </w:r>
          </w:p>
        </w:tc>
      </w:tr>
      <w:tr>
        <w:trPr>
          <w:trHeight w:val="358"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22,523,537.99</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1,059,110.65</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21,464,427.34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05" w:lineRule="exact" w:before="0"/>
        <w:ind w:left="2298" w:right="0" w:firstLine="0"/>
        <w:jc w:val="center"/>
        <w:rPr>
          <w:rFonts w:ascii="宋体" w:hAnsi="宋体" w:cs="宋体" w:eastAsia="宋体" w:hint="default"/>
          <w:sz w:val="18"/>
          <w:szCs w:val="18"/>
        </w:rPr>
      </w:pPr>
      <w:r>
        <w:rPr>
          <w:rFonts w:ascii="宋体" w:hAnsi="宋体" w:cs="宋体" w:eastAsia="宋体" w:hint="default"/>
          <w:sz w:val="18"/>
          <w:szCs w:val="18"/>
        </w:rPr>
        <w:t>期初数</w:t>
      </w:r>
    </w:p>
    <w:p>
      <w:pPr>
        <w:spacing w:line="175" w:lineRule="exact" w:before="0"/>
        <w:ind w:left="891" w:right="2294" w:firstLine="0"/>
        <w:jc w:val="left"/>
        <w:rPr>
          <w:rFonts w:ascii="宋体" w:hAnsi="宋体" w:cs="宋体" w:eastAsia="宋体" w:hint="default"/>
          <w:sz w:val="18"/>
          <w:szCs w:val="18"/>
        </w:rPr>
      </w:pPr>
      <w:r>
        <w:rPr/>
        <w:pict>
          <v:group style="position:absolute;margin-left:170.759995pt;margin-top:5.763032pt;width:364.7pt;height:.1pt;mso-position-horizontal-relative:page;mso-position-vertical-relative:paragraph;z-index:6112" coordorigin="3415,115" coordsize="7294,2">
            <v:shape style="position:absolute;left:3415;top:115;width:7294;height:2" coordorigin="3415,115" coordsize="7294,0" path="m3415,115l10709,115e" filled="false" stroked="true" strokeweight=".48pt" strokecolor="#000000">
              <v:path arrowok="t"/>
            </v:shape>
            <w10:wrap type="none"/>
          </v:group>
        </w:pict>
      </w:r>
      <w:r>
        <w:rPr>
          <w:rFonts w:ascii="宋体" w:hAnsi="宋体" w:cs="宋体" w:eastAsia="宋体" w:hint="default"/>
          <w:sz w:val="18"/>
          <w:szCs w:val="18"/>
        </w:rPr>
        <w:t>账  龄</w:t>
      </w:r>
    </w:p>
    <w:p>
      <w:pPr>
        <w:tabs>
          <w:tab w:pos="4174" w:val="left" w:leader="none"/>
          <w:tab w:pos="5773" w:val="left" w:leader="none"/>
          <w:tab w:pos="7945" w:val="left" w:leader="none"/>
        </w:tabs>
        <w:spacing w:line="205" w:lineRule="exact" w:before="0"/>
        <w:ind w:left="2377" w:right="0" w:firstLine="0"/>
        <w:jc w:val="center"/>
        <w:rPr>
          <w:rFonts w:ascii="宋体" w:hAnsi="宋体" w:cs="宋体" w:eastAsia="宋体" w:hint="default"/>
          <w:sz w:val="18"/>
          <w:szCs w:val="18"/>
        </w:rPr>
      </w:pPr>
      <w:r>
        <w:rPr>
          <w:rFonts w:ascii="宋体" w:hAnsi="宋体" w:cs="宋体" w:eastAsia="宋体" w:hint="default"/>
          <w:sz w:val="18"/>
          <w:szCs w:val="18"/>
        </w:rPr>
        <w:t>金额</w:t>
        <w:tab/>
        <w:t>比例</w:t>
        <w:tab/>
        <w:t>坏账准备</w:t>
        <w:tab/>
        <w:t>净值</w:t>
      </w:r>
    </w:p>
    <w:p>
      <w:pPr>
        <w:spacing w:line="240" w:lineRule="auto" w:before="2"/>
        <w:rPr>
          <w:rFonts w:ascii="宋体" w:hAnsi="宋体" w:cs="宋体" w:eastAsia="宋体" w:hint="default"/>
          <w:sz w:val="6"/>
          <w:szCs w:val="6"/>
        </w:rPr>
      </w:pPr>
    </w:p>
    <w:p>
      <w:pPr>
        <w:tabs>
          <w:tab w:pos="2470" w:val="left" w:leader="none"/>
          <w:tab w:pos="4558" w:val="left" w:leader="none"/>
          <w:tab w:pos="6070" w:val="left" w:leader="none"/>
          <w:tab w:pos="8115" w:val="left" w:leader="none"/>
        </w:tabs>
        <w:spacing w:line="20" w:lineRule="exact"/>
        <w:ind w:left="188" w:right="0" w:firstLine="0"/>
        <w:rPr>
          <w:rFonts w:ascii="宋体" w:hAnsi="宋体" w:cs="宋体" w:eastAsia="宋体" w:hint="default"/>
          <w:sz w:val="2"/>
          <w:szCs w:val="2"/>
        </w:rPr>
      </w:pPr>
      <w:r>
        <w:rPr>
          <w:rFonts w:ascii="宋体"/>
          <w:sz w:val="2"/>
        </w:rPr>
        <w:pict>
          <v:group style="width:97.2pt;height:.5pt;mso-position-horizontal-relative:char;mso-position-vertical-relative:line" coordorigin="0,0" coordsize="1944,10">
            <v:group style="position:absolute;left:5;top:5;width:1935;height:2" coordorigin="5,5" coordsize="1935,2">
              <v:shape style="position:absolute;left:5;top:5;width:1935;height:2" coordorigin="5,5" coordsize="1935,0" path="m5,5l1939,5e" filled="false" stroked="true" strokeweight=".48pt" strokecolor="#000000">
                <v:path arrowok="t"/>
              </v:shape>
            </v:group>
          </v:group>
        </w:pict>
      </w:r>
      <w:r>
        <w:rPr>
          <w:rFonts w:ascii="宋体"/>
          <w:sz w:val="2"/>
        </w:rPr>
      </w:r>
      <w:r>
        <w:rPr>
          <w:rFonts w:ascii="宋体"/>
          <w:sz w:val="2"/>
        </w:rPr>
        <w:tab/>
      </w:r>
      <w:r>
        <w:rPr>
          <w:rFonts w:ascii="宋体"/>
          <w:sz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8pt" strokecolor="#000000">
                <v:path arrowok="t"/>
              </v:shape>
            </v:group>
          </v:group>
        </w:pict>
      </w:r>
      <w:r>
        <w:rPr>
          <w:rFonts w:ascii="宋体"/>
          <w:sz w:val="2"/>
        </w:rPr>
      </w:r>
      <w:r>
        <w:rPr>
          <w:rFonts w:ascii="宋体"/>
          <w:sz w:val="2"/>
        </w:rPr>
        <w:tab/>
      </w:r>
      <w:r>
        <w:rPr>
          <w:rFonts w:ascii="宋体"/>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pt" strokecolor="#000000">
                <v:path arrowok="t"/>
              </v:shape>
            </v:group>
          </v:group>
        </w:pict>
      </w:r>
      <w:r>
        <w:rPr>
          <w:rFonts w:ascii="宋体"/>
          <w:sz w:val="2"/>
        </w:rPr>
      </w:r>
      <w:r>
        <w:rPr>
          <w:rFonts w:ascii="宋体"/>
          <w:sz w:val="2"/>
        </w:rPr>
        <w:tab/>
      </w:r>
      <w:r>
        <w:rPr>
          <w:rFonts w:ascii="宋体"/>
          <w:sz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8pt" strokecolor="#000000">
                <v:path arrowok="t"/>
              </v:shape>
            </v:group>
          </v:group>
        </w:pict>
      </w:r>
      <w:r>
        <w:rPr>
          <w:rFonts w:ascii="宋体"/>
          <w:sz w:val="2"/>
        </w:rPr>
      </w:r>
      <w:r>
        <w:rPr>
          <w:rFonts w:ascii="宋体"/>
          <w:sz w:val="2"/>
        </w:rPr>
        <w:tab/>
      </w:r>
      <w:r>
        <w:rPr>
          <w:rFonts w:ascii="宋体"/>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z w:val="2"/>
        </w:rPr>
      </w:r>
    </w:p>
    <w:p>
      <w:pPr>
        <w:tabs>
          <w:tab w:pos="3228" w:val="left" w:leader="none"/>
          <w:tab w:pos="5127" w:val="left" w:leader="none"/>
          <w:tab w:pos="6915" w:val="left" w:leader="none"/>
          <w:tab w:pos="8717" w:val="left" w:leader="none"/>
        </w:tabs>
        <w:spacing w:before="14"/>
        <w:ind w:left="30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6,498,751.71</w:t>
        <w:tab/>
        <w:t>88.37%</w:t>
        <w:tab/>
        <w:t>285,582.84</w:t>
        <w:tab/>
        <w:t>6,213,168.87</w:t>
      </w:r>
    </w:p>
    <w:p>
      <w:pPr>
        <w:tabs>
          <w:tab w:pos="3363" w:val="left" w:leader="none"/>
          <w:tab w:pos="5215" w:val="left" w:leader="none"/>
          <w:tab w:pos="7006" w:val="left" w:leader="none"/>
          <w:tab w:pos="8851" w:val="left" w:leader="none"/>
        </w:tabs>
        <w:spacing w:before="91"/>
        <w:ind w:left="30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616,203.50</w:t>
        <w:tab/>
      </w:r>
      <w:r>
        <w:rPr>
          <w:rFonts w:ascii="Times New Roman" w:hAnsi="Times New Roman" w:cs="Times New Roman" w:eastAsia="Times New Roman" w:hint="default"/>
          <w:sz w:val="18"/>
          <w:szCs w:val="18"/>
        </w:rPr>
        <w:t>8.38%</w:t>
        <w:tab/>
      </w:r>
      <w:r>
        <w:rPr>
          <w:rFonts w:ascii="Times New Roman" w:hAnsi="Times New Roman" w:cs="Times New Roman" w:eastAsia="Times New Roman" w:hint="default"/>
          <w:spacing w:val="-1"/>
          <w:sz w:val="18"/>
          <w:szCs w:val="18"/>
        </w:rPr>
        <w:t>61,620.35</w:t>
        <w:tab/>
        <w:t>554,583.15</w:t>
      </w:r>
    </w:p>
    <w:p>
      <w:pPr>
        <w:tabs>
          <w:tab w:pos="3451" w:val="left" w:leader="none"/>
          <w:tab w:pos="5215" w:val="left" w:leader="none"/>
          <w:tab w:pos="7006" w:val="left" w:leader="none"/>
          <w:tab w:pos="8943" w:val="left" w:leader="none"/>
        </w:tabs>
        <w:spacing w:before="89"/>
        <w:ind w:left="30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86,579.00</w:t>
        <w:tab/>
      </w:r>
      <w:r>
        <w:rPr>
          <w:rFonts w:ascii="Times New Roman" w:hAnsi="Times New Roman" w:cs="Times New Roman" w:eastAsia="Times New Roman" w:hint="default"/>
          <w:sz w:val="18"/>
          <w:szCs w:val="18"/>
        </w:rPr>
        <w:t>1.18%</w:t>
        <w:tab/>
      </w:r>
      <w:r>
        <w:rPr>
          <w:rFonts w:ascii="Times New Roman" w:hAnsi="Times New Roman" w:cs="Times New Roman" w:eastAsia="Times New Roman" w:hint="default"/>
          <w:spacing w:val="-1"/>
          <w:sz w:val="18"/>
          <w:szCs w:val="18"/>
        </w:rPr>
        <w:t>25,973.70</w:t>
        <w:tab/>
        <w:t>60,605.30</w:t>
      </w:r>
    </w:p>
    <w:p>
      <w:pPr>
        <w:spacing w:after="0"/>
        <w:jc w:val="left"/>
        <w:rPr>
          <w:rFonts w:ascii="Times New Roman" w:hAnsi="Times New Roman" w:cs="Times New Roman" w:eastAsia="Times New Roman" w:hint="default"/>
          <w:sz w:val="18"/>
          <w:szCs w:val="18"/>
        </w:rPr>
        <w:sectPr>
          <w:type w:val="continuous"/>
          <w:pgSz w:w="11910" w:h="16840"/>
          <w:pgMar w:top="1580" w:bottom="280" w:left="940" w:right="1020"/>
        </w:sectPr>
      </w:pPr>
    </w:p>
    <w:p>
      <w:pPr>
        <w:spacing w:line="205" w:lineRule="exact" w:before="76"/>
        <w:ind w:left="2178" w:right="0" w:firstLine="0"/>
        <w:jc w:val="center"/>
        <w:rPr>
          <w:rFonts w:ascii="宋体" w:hAnsi="宋体" w:cs="宋体" w:eastAsia="宋体" w:hint="default"/>
          <w:sz w:val="18"/>
          <w:szCs w:val="18"/>
        </w:rPr>
      </w:pPr>
      <w:r>
        <w:rPr/>
        <w:pict>
          <v:group style="position:absolute;margin-left:56.279999pt;margin-top:1.231729pt;width:482.65pt;height:12.4pt;mso-position-horizontal-relative:page;mso-position-vertical-relative:paragraph;z-index:-628768" coordorigin="1126,25" coordsize="9653,248">
            <v:shape style="position:absolute;left:1135;top:25;width:797;height:144" type="#_x0000_t75" stroked="false">
              <v:imagedata r:id="rId8" o:title=""/>
            </v:shape>
            <v:shape style="position:absolute;left:1966;top:25;width:430;height:101" type="#_x0000_t75" stroked="false">
              <v:imagedata r:id="rId9" o:title=""/>
            </v:shape>
            <v:group style="position:absolute;left:1133;top:178;width:1251;height:94" coordorigin="1133,178" coordsize="1251,94">
              <v:shape style="position:absolute;left:1133;top:178;width:1251;height:94" coordorigin="1133,178" coordsize="1251,94" path="m1133,272l1227,257,1312,245,1407,234,1511,224,1646,213,1819,203,2383,178,1133,272xe" filled="true" fillcolor="#074278" stroked="false">
                <v:path arrowok="t"/>
                <v:fill type="solid"/>
              </v:shape>
            </v:group>
            <v:group style="position:absolute;left:1133;top:44;width:9639;height:2" coordorigin="1133,44" coordsize="9639,2">
              <v:shape style="position:absolute;left:1133;top:44;width:9639;height:2" coordorigin="1133,44" coordsize="9639,0" path="m1133,44l10771,44e" filled="false" stroked="true" strokeweight=".72pt" strokecolor="#000000">
                <v:path arrowok="t"/>
              </v:shape>
            </v:group>
            <w10:wrap type="none"/>
          </v:group>
        </w:pict>
      </w:r>
      <w:r>
        <w:rPr>
          <w:rFonts w:ascii="宋体" w:hAnsi="宋体" w:cs="宋体" w:eastAsia="宋体" w:hint="default"/>
          <w:sz w:val="18"/>
          <w:szCs w:val="18"/>
        </w:rPr>
        <w:t>期初数</w:t>
      </w:r>
    </w:p>
    <w:p>
      <w:pPr>
        <w:spacing w:line="175" w:lineRule="exact" w:before="0"/>
        <w:ind w:left="811" w:right="1787" w:firstLine="0"/>
        <w:jc w:val="left"/>
        <w:rPr>
          <w:rFonts w:ascii="宋体" w:hAnsi="宋体" w:cs="宋体" w:eastAsia="宋体" w:hint="default"/>
          <w:sz w:val="18"/>
          <w:szCs w:val="18"/>
        </w:rPr>
      </w:pPr>
      <w:r>
        <w:rPr/>
        <w:pict>
          <v:group style="position:absolute;margin-left:170.759995pt;margin-top:5.763052pt;width:364.7pt;height:.1pt;mso-position-horizontal-relative:page;mso-position-vertical-relative:paragraph;z-index:7072" coordorigin="3415,115" coordsize="7294,2">
            <v:shape style="position:absolute;left:3415;top:115;width:7294;height:2" coordorigin="3415,115" coordsize="7294,0" path="m3415,115l10709,115e" filled="false" stroked="true" strokeweight=".48pt" strokecolor="#000000">
              <v:path arrowok="t"/>
            </v:shape>
            <w10:wrap type="none"/>
          </v:group>
        </w:pict>
      </w:r>
      <w:r>
        <w:rPr>
          <w:rFonts w:ascii="宋体" w:hAnsi="宋体" w:cs="宋体" w:eastAsia="宋体" w:hint="default"/>
          <w:sz w:val="18"/>
          <w:szCs w:val="18"/>
        </w:rPr>
        <w:t>账  龄</w:t>
      </w:r>
    </w:p>
    <w:p>
      <w:pPr>
        <w:tabs>
          <w:tab w:pos="4054" w:val="left" w:leader="none"/>
          <w:tab w:pos="5653" w:val="left" w:leader="none"/>
          <w:tab w:pos="7825" w:val="left" w:leader="none"/>
        </w:tabs>
        <w:spacing w:line="205" w:lineRule="exact" w:before="0"/>
        <w:ind w:left="2257" w:right="0" w:firstLine="0"/>
        <w:jc w:val="center"/>
        <w:rPr>
          <w:rFonts w:ascii="宋体" w:hAnsi="宋体" w:cs="宋体" w:eastAsia="宋体" w:hint="default"/>
          <w:sz w:val="18"/>
          <w:szCs w:val="18"/>
        </w:rPr>
      </w:pPr>
      <w:r>
        <w:rPr>
          <w:rFonts w:ascii="宋体" w:hAnsi="宋体" w:cs="宋体" w:eastAsia="宋体" w:hint="default"/>
          <w:sz w:val="18"/>
          <w:szCs w:val="18"/>
        </w:rPr>
        <w:t>金额</w:t>
        <w:tab/>
        <w:t>比例</w:t>
        <w:tab/>
        <w:t>坏账准备</w:t>
        <w:tab/>
        <w:t>净值</w:t>
      </w:r>
    </w:p>
    <w:p>
      <w:pPr>
        <w:spacing w:line="240" w:lineRule="auto" w:before="2"/>
        <w:rPr>
          <w:rFonts w:ascii="宋体" w:hAnsi="宋体" w:cs="宋体" w:eastAsia="宋体" w:hint="default"/>
          <w:sz w:val="6"/>
          <w:szCs w:val="6"/>
        </w:rPr>
      </w:pPr>
    </w:p>
    <w:p>
      <w:pPr>
        <w:tabs>
          <w:tab w:pos="2390" w:val="left" w:leader="none"/>
          <w:tab w:pos="4478" w:val="left" w:leader="none"/>
          <w:tab w:pos="5990" w:val="left" w:leader="none"/>
          <w:tab w:pos="8035" w:val="left" w:leader="none"/>
        </w:tabs>
        <w:spacing w:line="20" w:lineRule="exact"/>
        <w:ind w:left="108" w:right="0" w:firstLine="0"/>
        <w:rPr>
          <w:rFonts w:ascii="宋体" w:hAnsi="宋体" w:cs="宋体" w:eastAsia="宋体" w:hint="default"/>
          <w:sz w:val="2"/>
          <w:szCs w:val="2"/>
        </w:rPr>
      </w:pPr>
      <w:r>
        <w:rPr>
          <w:rFonts w:ascii="宋体"/>
          <w:sz w:val="2"/>
        </w:rPr>
        <w:pict>
          <v:group style="width:97.2pt;height:.5pt;mso-position-horizontal-relative:char;mso-position-vertical-relative:line" coordorigin="0,0" coordsize="1944,10">
            <v:group style="position:absolute;left:5;top:5;width:1935;height:2" coordorigin="5,5" coordsize="1935,2">
              <v:shape style="position:absolute;left:5;top:5;width:1935;height:2" coordorigin="5,5" coordsize="1935,0" path="m5,5l1939,5e" filled="false" stroked="true" strokeweight=".48pt" strokecolor="#000000">
                <v:path arrowok="t"/>
              </v:shape>
            </v:group>
          </v:group>
        </w:pict>
      </w:r>
      <w:r>
        <w:rPr>
          <w:rFonts w:ascii="宋体"/>
          <w:sz w:val="2"/>
        </w:rPr>
      </w:r>
      <w:r>
        <w:rPr>
          <w:rFonts w:ascii="宋体"/>
          <w:sz w:val="2"/>
        </w:rPr>
        <w:tab/>
      </w:r>
      <w:r>
        <w:rPr>
          <w:rFonts w:ascii="宋体"/>
          <w:sz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8pt" strokecolor="#000000">
                <v:path arrowok="t"/>
              </v:shape>
            </v:group>
          </v:group>
        </w:pict>
      </w:r>
      <w:r>
        <w:rPr>
          <w:rFonts w:ascii="宋体"/>
          <w:sz w:val="2"/>
        </w:rPr>
      </w:r>
      <w:r>
        <w:rPr>
          <w:rFonts w:ascii="宋体"/>
          <w:sz w:val="2"/>
        </w:rPr>
        <w:tab/>
      </w:r>
      <w:r>
        <w:rPr>
          <w:rFonts w:ascii="宋体"/>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pt" strokecolor="#000000">
                <v:path arrowok="t"/>
              </v:shape>
            </v:group>
          </v:group>
        </w:pict>
      </w:r>
      <w:r>
        <w:rPr>
          <w:rFonts w:ascii="宋体"/>
          <w:sz w:val="2"/>
        </w:rPr>
      </w:r>
      <w:r>
        <w:rPr>
          <w:rFonts w:ascii="宋体"/>
          <w:sz w:val="2"/>
        </w:rPr>
        <w:tab/>
      </w:r>
      <w:r>
        <w:rPr>
          <w:rFonts w:ascii="宋体"/>
          <w:sz w:val="2"/>
        </w:rPr>
        <w:pict>
          <v:group style="width:88.35pt;height:.5pt;mso-position-horizontal-relative:char;mso-position-vertical-relative:line" coordorigin="0,0" coordsize="1767,10">
            <v:group style="position:absolute;left:5;top:5;width:1757;height:2" coordorigin="5,5" coordsize="1757,2">
              <v:shape style="position:absolute;left:5;top:5;width:1757;height:2" coordorigin="5,5" coordsize="1757,0" path="m5,5l1762,5e" filled="false" stroked="true" strokeweight=".48pt" strokecolor="#000000">
                <v:path arrowok="t"/>
              </v:shape>
            </v:group>
          </v:group>
        </w:pict>
      </w:r>
      <w:r>
        <w:rPr>
          <w:rFonts w:ascii="宋体"/>
          <w:sz w:val="2"/>
        </w:rPr>
      </w:r>
      <w:r>
        <w:rPr>
          <w:rFonts w:ascii="宋体"/>
          <w:sz w:val="2"/>
        </w:rPr>
        <w:tab/>
      </w:r>
      <w:r>
        <w:rPr>
          <w:rFonts w:ascii="宋体"/>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z w:val="2"/>
        </w:rPr>
      </w:r>
    </w:p>
    <w:p>
      <w:pPr>
        <w:tabs>
          <w:tab w:pos="3283" w:val="left" w:leader="none"/>
          <w:tab w:pos="5135" w:val="left" w:leader="none"/>
          <w:tab w:pos="6926" w:val="left" w:leader="none"/>
          <w:tab w:pos="8863" w:val="left" w:leader="none"/>
        </w:tabs>
        <w:spacing w:before="14"/>
        <w:ind w:left="223" w:right="14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152,375.00</w:t>
        <w:tab/>
      </w:r>
      <w:r>
        <w:rPr>
          <w:rFonts w:ascii="Times New Roman" w:hAnsi="Times New Roman" w:cs="Times New Roman" w:eastAsia="Times New Roman" w:hint="default"/>
          <w:sz w:val="18"/>
          <w:szCs w:val="18"/>
        </w:rPr>
        <w:t>2.07%</w:t>
        <w:tab/>
      </w:r>
      <w:r>
        <w:rPr>
          <w:rFonts w:ascii="Times New Roman" w:hAnsi="Times New Roman" w:cs="Times New Roman" w:eastAsia="Times New Roman" w:hint="default"/>
          <w:spacing w:val="-1"/>
          <w:sz w:val="18"/>
          <w:szCs w:val="18"/>
        </w:rPr>
        <w:t>76,187.50</w:t>
        <w:tab/>
        <w:t>76,187.50</w:t>
      </w:r>
    </w:p>
    <w:p>
      <w:pPr>
        <w:spacing w:line="240" w:lineRule="auto" w:before="9"/>
        <w:rPr>
          <w:rFonts w:ascii="Times New Roman" w:hAnsi="Times New Roman" w:cs="Times New Roman" w:eastAsia="Times New Roman" w:hint="default"/>
          <w:sz w:val="5"/>
          <w:szCs w:val="5"/>
        </w:rPr>
      </w:pPr>
    </w:p>
    <w:p>
      <w:pPr>
        <w:tabs>
          <w:tab w:pos="4478" w:val="left" w:leader="none"/>
          <w:tab w:pos="5990" w:val="left" w:leader="none"/>
          <w:tab w:pos="8035" w:val="left" w:leader="none"/>
        </w:tabs>
        <w:spacing w:line="20" w:lineRule="exact"/>
        <w:ind w:left="2390" w:right="0" w:firstLine="0"/>
        <w:rPr>
          <w:rFonts w:ascii="Times New Roman" w:hAnsi="Times New Roman" w:cs="Times New Roman" w:eastAsia="Times New Roman" w:hint="default"/>
          <w:sz w:val="2"/>
          <w:szCs w:val="2"/>
        </w:rPr>
      </w:pPr>
      <w:r>
        <w:rPr>
          <w:rFonts w:ascii="Times New Roman"/>
          <w:sz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8.35pt;height:.5pt;mso-position-horizontal-relative:char;mso-position-vertical-relative:line" coordorigin="0,0" coordsize="1767,10">
            <v:group style="position:absolute;left:5;top:5;width:1757;height:2" coordorigin="5,5" coordsize="1757,2">
              <v:shape style="position:absolute;left:5;top:5;width:1757;height:2" coordorigin="5,5" coordsize="1757,0" path="m5,5l176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Times New Roman"/>
          <w:sz w:val="2"/>
        </w:rPr>
      </w:r>
    </w:p>
    <w:p>
      <w:pPr>
        <w:tabs>
          <w:tab w:pos="3148" w:val="left" w:leader="none"/>
          <w:tab w:pos="4955" w:val="left" w:leader="none"/>
          <w:tab w:pos="6835" w:val="left" w:leader="none"/>
          <w:tab w:pos="8637" w:val="left" w:leader="none"/>
        </w:tabs>
        <w:spacing w:before="14"/>
        <w:ind w:left="811"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7,353,909.21</w:t>
        <w:tab/>
        <w:t>100.00%</w:t>
        <w:tab/>
        <w:t>449,364.39</w:t>
        <w:tab/>
        <w:t>6,904,544.82</w:t>
      </w:r>
    </w:p>
    <w:p>
      <w:pPr>
        <w:spacing w:line="240" w:lineRule="auto" w:before="9"/>
        <w:rPr>
          <w:rFonts w:ascii="Times New Roman" w:hAnsi="Times New Roman" w:cs="Times New Roman" w:eastAsia="Times New Roman" w:hint="default"/>
          <w:sz w:val="5"/>
          <w:szCs w:val="5"/>
        </w:rPr>
      </w:pPr>
    </w:p>
    <w:p>
      <w:pPr>
        <w:tabs>
          <w:tab w:pos="4478" w:val="left" w:leader="none"/>
          <w:tab w:pos="5990" w:val="left" w:leader="none"/>
          <w:tab w:pos="8035" w:val="left" w:leader="none"/>
        </w:tabs>
        <w:spacing w:line="28" w:lineRule="exact"/>
        <w:ind w:left="2390" w:right="0" w:firstLine="0"/>
        <w:rPr>
          <w:rFonts w:ascii="Times New Roman" w:hAnsi="Times New Roman" w:cs="Times New Roman" w:eastAsia="Times New Roman" w:hint="default"/>
          <w:sz w:val="2"/>
          <w:szCs w:val="2"/>
        </w:rPr>
      </w:pPr>
      <w:r>
        <w:rPr>
          <w:rFonts w:ascii="Times New Roman"/>
          <w:position w:val="0"/>
          <w:sz w:val="2"/>
        </w:rPr>
        <w:pict>
          <v:group style="width:90.75pt;height:1.45pt;mso-position-horizontal-relative:char;mso-position-vertical-relative:line" coordorigin="0,0" coordsize="1815,29">
            <v:group style="position:absolute;left:5;top:5;width:1805;height:2" coordorigin="5,5" coordsize="1805,2">
              <v:shape style="position:absolute;left:5;top:5;width:1805;height:2" coordorigin="5,5" coordsize="1805,0" path="m5,5l1810,5e" filled="false" stroked="true" strokeweight=".48pt" strokecolor="#000000">
                <v:path arrowok="t"/>
              </v:shape>
            </v:group>
            <v:group style="position:absolute;left:5;top:24;width:1805;height:2" coordorigin="5,24" coordsize="1805,2">
              <v:shape style="position:absolute;left:5;top:24;width:1805;height:2" coordorigin="5,24" coordsize="1805,0" path="m5,24l181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1.7pt;height:1.45pt;mso-position-horizontal-relative:char;mso-position-vertical-relative:line" coordorigin="0,0" coordsize="1234,29">
            <v:group style="position:absolute;left:5;top:5;width:1224;height:2" coordorigin="5,5" coordsize="1224,2">
              <v:shape style="position:absolute;left:5;top:5;width:1224;height:2" coordorigin="5,5" coordsize="1224,0" path="m5,5l1229,5e" filled="false" stroked="true" strokeweight=".48pt" strokecolor="#000000">
                <v:path arrowok="t"/>
              </v:shape>
            </v:group>
            <v:group style="position:absolute;left:5;top:24;width:1224;height:2" coordorigin="5,24" coordsize="1224,2">
              <v:shape style="position:absolute;left:5;top:24;width:1224;height:2" coordorigin="5,24" coordsize="1224,0" path="m5,24l122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8.35pt;height:1.45pt;mso-position-horizontal-relative:char;mso-position-vertical-relative:line" coordorigin="0,0" coordsize="1767,29">
            <v:group style="position:absolute;left:5;top:5;width:1757;height:2" coordorigin="5,5" coordsize="1757,2">
              <v:shape style="position:absolute;left:5;top:5;width:1757;height:2" coordorigin="5,5" coordsize="1757,0" path="m5,5l1762,5e" filled="false" stroked="true" strokeweight=".48pt" strokecolor="#000000">
                <v:path arrowok="t"/>
              </v:shape>
            </v:group>
            <v:group style="position:absolute;left:5;top:24;width:1757;height:2" coordorigin="5,24" coordsize="1757,2">
              <v:shape style="position:absolute;left:5;top:24;width:1757;height:2" coordorigin="5,24" coordsize="1757,0" path="m5,24l176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2.95pt;height:1.45pt;mso-position-horizontal-relative:char;mso-position-vertical-relative:line" coordorigin="0,0" coordsize="1659,29">
            <v:group style="position:absolute;left:5;top:5;width:1649;height:2" coordorigin="5,5" coordsize="1649,2">
              <v:shape style="position:absolute;left:5;top:5;width:1649;height:2" coordorigin="5,5" coordsize="1649,0" path="m5,5l1654,5e" filled="false" stroked="true" strokeweight=".48pt" strokecolor="#000000">
                <v:path arrowok="t"/>
              </v:shape>
            </v:group>
            <v:group style="position:absolute;left:5;top:24;width:1649;height:2" coordorigin="5,24" coordsize="1649,2">
              <v:shape style="position:absolute;left:5;top:24;width:1649;height:2" coordorigin="5,24" coordsize="1649,0" path="m5,24l1654,24e" filled="false" stroked="true" strokeweight=".48pt" strokecolor="#000000">
                <v:path arrowok="t"/>
              </v:shape>
            </v:group>
          </v:group>
        </w:pict>
      </w:r>
      <w:r>
        <w:rPr>
          <w:rFonts w:ascii="Times New Roman"/>
          <w:position w:val="0"/>
          <w:sz w:val="2"/>
        </w:rPr>
      </w:r>
    </w:p>
    <w:p>
      <w:pPr>
        <w:spacing w:before="52"/>
        <w:ind w:left="564" w:right="178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：期末本账户余额中无持有本公司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以上股份的股东欠款。</w:t>
      </w:r>
    </w:p>
    <w:p>
      <w:pPr>
        <w:spacing w:line="374" w:lineRule="auto" w:before="139"/>
        <w:ind w:left="112" w:right="142" w:firstLine="45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：期末本账户余额中包括已获批准但尚未实际收到的软件产品增值税即征即退税款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6,850,597.81</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元，暂估增值税进</w:t>
      </w:r>
      <w:r>
        <w:rPr>
          <w:rFonts w:ascii="宋体" w:hAnsi="宋体" w:cs="宋体" w:eastAsia="宋体" w:hint="default"/>
          <w:sz w:val="18"/>
          <w:szCs w:val="18"/>
        </w:rPr>
        <w:t> 项税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3,534,078.00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元，期末不存在减值迹象，未计提坏账准备。</w:t>
      </w:r>
    </w:p>
    <w:p>
      <w:pPr>
        <w:spacing w:line="374" w:lineRule="auto" w:before="30"/>
        <w:ind w:left="112" w:right="142" w:firstLine="45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：本账户期末余额中欠款金额前五名和占其他应收款账面余额比例如下（不含上述软件产品增值税即征即退税款 </w:t>
      </w:r>
      <w:r>
        <w:rPr>
          <w:rFonts w:ascii="宋体" w:hAnsi="宋体" w:cs="宋体" w:eastAsia="宋体" w:hint="default"/>
          <w:spacing w:val="-9"/>
          <w:sz w:val="18"/>
          <w:szCs w:val="18"/>
        </w:rPr>
        <w:t>和暂估增值税进项税）：</w:t>
      </w:r>
    </w:p>
    <w:p>
      <w:pPr>
        <w:tabs>
          <w:tab w:pos="4598" w:val="left" w:leader="none"/>
          <w:tab w:pos="6496" w:val="left" w:leader="none"/>
          <w:tab w:pos="8234" w:val="left" w:leader="none"/>
        </w:tabs>
        <w:spacing w:line="334" w:lineRule="exact" w:before="0"/>
        <w:ind w:left="1715" w:right="142" w:firstLine="0"/>
        <w:jc w:val="left"/>
        <w:rPr>
          <w:rFonts w:ascii="宋体" w:hAnsi="宋体" w:cs="宋体" w:eastAsia="宋体" w:hint="default"/>
          <w:sz w:val="18"/>
          <w:szCs w:val="18"/>
        </w:rPr>
      </w:pPr>
      <w:r>
        <w:rPr/>
        <w:pict>
          <v:shape style="position:absolute;margin-left:56.639999pt;margin-top:13.320023pt;width:484.2pt;height:76.4pt;mso-position-horizontal-relative:page;mso-position-vertical-relative:paragraph;z-index:7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4"/>
                    <w:gridCol w:w="319"/>
                    <w:gridCol w:w="1565"/>
                    <w:gridCol w:w="319"/>
                    <w:gridCol w:w="1951"/>
                    <w:gridCol w:w="283"/>
                    <w:gridCol w:w="1682"/>
                  </w:tblGrid>
                  <w:tr>
                    <w:trPr>
                      <w:trHeight w:val="210" w:hRule="exact"/>
                    </w:trPr>
                    <w:tc>
                      <w:tcPr>
                        <w:tcW w:w="8002" w:type="dxa"/>
                        <w:gridSpan w:val="6"/>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180" w:lineRule="exact"/>
                          <w:ind w:left="66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1" w:hRule="exact"/>
                    </w:trPr>
                    <w:tc>
                      <w:tcPr>
                        <w:tcW w:w="356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993,500.00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609" w:right="0"/>
                          <w:jc w:val="left"/>
                          <w:rPr>
                            <w:rFonts w:ascii="Times New Roman" w:hAnsi="Times New Roman" w:cs="Times New Roman" w:eastAsia="Times New Roman" w:hint="default"/>
                            <w:sz w:val="18"/>
                            <w:szCs w:val="18"/>
                          </w:rPr>
                        </w:pPr>
                        <w:r>
                          <w:rPr>
                            <w:rFonts w:ascii="Times New Roman"/>
                            <w:sz w:val="18"/>
                          </w:rPr>
                          <w:t>4.41%</w:t>
                        </w:r>
                      </w:p>
                    </w:tc>
                  </w:tr>
                  <w:tr>
                    <w:trPr>
                      <w:trHeight w:val="331"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838,000.00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09" w:right="0"/>
                          <w:jc w:val="left"/>
                          <w:rPr>
                            <w:rFonts w:ascii="Times New Roman" w:hAnsi="Times New Roman" w:cs="Times New Roman" w:eastAsia="Times New Roman" w:hint="default"/>
                            <w:sz w:val="18"/>
                            <w:szCs w:val="18"/>
                          </w:rPr>
                        </w:pPr>
                        <w:r>
                          <w:rPr>
                            <w:rFonts w:ascii="Times New Roman"/>
                            <w:sz w:val="18"/>
                          </w:rPr>
                          <w:t>3.72%</w:t>
                        </w:r>
                      </w:p>
                    </w:tc>
                  </w:tr>
                  <w:tr>
                    <w:trPr>
                      <w:trHeight w:val="331"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634,640.00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09" w:right="0"/>
                          <w:jc w:val="left"/>
                          <w:rPr>
                            <w:rFonts w:ascii="Times New Roman" w:hAnsi="Times New Roman" w:cs="Times New Roman" w:eastAsia="Times New Roman" w:hint="default"/>
                            <w:sz w:val="18"/>
                            <w:szCs w:val="18"/>
                          </w:rPr>
                        </w:pPr>
                        <w:r>
                          <w:rPr>
                            <w:rFonts w:ascii="Times New Roman"/>
                            <w:sz w:val="18"/>
                          </w:rPr>
                          <w:t>2.82%</w:t>
                        </w:r>
                      </w:p>
                    </w:tc>
                  </w:tr>
                  <w:tr>
                    <w:trPr>
                      <w:trHeight w:val="314"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580,000.00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09" w:right="0"/>
                          <w:jc w:val="left"/>
                          <w:rPr>
                            <w:rFonts w:ascii="Times New Roman" w:hAnsi="Times New Roman" w:cs="Times New Roman" w:eastAsia="Times New Roman" w:hint="default"/>
                            <w:sz w:val="18"/>
                            <w:szCs w:val="18"/>
                          </w:rPr>
                        </w:pPr>
                        <w:r>
                          <w:rPr>
                            <w:rFonts w:ascii="Times New Roman"/>
                            <w:sz w:val="18"/>
                          </w:rPr>
                          <w:t>2.58%</w:t>
                        </w:r>
                      </w:p>
                    </w:tc>
                  </w:tr>
                </w:tbl>
                <w:p>
                  <w:pPr/>
                </w:p>
              </w:txbxContent>
            </v:textbox>
            <w10:wrap type="none"/>
          </v:shape>
        </w:pict>
      </w:r>
      <w:r>
        <w:rPr>
          <w:rFonts w:ascii="宋体" w:hAnsi="宋体" w:cs="宋体" w:eastAsia="宋体" w:hint="default"/>
          <w:position w:val="-11"/>
          <w:sz w:val="18"/>
          <w:szCs w:val="18"/>
        </w:rPr>
        <w:t>单位</w:t>
        <w:tab/>
        <w:t>金额</w:t>
        <w:tab/>
        <w:t>欠款年限</w:t>
        <w:tab/>
      </w:r>
      <w:r>
        <w:rPr>
          <w:rFonts w:ascii="宋体" w:hAnsi="宋体" w:cs="宋体" w:eastAsia="宋体" w:hint="default"/>
          <w:sz w:val="18"/>
          <w:szCs w:val="18"/>
        </w:rPr>
        <w:t>占其他应收款总额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1"/>
          <w:pgSz w:w="11910" w:h="16840"/>
          <w:pgMar w:footer="976" w:header="849" w:top="1460" w:bottom="1160" w:left="1020" w:right="980"/>
          <w:pgNumType w:start="100"/>
        </w:sectPr>
      </w:pPr>
    </w:p>
    <w:p>
      <w:pPr>
        <w:tabs>
          <w:tab w:pos="4643" w:val="left" w:leader="none"/>
          <w:tab w:pos="6045" w:val="left" w:leader="none"/>
        </w:tabs>
        <w:spacing w:line="303" w:lineRule="exact" w:before="39"/>
        <w:ind w:left="223"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tab/>
      </w:r>
      <w:r>
        <w:rPr>
          <w:rFonts w:ascii="Times New Roman" w:hAnsi="Times New Roman" w:cs="Times New Roman" w:eastAsia="Times New Roman" w:hint="default"/>
          <w:spacing w:val="-1"/>
          <w:sz w:val="18"/>
          <w:szCs w:val="18"/>
        </w:rPr>
        <w:t>397,422.00</w:t>
        <w:tab/>
      </w:r>
      <w:r>
        <w:rPr>
          <w:rFonts w:ascii="Times New Roman" w:hAnsi="Times New Roman" w:cs="Times New Roman" w:eastAsia="Times New Roman" w:hint="default"/>
          <w:position w:val="12"/>
          <w:sz w:val="18"/>
          <w:szCs w:val="18"/>
        </w:rPr>
        <w:t>1</w:t>
      </w:r>
      <w:r>
        <w:rPr>
          <w:rFonts w:ascii="宋体" w:hAnsi="宋体" w:cs="宋体" w:eastAsia="宋体" w:hint="default"/>
          <w:position w:val="12"/>
          <w:sz w:val="18"/>
          <w:szCs w:val="18"/>
        </w:rPr>
        <w:t>－</w:t>
      </w:r>
      <w:r>
        <w:rPr>
          <w:rFonts w:ascii="Times New Roman" w:hAnsi="Times New Roman" w:cs="Times New Roman" w:eastAsia="Times New Roman" w:hint="default"/>
          <w:position w:val="12"/>
          <w:sz w:val="18"/>
          <w:szCs w:val="18"/>
        </w:rPr>
        <w:t>2 </w:t>
      </w:r>
      <w:r>
        <w:rPr>
          <w:rFonts w:ascii="宋体" w:hAnsi="宋体" w:cs="宋体" w:eastAsia="宋体" w:hint="default"/>
          <w:spacing w:val="-1"/>
          <w:position w:val="12"/>
          <w:sz w:val="18"/>
          <w:szCs w:val="18"/>
        </w:rPr>
        <w:t>年、</w:t>
      </w:r>
      <w:r>
        <w:rPr>
          <w:rFonts w:ascii="Times New Roman" w:hAnsi="Times New Roman" w:cs="Times New Roman" w:eastAsia="Times New Roman" w:hint="default"/>
          <w:spacing w:val="-1"/>
          <w:position w:val="12"/>
          <w:sz w:val="18"/>
          <w:szCs w:val="18"/>
        </w:rPr>
        <w:t>2</w:t>
      </w:r>
      <w:r>
        <w:rPr>
          <w:rFonts w:ascii="宋体" w:hAnsi="宋体" w:cs="宋体" w:eastAsia="宋体" w:hint="default"/>
          <w:spacing w:val="-1"/>
          <w:position w:val="12"/>
          <w:sz w:val="18"/>
          <w:szCs w:val="18"/>
        </w:rPr>
        <w:t>－</w:t>
      </w:r>
      <w:r>
        <w:rPr>
          <w:rFonts w:ascii="Times New Roman" w:hAnsi="Times New Roman" w:cs="Times New Roman" w:eastAsia="Times New Roman" w:hint="default"/>
          <w:spacing w:val="-1"/>
          <w:position w:val="12"/>
          <w:sz w:val="18"/>
          <w:szCs w:val="18"/>
        </w:rPr>
        <w:t>3</w:t>
      </w:r>
      <w:r>
        <w:rPr>
          <w:rFonts w:ascii="Times New Roman" w:hAnsi="Times New Roman" w:cs="Times New Roman" w:eastAsia="Times New Roman" w:hint="default"/>
          <w:spacing w:val="4"/>
          <w:position w:val="12"/>
          <w:sz w:val="18"/>
          <w:szCs w:val="18"/>
        </w:rPr>
        <w:t> </w:t>
      </w:r>
      <w:r>
        <w:rPr>
          <w:rFonts w:ascii="宋体" w:hAnsi="宋体" w:cs="宋体" w:eastAsia="宋体" w:hint="default"/>
          <w:position w:val="12"/>
          <w:sz w:val="18"/>
          <w:szCs w:val="18"/>
        </w:rPr>
        <w:t>年、</w:t>
      </w:r>
      <w:r>
        <w:rPr>
          <w:rFonts w:ascii="Times New Roman" w:hAnsi="Times New Roman" w:cs="Times New Roman" w:eastAsia="Times New Roman" w:hint="default"/>
          <w:position w:val="12"/>
          <w:sz w:val="18"/>
          <w:szCs w:val="18"/>
        </w:rPr>
        <w:t>3</w:t>
      </w:r>
      <w:r>
        <w:rPr>
          <w:rFonts w:ascii="Times New Roman" w:hAnsi="Times New Roman" w:cs="Times New Roman" w:eastAsia="Times New Roman" w:hint="default"/>
          <w:sz w:val="18"/>
          <w:szCs w:val="18"/>
        </w:rPr>
      </w:r>
    </w:p>
    <w:p>
      <w:pPr>
        <w:spacing w:line="183" w:lineRule="exact" w:before="0"/>
        <w:ind w:left="0" w:right="179" w:firstLine="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0" w:lineRule="auto" w:before="3"/>
        <w:rPr>
          <w:rFonts w:ascii="宋体" w:hAnsi="宋体" w:cs="宋体" w:eastAsia="宋体" w:hint="default"/>
          <w:sz w:val="15"/>
          <w:szCs w:val="15"/>
        </w:rPr>
      </w:pPr>
      <w:r>
        <w:rPr/>
        <w:br w:type="column"/>
      </w:r>
      <w:r>
        <w:rPr>
          <w:rFonts w:ascii="宋体"/>
          <w:sz w:val="15"/>
        </w:rPr>
      </w:r>
    </w:p>
    <w:p>
      <w:pPr>
        <w:spacing w:before="0"/>
        <w:ind w:left="223" w:right="0" w:firstLine="0"/>
        <w:jc w:val="left"/>
        <w:rPr>
          <w:rFonts w:ascii="Times New Roman" w:hAnsi="Times New Roman" w:cs="Times New Roman" w:eastAsia="Times New Roman" w:hint="default"/>
          <w:sz w:val="18"/>
          <w:szCs w:val="18"/>
        </w:rPr>
      </w:pPr>
      <w:r>
        <w:rPr>
          <w:rFonts w:ascii="Times New Roman"/>
          <w:sz w:val="18"/>
        </w:rPr>
        <w:t>1.76%</w:t>
      </w:r>
    </w:p>
    <w:p>
      <w:pPr>
        <w:spacing w:after="0"/>
        <w:jc w:val="left"/>
        <w:rPr>
          <w:rFonts w:ascii="Times New Roman" w:hAnsi="Times New Roman" w:cs="Times New Roman" w:eastAsia="Times New Roman" w:hint="default"/>
          <w:sz w:val="18"/>
          <w:szCs w:val="18"/>
        </w:rPr>
        <w:sectPr>
          <w:type w:val="continuous"/>
          <w:pgSz w:w="11910" w:h="16840"/>
          <w:pgMar w:top="1580" w:bottom="280" w:left="1020" w:right="980"/>
          <w:cols w:num="2" w:equalWidth="0">
            <w:col w:w="7667" w:space="833"/>
            <w:col w:w="1410"/>
          </w:cols>
        </w:sectPr>
      </w:pPr>
    </w:p>
    <w:p>
      <w:pPr>
        <w:tabs>
          <w:tab w:pos="8109" w:val="left" w:leader="none"/>
        </w:tabs>
        <w:spacing w:line="20" w:lineRule="exact"/>
        <w:ind w:left="3991" w:right="0" w:firstLine="0"/>
        <w:rPr>
          <w:rFonts w:ascii="Times New Roman" w:hAnsi="Times New Roman" w:cs="Times New Roman" w:eastAsia="Times New Roman" w:hint="default"/>
          <w:sz w:val="2"/>
          <w:szCs w:val="2"/>
        </w:rPr>
      </w:pPr>
      <w:r>
        <w:rPr>
          <w:rFonts w:ascii="Times New Roman"/>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5;top:5;width:1565;height:2" coordorigin="5,5" coordsize="1565,2">
              <v:shape style="position:absolute;left:5;top:5;width:1565;height:2" coordorigin="5,5" coordsize="1565,0" path="m5,5l157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4.6pt;height:.5pt;mso-position-horizontal-relative:char;mso-position-vertical-relative:line" coordorigin="0,0" coordsize="1692,10">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5;top:5;width:1683;height:2" coordorigin="5,5" coordsize="1683,2">
              <v:shape style="position:absolute;left:5;top:5;width:1683;height:2" coordorigin="5,5" coordsize="1683,0" path="m5,5l1687,5e" filled="false" stroked="true" strokeweight=".48pt" strokecolor="#000000">
                <v:path arrowok="t"/>
              </v:shape>
            </v:group>
          </v:group>
        </w:pict>
      </w:r>
      <w:r>
        <w:rPr>
          <w:rFonts w:ascii="Times New Roman"/>
          <w:sz w:val="2"/>
        </w:rPr>
      </w:r>
    </w:p>
    <w:p>
      <w:pPr>
        <w:tabs>
          <w:tab w:pos="4507" w:val="left" w:leader="none"/>
          <w:tab w:pos="6676" w:val="left" w:leader="none"/>
          <w:tab w:pos="8678" w:val="left" w:leader="none"/>
        </w:tabs>
        <w:spacing w:before="21"/>
        <w:ind w:left="171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3,443,562.00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15.29%</w:t>
      </w:r>
    </w:p>
    <w:p>
      <w:pPr>
        <w:spacing w:line="240" w:lineRule="auto" w:before="4"/>
        <w:rPr>
          <w:rFonts w:ascii="Times New Roman" w:hAnsi="Times New Roman" w:cs="Times New Roman" w:eastAsia="Times New Roman" w:hint="default"/>
          <w:sz w:val="5"/>
          <w:szCs w:val="5"/>
        </w:rPr>
      </w:pPr>
    </w:p>
    <w:p>
      <w:pPr>
        <w:tabs>
          <w:tab w:pos="8109" w:val="left" w:leader="none"/>
        </w:tabs>
        <w:spacing w:line="28" w:lineRule="exact"/>
        <w:ind w:left="3991" w:right="0" w:firstLine="0"/>
        <w:rPr>
          <w:rFonts w:ascii="Times New Roman" w:hAnsi="Times New Roman" w:cs="Times New Roman" w:eastAsia="Times New Roman" w:hint="default"/>
          <w:sz w:val="2"/>
          <w:szCs w:val="2"/>
        </w:rPr>
      </w:pPr>
      <w:r>
        <w:rPr>
          <w:rFonts w:ascii="Times New Roman"/>
          <w:position w:val="0"/>
          <w:sz w:val="2"/>
        </w:rPr>
        <w:pict>
          <v:group style="width:78.75pt;height:1.45pt;mso-position-horizontal-relative:char;mso-position-vertical-relative:line" coordorigin="0,0" coordsize="1575,29">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5;top:24;width:1565;height:2" coordorigin="5,24" coordsize="1565,2">
              <v:shape style="position:absolute;left:5;top:24;width:1565;height:2" coordorigin="5,24" coordsize="1565,0" path="m5,24l157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4.6pt;height:1.45pt;mso-position-horizontal-relative:char;mso-position-vertical-relative:line" coordorigin="0,0" coordsize="1692,29">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5;top:24;width:1683;height:2" coordorigin="5,24" coordsize="1683,2">
              <v:shape style="position:absolute;left:5;top:24;width:1683;height:2" coordorigin="5,24" coordsize="1683,0" path="m5,24l1687,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580" w:bottom="280" w:left="1020" w:right="980"/>
        </w:sectPr>
      </w:pPr>
    </w:p>
    <w:p>
      <w:pPr>
        <w:pStyle w:val="BodyText"/>
        <w:spacing w:line="240" w:lineRule="auto" w:before="188"/>
        <w:ind w:left="535" w:right="0"/>
        <w:jc w:val="center"/>
      </w:pPr>
      <w:r>
        <w:rPr>
          <w:rFonts w:ascii="Times New Roman" w:hAnsi="Times New Roman" w:cs="Times New Roman" w:eastAsia="Times New Roman" w:hint="default"/>
          <w:w w:val="95"/>
        </w:rPr>
        <w:t>7</w:t>
      </w:r>
      <w:r>
        <w:rPr>
          <w:w w:val="95"/>
        </w:rPr>
        <w:t>、存货</w:t>
      </w:r>
      <w:r>
        <w:rPr/>
      </w:r>
    </w:p>
    <w:p>
      <w:pPr>
        <w:spacing w:line="240" w:lineRule="auto" w:before="1"/>
        <w:rPr>
          <w:rFonts w:ascii="宋体" w:hAnsi="宋体" w:cs="宋体" w:eastAsia="宋体" w:hint="default"/>
          <w:sz w:val="22"/>
          <w:szCs w:val="22"/>
        </w:rPr>
      </w:pPr>
    </w:p>
    <w:p>
      <w:pPr>
        <w:spacing w:before="0"/>
        <w:ind w:left="626" w:right="0" w:firstLine="0"/>
        <w:jc w:val="center"/>
        <w:rPr>
          <w:rFonts w:ascii="宋体" w:hAnsi="宋体" w:cs="宋体" w:eastAsia="宋体" w:hint="default"/>
          <w:sz w:val="18"/>
          <w:szCs w:val="18"/>
        </w:rPr>
      </w:pPr>
      <w:r>
        <w:rPr>
          <w:rFonts w:ascii="宋体" w:hAnsi="宋体" w:cs="宋体" w:eastAsia="宋体" w:hint="default"/>
          <w:sz w:val="18"/>
          <w:szCs w:val="18"/>
        </w:rPr>
        <w:t>项  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26"/>
          <w:szCs w:val="26"/>
        </w:rPr>
      </w:pPr>
    </w:p>
    <w:p>
      <w:pPr>
        <w:tabs>
          <w:tab w:pos="3986" w:val="left" w:leader="none"/>
        </w:tabs>
        <w:spacing w:before="0"/>
        <w:ind w:left="0" w:right="152" w:firstLine="0"/>
        <w:jc w:val="center"/>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9"/>
        <w:rPr>
          <w:rFonts w:ascii="宋体" w:hAnsi="宋体" w:cs="宋体" w:eastAsia="宋体" w:hint="default"/>
          <w:sz w:val="6"/>
          <w:szCs w:val="6"/>
        </w:rPr>
      </w:pPr>
    </w:p>
    <w:p>
      <w:pPr>
        <w:tabs>
          <w:tab w:pos="3986" w:val="left" w:leader="none"/>
        </w:tabs>
        <w:spacing w:line="20" w:lineRule="exact"/>
        <w:ind w:left="-5" w:right="0" w:firstLine="0"/>
        <w:rPr>
          <w:rFonts w:ascii="宋体" w:hAnsi="宋体" w:cs="宋体" w:eastAsia="宋体" w:hint="default"/>
          <w:sz w:val="2"/>
          <w:szCs w:val="2"/>
        </w:rPr>
      </w:pPr>
      <w:r>
        <w:rPr>
          <w:rFonts w:ascii="宋体"/>
          <w:sz w:val="2"/>
        </w:rPr>
        <w:pict>
          <v:group style="width:185.55pt;height:.5pt;mso-position-horizontal-relative:char;mso-position-vertical-relative:line" coordorigin="0,0" coordsize="3711,10">
            <v:group style="position:absolute;left:5;top:5;width:3701;height:2" coordorigin="5,5" coordsize="3701,2">
              <v:shape style="position:absolute;left:5;top:5;width:3701;height:2" coordorigin="5,5" coordsize="3701,0" path="m5,5l3706,5e" filled="false" stroked="true" strokeweight=".48pt" strokecolor="#000000">
                <v:path arrowok="t"/>
              </v:shape>
            </v:group>
          </v:group>
        </w:pict>
      </w:r>
      <w:r>
        <w:rPr>
          <w:rFonts w:ascii="宋体"/>
          <w:sz w:val="2"/>
        </w:rPr>
      </w:r>
      <w:r>
        <w:rPr>
          <w:rFonts w:ascii="宋体"/>
          <w:sz w:val="2"/>
        </w:rPr>
        <w:tab/>
      </w:r>
      <w:r>
        <w:rPr>
          <w:rFonts w:ascii="宋体"/>
          <w:sz w:val="2"/>
        </w:rPr>
        <w:pict>
          <v:group style="width:185.05pt;height:.5pt;mso-position-horizontal-relative:char;mso-position-vertical-relative:line" coordorigin="0,0" coordsize="3701,10">
            <v:group style="position:absolute;left:5;top:5;width:3692;height:2" coordorigin="5,5" coordsize="3692,2">
              <v:shape style="position:absolute;left:5;top:5;width:3692;height:2" coordorigin="5,5" coordsize="3692,0" path="m5,5l3696,5e" filled="false" stroked="true" strokeweight=".48pt" strokecolor="#000000">
                <v:path arrowok="t"/>
              </v:shape>
            </v:group>
          </v:group>
        </w:pict>
      </w:r>
      <w:r>
        <w:rPr>
          <w:rFonts w:ascii="宋体"/>
          <w:sz w:val="2"/>
        </w:rPr>
      </w:r>
    </w:p>
    <w:p>
      <w:pPr>
        <w:tabs>
          <w:tab w:pos="1991" w:val="left" w:leader="none"/>
          <w:tab w:pos="4043" w:val="left" w:leader="none"/>
          <w:tab w:pos="6031" w:val="left" w:leader="none"/>
        </w:tabs>
        <w:spacing w:before="24"/>
        <w:ind w:left="0" w:right="20" w:firstLine="0"/>
        <w:jc w:val="center"/>
        <w:rPr>
          <w:rFonts w:ascii="宋体" w:hAnsi="宋体" w:cs="宋体" w:eastAsia="宋体" w:hint="default"/>
          <w:sz w:val="18"/>
          <w:szCs w:val="18"/>
        </w:rPr>
      </w:pPr>
      <w:r>
        <w:rPr>
          <w:rFonts w:ascii="宋体" w:hAnsi="宋体" w:cs="宋体" w:eastAsia="宋体" w:hint="default"/>
          <w:sz w:val="18"/>
          <w:szCs w:val="18"/>
        </w:rPr>
        <w:t>账面余额</w:t>
        <w:tab/>
        <w:t>跌价准备</w:t>
        <w:tab/>
        <w:t>账面余额</w:t>
        <w:tab/>
        <w:t>跌价准备</w:t>
      </w:r>
    </w:p>
    <w:p>
      <w:pPr>
        <w:spacing w:after="0"/>
        <w:jc w:val="center"/>
        <w:rPr>
          <w:rFonts w:ascii="宋体" w:hAnsi="宋体" w:cs="宋体" w:eastAsia="宋体" w:hint="default"/>
          <w:sz w:val="18"/>
          <w:szCs w:val="18"/>
        </w:rPr>
        <w:sectPr>
          <w:type w:val="continuous"/>
          <w:pgSz w:w="11910" w:h="16840"/>
          <w:pgMar w:top="1580" w:bottom="280" w:left="1020" w:right="980"/>
          <w:cols w:num="2" w:equalWidth="0">
            <w:col w:w="1268" w:space="794"/>
            <w:col w:w="7848"/>
          </w:cols>
        </w:sectPr>
      </w:pPr>
    </w:p>
    <w:p>
      <w:pPr>
        <w:spacing w:line="240" w:lineRule="auto" w:before="9"/>
        <w:rPr>
          <w:rFonts w:ascii="宋体" w:hAnsi="宋体" w:cs="宋体" w:eastAsia="宋体" w:hint="default"/>
          <w:sz w:val="6"/>
          <w:szCs w:val="6"/>
        </w:rPr>
      </w:pPr>
    </w:p>
    <w:p>
      <w:pPr>
        <w:tabs>
          <w:tab w:pos="2056" w:val="left" w:leader="none"/>
          <w:tab w:pos="4128" w:val="left" w:leader="none"/>
          <w:tab w:pos="6048" w:val="left" w:leader="none"/>
          <w:tab w:pos="8227" w:val="left" w:leader="none"/>
        </w:tabs>
        <w:spacing w:line="20" w:lineRule="exact"/>
        <w:ind w:left="108" w:right="0" w:firstLine="0"/>
        <w:rPr>
          <w:rFonts w:ascii="宋体" w:hAnsi="宋体" w:cs="宋体" w:eastAsia="宋体" w:hint="default"/>
          <w:sz w:val="2"/>
          <w:szCs w:val="2"/>
        </w:rPr>
      </w:pPr>
      <w:r>
        <w:rPr>
          <w:rFonts w:ascii="宋体"/>
          <w:sz w:val="2"/>
        </w:rPr>
        <w:pict>
          <v:group style="width:83.8pt;height:.5pt;mso-position-horizontal-relative:char;mso-position-vertical-relative:line" coordorigin="0,0" coordsize="1676,10">
            <v:group style="position:absolute;left:5;top:5;width:1666;height:2" coordorigin="5,5" coordsize="1666,2">
              <v:shape style="position:absolute;left:5;top:5;width:1666;height:2" coordorigin="5,5" coordsize="1666,0" path="m5,5l1670,5e" filled="false" stroked="true" strokeweight=".48pt" strokecolor="#000000">
                <v:path arrowok="t"/>
              </v:shape>
            </v:group>
          </v:group>
        </w:pict>
      </w:r>
      <w:r>
        <w:rPr>
          <w:rFonts w:ascii="宋体"/>
          <w:sz w:val="2"/>
        </w:rPr>
      </w:r>
      <w:r>
        <w:rPr>
          <w:rFonts w:ascii="宋体"/>
          <w:sz w:val="2"/>
        </w:rPr>
        <w:tab/>
      </w:r>
      <w:r>
        <w:rPr>
          <w:rFonts w:ascii="宋体"/>
          <w:sz w:val="2"/>
        </w:rPr>
        <w:pict>
          <v:group style="width:90pt;height:.5pt;mso-position-horizontal-relative:char;mso-position-vertical-relative:line" coordorigin="0,0" coordsize="1800,10">
            <v:group style="position:absolute;left:5;top:5;width:1791;height:2" coordorigin="5,5" coordsize="1791,2">
              <v:shape style="position:absolute;left:5;top:5;width:1791;height:2" coordorigin="5,5" coordsize="1791,0" path="m5,5l1795,5e" filled="false" stroked="true" strokeweight=".48pt" strokecolor="#000000">
                <v:path arrowok="t"/>
              </v:shape>
            </v:group>
          </v:group>
        </w:pict>
      </w:r>
      <w:r>
        <w:rPr>
          <w:rFonts w:ascii="宋体"/>
          <w:sz w:val="2"/>
        </w:rPr>
      </w:r>
      <w:r>
        <w:rPr>
          <w:rFonts w:ascii="宋体"/>
          <w:sz w:val="2"/>
        </w:rPr>
        <w:tab/>
      </w:r>
      <w:r>
        <w:rPr>
          <w:rFonts w:ascii="宋体"/>
          <w:sz w:val="2"/>
        </w:rPr>
        <w:pict>
          <v:group style="width:82pt;height:.5pt;mso-position-horizontal-relative:char;mso-position-vertical-relative:line" coordorigin="0,0" coordsize="1640,10">
            <v:group style="position:absolute;left:5;top:5;width:1630;height:2" coordorigin="5,5" coordsize="1630,2">
              <v:shape style="position:absolute;left:5;top:5;width:1630;height:2" coordorigin="5,5" coordsize="1630,0" path="m5,5l1634,5e" filled="false" stroked="true" strokeweight=".48pt" strokecolor="#000000">
                <v:path arrowok="t"/>
              </v:shape>
            </v:group>
          </v:group>
        </w:pict>
      </w:r>
      <w:r>
        <w:rPr>
          <w:rFonts w:ascii="宋体"/>
          <w:sz w:val="2"/>
        </w:rPr>
      </w:r>
      <w:r>
        <w:rPr>
          <w:rFonts w:ascii="宋体"/>
          <w:sz w:val="2"/>
        </w:rPr>
        <w:tab/>
      </w:r>
      <w:r>
        <w:rPr>
          <w:rFonts w:ascii="宋体"/>
          <w:sz w:val="2"/>
        </w:rPr>
        <w:pict>
          <v:group style="width:95.4pt;height:.5pt;mso-position-horizontal-relative:char;mso-position-vertical-relative:line" coordorigin="0,0" coordsize="1908,10">
            <v:group style="position:absolute;left:5;top:5;width:1899;height:2" coordorigin="5,5" coordsize="1899,2">
              <v:shape style="position:absolute;left:5;top:5;width:1899;height:2" coordorigin="5,5" coordsize="1899,0" path="m5,5l1903,5e" filled="false" stroked="true" strokeweight=".48pt" strokecolor="#000000">
                <v:path arrowok="t"/>
              </v:shape>
            </v:group>
          </v:group>
        </w:pict>
      </w:r>
      <w:r>
        <w:rPr>
          <w:rFonts w:ascii="宋体"/>
          <w:sz w:val="2"/>
        </w:rPr>
      </w:r>
      <w:r>
        <w:rPr>
          <w:rFonts w:ascii="宋体"/>
          <w:sz w:val="2"/>
        </w:rPr>
        <w:tab/>
      </w:r>
      <w:r>
        <w:rPr>
          <w:rFonts w:ascii="宋体"/>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z w:val="2"/>
        </w:rPr>
      </w:r>
    </w:p>
    <w:p>
      <w:pPr>
        <w:tabs>
          <w:tab w:pos="7031" w:val="left" w:leader="none"/>
        </w:tabs>
        <w:spacing w:before="21"/>
        <w:ind w:left="223" w:right="178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tab/>
      </w:r>
      <w:r>
        <w:rPr>
          <w:rFonts w:ascii="Times New Roman" w:hAnsi="Times New Roman" w:cs="Times New Roman" w:eastAsia="Times New Roman" w:hint="default"/>
          <w:sz w:val="18"/>
          <w:szCs w:val="18"/>
        </w:rPr>
        <w:t>304,438.90</w:t>
      </w:r>
    </w:p>
    <w:p>
      <w:pPr>
        <w:tabs>
          <w:tab w:pos="2798" w:val="left" w:leader="none"/>
        </w:tabs>
        <w:spacing w:before="106"/>
        <w:ind w:left="223" w:right="178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发出商品</w:t>
        <w:tab/>
      </w:r>
      <w:r>
        <w:rPr>
          <w:rFonts w:ascii="Times New Roman" w:hAnsi="Times New Roman" w:cs="Times New Roman" w:eastAsia="Times New Roman" w:hint="default"/>
          <w:sz w:val="18"/>
          <w:szCs w:val="18"/>
        </w:rPr>
        <w:t>8,401,473.50</w:t>
      </w:r>
    </w:p>
    <w:p>
      <w:pPr>
        <w:tabs>
          <w:tab w:pos="2932" w:val="left" w:leader="none"/>
          <w:tab w:pos="7123" w:val="left" w:leader="none"/>
        </w:tabs>
        <w:spacing w:before="108"/>
        <w:ind w:left="223" w:right="178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周转材料</w:t>
        <w:tab/>
      </w:r>
      <w:r>
        <w:rPr>
          <w:rFonts w:ascii="Times New Roman" w:hAnsi="Times New Roman" w:cs="Times New Roman" w:eastAsia="Times New Roman" w:hint="default"/>
          <w:spacing w:val="-1"/>
          <w:sz w:val="18"/>
          <w:szCs w:val="18"/>
        </w:rPr>
        <w:t>108,933.49</w:t>
        <w:tab/>
        <w:t>54,990.03</w:t>
      </w:r>
    </w:p>
    <w:p>
      <w:pPr>
        <w:spacing w:before="106"/>
        <w:ind w:left="223" w:right="1787" w:firstLine="0"/>
        <w:jc w:val="left"/>
        <w:rPr>
          <w:rFonts w:ascii="宋体" w:hAnsi="宋体" w:cs="宋体" w:eastAsia="宋体" w:hint="default"/>
          <w:sz w:val="18"/>
          <w:szCs w:val="18"/>
        </w:rPr>
      </w:pPr>
      <w:r>
        <w:rPr>
          <w:rFonts w:ascii="宋体" w:hAnsi="宋体" w:cs="宋体" w:eastAsia="宋体" w:hint="default"/>
          <w:sz w:val="18"/>
          <w:szCs w:val="18"/>
        </w:rPr>
        <w:t>在途物资</w:t>
      </w:r>
    </w:p>
    <w:p>
      <w:pPr>
        <w:spacing w:line="240" w:lineRule="auto" w:before="9"/>
        <w:rPr>
          <w:rFonts w:ascii="宋体" w:hAnsi="宋体" w:cs="宋体" w:eastAsia="宋体" w:hint="default"/>
          <w:sz w:val="6"/>
          <w:szCs w:val="6"/>
        </w:rPr>
      </w:pPr>
    </w:p>
    <w:p>
      <w:pPr>
        <w:tabs>
          <w:tab w:pos="4128" w:val="left" w:leader="none"/>
          <w:tab w:pos="6048" w:val="left" w:leader="none"/>
          <w:tab w:pos="8227" w:val="left" w:leader="none"/>
        </w:tabs>
        <w:spacing w:line="20" w:lineRule="exact"/>
        <w:ind w:left="2056" w:right="0" w:firstLine="0"/>
        <w:rPr>
          <w:rFonts w:ascii="宋体" w:hAnsi="宋体" w:cs="宋体" w:eastAsia="宋体" w:hint="default"/>
          <w:sz w:val="2"/>
          <w:szCs w:val="2"/>
        </w:rPr>
      </w:pPr>
      <w:r>
        <w:rPr>
          <w:rFonts w:ascii="宋体"/>
          <w:sz w:val="2"/>
        </w:rPr>
        <w:pict>
          <v:group style="width:90pt;height:.5pt;mso-position-horizontal-relative:char;mso-position-vertical-relative:line" coordorigin="0,0" coordsize="1800,10">
            <v:group style="position:absolute;left:5;top:5;width:1791;height:2" coordorigin="5,5" coordsize="1791,2">
              <v:shape style="position:absolute;left:5;top:5;width:1791;height:2" coordorigin="5,5" coordsize="1791,0" path="m5,5l1795,5e" filled="false" stroked="true" strokeweight=".48pt" strokecolor="#000000">
                <v:path arrowok="t"/>
              </v:shape>
            </v:group>
          </v:group>
        </w:pict>
      </w:r>
      <w:r>
        <w:rPr>
          <w:rFonts w:ascii="宋体"/>
          <w:sz w:val="2"/>
        </w:rPr>
      </w:r>
      <w:r>
        <w:rPr>
          <w:rFonts w:ascii="宋体"/>
          <w:sz w:val="2"/>
        </w:rPr>
        <w:tab/>
      </w:r>
      <w:r>
        <w:rPr>
          <w:rFonts w:ascii="宋体"/>
          <w:sz w:val="2"/>
        </w:rPr>
        <w:pict>
          <v:group style="width:82pt;height:.5pt;mso-position-horizontal-relative:char;mso-position-vertical-relative:line" coordorigin="0,0" coordsize="1640,10">
            <v:group style="position:absolute;left:5;top:5;width:1630;height:2" coordorigin="5,5" coordsize="1630,2">
              <v:shape style="position:absolute;left:5;top:5;width:1630;height:2" coordorigin="5,5" coordsize="1630,0" path="m5,5l1634,5e" filled="false" stroked="true" strokeweight=".48pt" strokecolor="#000000">
                <v:path arrowok="t"/>
              </v:shape>
            </v:group>
          </v:group>
        </w:pict>
      </w:r>
      <w:r>
        <w:rPr>
          <w:rFonts w:ascii="宋体"/>
          <w:sz w:val="2"/>
        </w:rPr>
      </w:r>
      <w:r>
        <w:rPr>
          <w:rFonts w:ascii="宋体"/>
          <w:sz w:val="2"/>
        </w:rPr>
        <w:tab/>
      </w:r>
      <w:r>
        <w:rPr>
          <w:rFonts w:ascii="宋体"/>
          <w:sz w:val="2"/>
        </w:rPr>
        <w:pict>
          <v:group style="width:95.4pt;height:.5pt;mso-position-horizontal-relative:char;mso-position-vertical-relative:line" coordorigin="0,0" coordsize="1908,10">
            <v:group style="position:absolute;left:5;top:5;width:1899;height:2" coordorigin="5,5" coordsize="1899,2">
              <v:shape style="position:absolute;left:5;top:5;width:1899;height:2" coordorigin="5,5" coordsize="1899,0" path="m5,5l1903,5e" filled="false" stroked="true" strokeweight=".48pt" strokecolor="#000000">
                <v:path arrowok="t"/>
              </v:shape>
            </v:group>
          </v:group>
        </w:pict>
      </w:r>
      <w:r>
        <w:rPr>
          <w:rFonts w:ascii="宋体"/>
          <w:sz w:val="2"/>
        </w:rPr>
      </w:r>
      <w:r>
        <w:rPr>
          <w:rFonts w:ascii="宋体"/>
          <w:sz w:val="2"/>
        </w:rPr>
        <w:tab/>
      </w:r>
      <w:r>
        <w:rPr>
          <w:rFonts w:ascii="宋体"/>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z w:val="2"/>
        </w:rPr>
      </w:r>
    </w:p>
    <w:p>
      <w:pPr>
        <w:tabs>
          <w:tab w:pos="2798" w:val="left" w:leader="none"/>
          <w:tab w:pos="7031" w:val="left" w:leader="none"/>
        </w:tabs>
        <w:spacing w:before="24"/>
        <w:ind w:left="676" w:right="178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8,510,406.99</w:t>
        <w:tab/>
        <w:t>359,428.93</w:t>
      </w:r>
    </w:p>
    <w:p>
      <w:pPr>
        <w:spacing w:line="240" w:lineRule="auto" w:before="5"/>
        <w:rPr>
          <w:rFonts w:ascii="Times New Roman" w:hAnsi="Times New Roman" w:cs="Times New Roman" w:eastAsia="Times New Roman" w:hint="default"/>
          <w:sz w:val="6"/>
          <w:szCs w:val="6"/>
        </w:rPr>
      </w:pPr>
    </w:p>
    <w:p>
      <w:pPr>
        <w:tabs>
          <w:tab w:pos="4128" w:val="left" w:leader="none"/>
          <w:tab w:pos="6048" w:val="left" w:leader="none"/>
          <w:tab w:pos="8227" w:val="left" w:leader="none"/>
        </w:tabs>
        <w:spacing w:line="28" w:lineRule="exact"/>
        <w:ind w:left="2056" w:right="0" w:firstLine="0"/>
        <w:rPr>
          <w:rFonts w:ascii="Times New Roman" w:hAnsi="Times New Roman" w:cs="Times New Roman" w:eastAsia="Times New Roman" w:hint="default"/>
          <w:sz w:val="2"/>
          <w:szCs w:val="2"/>
        </w:rPr>
      </w:pPr>
      <w:r>
        <w:rPr>
          <w:rFonts w:ascii="Times New Roman"/>
          <w:position w:val="0"/>
          <w:sz w:val="2"/>
        </w:rPr>
        <w:pict>
          <v:group style="width:90pt;height:1.45pt;mso-position-horizontal-relative:char;mso-position-vertical-relative:line" coordorigin="0,0" coordsize="1800,29">
            <v:group style="position:absolute;left:5;top:5;width:1791;height:2" coordorigin="5,5" coordsize="1791,2">
              <v:shape style="position:absolute;left:5;top:5;width:1791;height:2" coordorigin="5,5" coordsize="1791,0" path="m5,5l1795,5e" filled="false" stroked="true" strokeweight=".48pt" strokecolor="#000000">
                <v:path arrowok="t"/>
              </v:shape>
            </v:group>
            <v:group style="position:absolute;left:5;top:24;width:1791;height:2" coordorigin="5,24" coordsize="1791,2">
              <v:shape style="position:absolute;left:5;top:24;width:1791;height:2" coordorigin="5,24" coordsize="1791,0" path="m5,24l179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2pt;height:1.45pt;mso-position-horizontal-relative:char;mso-position-vertical-relative:line" coordorigin="0,0" coordsize="1640,29">
            <v:group style="position:absolute;left:5;top:5;width:1630;height:2" coordorigin="5,5" coordsize="1630,2">
              <v:shape style="position:absolute;left:5;top:5;width:1630;height:2" coordorigin="5,5" coordsize="1630,0" path="m5,5l1634,5e" filled="false" stroked="true" strokeweight=".48pt" strokecolor="#000000">
                <v:path arrowok="t"/>
              </v:shape>
            </v:group>
            <v:group style="position:absolute;left:5;top:24;width:1630;height:2" coordorigin="5,24" coordsize="1630,2">
              <v:shape style="position:absolute;left:5;top:24;width:1630;height:2" coordorigin="5,24" coordsize="1630,0" path="m5,24l163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5.4pt;height:1.45pt;mso-position-horizontal-relative:char;mso-position-vertical-relative:line" coordorigin="0,0" coordsize="1908,29">
            <v:group style="position:absolute;left:5;top:5;width:1899;height:2" coordorigin="5,5" coordsize="1899,2">
              <v:shape style="position:absolute;left:5;top:5;width:1899;height:2" coordorigin="5,5" coordsize="1899,0" path="m5,5l1903,5e" filled="false" stroked="true" strokeweight=".48pt" strokecolor="#000000">
                <v:path arrowok="t"/>
              </v:shape>
            </v:group>
            <v:group style="position:absolute;left:5;top:24;width:1899;height:2" coordorigin="5,24" coordsize="1899,2">
              <v:shape style="position:absolute;left:5;top:24;width:1899;height:2" coordorigin="5,24" coordsize="1899,0" path="m5,24l190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1pt;height:1.45pt;mso-position-horizontal-relative:char;mso-position-vertical-relative:line" coordorigin="0,0" coordsize="1522,29">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5;top:24;width:1512;height:2" coordorigin="5,24" coordsize="1512,2">
              <v:shape style="position:absolute;left:5;top:24;width:1512;height:2" coordorigin="5,24" coordsize="1512,0" path="m5,24l1517,24e" filled="false" stroked="true" strokeweight=".48pt" strokecolor="#000000">
                <v:path arrowok="t"/>
              </v:shape>
            </v:group>
          </v:group>
        </w:pict>
      </w:r>
      <w:r>
        <w:rPr>
          <w:rFonts w:ascii="Times New Roman"/>
          <w:position w:val="0"/>
          <w:sz w:val="2"/>
        </w:rPr>
      </w:r>
    </w:p>
    <w:p>
      <w:pPr>
        <w:spacing w:line="374" w:lineRule="auto" w:before="52"/>
        <w:ind w:left="475" w:right="2978" w:firstLine="0"/>
        <w:jc w:val="left"/>
        <w:rPr>
          <w:rFonts w:ascii="宋体" w:hAnsi="宋体" w:cs="宋体" w:eastAsia="宋体" w:hint="default"/>
          <w:sz w:val="18"/>
          <w:szCs w:val="18"/>
        </w:rPr>
      </w:pPr>
      <w:r>
        <w:rPr/>
        <w:pict>
          <v:shape style="position:absolute;margin-left:56.639999pt;margin-top:36.497341pt;width:484.2pt;height:123.05pt;mso-position-horizontal-relative:page;mso-position-vertical-relative:paragraph;z-index:7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9"/>
                    <w:gridCol w:w="3434"/>
                    <w:gridCol w:w="331"/>
                    <w:gridCol w:w="2203"/>
                    <w:gridCol w:w="283"/>
                    <w:gridCol w:w="2153"/>
                  </w:tblGrid>
                  <w:tr>
                    <w:trPr>
                      <w:trHeight w:val="391" w:hRule="exact"/>
                    </w:trPr>
                    <w:tc>
                      <w:tcPr>
                        <w:tcW w:w="1279" w:type="dxa"/>
                        <w:tcBorders>
                          <w:top w:val="nil" w:sz="6" w:space="0" w:color="auto"/>
                          <w:left w:val="nil" w:sz="6" w:space="0" w:color="auto"/>
                          <w:bottom w:val="single" w:sz="4" w:space="0" w:color="000000"/>
                          <w:right w:val="nil" w:sz="6" w:space="0" w:color="auto"/>
                        </w:tcBorders>
                      </w:tcPr>
                      <w:p>
                        <w:pPr/>
                      </w:p>
                    </w:tc>
                    <w:tc>
                      <w:tcPr>
                        <w:tcW w:w="34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274"/>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31"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采购金额</w:t>
                        </w:r>
                      </w:p>
                    </w:tc>
                    <w:tc>
                      <w:tcPr>
                        <w:tcW w:w="283"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占采购总金额比例</w:t>
                        </w:r>
                      </w:p>
                    </w:tc>
                  </w:tr>
                  <w:tr>
                    <w:trPr>
                      <w:trHeight w:val="345" w:hRule="exact"/>
                    </w:trPr>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34" w:type="dxa"/>
                        <w:tcBorders>
                          <w:top w:val="single" w:sz="4" w:space="0" w:color="000000"/>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5,168,314.52</w:t>
                        </w:r>
                      </w:p>
                    </w:tc>
                    <w:tc>
                      <w:tcPr>
                        <w:tcW w:w="283"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8.37%</w:t>
                        </w:r>
                      </w:p>
                    </w:tc>
                  </w:tr>
                  <w:tr>
                    <w:trPr>
                      <w:trHeight w:val="335"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34"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Times New Roman" w:hAnsi="Times New Roman" w:cs="Times New Roman" w:eastAsia="Times New Roman" w:hint="default"/>
                            <w:sz w:val="18"/>
                            <w:szCs w:val="18"/>
                          </w:rPr>
                        </w:pPr>
                        <w:r>
                          <w:rPr>
                            <w:rFonts w:ascii="Times New Roman"/>
                            <w:spacing w:val="-1"/>
                            <w:sz w:val="18"/>
                          </w:rPr>
                          <w:t>1,533,003.42</w:t>
                        </w:r>
                      </w:p>
                    </w:tc>
                    <w:tc>
                      <w:tcPr>
                        <w:tcW w:w="283"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2.48%</w:t>
                        </w:r>
                      </w:p>
                    </w:tc>
                  </w:tr>
                  <w:tr>
                    <w:trPr>
                      <w:trHeight w:val="335"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34"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4,096,495.73</w:t>
                        </w:r>
                      </w:p>
                    </w:tc>
                    <w:tc>
                      <w:tcPr>
                        <w:tcW w:w="283"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6.63%</w:t>
                        </w:r>
                      </w:p>
                    </w:tc>
                  </w:tr>
                  <w:tr>
                    <w:trPr>
                      <w:trHeight w:val="335"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34"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Times New Roman" w:hAnsi="Times New Roman" w:cs="Times New Roman" w:eastAsia="Times New Roman" w:hint="default"/>
                            <w:sz w:val="18"/>
                            <w:szCs w:val="18"/>
                          </w:rPr>
                        </w:pPr>
                        <w:r>
                          <w:rPr>
                            <w:rFonts w:ascii="Times New Roman"/>
                            <w:spacing w:val="-1"/>
                            <w:sz w:val="18"/>
                          </w:rPr>
                          <w:t>3,388,976.07</w:t>
                        </w:r>
                      </w:p>
                    </w:tc>
                    <w:tc>
                      <w:tcPr>
                        <w:tcW w:w="283"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5.49%</w:t>
                        </w:r>
                      </w:p>
                    </w:tc>
                  </w:tr>
                  <w:tr>
                    <w:trPr>
                      <w:trHeight w:val="336"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34"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3,262,641.02</w:t>
                        </w:r>
                      </w:p>
                    </w:tc>
                    <w:tc>
                      <w:tcPr>
                        <w:tcW w:w="283"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5.28%</w:t>
                        </w:r>
                      </w:p>
                    </w:tc>
                  </w:tr>
                  <w:tr>
                    <w:trPr>
                      <w:trHeight w:val="355" w:hRule="exact"/>
                    </w:trPr>
                    <w:tc>
                      <w:tcPr>
                        <w:tcW w:w="1279" w:type="dxa"/>
                        <w:tcBorders>
                          <w:top w:val="nil" w:sz="6" w:space="0" w:color="auto"/>
                          <w:left w:val="nil" w:sz="6" w:space="0" w:color="auto"/>
                          <w:bottom w:val="nil" w:sz="6" w:space="0" w:color="auto"/>
                          <w:right w:val="nil" w:sz="6" w:space="0" w:color="auto"/>
                        </w:tcBorders>
                      </w:tcPr>
                      <w:p>
                        <w:pPr/>
                      </w:p>
                    </w:tc>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72"/>
                          <w:jc w:val="center"/>
                          <w:rPr>
                            <w:rFonts w:ascii="宋体" w:hAnsi="宋体" w:cs="宋体" w:eastAsia="宋体" w:hint="default"/>
                            <w:sz w:val="18"/>
                            <w:szCs w:val="18"/>
                          </w:rPr>
                        </w:pPr>
                        <w:r>
                          <w:rPr>
                            <w:rFonts w:ascii="宋体" w:hAnsi="宋体" w:cs="宋体" w:eastAsia="宋体" w:hint="default"/>
                            <w:sz w:val="18"/>
                            <w:szCs w:val="18"/>
                          </w:rPr>
                          <w:t>小计</w:t>
                        </w:r>
                      </w:p>
                    </w:tc>
                    <w:tc>
                      <w:tcPr>
                        <w:tcW w:w="331" w:type="dxa"/>
                        <w:tcBorders>
                          <w:top w:val="nil" w:sz="6" w:space="0" w:color="auto"/>
                          <w:left w:val="nil" w:sz="6" w:space="0" w:color="auto"/>
                          <w:bottom w:val="nil" w:sz="6" w:space="0" w:color="auto"/>
                          <w:right w:val="nil" w:sz="6" w:space="0" w:color="auto"/>
                        </w:tcBorders>
                      </w:tcPr>
                      <w:p>
                        <w:pPr/>
                      </w:p>
                    </w:tc>
                    <w:tc>
                      <w:tcPr>
                        <w:tcW w:w="2203"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17,449,430.76</w:t>
                        </w:r>
                      </w:p>
                    </w:tc>
                    <w:tc>
                      <w:tcPr>
                        <w:tcW w:w="283"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28.25%</w:t>
                        </w:r>
                      </w:p>
                    </w:tc>
                  </w:tr>
                </w:tbl>
                <w:p>
                  <w:pPr/>
                </w:p>
              </w:txbxContent>
            </v:textbox>
            <w10:wrap type="none"/>
          </v:shape>
        </w:pic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：本公司期末存货不存在成本低于可变现净值的情况，未计提存货跌价准备。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：采购前五名金额和占采购总金额比例如下：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4"/>
        <w:ind w:left="535" w:right="1787"/>
        <w:jc w:val="left"/>
      </w:pPr>
      <w:r>
        <w:rPr>
          <w:rFonts w:ascii="Times New Roman" w:hAnsi="Times New Roman" w:cs="Times New Roman" w:eastAsia="Times New Roman" w:hint="default"/>
        </w:rPr>
        <w:t>8</w:t>
      </w:r>
      <w:r>
        <w:rPr/>
        <w:t>、固定资产及累计折旧</w:t>
      </w:r>
    </w:p>
    <w:p>
      <w:pPr>
        <w:tabs>
          <w:tab w:pos="2392" w:val="left" w:leader="none"/>
          <w:tab w:pos="3945" w:val="left" w:leader="none"/>
          <w:tab w:pos="5515" w:val="left" w:leader="none"/>
          <w:tab w:pos="7166" w:val="left" w:leader="none"/>
        </w:tabs>
        <w:spacing w:before="99"/>
        <w:ind w:left="655" w:right="1787"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tab/>
        <w:t>期初数</w:t>
        <w:tab/>
        <w:t>本期增加</w:t>
        <w:tab/>
        <w:t>本期减少</w:t>
        <w:tab/>
        <w:t>期末数</w:t>
      </w:r>
    </w:p>
    <w:p>
      <w:pPr>
        <w:spacing w:line="240" w:lineRule="auto" w:before="4"/>
        <w:rPr>
          <w:rFonts w:ascii="宋体" w:hAnsi="宋体" w:cs="宋体" w:eastAsia="宋体" w:hint="default"/>
          <w:sz w:val="6"/>
          <w:szCs w:val="6"/>
        </w:rPr>
      </w:pPr>
    </w:p>
    <w:p>
      <w:pPr>
        <w:tabs>
          <w:tab w:pos="1965" w:val="left" w:leader="none"/>
          <w:tab w:pos="3588" w:val="left" w:leader="none"/>
          <w:tab w:pos="5248" w:val="left" w:leader="none"/>
          <w:tab w:pos="6727" w:val="left" w:leader="none"/>
        </w:tabs>
        <w:spacing w:line="20" w:lineRule="exact"/>
        <w:ind w:left="108"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宋体"/>
          <w:sz w:val="2"/>
        </w:rPr>
        <w:tab/>
      </w:r>
      <w:r>
        <w:rPr>
          <w:rFonts w:ascii="宋体"/>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z w:val="2"/>
        </w:rPr>
      </w:r>
      <w:r>
        <w:rPr>
          <w:rFonts w:ascii="宋体"/>
          <w:sz w:val="2"/>
        </w:rPr>
        <w:tab/>
      </w:r>
      <w:r>
        <w:rPr>
          <w:rFonts w:ascii="宋体"/>
          <w:sz w:val="2"/>
        </w:rPr>
        <w:pict>
          <v:group style="width:71.650pt;height:.5pt;mso-position-horizontal-relative:char;mso-position-vertical-relative:line" coordorigin="0,0" coordsize="1433,10">
            <v:group style="position:absolute;left:5;top:5;width:1424;height:2" coordorigin="5,5" coordsize="1424,2">
              <v:shape style="position:absolute;left:5;top:5;width:1424;height:2" coordorigin="5,5" coordsize="1424,0" path="m5,5l1428,5e" filled="false" stroked="true" strokeweight=".48pt" strokecolor="#000000">
                <v:path arrowok="t"/>
              </v:shape>
            </v:group>
          </v:group>
        </w:pict>
      </w:r>
      <w:r>
        <w:rPr>
          <w:rFonts w:ascii="宋体"/>
          <w:sz w:val="2"/>
        </w:rPr>
      </w:r>
      <w:r>
        <w:rPr>
          <w:rFonts w:ascii="宋体"/>
          <w:sz w:val="2"/>
        </w:rPr>
        <w:tab/>
      </w:r>
      <w:r>
        <w:rPr>
          <w:rFonts w:ascii="宋体"/>
          <w:sz w:val="2"/>
        </w:rPr>
        <w:pict>
          <v:group style="width:62.55pt;height:.5pt;mso-position-horizontal-relative:char;mso-position-vertical-relative:line" coordorigin="0,0" coordsize="1251,10">
            <v:group style="position:absolute;left:5;top:5;width:1241;height:2" coordorigin="5,5" coordsize="1241,2">
              <v:shape style="position:absolute;left:5;top:5;width:1241;height:2" coordorigin="5,5" coordsize="1241,0" path="m5,5l1246,5e" filled="false" stroked="true" strokeweight=".48pt" strokecolor="#000000">
                <v:path arrowok="t"/>
              </v:shape>
            </v:group>
          </v:group>
        </w:pict>
      </w:r>
      <w:r>
        <w:rPr>
          <w:rFonts w:ascii="宋体"/>
          <w:sz w:val="2"/>
        </w:rPr>
      </w:r>
      <w:r>
        <w:rPr>
          <w:rFonts w:ascii="宋体"/>
          <w:sz w:val="2"/>
        </w:rPr>
        <w:tab/>
      </w:r>
      <w:r>
        <w:rPr>
          <w:rFonts w:ascii="宋体"/>
          <w:sz w:val="2"/>
        </w:rPr>
        <w:pict>
          <v:group style="width:70.95pt;height:.5pt;mso-position-horizontal-relative:char;mso-position-vertical-relative:line" coordorigin="0,0" coordsize="1419,10">
            <v:group style="position:absolute;left:5;top:5;width:1409;height:2" coordorigin="5,5" coordsize="1409,2">
              <v:shape style="position:absolute;left:5;top:5;width:1409;height:2" coordorigin="5,5" coordsize="1409,0" path="m5,5l1414,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280" w:left="1020" w:right="980"/>
        </w:sectPr>
      </w:pPr>
    </w:p>
    <w:p>
      <w:pPr>
        <w:spacing w:line="240" w:lineRule="auto" w:before="5"/>
        <w:rPr>
          <w:rFonts w:ascii="宋体" w:hAnsi="宋体" w:cs="宋体" w:eastAsia="宋体" w:hint="default"/>
          <w:sz w:val="3"/>
          <w:szCs w:val="3"/>
        </w:rPr>
      </w:pPr>
      <w:r>
        <w:rPr/>
        <w:pict>
          <v:group style="position:absolute;margin-left:56.279999pt;margin-top:75.120026pt;width:482.65pt;height:12.4pt;mso-position-horizontal-relative:page;mso-position-vertical-relative:page;z-index:-628672" coordorigin="1126,1502" coordsize="965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v:group style="position:absolute;left:1133;top:1522;width:9639;height:2" coordorigin="1133,1522" coordsize="9639,2">
              <v:shape style="position:absolute;left:1133;top:1522;width:9639;height:2" coordorigin="1133,1522" coordsize="9639,0" path="m1133,1522l10771,1522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1620"/>
        <w:gridCol w:w="238"/>
        <w:gridCol w:w="1382"/>
        <w:gridCol w:w="240"/>
        <w:gridCol w:w="1423"/>
        <w:gridCol w:w="238"/>
        <w:gridCol w:w="1241"/>
        <w:gridCol w:w="238"/>
        <w:gridCol w:w="1409"/>
      </w:tblGrid>
      <w:tr>
        <w:trPr>
          <w:trHeight w:val="365" w:hRule="exact"/>
        </w:trPr>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4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一、原价</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r>
      <w:tr>
        <w:trPr>
          <w:trHeight w:val="346"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2,789,530.93</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11,539,277.56</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14,328,808.49</w:t>
            </w: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1,086,325.49</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267,572.72</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24" w:right="0"/>
              <w:jc w:val="left"/>
              <w:rPr>
                <w:rFonts w:ascii="Times New Roman" w:hAnsi="Times New Roman" w:cs="Times New Roman" w:eastAsia="Times New Roman" w:hint="default"/>
                <w:sz w:val="18"/>
                <w:szCs w:val="18"/>
              </w:rPr>
            </w:pPr>
            <w:r>
              <w:rPr>
                <w:rFonts w:ascii="Times New Roman"/>
                <w:sz w:val="18"/>
              </w:rPr>
              <w:t>235,200.00</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1,118,698.21</w:t>
            </w: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890,849.51</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65,261.12</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956,110.63</w:t>
            </w:r>
          </w:p>
        </w:tc>
      </w:tr>
      <w:tr>
        <w:trPr>
          <w:trHeight w:val="343"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4,766,705.93</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2"/>
                <w:sz w:val="18"/>
              </w:rPr>
              <w:t>11,872,111.40</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24" w:right="0"/>
              <w:jc w:val="left"/>
              <w:rPr>
                <w:rFonts w:ascii="Times New Roman" w:hAnsi="Times New Roman" w:cs="Times New Roman" w:eastAsia="Times New Roman" w:hint="default"/>
                <w:sz w:val="18"/>
                <w:szCs w:val="18"/>
              </w:rPr>
            </w:pPr>
            <w:r>
              <w:rPr>
                <w:rFonts w:ascii="Times New Roman"/>
                <w:sz w:val="18"/>
              </w:rPr>
              <w:t>235,200.00</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16,403,617.33</w:t>
            </w:r>
          </w:p>
        </w:tc>
      </w:tr>
      <w:tr>
        <w:trPr>
          <w:trHeight w:val="346"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r>
      <w:tr>
        <w:trPr>
          <w:trHeight w:val="346"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945,487.89</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538,735.65</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1,484,223.54</w:t>
            </w: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253,085.04</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192,240.01</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211,680.00</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233,645.05</w:t>
            </w: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107,041.80</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164,050.94</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271,092.74</w:t>
            </w:r>
          </w:p>
        </w:tc>
      </w:tr>
      <w:tr>
        <w:trPr>
          <w:trHeight w:val="34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1,305,614.73</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895,026.60</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211,680.00</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1,988,961.33</w:t>
            </w:r>
          </w:p>
        </w:tc>
      </w:tr>
    </w:tbl>
    <w:p>
      <w:pPr>
        <w:spacing w:line="348" w:lineRule="auto" w:before="20"/>
        <w:ind w:left="223" w:right="8583" w:firstLine="0"/>
        <w:jc w:val="left"/>
        <w:rPr>
          <w:rFonts w:ascii="宋体" w:hAnsi="宋体" w:cs="宋体" w:eastAsia="宋体" w:hint="default"/>
          <w:sz w:val="18"/>
          <w:szCs w:val="18"/>
        </w:rPr>
      </w:pPr>
      <w:r>
        <w:rPr>
          <w:rFonts w:ascii="宋体" w:hAnsi="宋体" w:cs="宋体" w:eastAsia="宋体" w:hint="default"/>
          <w:sz w:val="18"/>
          <w:szCs w:val="18"/>
        </w:rPr>
        <w:t>三、减值准备 房屋及建筑物 机器设备 电子设备 运输设备</w:t>
      </w:r>
    </w:p>
    <w:p>
      <w:pPr>
        <w:spacing w:before="24"/>
        <w:ind w:left="223" w:right="1787"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before="105"/>
        <w:ind w:left="655" w:right="1787"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p>
      <w:pPr>
        <w:spacing w:line="240" w:lineRule="auto" w:before="7"/>
        <w:rPr>
          <w:rFonts w:ascii="宋体" w:hAnsi="宋体" w:cs="宋体" w:eastAsia="宋体" w:hint="default"/>
          <w:sz w:val="6"/>
          <w:szCs w:val="6"/>
        </w:rPr>
      </w:pPr>
    </w:p>
    <w:tbl>
      <w:tblPr>
        <w:tblW w:w="0" w:type="auto"/>
        <w:jc w:val="left"/>
        <w:tblInd w:w="188" w:type="dxa"/>
        <w:tblLayout w:type="fixed"/>
        <w:tblCellMar>
          <w:top w:w="0" w:type="dxa"/>
          <w:left w:w="0" w:type="dxa"/>
          <w:bottom w:w="0" w:type="dxa"/>
          <w:right w:w="0" w:type="dxa"/>
        </w:tblCellMar>
        <w:tblLook w:val="01E0"/>
      </w:tblPr>
      <w:tblGrid>
        <w:gridCol w:w="1782"/>
        <w:gridCol w:w="1382"/>
        <w:gridCol w:w="240"/>
        <w:gridCol w:w="1423"/>
        <w:gridCol w:w="238"/>
        <w:gridCol w:w="1241"/>
        <w:gridCol w:w="238"/>
        <w:gridCol w:w="1409"/>
      </w:tblGrid>
      <w:tr>
        <w:trPr>
          <w:trHeight w:val="691"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348" w:lineRule="auto" w:before="29"/>
              <w:ind w:left="35" w:right="665"/>
              <w:jc w:val="left"/>
              <w:rPr>
                <w:rFonts w:ascii="宋体" w:hAnsi="宋体" w:cs="宋体" w:eastAsia="宋体" w:hint="default"/>
                <w:sz w:val="18"/>
                <w:szCs w:val="18"/>
              </w:rPr>
            </w:pPr>
            <w:r>
              <w:rPr>
                <w:rFonts w:ascii="宋体" w:hAnsi="宋体" w:cs="宋体" w:eastAsia="宋体" w:hint="default"/>
                <w:sz w:val="18"/>
                <w:szCs w:val="18"/>
              </w:rPr>
              <w:t>四、账面价值 房屋及建筑物</w:t>
            </w:r>
          </w:p>
        </w:tc>
        <w:tc>
          <w:tcPr>
            <w:tcW w:w="1382"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46" w:type="dxa"/>
            <w:gridSpan w:val="2"/>
            <w:vMerge w:val="restart"/>
            <w:tcBorders>
              <w:top w:val="nil" w:sz="6" w:space="0" w:color="auto"/>
              <w:left w:val="nil" w:sz="6" w:space="0" w:color="auto"/>
              <w:right w:val="nil" w:sz="6" w:space="0" w:color="auto"/>
            </w:tcBorders>
          </w:tcPr>
          <w:p>
            <w:pPr/>
          </w:p>
        </w:tc>
      </w:tr>
      <w:tr>
        <w:trPr>
          <w:trHeight w:val="341"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46" w:type="dxa"/>
            <w:gridSpan w:val="2"/>
            <w:vMerge/>
            <w:tcBorders>
              <w:left w:val="nil" w:sz="6" w:space="0" w:color="auto"/>
              <w:bottom w:val="nil" w:sz="6" w:space="0" w:color="auto"/>
              <w:right w:val="nil" w:sz="6" w:space="0" w:color="auto"/>
            </w:tcBorders>
          </w:tcPr>
          <w:p>
            <w:pPr/>
          </w:p>
        </w:tc>
      </w:tr>
      <w:tr>
        <w:trPr>
          <w:trHeight w:val="341"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1,844,043.04</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12,844,584.95</w:t>
            </w:r>
          </w:p>
        </w:tc>
      </w:tr>
      <w:tr>
        <w:trPr>
          <w:trHeight w:val="342"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833,240.45</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885,053.16</w:t>
            </w:r>
          </w:p>
        </w:tc>
      </w:tr>
      <w:tr>
        <w:trPr>
          <w:trHeight w:val="342"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18"/>
                <w:szCs w:val="18"/>
              </w:rPr>
            </w:pPr>
            <w:r>
              <w:rPr>
                <w:rFonts w:ascii="Times New Roman"/>
                <w:spacing w:val="-1"/>
                <w:sz w:val="18"/>
              </w:rPr>
              <w:t>783,807.71</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18"/>
                <w:szCs w:val="18"/>
              </w:rPr>
            </w:pPr>
            <w:r>
              <w:rPr>
                <w:rFonts w:ascii="Times New Roman"/>
                <w:spacing w:val="-1"/>
                <w:sz w:val="18"/>
              </w:rPr>
              <w:t>685,017.89</w:t>
            </w:r>
          </w:p>
        </w:tc>
      </w:tr>
      <w:tr>
        <w:trPr>
          <w:trHeight w:val="360"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3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3,461,091.20</w:t>
            </w:r>
          </w:p>
        </w:tc>
        <w:tc>
          <w:tcPr>
            <w:tcW w:w="240"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14,414,656.00</w:t>
            </w:r>
          </w:p>
        </w:tc>
      </w:tr>
    </w:tbl>
    <w:p>
      <w:pPr>
        <w:spacing w:line="300" w:lineRule="auto" w:before="37"/>
        <w:ind w:left="475" w:right="441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：本公司期末固定资产不存在减值迹象，未计提减值准备。 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：本期处置一辆商务车收益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71,287.80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1" w:lineRule="exact" w:before="0"/>
        <w:ind w:left="47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：本公司期末固定资产无暂时闲置、通过融资租赁租入、通过经营租赁租出、持有待售、未办妥产权证书等情况。</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535" w:right="1787"/>
        <w:jc w:val="left"/>
      </w:pPr>
      <w:r>
        <w:rPr>
          <w:rFonts w:ascii="Times New Roman" w:hAnsi="Times New Roman" w:cs="Times New Roman" w:eastAsia="Times New Roman" w:hint="default"/>
        </w:rPr>
        <w:t>9</w:t>
      </w:r>
      <w:r>
        <w:rPr/>
        <w:t>、无形资产</w:t>
      </w:r>
    </w:p>
    <w:p>
      <w:pPr>
        <w:spacing w:line="240" w:lineRule="auto" w:before="12"/>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620"/>
        <w:gridCol w:w="247"/>
        <w:gridCol w:w="1373"/>
        <w:gridCol w:w="245"/>
        <w:gridCol w:w="1327"/>
        <w:gridCol w:w="245"/>
        <w:gridCol w:w="1272"/>
        <w:gridCol w:w="245"/>
        <w:gridCol w:w="1452"/>
      </w:tblGrid>
      <w:tr>
        <w:trPr>
          <w:trHeight w:val="363" w:hRule="exact"/>
        </w:trPr>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39"/>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一、原价</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
        </w:tc>
      </w:tr>
      <w:tr>
        <w:trPr>
          <w:trHeight w:val="342"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8"/>
                <w:szCs w:val="18"/>
              </w:rPr>
            </w:pPr>
            <w:r>
              <w:rPr>
                <w:rFonts w:ascii="Times New Roman"/>
                <w:spacing w:val="-1"/>
                <w:sz w:val="18"/>
              </w:rPr>
              <w:t>26,337.61</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8"/>
                <w:szCs w:val="18"/>
              </w:rPr>
            </w:pPr>
            <w:r>
              <w:rPr>
                <w:rFonts w:ascii="Times New Roman"/>
                <w:spacing w:val="-1"/>
                <w:sz w:val="18"/>
              </w:rPr>
              <w:t>26,337.61</w:t>
            </w:r>
          </w:p>
        </w:tc>
      </w:tr>
      <w:tr>
        <w:trPr>
          <w:trHeight w:val="336"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250,846.96</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187,698.70</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438,545.66</w:t>
            </w:r>
          </w:p>
        </w:tc>
      </w:tr>
      <w:tr>
        <w:trPr>
          <w:trHeight w:val="338"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277,184.57</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187,698.70</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464,883.27</w:t>
            </w:r>
          </w:p>
        </w:tc>
      </w:tr>
    </w:tbl>
    <w:p>
      <w:pPr>
        <w:spacing w:before="17"/>
        <w:ind w:left="223" w:right="1787" w:firstLine="0"/>
        <w:jc w:val="left"/>
        <w:rPr>
          <w:rFonts w:ascii="宋体" w:hAnsi="宋体" w:cs="宋体" w:eastAsia="宋体" w:hint="default"/>
          <w:sz w:val="18"/>
          <w:szCs w:val="18"/>
        </w:rPr>
      </w:pPr>
      <w:r>
        <w:rPr>
          <w:rFonts w:ascii="宋体" w:hAnsi="宋体" w:cs="宋体" w:eastAsia="宋体" w:hint="default"/>
          <w:sz w:val="18"/>
          <w:szCs w:val="18"/>
        </w:rPr>
        <w:t>二、累计摊销</w:t>
      </w:r>
    </w:p>
    <w:p>
      <w:pPr>
        <w:spacing w:after="0"/>
        <w:jc w:val="left"/>
        <w:rPr>
          <w:rFonts w:ascii="宋体" w:hAnsi="宋体" w:cs="宋体" w:eastAsia="宋体" w:hint="default"/>
          <w:sz w:val="18"/>
          <w:szCs w:val="18"/>
        </w:rPr>
        <w:sectPr>
          <w:pgSz w:w="11910" w:h="16840"/>
          <w:pgMar w:header="849" w:footer="976" w:top="1460" w:bottom="1160" w:left="1020" w:right="980"/>
        </w:sectPr>
      </w:pPr>
    </w:p>
    <w:p>
      <w:pPr>
        <w:spacing w:line="240" w:lineRule="auto" w:before="5"/>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620"/>
        <w:gridCol w:w="247"/>
        <w:gridCol w:w="1373"/>
        <w:gridCol w:w="245"/>
        <w:gridCol w:w="1327"/>
        <w:gridCol w:w="245"/>
        <w:gridCol w:w="1272"/>
        <w:gridCol w:w="245"/>
        <w:gridCol w:w="1452"/>
      </w:tblGrid>
      <w:tr>
        <w:trPr>
          <w:trHeight w:val="350" w:hRule="exact"/>
        </w:trPr>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39"/>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41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2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45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4,366.23</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2,633.64</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6,999.87</w:t>
            </w:r>
          </w:p>
        </w:tc>
      </w:tr>
      <w:tr>
        <w:trPr>
          <w:trHeight w:val="337"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29,892.59</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34,962.36</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64,854.95</w:t>
            </w:r>
          </w:p>
        </w:tc>
      </w:tr>
      <w:tr>
        <w:trPr>
          <w:trHeight w:val="336"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4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34,258.82</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37,596.00</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71,854.82</w:t>
            </w:r>
          </w:p>
        </w:tc>
      </w:tr>
    </w:tbl>
    <w:p>
      <w:pPr>
        <w:spacing w:line="343" w:lineRule="auto" w:before="20"/>
        <w:ind w:left="223" w:right="8543" w:firstLine="0"/>
        <w:jc w:val="left"/>
        <w:rPr>
          <w:rFonts w:ascii="宋体" w:hAnsi="宋体" w:cs="宋体" w:eastAsia="宋体" w:hint="default"/>
          <w:sz w:val="18"/>
          <w:szCs w:val="18"/>
        </w:rPr>
      </w:pPr>
      <w:r>
        <w:rPr/>
        <w:pict>
          <v:group style="position:absolute;margin-left:56.279999pt;margin-top:-69.968292pt;width:482.65pt;height:12.4pt;mso-position-horizontal-relative:page;mso-position-vertical-relative:paragraph;z-index:-628648" coordorigin="1126,-1399" coordsize="9653,248">
            <v:shape style="position:absolute;left:1135;top:-1399;width:797;height:144" type="#_x0000_t75" stroked="false">
              <v:imagedata r:id="rId8" o:title=""/>
            </v:shape>
            <v:shape style="position:absolute;left:1966;top:-1399;width:430;height:101" type="#_x0000_t75" stroked="false">
              <v:imagedata r:id="rId9" o:title=""/>
            </v:shape>
            <v:group style="position:absolute;left:1133;top:-1246;width:1251;height:94" coordorigin="1133,-1246" coordsize="1251,94">
              <v:shape style="position:absolute;left:1133;top:-1246;width:1251;height:94" coordorigin="1133,-1246" coordsize="1251,94" path="m1133,-1152l1227,-1167,1312,-1179,1407,-1190,1511,-1200,1646,-1211,1819,-1221,2383,-1246,1133,-1152xe" filled="true" fillcolor="#074278" stroked="false">
                <v:path arrowok="t"/>
                <v:fill type="solid"/>
              </v:shape>
            </v:group>
            <v:group style="position:absolute;left:1133;top:-1380;width:9639;height:2" coordorigin="1133,-1380" coordsize="9639,2">
              <v:shape style="position:absolute;left:1133;top:-1380;width:9639;height:2" coordorigin="1133,-1380" coordsize="9639,0" path="m1133,-1380l10771,-1380e" filled="false" stroked="true" strokeweight=".72pt" strokecolor="#000000">
                <v:path arrowok="t"/>
              </v:shape>
            </v:group>
            <w10:wrap type="none"/>
          </v:group>
        </w:pict>
      </w:r>
      <w:r>
        <w:rPr>
          <w:rFonts w:ascii="宋体" w:hAnsi="宋体" w:cs="宋体" w:eastAsia="宋体" w:hint="default"/>
          <w:sz w:val="18"/>
          <w:szCs w:val="18"/>
        </w:rPr>
        <w:t>三、减值准备 财务软件 办公软件</w:t>
      </w:r>
    </w:p>
    <w:p>
      <w:pPr>
        <w:spacing w:before="25"/>
        <w:ind w:left="655" w:right="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p>
      <w:pPr>
        <w:spacing w:line="240" w:lineRule="auto" w:before="4"/>
        <w:rPr>
          <w:rFonts w:ascii="宋体" w:hAnsi="宋体" w:cs="宋体" w:eastAsia="宋体" w:hint="default"/>
          <w:sz w:val="6"/>
          <w:szCs w:val="6"/>
        </w:rPr>
      </w:pPr>
    </w:p>
    <w:tbl>
      <w:tblPr>
        <w:tblW w:w="0" w:type="auto"/>
        <w:jc w:val="left"/>
        <w:tblInd w:w="188" w:type="dxa"/>
        <w:tblLayout w:type="fixed"/>
        <w:tblCellMar>
          <w:top w:w="0" w:type="dxa"/>
          <w:left w:w="0" w:type="dxa"/>
          <w:bottom w:w="0" w:type="dxa"/>
          <w:right w:w="0" w:type="dxa"/>
        </w:tblCellMar>
        <w:tblLook w:val="01E0"/>
      </w:tblPr>
      <w:tblGrid>
        <w:gridCol w:w="1792"/>
        <w:gridCol w:w="1373"/>
        <w:gridCol w:w="245"/>
        <w:gridCol w:w="1327"/>
        <w:gridCol w:w="245"/>
        <w:gridCol w:w="1272"/>
        <w:gridCol w:w="245"/>
        <w:gridCol w:w="1452"/>
      </w:tblGrid>
      <w:tr>
        <w:trPr>
          <w:trHeight w:val="684"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345" w:lineRule="auto" w:before="27"/>
              <w:ind w:left="35" w:right="674"/>
              <w:jc w:val="left"/>
              <w:rPr>
                <w:rFonts w:ascii="宋体" w:hAnsi="宋体" w:cs="宋体" w:eastAsia="宋体" w:hint="default"/>
                <w:sz w:val="18"/>
                <w:szCs w:val="18"/>
              </w:rPr>
            </w:pPr>
            <w:r>
              <w:rPr>
                <w:rFonts w:ascii="宋体" w:hAnsi="宋体" w:cs="宋体" w:eastAsia="宋体" w:hint="default"/>
                <w:sz w:val="18"/>
                <w:szCs w:val="18"/>
              </w:rPr>
              <w:t>四、账面价值 财务软件</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21,971.38</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19,337.74</w:t>
            </w:r>
          </w:p>
        </w:tc>
      </w:tr>
      <w:tr>
        <w:trPr>
          <w:trHeight w:val="338"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220,954.37</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373,690.71</w:t>
            </w:r>
          </w:p>
        </w:tc>
      </w:tr>
      <w:tr>
        <w:trPr>
          <w:trHeight w:val="355"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373"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242,925.75</w:t>
            </w:r>
          </w:p>
        </w:tc>
        <w:tc>
          <w:tcPr>
            <w:tcW w:w="245"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4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5"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393,028.45</w:t>
            </w:r>
          </w:p>
        </w:tc>
      </w:tr>
    </w:tbl>
    <w:p>
      <w:pPr>
        <w:spacing w:before="37"/>
        <w:ind w:left="475" w:right="0" w:firstLine="0"/>
        <w:jc w:val="left"/>
        <w:rPr>
          <w:rFonts w:ascii="宋体" w:hAnsi="宋体" w:cs="宋体" w:eastAsia="宋体" w:hint="default"/>
          <w:sz w:val="18"/>
          <w:szCs w:val="18"/>
        </w:rPr>
      </w:pPr>
      <w:r>
        <w:rPr>
          <w:rFonts w:ascii="宋体" w:hAnsi="宋体" w:cs="宋体" w:eastAsia="宋体" w:hint="default"/>
          <w:sz w:val="18"/>
          <w:szCs w:val="18"/>
        </w:rPr>
        <w:t>注：本公司期末无形资产不存在减值迹象，未计提减值准备。</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left="535" w:right="0"/>
        <w:jc w:val="left"/>
      </w:pPr>
      <w:r>
        <w:rPr>
          <w:rFonts w:ascii="Times New Roman" w:hAnsi="Times New Roman" w:cs="Times New Roman" w:eastAsia="Times New Roman" w:hint="default"/>
        </w:rPr>
        <w:t>10</w:t>
      </w:r>
      <w:r>
        <w:rPr/>
        <w:t>、递延所得税资产</w:t>
      </w:r>
    </w:p>
    <w:p>
      <w:pPr>
        <w:pStyle w:val="BodyText"/>
        <w:spacing w:line="240" w:lineRule="auto" w:before="107"/>
        <w:ind w:left="535" w:right="0"/>
        <w:jc w:val="left"/>
      </w:pPr>
      <w:r>
        <w:rPr/>
        <w:t>（</w:t>
      </w:r>
      <w:r>
        <w:rPr>
          <w:rFonts w:ascii="Times New Roman" w:hAnsi="Times New Roman" w:cs="Times New Roman" w:eastAsia="Times New Roman" w:hint="default"/>
        </w:rPr>
        <w:t>1</w:t>
      </w:r>
      <w:r>
        <w:rPr/>
        <w:t>）已确认的递延所得税资产</w:t>
      </w:r>
    </w:p>
    <w:p>
      <w:pPr>
        <w:spacing w:line="240" w:lineRule="auto" w:before="5"/>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618"/>
        <w:gridCol w:w="428"/>
        <w:gridCol w:w="2041"/>
        <w:gridCol w:w="283"/>
        <w:gridCol w:w="2458"/>
        <w:gridCol w:w="283"/>
        <w:gridCol w:w="2498"/>
      </w:tblGrid>
      <w:tr>
        <w:trPr>
          <w:trHeight w:val="370" w:hRule="exact"/>
        </w:trPr>
        <w:tc>
          <w:tcPr>
            <w:tcW w:w="408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9" w:hRule="exact"/>
        </w:trPr>
        <w:tc>
          <w:tcPr>
            <w:tcW w:w="4087"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、资产减值准备</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952" w:right="0"/>
              <w:jc w:val="left"/>
              <w:rPr>
                <w:rFonts w:ascii="Times New Roman" w:hAnsi="Times New Roman" w:cs="Times New Roman" w:eastAsia="Times New Roman" w:hint="default"/>
                <w:sz w:val="18"/>
                <w:szCs w:val="18"/>
              </w:rPr>
            </w:pPr>
            <w:r>
              <w:rPr>
                <w:rFonts w:ascii="Times New Roman"/>
                <w:sz w:val="18"/>
              </w:rPr>
              <w:t>962,324.15</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952" w:right="0"/>
              <w:jc w:val="left"/>
              <w:rPr>
                <w:rFonts w:ascii="Times New Roman" w:hAnsi="Times New Roman" w:cs="Times New Roman" w:eastAsia="Times New Roman" w:hint="default"/>
                <w:sz w:val="18"/>
                <w:szCs w:val="18"/>
              </w:rPr>
            </w:pPr>
            <w:r>
              <w:rPr>
                <w:rFonts w:ascii="Times New Roman"/>
                <w:sz w:val="18"/>
              </w:rPr>
              <w:t>416,887.75</w:t>
            </w:r>
          </w:p>
        </w:tc>
      </w:tr>
      <w:tr>
        <w:trPr>
          <w:trHeight w:val="349" w:hRule="exact"/>
        </w:trPr>
        <w:tc>
          <w:tcPr>
            <w:tcW w:w="40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、预提质保金</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952" w:right="0"/>
              <w:jc w:val="left"/>
              <w:rPr>
                <w:rFonts w:ascii="Times New Roman" w:hAnsi="Times New Roman" w:cs="Times New Roman" w:eastAsia="Times New Roman" w:hint="default"/>
                <w:sz w:val="18"/>
                <w:szCs w:val="18"/>
              </w:rPr>
            </w:pPr>
            <w:r>
              <w:rPr>
                <w:rFonts w:ascii="Times New Roman"/>
                <w:sz w:val="18"/>
              </w:rPr>
              <w:t>282,550.70</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952" w:right="0"/>
              <w:jc w:val="left"/>
              <w:rPr>
                <w:rFonts w:ascii="Times New Roman" w:hAnsi="Times New Roman" w:cs="Times New Roman" w:eastAsia="Times New Roman" w:hint="default"/>
                <w:sz w:val="18"/>
                <w:szCs w:val="18"/>
              </w:rPr>
            </w:pPr>
            <w:r>
              <w:rPr>
                <w:rFonts w:ascii="Times New Roman"/>
                <w:sz w:val="18"/>
              </w:rPr>
              <w:t>214,233.15</w:t>
            </w:r>
          </w:p>
        </w:tc>
      </w:tr>
      <w:tr>
        <w:trPr>
          <w:trHeight w:val="349" w:hRule="exact"/>
        </w:trPr>
        <w:tc>
          <w:tcPr>
            <w:tcW w:w="40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4"/>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、应付职工薪酬</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52" w:right="0"/>
              <w:jc w:val="left"/>
              <w:rPr>
                <w:rFonts w:ascii="Times New Roman" w:hAnsi="Times New Roman" w:cs="Times New Roman" w:eastAsia="Times New Roman" w:hint="default"/>
                <w:sz w:val="18"/>
                <w:szCs w:val="18"/>
              </w:rPr>
            </w:pPr>
            <w:r>
              <w:rPr>
                <w:rFonts w:ascii="Times New Roman"/>
                <w:sz w:val="18"/>
              </w:rPr>
              <w:t>797,972.08</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52" w:right="0"/>
              <w:jc w:val="left"/>
              <w:rPr>
                <w:rFonts w:ascii="Times New Roman" w:hAnsi="Times New Roman" w:cs="Times New Roman" w:eastAsia="Times New Roman" w:hint="default"/>
                <w:sz w:val="18"/>
                <w:szCs w:val="18"/>
              </w:rPr>
            </w:pPr>
            <w:r>
              <w:rPr>
                <w:rFonts w:ascii="Times New Roman"/>
                <w:sz w:val="18"/>
              </w:rPr>
              <w:t>295,740.13</w:t>
            </w:r>
          </w:p>
        </w:tc>
      </w:tr>
      <w:tr>
        <w:trPr>
          <w:trHeight w:val="349" w:hRule="exact"/>
        </w:trPr>
        <w:tc>
          <w:tcPr>
            <w:tcW w:w="40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、递延收益</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1" w:right="0"/>
              <w:jc w:val="left"/>
              <w:rPr>
                <w:rFonts w:ascii="Times New Roman" w:hAnsi="Times New Roman" w:cs="Times New Roman" w:eastAsia="Times New Roman" w:hint="default"/>
                <w:sz w:val="18"/>
                <w:szCs w:val="18"/>
              </w:rPr>
            </w:pPr>
            <w:r>
              <w:rPr>
                <w:rFonts w:ascii="Times New Roman"/>
                <w:sz w:val="18"/>
              </w:rPr>
              <w:t>20,625.00</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4" w:right="0"/>
              <w:jc w:val="left"/>
              <w:rPr>
                <w:rFonts w:ascii="Times New Roman" w:hAnsi="Times New Roman" w:cs="Times New Roman" w:eastAsia="Times New Roman" w:hint="default"/>
                <w:sz w:val="18"/>
                <w:szCs w:val="18"/>
              </w:rPr>
            </w:pPr>
            <w:r>
              <w:rPr>
                <w:rFonts w:ascii="Times New Roman"/>
                <w:sz w:val="18"/>
              </w:rPr>
              <w:t>65,000.10</w:t>
            </w:r>
          </w:p>
        </w:tc>
      </w:tr>
      <w:tr>
        <w:trPr>
          <w:trHeight w:val="350" w:hRule="exact"/>
        </w:trPr>
        <w:tc>
          <w:tcPr>
            <w:tcW w:w="40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4"/>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、可抵扣亏损</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952" w:right="0"/>
              <w:jc w:val="left"/>
              <w:rPr>
                <w:rFonts w:ascii="Times New Roman" w:hAnsi="Times New Roman" w:cs="Times New Roman" w:eastAsia="Times New Roman" w:hint="default"/>
                <w:sz w:val="18"/>
                <w:szCs w:val="18"/>
              </w:rPr>
            </w:pPr>
            <w:r>
              <w:rPr>
                <w:rFonts w:ascii="Times New Roman"/>
                <w:sz w:val="18"/>
              </w:rPr>
              <w:t>839,679.42</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952" w:right="0"/>
              <w:jc w:val="left"/>
              <w:rPr>
                <w:rFonts w:ascii="Times New Roman" w:hAnsi="Times New Roman" w:cs="Times New Roman" w:eastAsia="Times New Roman" w:hint="default"/>
                <w:sz w:val="18"/>
                <w:szCs w:val="18"/>
              </w:rPr>
            </w:pPr>
            <w:r>
              <w:rPr>
                <w:rFonts w:ascii="Times New Roman"/>
                <w:sz w:val="18"/>
              </w:rPr>
              <w:t>305,802.72</w:t>
            </w:r>
          </w:p>
        </w:tc>
      </w:tr>
      <w:tr>
        <w:trPr>
          <w:trHeight w:val="374" w:hRule="exact"/>
        </w:trPr>
        <w:tc>
          <w:tcPr>
            <w:tcW w:w="40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816" w:right="0"/>
              <w:jc w:val="left"/>
              <w:rPr>
                <w:rFonts w:ascii="Times New Roman" w:hAnsi="Times New Roman" w:cs="Times New Roman" w:eastAsia="Times New Roman" w:hint="default"/>
                <w:sz w:val="18"/>
                <w:szCs w:val="18"/>
              </w:rPr>
            </w:pPr>
            <w:r>
              <w:rPr>
                <w:rFonts w:ascii="Times New Roman"/>
                <w:sz w:val="18"/>
              </w:rPr>
              <w:t>2,903,151.35</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818" w:right="0"/>
              <w:jc w:val="left"/>
              <w:rPr>
                <w:rFonts w:ascii="Times New Roman" w:hAnsi="Times New Roman" w:cs="Times New Roman" w:eastAsia="Times New Roman" w:hint="default"/>
                <w:sz w:val="18"/>
                <w:szCs w:val="18"/>
              </w:rPr>
            </w:pPr>
            <w:r>
              <w:rPr>
                <w:rFonts w:ascii="Times New Roman"/>
                <w:sz w:val="18"/>
              </w:rPr>
              <w:t>1,297,663.85</w:t>
            </w:r>
          </w:p>
        </w:tc>
      </w:tr>
      <w:tr>
        <w:trPr>
          <w:trHeight w:val="667" w:hRule="exact"/>
        </w:trPr>
        <w:tc>
          <w:tcPr>
            <w:tcW w:w="961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）引起暂时性差异的资产或负债项目对应的暂时性差异</w:t>
            </w:r>
          </w:p>
        </w:tc>
      </w:tr>
      <w:tr>
        <w:trPr>
          <w:trHeight w:val="363" w:hRule="exact"/>
        </w:trPr>
        <w:tc>
          <w:tcPr>
            <w:tcW w:w="1618" w:type="dxa"/>
            <w:tcBorders>
              <w:top w:val="nil" w:sz="6" w:space="0" w:color="auto"/>
              <w:left w:val="nil" w:sz="6" w:space="0" w:color="auto"/>
              <w:bottom w:val="single" w:sz="4" w:space="0" w:color="000000"/>
              <w:right w:val="nil" w:sz="6" w:space="0" w:color="auto"/>
            </w:tcBorders>
          </w:tcPr>
          <w:p>
            <w:pPr/>
          </w:p>
        </w:tc>
        <w:tc>
          <w:tcPr>
            <w:tcW w:w="42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204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6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5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1" w:hRule="exact"/>
        </w:trPr>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、资产减值准备</w:t>
            </w:r>
          </w:p>
        </w:tc>
        <w:tc>
          <w:tcPr>
            <w:tcW w:w="428" w:type="dxa"/>
            <w:tcBorders>
              <w:top w:val="single" w:sz="4" w:space="0" w:color="000000"/>
              <w:left w:val="nil" w:sz="6" w:space="0" w:color="auto"/>
              <w:bottom w:val="nil" w:sz="6" w:space="0" w:color="auto"/>
              <w:right w:val="nil" w:sz="6" w:space="0" w:color="auto"/>
            </w:tcBorders>
          </w:tcPr>
          <w:p>
            <w:pPr/>
          </w:p>
        </w:tc>
        <w:tc>
          <w:tcPr>
            <w:tcW w:w="2041"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551"/>
              <w:jc w:val="right"/>
              <w:rPr>
                <w:rFonts w:ascii="Times New Roman" w:hAnsi="Times New Roman" w:cs="Times New Roman" w:eastAsia="Times New Roman" w:hint="default"/>
                <w:sz w:val="18"/>
                <w:szCs w:val="18"/>
              </w:rPr>
            </w:pPr>
            <w:r>
              <w:rPr>
                <w:rFonts w:ascii="Times New Roman"/>
                <w:spacing w:val="-1"/>
                <w:sz w:val="18"/>
              </w:rPr>
              <w:t>6,205,014.29</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611"/>
              <w:jc w:val="right"/>
              <w:rPr>
                <w:rFonts w:ascii="Times New Roman" w:hAnsi="Times New Roman" w:cs="Times New Roman" w:eastAsia="Times New Roman" w:hint="default"/>
                <w:sz w:val="18"/>
                <w:szCs w:val="18"/>
              </w:rPr>
            </w:pPr>
            <w:r>
              <w:rPr>
                <w:rFonts w:ascii="Times New Roman"/>
                <w:spacing w:val="-1"/>
                <w:sz w:val="18"/>
              </w:rPr>
              <w:t>2,748,364.10</w:t>
            </w:r>
          </w:p>
        </w:tc>
      </w:tr>
      <w:tr>
        <w:trPr>
          <w:trHeight w:val="360"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、预提质保金</w:t>
            </w:r>
          </w:p>
        </w:tc>
        <w:tc>
          <w:tcPr>
            <w:tcW w:w="428"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1"/>
              <w:jc w:val="right"/>
              <w:rPr>
                <w:rFonts w:ascii="Times New Roman" w:hAnsi="Times New Roman" w:cs="Times New Roman" w:eastAsia="Times New Roman" w:hint="default"/>
                <w:sz w:val="18"/>
                <w:szCs w:val="18"/>
              </w:rPr>
            </w:pPr>
            <w:r>
              <w:rPr>
                <w:rFonts w:ascii="Times New Roman"/>
                <w:spacing w:val="-1"/>
                <w:sz w:val="18"/>
              </w:rPr>
              <w:t>1,839,422.00</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1"/>
              <w:jc w:val="right"/>
              <w:rPr>
                <w:rFonts w:ascii="Times New Roman" w:hAnsi="Times New Roman" w:cs="Times New Roman" w:eastAsia="Times New Roman" w:hint="default"/>
                <w:sz w:val="18"/>
                <w:szCs w:val="18"/>
              </w:rPr>
            </w:pPr>
            <w:r>
              <w:rPr>
                <w:rFonts w:ascii="Times New Roman"/>
                <w:spacing w:val="-1"/>
                <w:sz w:val="18"/>
              </w:rPr>
              <w:t>1,428,221.00</w:t>
            </w:r>
          </w:p>
        </w:tc>
      </w:tr>
      <w:tr>
        <w:trPr>
          <w:trHeight w:val="360"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、应付职工薪酬</w:t>
            </w:r>
          </w:p>
        </w:tc>
        <w:tc>
          <w:tcPr>
            <w:tcW w:w="428"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1"/>
              <w:jc w:val="right"/>
              <w:rPr>
                <w:rFonts w:ascii="Times New Roman" w:hAnsi="Times New Roman" w:cs="Times New Roman" w:eastAsia="Times New Roman" w:hint="default"/>
                <w:sz w:val="18"/>
                <w:szCs w:val="18"/>
              </w:rPr>
            </w:pPr>
            <w:r>
              <w:rPr>
                <w:rFonts w:ascii="Times New Roman"/>
                <w:spacing w:val="-1"/>
                <w:sz w:val="18"/>
              </w:rPr>
              <w:t>4,417,239.10</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1"/>
              <w:jc w:val="right"/>
              <w:rPr>
                <w:rFonts w:ascii="Times New Roman" w:hAnsi="Times New Roman" w:cs="Times New Roman" w:eastAsia="Times New Roman" w:hint="default"/>
                <w:sz w:val="18"/>
                <w:szCs w:val="18"/>
              </w:rPr>
            </w:pPr>
            <w:r>
              <w:rPr>
                <w:rFonts w:ascii="Times New Roman"/>
                <w:spacing w:val="-1"/>
                <w:sz w:val="18"/>
              </w:rPr>
              <w:t>1,711,094.21</w:t>
            </w:r>
          </w:p>
        </w:tc>
      </w:tr>
      <w:tr>
        <w:trPr>
          <w:trHeight w:val="360"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、递延收益</w:t>
            </w:r>
          </w:p>
        </w:tc>
        <w:tc>
          <w:tcPr>
            <w:tcW w:w="428"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3"/>
              <w:jc w:val="right"/>
              <w:rPr>
                <w:rFonts w:ascii="Times New Roman" w:hAnsi="Times New Roman" w:cs="Times New Roman" w:eastAsia="Times New Roman" w:hint="default"/>
                <w:sz w:val="18"/>
                <w:szCs w:val="18"/>
              </w:rPr>
            </w:pPr>
            <w:r>
              <w:rPr>
                <w:rFonts w:ascii="Times New Roman"/>
                <w:spacing w:val="-1"/>
                <w:sz w:val="18"/>
              </w:rPr>
              <w:t>137,500.00</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3"/>
              <w:jc w:val="right"/>
              <w:rPr>
                <w:rFonts w:ascii="Times New Roman" w:hAnsi="Times New Roman" w:cs="Times New Roman" w:eastAsia="Times New Roman" w:hint="default"/>
                <w:sz w:val="18"/>
                <w:szCs w:val="18"/>
              </w:rPr>
            </w:pPr>
            <w:r>
              <w:rPr>
                <w:rFonts w:ascii="Times New Roman"/>
                <w:spacing w:val="-1"/>
                <w:sz w:val="18"/>
              </w:rPr>
              <w:t>433,334.00</w:t>
            </w:r>
          </w:p>
        </w:tc>
      </w:tr>
      <w:tr>
        <w:trPr>
          <w:trHeight w:val="361"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、可抵扣亏损</w:t>
            </w:r>
          </w:p>
        </w:tc>
        <w:tc>
          <w:tcPr>
            <w:tcW w:w="428"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51"/>
              <w:jc w:val="right"/>
              <w:rPr>
                <w:rFonts w:ascii="Times New Roman" w:hAnsi="Times New Roman" w:cs="Times New Roman" w:eastAsia="Times New Roman" w:hint="default"/>
                <w:sz w:val="18"/>
                <w:szCs w:val="18"/>
              </w:rPr>
            </w:pPr>
            <w:r>
              <w:rPr>
                <w:rFonts w:ascii="Times New Roman"/>
                <w:spacing w:val="-1"/>
                <w:sz w:val="18"/>
              </w:rPr>
              <w:t>3,358,717.66</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611"/>
              <w:jc w:val="right"/>
              <w:rPr>
                <w:rFonts w:ascii="Times New Roman" w:hAnsi="Times New Roman" w:cs="Times New Roman" w:eastAsia="Times New Roman" w:hint="default"/>
                <w:sz w:val="18"/>
                <w:szCs w:val="18"/>
              </w:rPr>
            </w:pPr>
            <w:r>
              <w:rPr>
                <w:rFonts w:ascii="Times New Roman"/>
                <w:spacing w:val="-1"/>
                <w:sz w:val="18"/>
              </w:rPr>
              <w:t>1,223,210.88</w:t>
            </w:r>
          </w:p>
        </w:tc>
      </w:tr>
      <w:tr>
        <w:trPr>
          <w:trHeight w:val="386" w:hRule="exact"/>
        </w:trPr>
        <w:tc>
          <w:tcPr>
            <w:tcW w:w="1618"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83"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551"/>
              <w:jc w:val="right"/>
              <w:rPr>
                <w:rFonts w:ascii="Times New Roman" w:hAnsi="Times New Roman" w:cs="Times New Roman" w:eastAsia="Times New Roman" w:hint="default"/>
                <w:sz w:val="18"/>
                <w:szCs w:val="18"/>
              </w:rPr>
            </w:pPr>
            <w:r>
              <w:rPr>
                <w:rFonts w:ascii="Times New Roman"/>
                <w:spacing w:val="-1"/>
                <w:sz w:val="18"/>
              </w:rPr>
              <w:t>15,957,893.05</w:t>
            </w:r>
          </w:p>
        </w:tc>
        <w:tc>
          <w:tcPr>
            <w:tcW w:w="283" w:type="dxa"/>
            <w:tcBorders>
              <w:top w:val="nil" w:sz="6" w:space="0" w:color="auto"/>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611"/>
              <w:jc w:val="right"/>
              <w:rPr>
                <w:rFonts w:ascii="Times New Roman" w:hAnsi="Times New Roman" w:cs="Times New Roman" w:eastAsia="Times New Roman" w:hint="default"/>
                <w:sz w:val="18"/>
                <w:szCs w:val="18"/>
              </w:rPr>
            </w:pPr>
            <w:r>
              <w:rPr>
                <w:rFonts w:ascii="Times New Roman"/>
                <w:spacing w:val="-1"/>
                <w:sz w:val="18"/>
              </w:rPr>
              <w:t>7,544,224.19</w:t>
            </w:r>
          </w:p>
        </w:tc>
      </w:tr>
    </w:tbl>
    <w:p>
      <w:pPr>
        <w:spacing w:line="396" w:lineRule="auto" w:before="29"/>
        <w:ind w:left="112" w:right="112" w:firstLine="362"/>
        <w:jc w:val="both"/>
        <w:rPr>
          <w:rFonts w:ascii="宋体" w:hAnsi="宋体" w:cs="宋体" w:eastAsia="宋体" w:hint="default"/>
          <w:sz w:val="18"/>
          <w:szCs w:val="18"/>
        </w:rPr>
      </w:pPr>
      <w:r>
        <w:rPr>
          <w:rFonts w:ascii="宋体" w:hAnsi="宋体" w:cs="宋体" w:eastAsia="宋体" w:hint="default"/>
          <w:spacing w:val="-2"/>
          <w:sz w:val="18"/>
          <w:szCs w:val="18"/>
        </w:rPr>
        <w:t>注：可抵扣亏损递延所得税资产为子公司江苏金仕达卫宁软件有限公司确认。江苏金仕达卫宁软件有限公司承担公司部</w:t>
      </w:r>
      <w:r>
        <w:rPr>
          <w:rFonts w:ascii="宋体" w:hAnsi="宋体" w:cs="宋体" w:eastAsia="宋体" w:hint="default"/>
          <w:sz w:val="18"/>
          <w:szCs w:val="18"/>
        </w:rPr>
        <w:t> </w:t>
      </w:r>
      <w:r>
        <w:rPr>
          <w:rFonts w:ascii="宋体" w:hAnsi="宋体" w:cs="宋体" w:eastAsia="宋体" w:hint="default"/>
          <w:spacing w:val="-2"/>
          <w:sz w:val="18"/>
          <w:szCs w:val="18"/>
        </w:rPr>
        <w:t>分研发工作，以及主要负责江苏和周边区域的相关软硬件销售及技术服务工作，通过对以前年度江苏和周边区域业务的统计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及江苏金仕达卫宁软件有限公司相关成本费用的估算，在江苏金仕达卫宁软件有限公司可抵扣亏损和税款抵减到期前，其能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够产生足够的应纳税所得额。</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535" w:right="0"/>
        <w:jc w:val="left"/>
      </w:pPr>
      <w:r>
        <w:rPr>
          <w:rFonts w:ascii="Times New Roman" w:hAnsi="Times New Roman" w:cs="Times New Roman" w:eastAsia="Times New Roman" w:hint="default"/>
        </w:rPr>
        <w:t>11</w:t>
      </w:r>
      <w:r>
        <w:rPr/>
        <w:t>、资产减值准备明细</w:t>
      </w:r>
    </w:p>
    <w:p>
      <w:pPr>
        <w:spacing w:after="0" w:line="240" w:lineRule="auto"/>
        <w:jc w:val="left"/>
        <w:sectPr>
          <w:pgSz w:w="11910" w:h="16840"/>
          <w:pgMar w:header="849" w:footer="976" w:top="1460" w:bottom="1160" w:left="1020" w:right="1020"/>
        </w:sectPr>
      </w:pPr>
    </w:p>
    <w:p>
      <w:pPr>
        <w:spacing w:line="240" w:lineRule="auto" w:before="13"/>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901"/>
        <w:gridCol w:w="307"/>
        <w:gridCol w:w="1265"/>
        <w:gridCol w:w="312"/>
        <w:gridCol w:w="1284"/>
        <w:gridCol w:w="312"/>
        <w:gridCol w:w="1106"/>
        <w:gridCol w:w="898"/>
        <w:gridCol w:w="307"/>
        <w:gridCol w:w="1493"/>
      </w:tblGrid>
      <w:tr>
        <w:trPr>
          <w:trHeight w:val="419" w:hRule="exact"/>
        </w:trPr>
        <w:tc>
          <w:tcPr>
            <w:tcW w:w="901" w:type="dxa"/>
            <w:tcBorders>
              <w:top w:val="nil" w:sz="6" w:space="0" w:color="auto"/>
              <w:left w:val="nil" w:sz="6" w:space="0" w:color="auto"/>
              <w:bottom w:val="single" w:sz="4" w:space="0" w:color="000000"/>
              <w:right w:val="nil" w:sz="6" w:space="0" w:color="auto"/>
            </w:tcBorders>
          </w:tcPr>
          <w:p>
            <w:pPr>
              <w:pStyle w:val="TableParagraph"/>
              <w:spacing w:line="180" w:lineRule="exact"/>
              <w:ind w:right="134"/>
              <w:jc w:val="right"/>
              <w:rPr>
                <w:rFonts w:ascii="宋体" w:hAnsi="宋体" w:cs="宋体" w:eastAsia="宋体" w:hint="default"/>
                <w:sz w:val="18"/>
                <w:szCs w:val="18"/>
              </w:rPr>
            </w:pPr>
            <w:r>
              <w:rPr>
                <w:rFonts w:ascii="宋体" w:hAnsi="宋体" w:cs="宋体" w:eastAsia="宋体" w:hint="default"/>
                <w:sz w:val="18"/>
                <w:szCs w:val="18"/>
              </w:rPr>
              <w:t>项  目</w:t>
            </w:r>
          </w:p>
        </w:tc>
        <w:tc>
          <w:tcPr>
            <w:tcW w:w="30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1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312"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424"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898"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321"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30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9" w:hRule="exact"/>
        </w:trPr>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44"/>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307"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09" w:right="0"/>
              <w:jc w:val="center"/>
              <w:rPr>
                <w:rFonts w:ascii="Times New Roman" w:hAnsi="Times New Roman" w:cs="Times New Roman" w:eastAsia="Times New Roman" w:hint="default"/>
                <w:sz w:val="18"/>
                <w:szCs w:val="18"/>
              </w:rPr>
            </w:pPr>
            <w:r>
              <w:rPr>
                <w:rFonts w:ascii="Times New Roman"/>
                <w:sz w:val="18"/>
              </w:rPr>
              <w:t>2,748,364.10</w:t>
            </w:r>
          </w:p>
        </w:tc>
        <w:tc>
          <w:tcPr>
            <w:tcW w:w="312"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232" w:right="0"/>
              <w:jc w:val="left"/>
              <w:rPr>
                <w:rFonts w:ascii="Times New Roman" w:hAnsi="Times New Roman" w:cs="Times New Roman" w:eastAsia="Times New Roman" w:hint="default"/>
                <w:sz w:val="18"/>
                <w:szCs w:val="18"/>
              </w:rPr>
            </w:pPr>
            <w:r>
              <w:rPr>
                <w:rFonts w:ascii="Times New Roman"/>
                <w:sz w:val="18"/>
              </w:rPr>
              <w:t>3,456,650.19</w:t>
            </w:r>
          </w:p>
        </w:tc>
        <w:tc>
          <w:tcPr>
            <w:tcW w:w="312" w:type="dxa"/>
            <w:tcBorders>
              <w:top w:val="nil" w:sz="6" w:space="0" w:color="auto"/>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single" w:sz="4" w:space="0" w:color="000000"/>
              <w:right w:val="nil" w:sz="6" w:space="0" w:color="auto"/>
            </w:tcBorders>
          </w:tcPr>
          <w:p>
            <w:pPr/>
          </w:p>
        </w:tc>
        <w:tc>
          <w:tcPr>
            <w:tcW w:w="898" w:type="dxa"/>
            <w:tcBorders>
              <w:top w:val="single" w:sz="4" w:space="0" w:color="000000"/>
              <w:left w:val="nil" w:sz="6" w:space="0" w:color="auto"/>
              <w:bottom w:val="single" w:sz="4" w:space="0" w:color="000000"/>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441" w:right="0"/>
              <w:jc w:val="left"/>
              <w:rPr>
                <w:rFonts w:ascii="Times New Roman" w:hAnsi="Times New Roman" w:cs="Times New Roman" w:eastAsia="Times New Roman" w:hint="default"/>
                <w:sz w:val="18"/>
                <w:szCs w:val="18"/>
              </w:rPr>
            </w:pPr>
            <w:r>
              <w:rPr>
                <w:rFonts w:ascii="Times New Roman"/>
                <w:sz w:val="18"/>
              </w:rPr>
              <w:t>6,205,014.29</w:t>
            </w:r>
          </w:p>
        </w:tc>
      </w:tr>
      <w:tr>
        <w:trPr>
          <w:trHeight w:val="346"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宋体" w:hAnsi="宋体" w:cs="宋体" w:eastAsia="宋体" w:hint="default"/>
                <w:sz w:val="18"/>
                <w:szCs w:val="18"/>
              </w:rPr>
            </w:pPr>
            <w:r>
              <w:rPr>
                <w:rFonts w:ascii="宋体" w:hAnsi="宋体" w:cs="宋体" w:eastAsia="宋体" w:hint="default"/>
                <w:sz w:val="18"/>
                <w:szCs w:val="18"/>
              </w:rPr>
              <w:t>合  计</w:t>
            </w:r>
          </w:p>
        </w:tc>
        <w:tc>
          <w:tcPr>
            <w:tcW w:w="307"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09" w:right="0"/>
              <w:jc w:val="center"/>
              <w:rPr>
                <w:rFonts w:ascii="Times New Roman" w:hAnsi="Times New Roman" w:cs="Times New Roman" w:eastAsia="Times New Roman" w:hint="default"/>
                <w:sz w:val="18"/>
                <w:szCs w:val="18"/>
              </w:rPr>
            </w:pPr>
            <w:r>
              <w:rPr>
                <w:rFonts w:ascii="Times New Roman"/>
                <w:sz w:val="18"/>
              </w:rPr>
              <w:t>2,748,364.10</w:t>
            </w:r>
          </w:p>
        </w:tc>
        <w:tc>
          <w:tcPr>
            <w:tcW w:w="312"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32" w:right="0"/>
              <w:jc w:val="left"/>
              <w:rPr>
                <w:rFonts w:ascii="Times New Roman" w:hAnsi="Times New Roman" w:cs="Times New Roman" w:eastAsia="Times New Roman" w:hint="default"/>
                <w:sz w:val="18"/>
                <w:szCs w:val="18"/>
              </w:rPr>
            </w:pPr>
            <w:r>
              <w:rPr>
                <w:rFonts w:ascii="Times New Roman"/>
                <w:sz w:val="18"/>
              </w:rPr>
              <w:t>3,456,650.19</w:t>
            </w:r>
          </w:p>
        </w:tc>
        <w:tc>
          <w:tcPr>
            <w:tcW w:w="312" w:type="dxa"/>
            <w:tcBorders>
              <w:top w:val="nil" w:sz="6" w:space="0" w:color="auto"/>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single" w:sz="17" w:space="0" w:color="000000"/>
              <w:right w:val="nil" w:sz="6" w:space="0" w:color="auto"/>
            </w:tcBorders>
          </w:tcPr>
          <w:p>
            <w:pPr/>
          </w:p>
        </w:tc>
        <w:tc>
          <w:tcPr>
            <w:tcW w:w="898" w:type="dxa"/>
            <w:tcBorders>
              <w:top w:val="single" w:sz="4" w:space="0" w:color="000000"/>
              <w:left w:val="nil" w:sz="6" w:space="0" w:color="auto"/>
              <w:bottom w:val="single" w:sz="17" w:space="0" w:color="000000"/>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441" w:right="0"/>
              <w:jc w:val="left"/>
              <w:rPr>
                <w:rFonts w:ascii="Times New Roman" w:hAnsi="Times New Roman" w:cs="Times New Roman" w:eastAsia="Times New Roman" w:hint="default"/>
                <w:sz w:val="18"/>
                <w:szCs w:val="18"/>
              </w:rPr>
            </w:pPr>
            <w:r>
              <w:rPr>
                <w:rFonts w:ascii="Times New Roman"/>
                <w:sz w:val="18"/>
              </w:rPr>
              <w:t>6,205,014.29</w:t>
            </w:r>
          </w:p>
        </w:tc>
      </w:tr>
    </w:tbl>
    <w:p>
      <w:pPr>
        <w:spacing w:before="29"/>
        <w:ind w:left="555" w:right="0" w:firstLine="0"/>
        <w:jc w:val="left"/>
        <w:rPr>
          <w:rFonts w:ascii="宋体" w:hAnsi="宋体" w:cs="宋体" w:eastAsia="宋体" w:hint="default"/>
          <w:sz w:val="18"/>
          <w:szCs w:val="18"/>
        </w:rPr>
      </w:pPr>
      <w:r>
        <w:rPr/>
        <w:pict>
          <v:group style="position:absolute;margin-left:56.279999pt;margin-top:-69.998276pt;width:482.65pt;height:13.9pt;mso-position-horizontal-relative:page;mso-position-vertical-relative:paragraph;z-index:-628600" coordorigin="1126,-1400" coordsize="9653,278">
            <v:shape style="position:absolute;left:1135;top:-1400;width:797;height:144" type="#_x0000_t75" stroked="false">
              <v:imagedata r:id="rId8" o:title=""/>
            </v:shape>
            <v:shape style="position:absolute;left:1966;top:-1400;width:430;height:101" type="#_x0000_t75" stroked="false">
              <v:imagedata r:id="rId9" o:title=""/>
            </v:shape>
            <v:group style="position:absolute;left:1133;top:-1246;width:1251;height:94" coordorigin="1133,-1246" coordsize="1251,94">
              <v:shape style="position:absolute;left:1133;top:-1246;width:1251;height:94" coordorigin="1133,-1246" coordsize="1251,94" path="m1133,-1153l1227,-1168,1312,-1179,1407,-1190,1511,-1201,1646,-1211,1819,-1222,2383,-1246,1133,-1153xe" filled="true" fillcolor="#074278" stroked="false">
                <v:path arrowok="t"/>
                <v:fill type="solid"/>
              </v:shape>
            </v:group>
            <v:group style="position:absolute;left:1133;top:-1381;width:9639;height:2" coordorigin="1133,-1381" coordsize="9639,2">
              <v:shape style="position:absolute;left:1133;top:-1381;width:9639;height:2" coordorigin="1133,-1381" coordsize="9639,0" path="m1133,-1381l10771,-1381e" filled="false" stroked="true" strokeweight=".72pt" strokecolor="#000000">
                <v:path arrowok="t"/>
              </v:shape>
              <v:shape style="position:absolute;left:1126;top:-1400;width:9653;height:278" type="#_x0000_t202" filled="false" stroked="false">
                <v:textbox inset="0,0,0,0">
                  <w:txbxContent>
                    <w:p>
                      <w:pPr>
                        <w:spacing w:before="41"/>
                        <w:ind w:left="957" w:right="0" w:firstLine="0"/>
                        <w:jc w:val="center"/>
                        <w:rPr>
                          <w:rFonts w:ascii="宋体" w:hAnsi="宋体" w:cs="宋体" w:eastAsia="宋体" w:hint="default"/>
                          <w:sz w:val="18"/>
                          <w:szCs w:val="18"/>
                        </w:rPr>
                      </w:pPr>
                      <w:r>
                        <w:rPr>
                          <w:rFonts w:ascii="宋体" w:hAnsi="宋体" w:cs="宋体" w:eastAsia="宋体" w:hint="default"/>
                          <w:sz w:val="18"/>
                          <w:szCs w:val="18"/>
                        </w:rPr>
                        <w:t>本期减少额</w:t>
                      </w:r>
                    </w:p>
                  </w:txbxContent>
                </v:textbox>
                <w10:wrap type="none"/>
              </v:shape>
            </v:group>
            <w10:wrap type="none"/>
          </v:group>
        </w:pict>
      </w:r>
      <w:r>
        <w:rPr/>
        <w:pict>
          <v:group style="position:absolute;margin-left:271.440002pt;margin-top:-52.478275pt;width:100.2pt;height:.1pt;mso-position-horizontal-relative:page;mso-position-vertical-relative:paragraph;z-index:-628576" coordorigin="5429,-1050" coordsize="2004,2">
            <v:shape style="position:absolute;left:5429;top:-1050;width:2004;height:2" coordorigin="5429,-1050" coordsize="2004,0" path="m5429,-1050l7433,-1050e" filled="false" stroked="true" strokeweight=".48pt" strokecolor="#000000">
              <v:path arrowok="t"/>
            </v:shape>
            <w10:wrap type="none"/>
          </v:group>
        </w:pict>
      </w:r>
      <w:r>
        <w:rPr>
          <w:rFonts w:ascii="宋体" w:hAnsi="宋体" w:cs="宋体" w:eastAsia="宋体" w:hint="default"/>
          <w:sz w:val="18"/>
          <w:szCs w:val="18"/>
        </w:rPr>
        <w:t>注：资产减值准备主要受应收款项余额及账龄变化影响。</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615" w:right="0"/>
        <w:jc w:val="left"/>
      </w:pPr>
      <w:r>
        <w:rPr>
          <w:rFonts w:ascii="Times New Roman" w:hAnsi="Times New Roman" w:cs="Times New Roman" w:eastAsia="Times New Roman" w:hint="default"/>
        </w:rPr>
        <w:t>12</w:t>
      </w:r>
      <w:r>
        <w:rPr/>
        <w:t>、所有权受到限制的资产</w:t>
      </w:r>
    </w:p>
    <w:p>
      <w:pPr>
        <w:pStyle w:val="BodyText"/>
        <w:spacing w:line="280" w:lineRule="auto" w:before="50"/>
        <w:ind w:left="615" w:right="4731"/>
        <w:jc w:val="left"/>
      </w:pPr>
      <w:r>
        <w:rPr/>
        <w:t>（</w:t>
      </w:r>
      <w:r>
        <w:rPr>
          <w:rFonts w:ascii="Times New Roman" w:hAnsi="Times New Roman" w:cs="Times New Roman" w:eastAsia="Times New Roman" w:hint="default"/>
        </w:rPr>
        <w:t>1</w:t>
      </w:r>
      <w:r>
        <w:rPr/>
        <w:t>）资产所有权受到限制的原因</w:t>
      </w:r>
      <w:r>
        <w:rPr>
          <w:w w:val="99"/>
        </w:rPr>
        <w:t> </w:t>
      </w:r>
      <w:r>
        <w:rPr/>
        <w:t>本公司所有权受到限制的资产主要是保函保证金。</w:t>
      </w:r>
    </w:p>
    <w:p>
      <w:pPr>
        <w:pStyle w:val="BodyText"/>
        <w:spacing w:line="240" w:lineRule="auto" w:before="30"/>
        <w:ind w:left="615" w:right="0"/>
        <w:jc w:val="left"/>
      </w:pPr>
      <w:r>
        <w:rPr/>
        <w:t>（</w:t>
      </w:r>
      <w:r>
        <w:rPr>
          <w:rFonts w:ascii="Times New Roman" w:hAnsi="Times New Roman" w:cs="Times New Roman" w:eastAsia="Times New Roman" w:hint="default"/>
        </w:rPr>
        <w:t>2</w:t>
      </w:r>
      <w:r>
        <w:rPr/>
        <w:t>）所有权受到限制的资产金额</w:t>
      </w:r>
    </w:p>
    <w:p>
      <w:pPr>
        <w:spacing w:line="240" w:lineRule="auto" w:before="3"/>
        <w:rPr>
          <w:rFonts w:ascii="宋体" w:hAnsi="宋体" w:cs="宋体" w:eastAsia="宋体" w:hint="default"/>
          <w:sz w:val="6"/>
          <w:szCs w:val="6"/>
        </w:rPr>
      </w:pPr>
    </w:p>
    <w:tbl>
      <w:tblPr>
        <w:tblW w:w="0" w:type="auto"/>
        <w:jc w:val="left"/>
        <w:tblInd w:w="192" w:type="dxa"/>
        <w:tblLayout w:type="fixed"/>
        <w:tblCellMar>
          <w:top w:w="0" w:type="dxa"/>
          <w:left w:w="0" w:type="dxa"/>
          <w:bottom w:w="0" w:type="dxa"/>
          <w:right w:w="0" w:type="dxa"/>
        </w:tblCellMar>
        <w:tblLook w:val="01E0"/>
      </w:tblPr>
      <w:tblGrid>
        <w:gridCol w:w="1832"/>
        <w:gridCol w:w="1825"/>
        <w:gridCol w:w="419"/>
        <w:gridCol w:w="2552"/>
        <w:gridCol w:w="451"/>
        <w:gridCol w:w="2604"/>
      </w:tblGrid>
      <w:tr>
        <w:trPr>
          <w:trHeight w:val="379" w:hRule="exact"/>
        </w:trPr>
        <w:tc>
          <w:tcPr>
            <w:tcW w:w="365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4" w:hRule="exact"/>
        </w:trPr>
        <w:tc>
          <w:tcPr>
            <w:tcW w:w="365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银行存款（保函保证金）</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left="862" w:right="0"/>
              <w:jc w:val="left"/>
              <w:rPr>
                <w:rFonts w:ascii="Times New Roman" w:hAnsi="Times New Roman" w:cs="Times New Roman" w:eastAsia="Times New Roman" w:hint="default"/>
                <w:sz w:val="18"/>
                <w:szCs w:val="18"/>
              </w:rPr>
            </w:pPr>
            <w:r>
              <w:rPr>
                <w:rFonts w:ascii="Times New Roman"/>
                <w:sz w:val="18"/>
              </w:rPr>
              <w:t>918,635.00</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left="864" w:right="0"/>
              <w:jc w:val="left"/>
              <w:rPr>
                <w:rFonts w:ascii="Times New Roman" w:hAnsi="Times New Roman" w:cs="Times New Roman" w:eastAsia="Times New Roman" w:hint="default"/>
                <w:sz w:val="18"/>
                <w:szCs w:val="18"/>
              </w:rPr>
            </w:pPr>
            <w:r>
              <w:rPr>
                <w:rFonts w:ascii="Times New Roman"/>
                <w:sz w:val="18"/>
              </w:rPr>
              <w:t>894,000.00</w:t>
            </w:r>
          </w:p>
        </w:tc>
      </w:tr>
      <w:tr>
        <w:trPr>
          <w:trHeight w:val="401" w:hRule="exact"/>
        </w:trPr>
        <w:tc>
          <w:tcPr>
            <w:tcW w:w="36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7" w:space="0" w:color="000000"/>
              <w:right w:val="nil" w:sz="6" w:space="0" w:color="auto"/>
            </w:tcBorders>
          </w:tcPr>
          <w:p>
            <w:pPr>
              <w:pStyle w:val="TableParagraph"/>
              <w:spacing w:line="240" w:lineRule="auto" w:before="84"/>
              <w:ind w:left="862" w:right="0"/>
              <w:jc w:val="left"/>
              <w:rPr>
                <w:rFonts w:ascii="Times New Roman" w:hAnsi="Times New Roman" w:cs="Times New Roman" w:eastAsia="Times New Roman" w:hint="default"/>
                <w:sz w:val="18"/>
                <w:szCs w:val="18"/>
              </w:rPr>
            </w:pPr>
            <w:r>
              <w:rPr>
                <w:rFonts w:ascii="Times New Roman"/>
                <w:sz w:val="18"/>
              </w:rPr>
              <w:t>918,635.00</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0"/>
              <w:left w:val="nil" w:sz="6" w:space="0" w:color="auto"/>
              <w:bottom w:val="single" w:sz="17" w:space="0" w:color="000000"/>
              <w:right w:val="nil" w:sz="6" w:space="0" w:color="auto"/>
            </w:tcBorders>
          </w:tcPr>
          <w:p>
            <w:pPr>
              <w:pStyle w:val="TableParagraph"/>
              <w:spacing w:line="240" w:lineRule="auto" w:before="84"/>
              <w:ind w:left="864" w:right="0"/>
              <w:jc w:val="left"/>
              <w:rPr>
                <w:rFonts w:ascii="Times New Roman" w:hAnsi="Times New Roman" w:cs="Times New Roman" w:eastAsia="Times New Roman" w:hint="default"/>
                <w:sz w:val="18"/>
                <w:szCs w:val="18"/>
              </w:rPr>
            </w:pPr>
            <w:r>
              <w:rPr>
                <w:rFonts w:ascii="Times New Roman"/>
                <w:sz w:val="18"/>
              </w:rPr>
              <w:t>894,000.00</w:t>
            </w:r>
          </w:p>
        </w:tc>
      </w:tr>
      <w:tr>
        <w:trPr>
          <w:trHeight w:val="661" w:hRule="exact"/>
        </w:trPr>
        <w:tc>
          <w:tcPr>
            <w:tcW w:w="36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、应付票据</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single" w:sz="17" w:space="0" w:color="000000"/>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single" w:sz="17" w:space="0" w:color="000000"/>
              <w:left w:val="nil" w:sz="6" w:space="0" w:color="auto"/>
              <w:bottom w:val="nil" w:sz="6" w:space="0" w:color="auto"/>
              <w:right w:val="nil" w:sz="6" w:space="0" w:color="auto"/>
            </w:tcBorders>
          </w:tcPr>
          <w:p>
            <w:pPr/>
          </w:p>
        </w:tc>
      </w:tr>
      <w:tr>
        <w:trPr>
          <w:trHeight w:val="343" w:hRule="exact"/>
        </w:trPr>
        <w:tc>
          <w:tcPr>
            <w:tcW w:w="365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6"/>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74" w:hRule="exact"/>
        </w:trPr>
        <w:tc>
          <w:tcPr>
            <w:tcW w:w="3658" w:type="dxa"/>
            <w:gridSpan w:val="2"/>
            <w:tcBorders>
              <w:top w:val="single" w:sz="4" w:space="0" w:color="000000"/>
              <w:left w:val="nil" w:sz="6" w:space="0" w:color="auto"/>
              <w:bottom w:val="nil" w:sz="6" w:space="0" w:color="auto"/>
              <w:right w:val="nil" w:sz="6" w:space="0" w:color="auto"/>
            </w:tcBorders>
          </w:tcPr>
          <w:p>
            <w:pPr>
              <w:pStyle w:val="TableParagraph"/>
              <w:spacing w:line="338" w:lineRule="auto" w:before="22"/>
              <w:ind w:left="110" w:right="2465"/>
              <w:jc w:val="left"/>
              <w:rPr>
                <w:rFonts w:ascii="宋体" w:hAnsi="宋体" w:cs="宋体" w:eastAsia="宋体" w:hint="default"/>
                <w:sz w:val="18"/>
                <w:szCs w:val="18"/>
              </w:rPr>
            </w:pPr>
            <w:r>
              <w:rPr>
                <w:rFonts w:ascii="宋体" w:hAnsi="宋体" w:cs="宋体" w:eastAsia="宋体" w:hint="default"/>
                <w:sz w:val="18"/>
                <w:szCs w:val="18"/>
              </w:rPr>
              <w:t>银行承兑汇票 商业承兑汇票</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834" w:right="0"/>
              <w:jc w:val="left"/>
              <w:rPr>
                <w:rFonts w:ascii="Times New Roman" w:hAnsi="Times New Roman" w:cs="Times New Roman" w:eastAsia="Times New Roman" w:hint="default"/>
                <w:sz w:val="18"/>
                <w:szCs w:val="18"/>
              </w:rPr>
            </w:pPr>
            <w:r>
              <w:rPr>
                <w:rFonts w:ascii="Times New Roman"/>
                <w:sz w:val="18"/>
              </w:rPr>
              <w:t>5,322,172.00</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0" w:right="0"/>
              <w:jc w:val="center"/>
              <w:rPr>
                <w:rFonts w:ascii="Times New Roman" w:hAnsi="Times New Roman" w:cs="Times New Roman" w:eastAsia="Times New Roman" w:hint="default"/>
                <w:sz w:val="18"/>
                <w:szCs w:val="18"/>
              </w:rPr>
            </w:pPr>
            <w:r>
              <w:rPr>
                <w:rFonts w:ascii="Times New Roman"/>
                <w:sz w:val="18"/>
              </w:rPr>
              <w:t>789,999.99</w:t>
            </w:r>
          </w:p>
        </w:tc>
      </w:tr>
      <w:tr>
        <w:trPr>
          <w:trHeight w:val="360" w:hRule="exact"/>
        </w:trPr>
        <w:tc>
          <w:tcPr>
            <w:tcW w:w="36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left="834" w:right="0"/>
              <w:jc w:val="left"/>
              <w:rPr>
                <w:rFonts w:ascii="Times New Roman" w:hAnsi="Times New Roman" w:cs="Times New Roman" w:eastAsia="Times New Roman" w:hint="default"/>
                <w:sz w:val="18"/>
                <w:szCs w:val="18"/>
              </w:rPr>
            </w:pPr>
            <w:r>
              <w:rPr>
                <w:rFonts w:ascii="Times New Roman"/>
                <w:sz w:val="18"/>
              </w:rPr>
              <w:t>5,322,172.00</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left="20" w:right="0"/>
              <w:jc w:val="center"/>
              <w:rPr>
                <w:rFonts w:ascii="Times New Roman" w:hAnsi="Times New Roman" w:cs="Times New Roman" w:eastAsia="Times New Roman" w:hint="default"/>
                <w:sz w:val="18"/>
                <w:szCs w:val="18"/>
              </w:rPr>
            </w:pPr>
            <w:r>
              <w:rPr>
                <w:rFonts w:ascii="Times New Roman"/>
                <w:sz w:val="18"/>
              </w:rPr>
              <w:t>789,999.99</w:t>
            </w:r>
          </w:p>
        </w:tc>
      </w:tr>
      <w:tr>
        <w:trPr>
          <w:trHeight w:val="530" w:hRule="exact"/>
        </w:trPr>
        <w:tc>
          <w:tcPr>
            <w:tcW w:w="968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3"/>
              <w:ind w:left="362" w:right="0"/>
              <w:jc w:val="left"/>
              <w:rPr>
                <w:rFonts w:ascii="宋体" w:hAnsi="宋体" w:cs="宋体" w:eastAsia="宋体" w:hint="default"/>
                <w:sz w:val="18"/>
                <w:szCs w:val="18"/>
              </w:rPr>
            </w:pPr>
            <w:r>
              <w:rPr>
                <w:rFonts w:ascii="宋体" w:hAnsi="宋体" w:cs="宋体" w:eastAsia="宋体" w:hint="default"/>
                <w:sz w:val="18"/>
                <w:szCs w:val="18"/>
              </w:rPr>
              <w:t>注：期末本账户余额中无应付持有本公司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以上股份的股东款项。</w:t>
            </w:r>
          </w:p>
        </w:tc>
      </w:tr>
      <w:tr>
        <w:trPr>
          <w:trHeight w:val="518"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50"/>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14</w:t>
            </w:r>
            <w:r>
              <w:rPr>
                <w:rFonts w:ascii="宋体" w:hAnsi="宋体" w:cs="宋体" w:eastAsia="宋体" w:hint="default"/>
                <w:w w:val="95"/>
                <w:sz w:val="21"/>
                <w:szCs w:val="21"/>
              </w:rPr>
              <w:t>、应付账款</w:t>
            </w:r>
            <w:r>
              <w:rPr>
                <w:rFonts w:ascii="宋体" w:hAnsi="宋体" w:cs="宋体" w:eastAsia="宋体" w:hint="default"/>
                <w:sz w:val="21"/>
                <w:szCs w:val="21"/>
              </w:rPr>
            </w:r>
          </w:p>
        </w:tc>
        <w:tc>
          <w:tcPr>
            <w:tcW w:w="1825" w:type="dxa"/>
            <w:tcBorders>
              <w:top w:val="nil" w:sz="6" w:space="0" w:color="auto"/>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
        </w:tc>
      </w:tr>
      <w:tr>
        <w:trPr>
          <w:trHeight w:val="344" w:hRule="exact"/>
        </w:trPr>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8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25" w:type="dxa"/>
            <w:tcBorders>
              <w:top w:val="single" w:sz="4" w:space="0" w:color="000000"/>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19"/>
              <w:jc w:val="right"/>
              <w:rPr>
                <w:rFonts w:ascii="Times New Roman" w:hAnsi="Times New Roman" w:cs="Times New Roman" w:eastAsia="Times New Roman" w:hint="default"/>
                <w:sz w:val="18"/>
                <w:szCs w:val="18"/>
              </w:rPr>
            </w:pPr>
            <w:r>
              <w:rPr>
                <w:rFonts w:ascii="Times New Roman"/>
                <w:spacing w:val="-1"/>
                <w:sz w:val="18"/>
              </w:rPr>
              <w:t>9,717,273.15</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64"/>
              <w:jc w:val="right"/>
              <w:rPr>
                <w:rFonts w:ascii="Times New Roman" w:hAnsi="Times New Roman" w:cs="Times New Roman" w:eastAsia="Times New Roman" w:hint="default"/>
                <w:sz w:val="18"/>
                <w:szCs w:val="18"/>
              </w:rPr>
            </w:pPr>
            <w:r>
              <w:rPr>
                <w:rFonts w:ascii="Times New Roman"/>
                <w:spacing w:val="-1"/>
                <w:sz w:val="18"/>
              </w:rPr>
              <w:t>2,609,407.78</w:t>
            </w:r>
          </w:p>
        </w:tc>
      </w:tr>
      <w:tr>
        <w:trPr>
          <w:trHeight w:val="331"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825" w:type="dxa"/>
            <w:tcBorders>
              <w:top w:val="nil" w:sz="6" w:space="0" w:color="auto"/>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19"/>
              <w:jc w:val="right"/>
              <w:rPr>
                <w:rFonts w:ascii="Times New Roman" w:hAnsi="Times New Roman" w:cs="Times New Roman" w:eastAsia="Times New Roman" w:hint="default"/>
                <w:sz w:val="18"/>
                <w:szCs w:val="18"/>
              </w:rPr>
            </w:pPr>
            <w:r>
              <w:rPr>
                <w:rFonts w:ascii="Times New Roman"/>
                <w:spacing w:val="-1"/>
                <w:sz w:val="18"/>
              </w:rPr>
              <w:t>73,683.40</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4"/>
              <w:jc w:val="right"/>
              <w:rPr>
                <w:rFonts w:ascii="Times New Roman" w:hAnsi="Times New Roman" w:cs="Times New Roman" w:eastAsia="Times New Roman" w:hint="default"/>
                <w:sz w:val="18"/>
                <w:szCs w:val="18"/>
              </w:rPr>
            </w:pPr>
            <w:r>
              <w:rPr>
                <w:rFonts w:ascii="Times New Roman"/>
                <w:spacing w:val="-1"/>
                <w:sz w:val="18"/>
              </w:rPr>
              <w:t>86,022.90</w:t>
            </w:r>
          </w:p>
        </w:tc>
      </w:tr>
      <w:tr>
        <w:trPr>
          <w:trHeight w:val="332"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825" w:type="dxa"/>
            <w:tcBorders>
              <w:top w:val="nil" w:sz="6" w:space="0" w:color="auto"/>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19"/>
              <w:jc w:val="right"/>
              <w:rPr>
                <w:rFonts w:ascii="Times New Roman" w:hAnsi="Times New Roman" w:cs="Times New Roman" w:eastAsia="Times New Roman" w:hint="default"/>
                <w:sz w:val="18"/>
                <w:szCs w:val="18"/>
              </w:rPr>
            </w:pPr>
            <w:r>
              <w:rPr>
                <w:rFonts w:ascii="Times New Roman"/>
                <w:spacing w:val="-1"/>
                <w:sz w:val="18"/>
              </w:rPr>
              <w:t>78,522.90</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single" w:sz="4" w:space="0" w:color="000000"/>
              <w:right w:val="nil" w:sz="6" w:space="0" w:color="auto"/>
            </w:tcBorders>
          </w:tcPr>
          <w:p>
            <w:pPr/>
          </w:p>
        </w:tc>
      </w:tr>
      <w:tr>
        <w:trPr>
          <w:trHeight w:val="360"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1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719"/>
              <w:jc w:val="right"/>
              <w:rPr>
                <w:rFonts w:ascii="Times New Roman" w:hAnsi="Times New Roman" w:cs="Times New Roman" w:eastAsia="Times New Roman" w:hint="default"/>
                <w:sz w:val="18"/>
                <w:szCs w:val="18"/>
              </w:rPr>
            </w:pPr>
            <w:r>
              <w:rPr>
                <w:rFonts w:ascii="Times New Roman"/>
                <w:spacing w:val="-1"/>
                <w:sz w:val="18"/>
              </w:rPr>
              <w:t>9,869,479.45</w:t>
            </w:r>
          </w:p>
        </w:tc>
        <w:tc>
          <w:tcPr>
            <w:tcW w:w="451"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764"/>
              <w:jc w:val="right"/>
              <w:rPr>
                <w:rFonts w:ascii="Times New Roman" w:hAnsi="Times New Roman" w:cs="Times New Roman" w:eastAsia="Times New Roman" w:hint="default"/>
                <w:sz w:val="18"/>
                <w:szCs w:val="18"/>
              </w:rPr>
            </w:pPr>
            <w:r>
              <w:rPr>
                <w:rFonts w:ascii="Times New Roman"/>
                <w:spacing w:val="-1"/>
                <w:sz w:val="18"/>
              </w:rPr>
              <w:t>2,695,430.68</w:t>
            </w:r>
          </w:p>
        </w:tc>
      </w:tr>
    </w:tbl>
    <w:p>
      <w:pPr>
        <w:spacing w:line="374" w:lineRule="auto" w:before="29"/>
        <w:ind w:left="555" w:right="4089" w:firstLine="0"/>
        <w:jc w:val="left"/>
        <w:rPr>
          <w:rFonts w:ascii="宋体" w:hAnsi="宋体" w:cs="宋体" w:eastAsia="宋体" w:hint="default"/>
          <w:sz w:val="18"/>
          <w:szCs w:val="18"/>
        </w:rPr>
      </w:pPr>
      <w:r>
        <w:rPr>
          <w:rFonts w:ascii="宋体" w:hAnsi="宋体" w:cs="宋体" w:eastAsia="宋体" w:hint="default"/>
          <w:sz w:val="18"/>
          <w:szCs w:val="18"/>
        </w:rPr>
        <w:t>注：期末本账户余额中无应付持有本公司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以上股份的股东款项。 期末余额中无账龄超过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年的大额应付账款。</w:t>
      </w:r>
    </w:p>
    <w:p>
      <w:pPr>
        <w:spacing w:line="240" w:lineRule="auto" w:before="1"/>
        <w:rPr>
          <w:rFonts w:ascii="宋体" w:hAnsi="宋体" w:cs="宋体" w:eastAsia="宋体" w:hint="default"/>
          <w:sz w:val="23"/>
          <w:szCs w:val="23"/>
        </w:rPr>
      </w:pPr>
    </w:p>
    <w:tbl>
      <w:tblPr>
        <w:tblW w:w="0" w:type="auto"/>
        <w:jc w:val="left"/>
        <w:tblInd w:w="192" w:type="dxa"/>
        <w:tblLayout w:type="fixed"/>
        <w:tblCellMar>
          <w:top w:w="0" w:type="dxa"/>
          <w:left w:w="0" w:type="dxa"/>
          <w:bottom w:w="0" w:type="dxa"/>
          <w:right w:w="0" w:type="dxa"/>
        </w:tblCellMar>
        <w:tblLook w:val="01E0"/>
      </w:tblPr>
      <w:tblGrid>
        <w:gridCol w:w="1832"/>
        <w:gridCol w:w="1832"/>
        <w:gridCol w:w="430"/>
        <w:gridCol w:w="2578"/>
        <w:gridCol w:w="430"/>
        <w:gridCol w:w="2582"/>
      </w:tblGrid>
      <w:tr>
        <w:trPr>
          <w:trHeight w:val="745" w:hRule="exact"/>
        </w:trPr>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50"/>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15</w:t>
            </w:r>
            <w:r>
              <w:rPr>
                <w:rFonts w:ascii="宋体" w:hAnsi="宋体" w:cs="宋体" w:eastAsia="宋体" w:hint="default"/>
                <w:w w:val="95"/>
                <w:sz w:val="21"/>
                <w:szCs w:val="21"/>
              </w:rPr>
              <w:t>、预收款项</w:t>
            </w:r>
            <w:r>
              <w:rPr>
                <w:rFonts w:ascii="宋体" w:hAnsi="宋体" w:cs="宋体" w:eastAsia="宋体" w:hint="default"/>
                <w:sz w:val="21"/>
                <w:szCs w:val="21"/>
              </w:rPr>
            </w:r>
          </w:p>
          <w:p>
            <w:pPr>
              <w:pStyle w:val="TableParagraph"/>
              <w:spacing w:line="240" w:lineRule="auto" w:before="10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30"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0"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2" w:type="dxa"/>
            <w:tcBorders>
              <w:top w:val="single" w:sz="4" w:space="0" w:color="000000"/>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62"/>
              <w:jc w:val="right"/>
              <w:rPr>
                <w:rFonts w:ascii="Times New Roman" w:hAnsi="Times New Roman" w:cs="Times New Roman" w:eastAsia="Times New Roman" w:hint="default"/>
                <w:sz w:val="18"/>
                <w:szCs w:val="18"/>
              </w:rPr>
            </w:pPr>
            <w:r>
              <w:rPr>
                <w:rFonts w:ascii="Times New Roman"/>
                <w:spacing w:val="-1"/>
                <w:sz w:val="18"/>
              </w:rPr>
              <w:t>12,064,204.76</w:t>
            </w:r>
          </w:p>
        </w:tc>
        <w:tc>
          <w:tcPr>
            <w:tcW w:w="430"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64"/>
              <w:jc w:val="right"/>
              <w:rPr>
                <w:rFonts w:ascii="Times New Roman" w:hAnsi="Times New Roman" w:cs="Times New Roman" w:eastAsia="Times New Roman" w:hint="default"/>
                <w:sz w:val="18"/>
                <w:szCs w:val="18"/>
              </w:rPr>
            </w:pPr>
            <w:r>
              <w:rPr>
                <w:rFonts w:ascii="Times New Roman"/>
                <w:spacing w:val="-1"/>
                <w:sz w:val="18"/>
              </w:rPr>
              <w:t>9,463,898.48</w:t>
            </w:r>
          </w:p>
        </w:tc>
      </w:tr>
      <w:tr>
        <w:trPr>
          <w:trHeight w:val="332"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832"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2"/>
              <w:jc w:val="right"/>
              <w:rPr>
                <w:rFonts w:ascii="Times New Roman" w:hAnsi="Times New Roman" w:cs="Times New Roman" w:eastAsia="Times New Roman" w:hint="default"/>
                <w:sz w:val="18"/>
                <w:szCs w:val="18"/>
              </w:rPr>
            </w:pPr>
            <w:r>
              <w:rPr>
                <w:rFonts w:ascii="Times New Roman"/>
                <w:spacing w:val="-1"/>
                <w:sz w:val="18"/>
              </w:rPr>
              <w:t>1,958,515.78</w:t>
            </w:r>
          </w:p>
        </w:tc>
        <w:tc>
          <w:tcPr>
            <w:tcW w:w="430"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4"/>
              <w:jc w:val="right"/>
              <w:rPr>
                <w:rFonts w:ascii="Times New Roman" w:hAnsi="Times New Roman" w:cs="Times New Roman" w:eastAsia="Times New Roman" w:hint="default"/>
                <w:sz w:val="18"/>
                <w:szCs w:val="18"/>
              </w:rPr>
            </w:pPr>
            <w:r>
              <w:rPr>
                <w:rFonts w:ascii="Times New Roman"/>
                <w:spacing w:val="-1"/>
                <w:sz w:val="18"/>
              </w:rPr>
              <w:t>1,212,750.00</w:t>
            </w:r>
          </w:p>
        </w:tc>
      </w:tr>
      <w:tr>
        <w:trPr>
          <w:trHeight w:val="331"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832"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4"/>
              <w:jc w:val="right"/>
              <w:rPr>
                <w:rFonts w:ascii="Times New Roman" w:hAnsi="Times New Roman" w:cs="Times New Roman" w:eastAsia="Times New Roman" w:hint="default"/>
                <w:sz w:val="18"/>
                <w:szCs w:val="18"/>
              </w:rPr>
            </w:pPr>
            <w:r>
              <w:rPr>
                <w:rFonts w:ascii="Times New Roman"/>
                <w:spacing w:val="-1"/>
                <w:sz w:val="18"/>
              </w:rPr>
              <w:t>242,475.00</w:t>
            </w:r>
          </w:p>
        </w:tc>
        <w:tc>
          <w:tcPr>
            <w:tcW w:w="430"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4"/>
              <w:jc w:val="right"/>
              <w:rPr>
                <w:rFonts w:ascii="Times New Roman" w:hAnsi="Times New Roman" w:cs="Times New Roman" w:eastAsia="Times New Roman" w:hint="default"/>
                <w:sz w:val="18"/>
                <w:szCs w:val="18"/>
              </w:rPr>
            </w:pPr>
            <w:r>
              <w:rPr>
                <w:rFonts w:ascii="Times New Roman"/>
                <w:spacing w:val="-1"/>
                <w:sz w:val="18"/>
              </w:rPr>
              <w:t>55,267.00</w:t>
            </w:r>
          </w:p>
        </w:tc>
      </w:tr>
      <w:tr>
        <w:trPr>
          <w:trHeight w:val="332"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32"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762"/>
              <w:jc w:val="right"/>
              <w:rPr>
                <w:rFonts w:ascii="Times New Roman" w:hAnsi="Times New Roman" w:cs="Times New Roman" w:eastAsia="Times New Roman" w:hint="default"/>
                <w:sz w:val="18"/>
                <w:szCs w:val="18"/>
              </w:rPr>
            </w:pPr>
            <w:r>
              <w:rPr>
                <w:rFonts w:ascii="Times New Roman"/>
                <w:spacing w:val="-1"/>
                <w:sz w:val="18"/>
              </w:rPr>
              <w:t>33,300.00</w:t>
            </w:r>
          </w:p>
        </w:tc>
        <w:tc>
          <w:tcPr>
            <w:tcW w:w="430"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76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30" w:type="dxa"/>
            <w:tcBorders>
              <w:top w:val="nil" w:sz="6" w:space="0" w:color="auto"/>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762"/>
              <w:jc w:val="right"/>
              <w:rPr>
                <w:rFonts w:ascii="Times New Roman" w:hAnsi="Times New Roman" w:cs="Times New Roman" w:eastAsia="Times New Roman" w:hint="default"/>
                <w:sz w:val="18"/>
                <w:szCs w:val="18"/>
              </w:rPr>
            </w:pPr>
            <w:r>
              <w:rPr>
                <w:rFonts w:ascii="Times New Roman"/>
                <w:spacing w:val="-1"/>
                <w:sz w:val="18"/>
              </w:rPr>
              <w:t>14,298,495.54</w:t>
            </w:r>
          </w:p>
        </w:tc>
        <w:tc>
          <w:tcPr>
            <w:tcW w:w="430"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764"/>
              <w:jc w:val="right"/>
              <w:rPr>
                <w:rFonts w:ascii="Times New Roman" w:hAnsi="Times New Roman" w:cs="Times New Roman" w:eastAsia="Times New Roman" w:hint="default"/>
                <w:sz w:val="18"/>
                <w:szCs w:val="18"/>
              </w:rPr>
            </w:pPr>
            <w:r>
              <w:rPr>
                <w:rFonts w:ascii="Times New Roman"/>
                <w:spacing w:val="-1"/>
                <w:sz w:val="18"/>
              </w:rPr>
              <w:t>10,731,915.48</w:t>
            </w:r>
          </w:p>
        </w:tc>
      </w:tr>
    </w:tbl>
    <w:p>
      <w:pPr>
        <w:spacing w:line="374" w:lineRule="auto" w:before="29"/>
        <w:ind w:left="555" w:right="4089" w:firstLine="0"/>
        <w:jc w:val="left"/>
        <w:rPr>
          <w:rFonts w:ascii="宋体" w:hAnsi="宋体" w:cs="宋体" w:eastAsia="宋体" w:hint="default"/>
          <w:sz w:val="18"/>
          <w:szCs w:val="18"/>
        </w:rPr>
      </w:pPr>
      <w:r>
        <w:rPr>
          <w:rFonts w:ascii="宋体" w:hAnsi="宋体" w:cs="宋体" w:eastAsia="宋体" w:hint="default"/>
          <w:sz w:val="18"/>
          <w:szCs w:val="18"/>
        </w:rPr>
        <w:t>注：期末本账户余额中无应付持有本公司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以上股份的股东款项。 期末余额中无账龄超过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年的大额预收款项。</w:t>
      </w:r>
    </w:p>
    <w:p>
      <w:pPr>
        <w:spacing w:after="0" w:line="374" w:lineRule="auto"/>
        <w:jc w:val="left"/>
        <w:rPr>
          <w:rFonts w:ascii="宋体" w:hAnsi="宋体" w:cs="宋体" w:eastAsia="宋体" w:hint="default"/>
          <w:sz w:val="18"/>
          <w:szCs w:val="18"/>
        </w:rPr>
        <w:sectPr>
          <w:pgSz w:w="11910" w:h="16840"/>
          <w:pgMar w:header="849" w:footer="976" w:top="1460" w:bottom="1160" w:left="940" w:right="980"/>
        </w:sectPr>
      </w:pPr>
    </w:p>
    <w:p>
      <w:pPr>
        <w:spacing w:line="240" w:lineRule="auto" w:before="0"/>
        <w:rPr>
          <w:rFonts w:ascii="宋体" w:hAnsi="宋体" w:cs="宋体" w:eastAsia="宋体" w:hint="default"/>
          <w:sz w:val="2"/>
          <w:szCs w:val="2"/>
        </w:rPr>
      </w:pPr>
    </w:p>
    <w:p>
      <w:pPr>
        <w:spacing w:line="247" w:lineRule="exact"/>
        <w:ind w:left="10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宋体" w:hAnsi="宋体" w:cs="宋体" w:eastAsia="宋体" w:hint="default"/>
          <w:position w:val="-4"/>
          <w:sz w:val="20"/>
          <w:szCs w:val="20"/>
        </w:rPr>
      </w:r>
    </w:p>
    <w:p>
      <w:pPr>
        <w:spacing w:line="240" w:lineRule="auto" w:before="9"/>
        <w:rPr>
          <w:rFonts w:ascii="宋体" w:hAnsi="宋体" w:cs="宋体" w:eastAsia="宋体" w:hint="default"/>
          <w:sz w:val="7"/>
          <w:szCs w:val="7"/>
        </w:rPr>
      </w:pPr>
    </w:p>
    <w:p>
      <w:pPr>
        <w:pStyle w:val="BodyText"/>
        <w:spacing w:line="240" w:lineRule="auto" w:before="34"/>
        <w:ind w:left="535" w:right="979"/>
        <w:jc w:val="left"/>
      </w:pPr>
      <w:r>
        <w:rPr>
          <w:rFonts w:ascii="Times New Roman" w:hAnsi="Times New Roman" w:cs="Times New Roman" w:eastAsia="Times New Roman" w:hint="default"/>
        </w:rPr>
        <w:t>16</w:t>
      </w:r>
      <w:r>
        <w:rPr/>
        <w:t>、应付职工薪酬</w:t>
      </w:r>
    </w:p>
    <w:p>
      <w:pPr>
        <w:spacing w:line="240" w:lineRule="auto" w:before="12"/>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2796"/>
        <w:gridCol w:w="298"/>
        <w:gridCol w:w="1390"/>
        <w:gridCol w:w="298"/>
        <w:gridCol w:w="1495"/>
        <w:gridCol w:w="346"/>
        <w:gridCol w:w="1495"/>
        <w:gridCol w:w="298"/>
        <w:gridCol w:w="1390"/>
      </w:tblGrid>
      <w:tr>
        <w:trPr>
          <w:trHeight w:val="365" w:hRule="exact"/>
        </w:trPr>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1" w:hRule="exact"/>
        </w:trPr>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1,580,861.85</w:t>
            </w: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42,235,444.93</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39,569,321.46</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4,246,985.32</w:t>
            </w:r>
          </w:p>
        </w:tc>
      </w:tr>
      <w:tr>
        <w:trPr>
          <w:trHeight w:val="341"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334,612.75</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334,612.75</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341"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13,265.06</w:t>
            </w: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3,966,347.57</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3,910,167.75</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69,444.88</w:t>
            </w:r>
          </w:p>
        </w:tc>
      </w:tr>
      <w:tr>
        <w:trPr>
          <w:trHeight w:val="341"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117,708.00</w:t>
            </w: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1,609,109.00</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1,622,542.00</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104,275.00</w:t>
            </w:r>
          </w:p>
        </w:tc>
      </w:tr>
      <w:tr>
        <w:trPr>
          <w:trHeight w:val="677"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348" w:lineRule="auto" w:before="20"/>
              <w:ind w:left="110" w:right="703"/>
              <w:jc w:val="left"/>
              <w:rPr>
                <w:rFonts w:ascii="宋体" w:hAnsi="宋体" w:cs="宋体" w:eastAsia="宋体" w:hint="default"/>
                <w:sz w:val="18"/>
                <w:szCs w:val="18"/>
              </w:rPr>
            </w:pPr>
            <w:r>
              <w:rPr>
                <w:rFonts w:ascii="宋体" w:hAnsi="宋体" w:cs="宋体" w:eastAsia="宋体" w:hint="default"/>
                <w:sz w:val="18"/>
                <w:szCs w:val="18"/>
              </w:rPr>
              <w:t>工会经费和职工教育经费 非货币性福利</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251,831.00</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251,831.00</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341"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因解除劳动关系给予的补偿</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684"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350" w:lineRule="auto" w:before="25"/>
              <w:ind w:left="110" w:right="1423"/>
              <w:jc w:val="left"/>
              <w:rPr>
                <w:rFonts w:ascii="宋体" w:hAnsi="宋体" w:cs="宋体" w:eastAsia="宋体" w:hint="default"/>
                <w:sz w:val="18"/>
                <w:szCs w:val="18"/>
              </w:rPr>
            </w:pPr>
            <w:r>
              <w:rPr>
                <w:rFonts w:ascii="宋体" w:hAnsi="宋体" w:cs="宋体" w:eastAsia="宋体" w:hint="default"/>
                <w:sz w:val="18"/>
                <w:szCs w:val="18"/>
              </w:rPr>
              <w:t>外劳力综合保险 其他</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-740.70</w:t>
            </w: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312,639.60</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315,365.00</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-3,466.10</w:t>
            </w:r>
          </w:p>
        </w:tc>
      </w:tr>
      <w:tr>
        <w:trPr>
          <w:trHeight w:val="345"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
        </w:tc>
      </w:tr>
      <w:tr>
        <w:trPr>
          <w:trHeight w:val="360"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1,711,094.21</w:t>
            </w:r>
          </w:p>
        </w:tc>
        <w:tc>
          <w:tcPr>
            <w:tcW w:w="298"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48,709,984.85</w:t>
            </w:r>
          </w:p>
        </w:tc>
        <w:tc>
          <w:tcPr>
            <w:tcW w:w="346"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46,003,839.96</w:t>
            </w:r>
          </w:p>
        </w:tc>
        <w:tc>
          <w:tcPr>
            <w:tcW w:w="298"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4,417,239.10</w:t>
            </w:r>
          </w:p>
        </w:tc>
      </w:tr>
      <w:tr>
        <w:trPr>
          <w:trHeight w:val="401" w:hRule="exact"/>
        </w:trPr>
        <w:tc>
          <w:tcPr>
            <w:tcW w:w="980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5"/>
              <w:ind w:left="362" w:right="0"/>
              <w:jc w:val="left"/>
              <w:rPr>
                <w:rFonts w:ascii="宋体" w:hAnsi="宋体" w:cs="宋体" w:eastAsia="宋体" w:hint="default"/>
                <w:sz w:val="18"/>
                <w:szCs w:val="18"/>
              </w:rPr>
            </w:pPr>
            <w:r>
              <w:rPr>
                <w:rFonts w:ascii="宋体" w:hAnsi="宋体" w:cs="宋体" w:eastAsia="宋体" w:hint="default"/>
                <w:sz w:val="18"/>
                <w:szCs w:val="18"/>
              </w:rPr>
              <w:t>注：应付职工薪酬期末余额中无属于拖欠性质的金额。</w:t>
            </w:r>
          </w:p>
        </w:tc>
      </w:tr>
    </w:tbl>
    <w:p>
      <w:pPr>
        <w:spacing w:line="240" w:lineRule="auto" w:before="3"/>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174"/>
        <w:gridCol w:w="658"/>
        <w:gridCol w:w="1826"/>
        <w:gridCol w:w="432"/>
        <w:gridCol w:w="2638"/>
        <w:gridCol w:w="374"/>
        <w:gridCol w:w="2582"/>
      </w:tblGrid>
      <w:tr>
        <w:trPr>
          <w:trHeight w:val="755" w:hRule="exact"/>
        </w:trPr>
        <w:tc>
          <w:tcPr>
            <w:tcW w:w="183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4"/>
              <w:ind w:right="149"/>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17</w:t>
            </w:r>
            <w:r>
              <w:rPr>
                <w:rFonts w:ascii="宋体" w:hAnsi="宋体" w:cs="宋体" w:eastAsia="宋体" w:hint="default"/>
                <w:w w:val="95"/>
                <w:sz w:val="21"/>
                <w:szCs w:val="21"/>
              </w:rPr>
              <w:t>、应交税费</w:t>
            </w:r>
            <w:r>
              <w:rPr>
                <w:rFonts w:ascii="宋体" w:hAnsi="宋体" w:cs="宋体" w:eastAsia="宋体" w:hint="default"/>
                <w:sz w:val="21"/>
                <w:szCs w:val="21"/>
              </w:rPr>
            </w:r>
          </w:p>
          <w:p>
            <w:pPr>
              <w:pStyle w:val="TableParagraph"/>
              <w:spacing w:line="240" w:lineRule="auto" w:before="109"/>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2" w:hRule="exact"/>
        </w:trPr>
        <w:tc>
          <w:tcPr>
            <w:tcW w:w="183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826" w:type="dxa"/>
            <w:tcBorders>
              <w:top w:val="single" w:sz="4" w:space="0" w:color="000000"/>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834"/>
              <w:jc w:val="right"/>
              <w:rPr>
                <w:rFonts w:ascii="Times New Roman" w:hAnsi="Times New Roman" w:cs="Times New Roman" w:eastAsia="Times New Roman" w:hint="default"/>
                <w:sz w:val="18"/>
                <w:szCs w:val="18"/>
              </w:rPr>
            </w:pPr>
            <w:r>
              <w:rPr>
                <w:rFonts w:ascii="Times New Roman"/>
                <w:spacing w:val="-1"/>
                <w:sz w:val="18"/>
              </w:rPr>
              <w:t>274,368.28</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876" w:right="0"/>
              <w:jc w:val="left"/>
              <w:rPr>
                <w:rFonts w:ascii="Times New Roman" w:hAnsi="Times New Roman" w:cs="Times New Roman" w:eastAsia="Times New Roman" w:hint="default"/>
                <w:sz w:val="18"/>
                <w:szCs w:val="18"/>
              </w:rPr>
            </w:pPr>
            <w:r>
              <w:rPr>
                <w:rFonts w:ascii="Times New Roman"/>
                <w:sz w:val="18"/>
              </w:rPr>
              <w:t>-203,099.06</w:t>
            </w:r>
          </w:p>
        </w:tc>
      </w:tr>
      <w:tr>
        <w:trPr>
          <w:trHeight w:val="342"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32"/>
              <w:jc w:val="right"/>
              <w:rPr>
                <w:rFonts w:ascii="Times New Roman" w:hAnsi="Times New Roman" w:cs="Times New Roman" w:eastAsia="Times New Roman" w:hint="default"/>
                <w:sz w:val="18"/>
                <w:szCs w:val="18"/>
              </w:rPr>
            </w:pPr>
            <w:r>
              <w:rPr>
                <w:rFonts w:ascii="Times New Roman"/>
                <w:spacing w:val="-1"/>
                <w:sz w:val="18"/>
              </w:rPr>
              <w:t>-63,335.41</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64" w:right="0"/>
              <w:jc w:val="left"/>
              <w:rPr>
                <w:rFonts w:ascii="Times New Roman" w:hAnsi="Times New Roman" w:cs="Times New Roman" w:eastAsia="Times New Roman" w:hint="default"/>
                <w:sz w:val="18"/>
                <w:szCs w:val="18"/>
              </w:rPr>
            </w:pPr>
            <w:r>
              <w:rPr>
                <w:rFonts w:ascii="Times New Roman"/>
                <w:sz w:val="18"/>
              </w:rPr>
              <w:t>-53,689.87</w:t>
            </w:r>
          </w:p>
        </w:tc>
      </w:tr>
      <w:tr>
        <w:trPr>
          <w:trHeight w:val="342"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34"/>
              <w:jc w:val="right"/>
              <w:rPr>
                <w:rFonts w:ascii="Times New Roman" w:hAnsi="Times New Roman" w:cs="Times New Roman" w:eastAsia="Times New Roman" w:hint="default"/>
                <w:sz w:val="18"/>
                <w:szCs w:val="18"/>
              </w:rPr>
            </w:pPr>
            <w:r>
              <w:rPr>
                <w:rFonts w:ascii="Times New Roman"/>
                <w:spacing w:val="-1"/>
                <w:sz w:val="18"/>
              </w:rPr>
              <w:t>1,392,242.27</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06" w:right="0"/>
              <w:jc w:val="left"/>
              <w:rPr>
                <w:rFonts w:ascii="Times New Roman" w:hAnsi="Times New Roman" w:cs="Times New Roman" w:eastAsia="Times New Roman" w:hint="default"/>
                <w:sz w:val="18"/>
                <w:szCs w:val="18"/>
              </w:rPr>
            </w:pPr>
            <w:r>
              <w:rPr>
                <w:rFonts w:ascii="Times New Roman"/>
                <w:sz w:val="18"/>
              </w:rPr>
              <w:t>4,115,196.05</w:t>
            </w:r>
          </w:p>
        </w:tc>
      </w:tr>
      <w:tr>
        <w:trPr>
          <w:trHeight w:val="342"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34"/>
              <w:jc w:val="right"/>
              <w:rPr>
                <w:rFonts w:ascii="Times New Roman" w:hAnsi="Times New Roman" w:cs="Times New Roman" w:eastAsia="Times New Roman" w:hint="default"/>
                <w:sz w:val="18"/>
                <w:szCs w:val="18"/>
              </w:rPr>
            </w:pPr>
            <w:r>
              <w:rPr>
                <w:rFonts w:ascii="Times New Roman"/>
                <w:spacing w:val="-1"/>
                <w:sz w:val="18"/>
              </w:rPr>
              <w:t>17,575.60</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34"/>
              <w:jc w:val="right"/>
              <w:rPr>
                <w:rFonts w:ascii="Times New Roman" w:hAnsi="Times New Roman" w:cs="Times New Roman" w:eastAsia="Times New Roman" w:hint="default"/>
                <w:sz w:val="18"/>
                <w:szCs w:val="18"/>
              </w:rPr>
            </w:pPr>
            <w:r>
              <w:rPr>
                <w:rFonts w:ascii="Times New Roman"/>
                <w:spacing w:val="-1"/>
                <w:sz w:val="18"/>
              </w:rPr>
              <w:t>280.03</w:t>
            </w:r>
          </w:p>
        </w:tc>
      </w:tr>
      <w:tr>
        <w:trPr>
          <w:trHeight w:val="342"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34"/>
              <w:jc w:val="right"/>
              <w:rPr>
                <w:rFonts w:ascii="Times New Roman" w:hAnsi="Times New Roman" w:cs="Times New Roman" w:eastAsia="Times New Roman" w:hint="default"/>
                <w:sz w:val="18"/>
                <w:szCs w:val="18"/>
              </w:rPr>
            </w:pPr>
            <w:r>
              <w:rPr>
                <w:rFonts w:ascii="Times New Roman"/>
                <w:spacing w:val="-1"/>
                <w:sz w:val="18"/>
              </w:rPr>
              <w:t>26,356.83</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6" w:right="0"/>
              <w:jc w:val="left"/>
              <w:rPr>
                <w:rFonts w:ascii="Times New Roman" w:hAnsi="Times New Roman" w:cs="Times New Roman" w:eastAsia="Times New Roman" w:hint="default"/>
                <w:sz w:val="18"/>
                <w:szCs w:val="18"/>
              </w:rPr>
            </w:pPr>
            <w:r>
              <w:rPr>
                <w:rFonts w:ascii="Times New Roman"/>
                <w:sz w:val="18"/>
              </w:rPr>
              <w:t>-4,221.94</w:t>
            </w:r>
          </w:p>
        </w:tc>
      </w:tr>
      <w:tr>
        <w:trPr>
          <w:trHeight w:val="343"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34"/>
              <w:jc w:val="right"/>
              <w:rPr>
                <w:rFonts w:ascii="Times New Roman" w:hAnsi="Times New Roman" w:cs="Times New Roman" w:eastAsia="Times New Roman" w:hint="default"/>
                <w:sz w:val="18"/>
                <w:szCs w:val="18"/>
              </w:rPr>
            </w:pPr>
            <w:r>
              <w:rPr>
                <w:rFonts w:ascii="Times New Roman"/>
                <w:spacing w:val="-2"/>
                <w:sz w:val="18"/>
              </w:rPr>
              <w:t>11,315.08</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6" w:right="0"/>
              <w:jc w:val="left"/>
              <w:rPr>
                <w:rFonts w:ascii="Times New Roman" w:hAnsi="Times New Roman" w:cs="Times New Roman" w:eastAsia="Times New Roman" w:hint="default"/>
                <w:sz w:val="18"/>
                <w:szCs w:val="18"/>
              </w:rPr>
            </w:pPr>
            <w:r>
              <w:rPr>
                <w:rFonts w:ascii="Times New Roman"/>
                <w:sz w:val="18"/>
              </w:rPr>
              <w:t>-1,790.14</w:t>
            </w:r>
          </w:p>
        </w:tc>
      </w:tr>
      <w:tr>
        <w:trPr>
          <w:trHeight w:val="341"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34"/>
              <w:jc w:val="right"/>
              <w:rPr>
                <w:rFonts w:ascii="Times New Roman" w:hAnsi="Times New Roman" w:cs="Times New Roman" w:eastAsia="Times New Roman" w:hint="default"/>
                <w:sz w:val="18"/>
                <w:szCs w:val="18"/>
              </w:rPr>
            </w:pPr>
            <w:r>
              <w:rPr>
                <w:rFonts w:ascii="Times New Roman"/>
                <w:spacing w:val="-1"/>
                <w:sz w:val="18"/>
              </w:rPr>
              <w:t>4,090.89</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34"/>
              <w:jc w:val="right"/>
              <w:rPr>
                <w:rFonts w:ascii="Times New Roman" w:hAnsi="Times New Roman" w:cs="Times New Roman" w:eastAsia="Times New Roman" w:hint="default"/>
                <w:sz w:val="18"/>
                <w:szCs w:val="18"/>
              </w:rPr>
            </w:pPr>
            <w:r>
              <w:rPr>
                <w:rFonts w:ascii="Times New Roman"/>
                <w:spacing w:val="-1"/>
                <w:sz w:val="18"/>
              </w:rPr>
              <w:t>-596.77</w:t>
            </w:r>
          </w:p>
        </w:tc>
      </w:tr>
      <w:tr>
        <w:trPr>
          <w:trHeight w:val="343"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34"/>
              <w:jc w:val="right"/>
              <w:rPr>
                <w:rFonts w:ascii="Times New Roman" w:hAnsi="Times New Roman" w:cs="Times New Roman" w:eastAsia="Times New Roman" w:hint="default"/>
                <w:sz w:val="18"/>
                <w:szCs w:val="18"/>
              </w:rPr>
            </w:pPr>
            <w:r>
              <w:rPr>
                <w:rFonts w:ascii="Times New Roman"/>
                <w:spacing w:val="-1"/>
                <w:sz w:val="18"/>
              </w:rPr>
              <w:t>12,426.59</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
        </w:tc>
      </w:tr>
      <w:tr>
        <w:trPr>
          <w:trHeight w:val="342"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834"/>
              <w:jc w:val="right"/>
              <w:rPr>
                <w:rFonts w:ascii="Times New Roman" w:hAnsi="Times New Roman" w:cs="Times New Roman" w:eastAsia="Times New Roman" w:hint="default"/>
                <w:sz w:val="18"/>
                <w:szCs w:val="18"/>
              </w:rPr>
            </w:pPr>
            <w:r>
              <w:rPr>
                <w:rFonts w:ascii="Times New Roman"/>
                <w:spacing w:val="-1"/>
                <w:sz w:val="18"/>
              </w:rPr>
              <w:t>201,003.55</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
        </w:tc>
      </w:tr>
      <w:tr>
        <w:trPr>
          <w:trHeight w:val="360" w:hRule="exact"/>
        </w:trPr>
        <w:tc>
          <w:tcPr>
            <w:tcW w:w="1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834"/>
              <w:jc w:val="right"/>
              <w:rPr>
                <w:rFonts w:ascii="Times New Roman" w:hAnsi="Times New Roman" w:cs="Times New Roman" w:eastAsia="Times New Roman" w:hint="default"/>
                <w:sz w:val="18"/>
                <w:szCs w:val="18"/>
              </w:rPr>
            </w:pPr>
            <w:r>
              <w:rPr>
                <w:rFonts w:ascii="Times New Roman"/>
                <w:spacing w:val="-1"/>
                <w:sz w:val="18"/>
              </w:rPr>
              <w:t>1,876,043.68</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799" w:right="0"/>
              <w:jc w:val="left"/>
              <w:rPr>
                <w:rFonts w:ascii="Times New Roman" w:hAnsi="Times New Roman" w:cs="Times New Roman" w:eastAsia="Times New Roman" w:hint="default"/>
                <w:sz w:val="18"/>
                <w:szCs w:val="18"/>
              </w:rPr>
            </w:pPr>
            <w:r>
              <w:rPr>
                <w:rFonts w:ascii="Times New Roman"/>
                <w:sz w:val="18"/>
              </w:rPr>
              <w:t>3,852,078.30</w:t>
            </w:r>
          </w:p>
        </w:tc>
      </w:tr>
      <w:tr>
        <w:trPr>
          <w:trHeight w:val="653" w:hRule="exact"/>
        </w:trPr>
        <w:tc>
          <w:tcPr>
            <w:tcW w:w="968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、其他应付款</w:t>
            </w:r>
          </w:p>
        </w:tc>
      </w:tr>
      <w:tr>
        <w:trPr>
          <w:trHeight w:val="343" w:hRule="exact"/>
        </w:trPr>
        <w:tc>
          <w:tcPr>
            <w:tcW w:w="1174" w:type="dxa"/>
            <w:tcBorders>
              <w:top w:val="nil" w:sz="6" w:space="0" w:color="auto"/>
              <w:left w:val="nil" w:sz="6" w:space="0" w:color="auto"/>
              <w:bottom w:val="single" w:sz="4" w:space="0" w:color="000000"/>
              <w:right w:val="nil" w:sz="6" w:space="0" w:color="auto"/>
            </w:tcBorders>
          </w:tcPr>
          <w:p>
            <w:pPr/>
          </w:p>
        </w:tc>
        <w:tc>
          <w:tcPr>
            <w:tcW w:w="65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86"/>
              <w:jc w:val="right"/>
              <w:rPr>
                <w:rFonts w:ascii="宋体" w:hAnsi="宋体" w:cs="宋体" w:eastAsia="宋体" w:hint="default"/>
                <w:sz w:val="18"/>
                <w:szCs w:val="18"/>
              </w:rPr>
            </w:pPr>
            <w:r>
              <w:rPr>
                <w:rFonts w:ascii="宋体" w:hAnsi="宋体" w:cs="宋体" w:eastAsia="宋体" w:hint="default"/>
                <w:sz w:val="18"/>
                <w:szCs w:val="18"/>
              </w:rPr>
              <w:t>项</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9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1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658" w:type="dxa"/>
            <w:tcBorders>
              <w:top w:val="single" w:sz="4" w:space="0" w:color="000000"/>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822"/>
              <w:jc w:val="right"/>
              <w:rPr>
                <w:rFonts w:ascii="Times New Roman" w:hAnsi="Times New Roman" w:cs="Times New Roman" w:eastAsia="Times New Roman" w:hint="default"/>
                <w:sz w:val="18"/>
                <w:szCs w:val="18"/>
              </w:rPr>
            </w:pPr>
            <w:r>
              <w:rPr>
                <w:rFonts w:ascii="Times New Roman"/>
                <w:spacing w:val="-1"/>
                <w:sz w:val="18"/>
              </w:rPr>
              <w:t>4,659,192.74</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67"/>
              <w:jc w:val="right"/>
              <w:rPr>
                <w:rFonts w:ascii="Times New Roman" w:hAnsi="Times New Roman" w:cs="Times New Roman" w:eastAsia="Times New Roman" w:hint="default"/>
                <w:sz w:val="18"/>
                <w:szCs w:val="18"/>
              </w:rPr>
            </w:pPr>
            <w:r>
              <w:rPr>
                <w:rFonts w:ascii="Times New Roman"/>
                <w:spacing w:val="-1"/>
                <w:sz w:val="18"/>
              </w:rPr>
              <w:t>1,162,550.30</w:t>
            </w:r>
          </w:p>
        </w:tc>
      </w:tr>
      <w:tr>
        <w:trPr>
          <w:trHeight w:val="331" w:hRule="exact"/>
        </w:trPr>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658"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22"/>
              <w:jc w:val="right"/>
              <w:rPr>
                <w:rFonts w:ascii="Times New Roman" w:hAnsi="Times New Roman" w:cs="Times New Roman" w:eastAsia="Times New Roman" w:hint="default"/>
                <w:sz w:val="18"/>
                <w:szCs w:val="18"/>
              </w:rPr>
            </w:pPr>
            <w:r>
              <w:rPr>
                <w:rFonts w:ascii="Times New Roman"/>
                <w:spacing w:val="-1"/>
                <w:sz w:val="18"/>
              </w:rPr>
              <w:t>622,057.00</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9"/>
              <w:jc w:val="right"/>
              <w:rPr>
                <w:rFonts w:ascii="Times New Roman" w:hAnsi="Times New Roman" w:cs="Times New Roman" w:eastAsia="Times New Roman" w:hint="default"/>
                <w:sz w:val="18"/>
                <w:szCs w:val="18"/>
              </w:rPr>
            </w:pPr>
            <w:r>
              <w:rPr>
                <w:rFonts w:ascii="Times New Roman"/>
                <w:spacing w:val="-1"/>
                <w:sz w:val="18"/>
              </w:rPr>
              <w:t>184,329.56</w:t>
            </w:r>
          </w:p>
        </w:tc>
      </w:tr>
      <w:tr>
        <w:trPr>
          <w:trHeight w:val="332" w:hRule="exact"/>
        </w:trPr>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658"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22"/>
              <w:jc w:val="right"/>
              <w:rPr>
                <w:rFonts w:ascii="Times New Roman" w:hAnsi="Times New Roman" w:cs="Times New Roman" w:eastAsia="Times New Roman" w:hint="default"/>
                <w:sz w:val="18"/>
                <w:szCs w:val="18"/>
              </w:rPr>
            </w:pPr>
            <w:r>
              <w:rPr>
                <w:rFonts w:ascii="Times New Roman"/>
                <w:spacing w:val="-1"/>
                <w:sz w:val="18"/>
              </w:rPr>
              <w:t>104,329.56</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
        </w:tc>
      </w:tr>
      <w:tr>
        <w:trPr>
          <w:trHeight w:val="360" w:hRule="exact"/>
        </w:trPr>
        <w:tc>
          <w:tcPr>
            <w:tcW w:w="1174"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hAnsi="宋体" w:cs="宋体" w:eastAsia="宋体" w:hint="default"/>
                <w:sz w:val="18"/>
                <w:szCs w:val="18"/>
              </w:rPr>
              <w:t>合</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91"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32"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822"/>
              <w:jc w:val="right"/>
              <w:rPr>
                <w:rFonts w:ascii="Times New Roman" w:hAnsi="Times New Roman" w:cs="Times New Roman" w:eastAsia="Times New Roman" w:hint="default"/>
                <w:sz w:val="18"/>
                <w:szCs w:val="18"/>
              </w:rPr>
            </w:pPr>
            <w:r>
              <w:rPr>
                <w:rFonts w:ascii="Times New Roman"/>
                <w:spacing w:val="-1"/>
                <w:sz w:val="18"/>
              </w:rPr>
              <w:t>5,385,579.30</w:t>
            </w:r>
          </w:p>
        </w:tc>
        <w:tc>
          <w:tcPr>
            <w:tcW w:w="374"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767"/>
              <w:jc w:val="right"/>
              <w:rPr>
                <w:rFonts w:ascii="Times New Roman" w:hAnsi="Times New Roman" w:cs="Times New Roman" w:eastAsia="Times New Roman" w:hint="default"/>
                <w:sz w:val="18"/>
                <w:szCs w:val="18"/>
              </w:rPr>
            </w:pPr>
            <w:r>
              <w:rPr>
                <w:rFonts w:ascii="Times New Roman"/>
                <w:spacing w:val="-1"/>
                <w:sz w:val="18"/>
              </w:rPr>
              <w:t>1,346,879.86</w:t>
            </w:r>
          </w:p>
        </w:tc>
      </w:tr>
    </w:tbl>
    <w:p>
      <w:pPr>
        <w:spacing w:before="29"/>
        <w:ind w:left="475" w:right="979" w:firstLine="0"/>
        <w:jc w:val="left"/>
        <w:rPr>
          <w:rFonts w:ascii="宋体" w:hAnsi="宋体" w:cs="宋体" w:eastAsia="宋体" w:hint="default"/>
          <w:sz w:val="18"/>
          <w:szCs w:val="18"/>
        </w:rPr>
      </w:pPr>
      <w:r>
        <w:rPr>
          <w:rFonts w:ascii="宋体" w:hAnsi="宋体" w:cs="宋体" w:eastAsia="宋体" w:hint="default"/>
          <w:sz w:val="18"/>
          <w:szCs w:val="18"/>
        </w:rPr>
        <w:t>注：期末本账户余额中无应付持有本公司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以上股份的股东款项。</w:t>
      </w:r>
    </w:p>
    <w:p>
      <w:pPr>
        <w:spacing w:line="240" w:lineRule="auto" w:before="0"/>
        <w:rPr>
          <w:rFonts w:ascii="宋体" w:hAnsi="宋体" w:cs="宋体" w:eastAsia="宋体" w:hint="default"/>
          <w:sz w:val="18"/>
          <w:szCs w:val="18"/>
        </w:rPr>
      </w:pPr>
    </w:p>
    <w:p>
      <w:pPr>
        <w:pStyle w:val="BodyText"/>
        <w:spacing w:line="240" w:lineRule="auto" w:before="121"/>
        <w:ind w:left="535" w:right="979"/>
        <w:jc w:val="left"/>
      </w:pPr>
      <w:r>
        <w:rPr>
          <w:rFonts w:ascii="Times New Roman" w:hAnsi="Times New Roman" w:cs="Times New Roman" w:eastAsia="Times New Roman" w:hint="default"/>
        </w:rPr>
        <w:t>19</w:t>
      </w:r>
      <w:r>
        <w:rPr/>
        <w:t>、预计负债</w:t>
      </w:r>
    </w:p>
    <w:p>
      <w:pPr>
        <w:tabs>
          <w:tab w:pos="5174" w:val="left" w:leader="none"/>
          <w:tab w:pos="5378" w:val="left" w:leader="none"/>
          <w:tab w:pos="8099" w:val="left" w:leader="none"/>
          <w:tab w:pos="8301" w:val="left" w:leader="none"/>
        </w:tabs>
        <w:spacing w:line="376" w:lineRule="auto" w:before="121"/>
        <w:ind w:left="223" w:right="979" w:firstLine="1550"/>
        <w:jc w:val="left"/>
        <w:rPr>
          <w:rFonts w:ascii="Times New Roman" w:hAnsi="Times New Roman" w:cs="Times New Roman" w:eastAsia="Times New Roman" w:hint="default"/>
          <w:sz w:val="18"/>
          <w:szCs w:val="18"/>
        </w:rPr>
      </w:pPr>
      <w:r>
        <w:rPr/>
        <w:pict>
          <v:group style="position:absolute;margin-left:56.639999pt;margin-top:22.561705pt;width:193pt;height:.1pt;mso-position-horizontal-relative:page;mso-position-vertical-relative:paragraph;z-index:-628528" coordorigin="1133,451" coordsize="3860,2">
            <v:shape style="position:absolute;left:1133;top:451;width:3860;height:2" coordorigin="1133,451" coordsize="3860,0" path="m1133,451l4992,451e" filled="false" stroked="true" strokeweight=".48pt" strokecolor="#000000">
              <v:path arrowok="t"/>
            </v:shape>
            <w10:wrap type="none"/>
          </v:group>
        </w:pict>
      </w:r>
      <w:r>
        <w:rPr/>
        <w:pict>
          <v:group style="position:absolute;margin-left:271.919983pt;margin-top:22.561705pt;width:123pt;height:.1pt;mso-position-horizontal-relative:page;mso-position-vertical-relative:paragraph;z-index:-628504" coordorigin="5438,451" coordsize="2460,2">
            <v:shape style="position:absolute;left:5438;top:451;width:2460;height:2" coordorigin="5438,451" coordsize="2460,0" path="m5438,451l7898,451e" filled="false" stroked="true" strokeweight=".48pt" strokecolor="#000000">
              <v:path arrowok="t"/>
            </v:shape>
            <w10:wrap type="none"/>
          </v:group>
        </w:pict>
      </w:r>
      <w:r>
        <w:rPr/>
        <w:pict>
          <v:group style="position:absolute;margin-left:418.079987pt;margin-top:22.561705pt;width:123pt;height:.1pt;mso-position-horizontal-relative:page;mso-position-vertical-relative:paragraph;z-index:-628480" coordorigin="8362,451" coordsize="2460,2">
            <v:shape style="position:absolute;left:8362;top:451;width:2460;height:2" coordorigin="8362,451" coordsize="2460,0" path="m8362,451l10822,451e" filled="false" stroked="true" strokeweight=".48pt" strokecolor="#000000">
              <v:path arrowok="t"/>
            </v:shape>
            <w10:wrap type="none"/>
          </v:group>
        </w:pict>
      </w:r>
      <w:r>
        <w:rPr>
          <w:rFonts w:ascii="宋体" w:hAnsi="宋体" w:cs="宋体" w:eastAsia="宋体" w:hint="default"/>
          <w:sz w:val="18"/>
          <w:szCs w:val="18"/>
        </w:rPr>
        <w:t>项  目</w:t>
        <w:tab/>
        <w:tab/>
        <w:t>期末数</w:t>
        <w:tab/>
        <w:tab/>
        <w:t>期初数 预提质保金</w:t>
        <w:tab/>
      </w:r>
      <w:r>
        <w:rPr>
          <w:rFonts w:ascii="Times New Roman" w:hAnsi="Times New Roman" w:cs="Times New Roman" w:eastAsia="Times New Roman" w:hint="default"/>
          <w:spacing w:val="-1"/>
          <w:sz w:val="18"/>
          <w:szCs w:val="18"/>
        </w:rPr>
        <w:t>1,839,422.00</w:t>
        <w:tab/>
        <w:t>1,428,221.00</w:t>
      </w:r>
    </w:p>
    <w:p>
      <w:pPr>
        <w:spacing w:after="0" w:line="376" w:lineRule="auto"/>
        <w:jc w:val="left"/>
        <w:rPr>
          <w:rFonts w:ascii="Times New Roman" w:hAnsi="Times New Roman" w:cs="Times New Roman" w:eastAsia="Times New Roman" w:hint="default"/>
          <w:sz w:val="18"/>
          <w:szCs w:val="18"/>
        </w:rPr>
        <w:sectPr>
          <w:pgSz w:w="11910" w:h="16840"/>
          <w:pgMar w:header="849" w:footer="976" w:top="1460" w:bottom="1160" w:left="1020" w:right="860"/>
        </w:sectPr>
      </w:pPr>
    </w:p>
    <w:p>
      <w:pPr>
        <w:spacing w:line="240" w:lineRule="auto" w:before="10"/>
        <w:rPr>
          <w:rFonts w:ascii="Times New Roman" w:hAnsi="Times New Roman" w:cs="Times New Roman" w:eastAsia="Times New Roman" w:hint="default"/>
          <w:sz w:val="3"/>
          <w:szCs w:val="3"/>
        </w:rPr>
      </w:pPr>
    </w:p>
    <w:tbl>
      <w:tblPr>
        <w:tblW w:w="0" w:type="auto"/>
        <w:jc w:val="left"/>
        <w:tblInd w:w="472" w:type="dxa"/>
        <w:tblLayout w:type="fixed"/>
        <w:tblCellMar>
          <w:top w:w="0" w:type="dxa"/>
          <w:left w:w="0" w:type="dxa"/>
          <w:bottom w:w="0" w:type="dxa"/>
          <w:right w:w="0" w:type="dxa"/>
        </w:tblCellMar>
        <w:tblLook w:val="01E0"/>
      </w:tblPr>
      <w:tblGrid>
        <w:gridCol w:w="3859"/>
        <w:gridCol w:w="444"/>
        <w:gridCol w:w="2460"/>
        <w:gridCol w:w="466"/>
        <w:gridCol w:w="2460"/>
      </w:tblGrid>
      <w:tr>
        <w:trPr>
          <w:trHeight w:val="374" w:hRule="exact"/>
        </w:trPr>
        <w:tc>
          <w:tcPr>
            <w:tcW w:w="3859"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4" w:type="dxa"/>
            <w:tcBorders>
              <w:top w:val="single" w:sz="6" w:space="0" w:color="000000"/>
              <w:left w:val="nil" w:sz="6" w:space="0" w:color="auto"/>
              <w:bottom w:val="nil" w:sz="6" w:space="0" w:color="auto"/>
              <w:right w:val="nil" w:sz="6" w:space="0" w:color="auto"/>
            </w:tcBorders>
          </w:tcPr>
          <w:p>
            <w:pPr/>
          </w:p>
        </w:tc>
        <w:tc>
          <w:tcPr>
            <w:tcW w:w="2460"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66" w:type="dxa"/>
            <w:tcBorders>
              <w:top w:val="single" w:sz="6" w:space="0" w:color="000000"/>
              <w:left w:val="nil" w:sz="6" w:space="0" w:color="auto"/>
              <w:bottom w:val="nil" w:sz="6" w:space="0" w:color="auto"/>
              <w:right w:val="nil" w:sz="6" w:space="0" w:color="auto"/>
            </w:tcBorders>
          </w:tcPr>
          <w:p>
            <w:pPr/>
          </w:p>
        </w:tc>
        <w:tc>
          <w:tcPr>
            <w:tcW w:w="2460" w:type="dxa"/>
            <w:tcBorders>
              <w:top w:val="single" w:sz="6" w:space="0" w:color="000000"/>
              <w:left w:val="nil" w:sz="6" w:space="0" w:color="auto"/>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9" w:hRule="exact"/>
        </w:trPr>
        <w:tc>
          <w:tcPr>
            <w:tcW w:w="385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1,839,422.00</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1,428,221.00</w:t>
            </w:r>
          </w:p>
        </w:tc>
      </w:tr>
      <w:tr>
        <w:trPr>
          <w:trHeight w:val="75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2"/>
                <w:szCs w:val="32"/>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、其他非流动负债</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59" w:hRule="exact"/>
        </w:trPr>
        <w:tc>
          <w:tcPr>
            <w:tcW w:w="385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8" w:hRule="exact"/>
        </w:trPr>
        <w:tc>
          <w:tcPr>
            <w:tcW w:w="3859" w:type="dxa"/>
            <w:tcBorders>
              <w:top w:val="single" w:sz="4" w:space="0" w:color="000000"/>
              <w:left w:val="nil" w:sz="6" w:space="0" w:color="auto"/>
              <w:bottom w:val="nil" w:sz="6" w:space="0" w:color="auto"/>
              <w:right w:val="nil" w:sz="6" w:space="0" w:color="auto"/>
            </w:tcBorders>
          </w:tcPr>
          <w:p>
            <w:pPr>
              <w:pStyle w:val="TableParagraph"/>
              <w:spacing w:line="360" w:lineRule="auto" w:before="32"/>
              <w:ind w:left="110" w:right="1229"/>
              <w:jc w:val="left"/>
              <w:rPr>
                <w:rFonts w:ascii="宋体" w:hAnsi="宋体" w:cs="宋体" w:eastAsia="宋体" w:hint="default"/>
                <w:sz w:val="18"/>
                <w:szCs w:val="18"/>
              </w:rPr>
            </w:pPr>
            <w:r>
              <w:rPr>
                <w:rFonts w:ascii="宋体" w:hAnsi="宋体" w:cs="宋体" w:eastAsia="宋体" w:hint="default"/>
                <w:spacing w:val="-1"/>
                <w:sz w:val="18"/>
                <w:szCs w:val="18"/>
              </w:rPr>
              <w:t>递延收益－科技小巨人培育基金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递延收益－课题研究经费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137,500.00</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433,334.00</w:t>
            </w:r>
          </w:p>
        </w:tc>
      </w:tr>
      <w:tr>
        <w:trPr>
          <w:trHeight w:val="382"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left="6" w:right="0"/>
              <w:jc w:val="center"/>
              <w:rPr>
                <w:rFonts w:ascii="Times New Roman" w:hAnsi="Times New Roman" w:cs="Times New Roman" w:eastAsia="Times New Roman" w:hint="default"/>
                <w:sz w:val="18"/>
                <w:szCs w:val="18"/>
              </w:rPr>
            </w:pPr>
            <w:r>
              <w:rPr>
                <w:rFonts w:ascii="Times New Roman"/>
                <w:sz w:val="18"/>
              </w:rPr>
              <w:t>137,500.00</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433,334.00</w:t>
            </w:r>
          </w:p>
        </w:tc>
      </w:tr>
    </w:tbl>
    <w:p>
      <w:pPr>
        <w:spacing w:line="240" w:lineRule="auto" w:before="6"/>
        <w:rPr>
          <w:rFonts w:ascii="Times New Roman" w:hAnsi="Times New Roman" w:cs="Times New Roman" w:eastAsia="Times New Roman" w:hint="default"/>
          <w:sz w:val="18"/>
          <w:szCs w:val="18"/>
        </w:rPr>
      </w:pPr>
    </w:p>
    <w:p>
      <w:pPr>
        <w:pStyle w:val="BodyText"/>
        <w:spacing w:line="240" w:lineRule="auto" w:before="34"/>
        <w:ind w:left="998" w:right="0"/>
        <w:jc w:val="left"/>
      </w:pPr>
      <w:r>
        <w:rPr>
          <w:rFonts w:ascii="Times New Roman" w:hAnsi="Times New Roman" w:cs="Times New Roman" w:eastAsia="Times New Roman" w:hint="default"/>
        </w:rPr>
        <w:t>21</w:t>
      </w:r>
      <w:r>
        <w:rPr/>
        <w:t>、股本</w:t>
      </w:r>
    </w:p>
    <w:p>
      <w:pPr>
        <w:spacing w:after="0" w:line="240" w:lineRule="auto"/>
        <w:jc w:val="left"/>
        <w:sectPr>
          <w:pgSz w:w="11910" w:h="16840"/>
          <w:pgMar w:header="849" w:footer="976" w:top="1460" w:bottom="1160" w:left="660" w:right="580"/>
        </w:sectPr>
      </w:pPr>
    </w:p>
    <w:p>
      <w:pPr>
        <w:spacing w:line="240" w:lineRule="auto" w:before="0"/>
        <w:rPr>
          <w:rFonts w:ascii="宋体" w:hAnsi="宋体" w:cs="宋体" w:eastAsia="宋体" w:hint="default"/>
          <w:sz w:val="14"/>
          <w:szCs w:val="14"/>
        </w:rPr>
      </w:pPr>
    </w:p>
    <w:p>
      <w:pPr>
        <w:spacing w:before="124"/>
        <w:ind w:left="998" w:right="0" w:firstLine="0"/>
        <w:jc w:val="left"/>
        <w:rPr>
          <w:rFonts w:ascii="宋体" w:hAnsi="宋体" w:cs="宋体" w:eastAsia="宋体" w:hint="default"/>
          <w:sz w:val="15"/>
          <w:szCs w:val="15"/>
        </w:rPr>
      </w:pPr>
      <w:r>
        <w:rPr>
          <w:rFonts w:ascii="宋体" w:hAnsi="宋体" w:cs="宋体" w:eastAsia="宋体" w:hint="default"/>
          <w:w w:val="95"/>
          <w:sz w:val="15"/>
          <w:szCs w:val="15"/>
        </w:rPr>
        <w:t>股东名称</w:t>
      </w:r>
      <w:r>
        <w:rPr>
          <w:rFonts w:ascii="宋体" w:hAnsi="宋体" w:cs="宋体" w:eastAsia="宋体" w:hint="default"/>
          <w:sz w:val="15"/>
          <w:szCs w:val="15"/>
        </w:rPr>
      </w:r>
    </w:p>
    <w:p>
      <w:pPr>
        <w:spacing w:line="240" w:lineRule="auto" w:before="1"/>
        <w:rPr>
          <w:rFonts w:ascii="宋体" w:hAnsi="宋体" w:cs="宋体" w:eastAsia="宋体" w:hint="default"/>
          <w:sz w:val="10"/>
          <w:szCs w:val="10"/>
        </w:rPr>
      </w:pPr>
      <w:r>
        <w:rPr/>
        <w:br w:type="column"/>
      </w:r>
      <w:r>
        <w:rPr>
          <w:rFonts w:ascii="宋体"/>
          <w:sz w:val="10"/>
        </w:rPr>
      </w:r>
    </w:p>
    <w:p>
      <w:pPr>
        <w:tabs>
          <w:tab w:pos="2433" w:val="left" w:leader="none"/>
          <w:tab w:pos="3511" w:val="left" w:leader="none"/>
          <w:tab w:pos="3842" w:val="left" w:leader="none"/>
          <w:tab w:pos="4147" w:val="left" w:leader="none"/>
          <w:tab w:pos="5231" w:val="left" w:leader="none"/>
          <w:tab w:pos="6155" w:val="left" w:leader="none"/>
          <w:tab w:pos="7569" w:val="left" w:leader="none"/>
          <w:tab w:pos="7643" w:val="left" w:leader="none"/>
        </w:tabs>
        <w:spacing w:line="429" w:lineRule="auto" w:before="0"/>
        <w:ind w:left="1072" w:right="492" w:hanging="75"/>
        <w:jc w:val="left"/>
        <w:rPr>
          <w:rFonts w:ascii="宋体" w:hAnsi="宋体" w:cs="宋体" w:eastAsia="宋体" w:hint="default"/>
          <w:sz w:val="15"/>
          <w:szCs w:val="15"/>
        </w:rPr>
      </w:pPr>
      <w:r>
        <w:rPr/>
        <w:pict>
          <v:group style="position:absolute;margin-left:171.119995pt;margin-top:14.879749pt;width:61.35pt;height:.1pt;mso-position-horizontal-relative:page;mso-position-vertical-relative:paragraph;z-index:-628432" coordorigin="3422,298" coordsize="1227,2">
            <v:shape style="position:absolute;left:3422;top:298;width:1227;height:2" coordorigin="3422,298" coordsize="1227,0" path="m3422,298l4649,298e" filled="false" stroked="true" strokeweight=".48pt" strokecolor="#000000">
              <v:path arrowok="t"/>
            </v:shape>
            <w10:wrap type="none"/>
          </v:group>
        </w:pict>
      </w:r>
      <w:r>
        <w:rPr/>
        <w:pict>
          <v:group style="position:absolute;margin-left:246.959991pt;margin-top:14.879749pt;width:238.95pt;height:.1pt;mso-position-horizontal-relative:page;mso-position-vertical-relative:paragraph;z-index:-628408" coordorigin="4939,298" coordsize="4779,2">
            <v:shape style="position:absolute;left:4939;top:298;width:4779;height:2" coordorigin="4939,298" coordsize="4779,0" path="m4939,298l9718,298e" filled="false" stroked="true" strokeweight=".48pt" strokecolor="#000000">
              <v:path arrowok="t"/>
            </v:shape>
            <w10:wrap type="none"/>
          </v:group>
        </w:pict>
      </w:r>
      <w:r>
        <w:rPr/>
        <w:pict>
          <v:group style="position:absolute;margin-left:500.399994pt;margin-top:14.879749pt;width:59.9pt;height:.1pt;mso-position-horizontal-relative:page;mso-position-vertical-relative:paragraph;z-index:-628384" coordorigin="10008,298" coordsize="1198,2">
            <v:shape style="position:absolute;left:10008;top:298;width:1198;height:2" coordorigin="10008,298" coordsize="1198,0" path="m10008,298l11206,298e" filled="false" stroked="true" strokeweight=".48pt" strokecolor="#000000">
              <v:path arrowok="t"/>
            </v:shape>
            <w10:wrap type="none"/>
          </v:group>
        </w:pict>
      </w:r>
      <w:r>
        <w:rPr/>
        <w:pict>
          <v:group style="position:absolute;margin-left:38.639999pt;margin-top:32.399750pt;width:118.45pt;height:.1pt;mso-position-horizontal-relative:page;mso-position-vertical-relative:paragraph;z-index:7456" coordorigin="773,648" coordsize="2369,2">
            <v:shape style="position:absolute;left:773;top:648;width:2369;height:2" coordorigin="773,648" coordsize="2369,0" path="m773,648l3142,648e" filled="false" stroked="true" strokeweight=".48pt" strokecolor="#000000">
              <v:path arrowok="t"/>
            </v:shape>
            <w10:wrap type="none"/>
          </v:group>
        </w:pict>
      </w:r>
      <w:r>
        <w:rPr/>
        <w:pict>
          <v:group style="position:absolute;margin-left:171.119995pt;margin-top:32.399750pt;width:61.35pt;height:.1pt;mso-position-horizontal-relative:page;mso-position-vertical-relative:paragraph;z-index:-628336" coordorigin="3422,648" coordsize="1227,2">
            <v:shape style="position:absolute;left:3422;top:648;width:1227;height:2" coordorigin="3422,648" coordsize="1227,0" path="m3422,648l4649,648e" filled="false" stroked="true" strokeweight=".48pt" strokecolor="#000000">
              <v:path arrowok="t"/>
            </v:shape>
            <w10:wrap type="none"/>
          </v:group>
        </w:pict>
      </w:r>
      <w:r>
        <w:rPr/>
        <w:pict>
          <v:group style="position:absolute;margin-left:246.959991pt;margin-top:32.399750pt;width:238.95pt;height:.1pt;mso-position-horizontal-relative:page;mso-position-vertical-relative:paragraph;z-index:-628312" coordorigin="4939,648" coordsize="4779,2">
            <v:shape style="position:absolute;left:4939;top:648;width:4779;height:2" coordorigin="4939,648" coordsize="4779,0" path="m4939,648l9718,648e" filled="false" stroked="true" strokeweight=".48pt" strokecolor="#000000">
              <v:path arrowok="t"/>
            </v:shape>
            <w10:wrap type="none"/>
          </v:group>
        </w:pict>
      </w:r>
      <w:r>
        <w:rPr/>
        <w:pict>
          <v:group style="position:absolute;margin-left:500.399994pt;margin-top:32.399750pt;width:59.9pt;height:.1pt;mso-position-horizontal-relative:page;mso-position-vertical-relative:paragraph;z-index:-628288" coordorigin="10008,648" coordsize="1198,2">
            <v:shape style="position:absolute;left:10008;top:648;width:1198;height:2" coordorigin="10008,648" coordsize="1198,0" path="m10008,648l11206,648e" filled="false" stroked="true" strokeweight=".48pt" strokecolor="#000000">
              <v:path arrowok="t"/>
            </v:shape>
            <w10:wrap type="none"/>
          </v:group>
        </w:pict>
      </w:r>
      <w:r>
        <w:rPr>
          <w:rFonts w:ascii="宋体" w:hAnsi="宋体" w:cs="宋体" w:eastAsia="宋体" w:hint="default"/>
          <w:w w:val="95"/>
          <w:sz w:val="15"/>
          <w:szCs w:val="15"/>
        </w:rPr>
        <w:t>期初数</w:t>
        <w:tab/>
        <w:tab/>
        <w:tab/>
        <w:t>变动增减（＋、－）</w:t>
        <w:tab/>
        <w:tab/>
        <w:tab/>
      </w:r>
      <w:r>
        <w:rPr>
          <w:rFonts w:ascii="宋体" w:hAnsi="宋体" w:cs="宋体" w:eastAsia="宋体" w:hint="default"/>
          <w:sz w:val="15"/>
          <w:szCs w:val="15"/>
        </w:rPr>
        <w:t>期末数</w:t>
      </w:r>
      <w:r>
        <w:rPr>
          <w:rFonts w:ascii="宋体" w:hAnsi="宋体" w:cs="宋体" w:eastAsia="宋体" w:hint="default"/>
          <w:w w:val="99"/>
          <w:sz w:val="15"/>
          <w:szCs w:val="15"/>
        </w:rPr>
        <w:t> </w:t>
      </w:r>
      <w:r>
        <w:rPr>
          <w:rFonts w:ascii="宋体" w:hAnsi="宋体" w:cs="宋体" w:eastAsia="宋体" w:hint="default"/>
          <w:w w:val="95"/>
          <w:sz w:val="15"/>
          <w:szCs w:val="15"/>
        </w:rPr>
        <w:t>金额</w:t>
        <w:tab/>
        <w:t>发行新股</w:t>
        <w:tab/>
        <w:t>送股</w:t>
        <w:tab/>
        <w:tab/>
        <w:t>公积金转股</w:t>
        <w:tab/>
        <w:t>其他</w:t>
        <w:tab/>
        <w:t>小计</w:t>
        <w:tab/>
        <w:tab/>
      </w:r>
      <w:r>
        <w:rPr>
          <w:rFonts w:ascii="宋体" w:hAnsi="宋体" w:cs="宋体" w:eastAsia="宋体" w:hint="default"/>
          <w:sz w:val="15"/>
          <w:szCs w:val="15"/>
        </w:rPr>
        <w:t>金额</w:t>
      </w:r>
    </w:p>
    <w:p>
      <w:pPr>
        <w:spacing w:after="0" w:line="429" w:lineRule="auto"/>
        <w:jc w:val="left"/>
        <w:rPr>
          <w:rFonts w:ascii="宋体" w:hAnsi="宋体" w:cs="宋体" w:eastAsia="宋体" w:hint="default"/>
          <w:sz w:val="15"/>
          <w:szCs w:val="15"/>
        </w:rPr>
        <w:sectPr>
          <w:type w:val="continuous"/>
          <w:pgSz w:w="11910" w:h="16840"/>
          <w:pgMar w:top="1580" w:bottom="280" w:left="660" w:right="580"/>
          <w:cols w:num="2" w:equalWidth="0">
            <w:col w:w="1596" w:space="556"/>
            <w:col w:w="8518"/>
          </w:cols>
        </w:sectPr>
      </w:pPr>
    </w:p>
    <w:p>
      <w:pPr>
        <w:spacing w:before="35"/>
        <w:ind w:left="223" w:right="0" w:firstLine="0"/>
        <w:jc w:val="left"/>
        <w:rPr>
          <w:rFonts w:ascii="宋体" w:hAnsi="宋体" w:cs="宋体" w:eastAsia="宋体" w:hint="default"/>
          <w:sz w:val="15"/>
          <w:szCs w:val="15"/>
        </w:rPr>
      </w:pPr>
      <w:r>
        <w:rPr/>
        <w:pict>
          <v:group style="position:absolute;margin-left:56.639999pt;margin-top:75.120026pt;width:63.15pt;height:12.4pt;mso-position-horizontal-relative:page;mso-position-vertical-relative:page;z-index:-628456"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r>
        <w:rPr>
          <w:rFonts w:ascii="宋体" w:hAnsi="宋体" w:cs="宋体" w:eastAsia="宋体" w:hint="default"/>
          <w:sz w:val="15"/>
          <w:szCs w:val="15"/>
        </w:rPr>
        <w:t>一、有限售条件股份：</w:t>
      </w:r>
    </w:p>
    <w:p>
      <w:pPr>
        <w:spacing w:line="240" w:lineRule="auto" w:before="11"/>
        <w:rPr>
          <w:rFonts w:ascii="宋体" w:hAnsi="宋体" w:cs="宋体" w:eastAsia="宋体" w:hint="default"/>
          <w:sz w:val="10"/>
          <w:szCs w:val="10"/>
        </w:rPr>
      </w:pPr>
    </w:p>
    <w:p>
      <w:pPr>
        <w:spacing w:before="0"/>
        <w:ind w:left="22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p>
      <w:pPr>
        <w:spacing w:before="133"/>
        <w:ind w:left="22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p>
      <w:pPr>
        <w:tabs>
          <w:tab w:pos="3098" w:val="left" w:leader="none"/>
          <w:tab w:pos="9655" w:val="left" w:leader="none"/>
        </w:tabs>
        <w:spacing w:before="133"/>
        <w:ind w:left="223"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w w:val="95"/>
          <w:sz w:val="15"/>
          <w:szCs w:val="15"/>
        </w:rPr>
        <w:t>3</w:t>
      </w:r>
      <w:r>
        <w:rPr>
          <w:rFonts w:ascii="宋体" w:hAnsi="宋体" w:cs="宋体" w:eastAsia="宋体" w:hint="default"/>
          <w:w w:val="95"/>
          <w:sz w:val="15"/>
          <w:szCs w:val="15"/>
        </w:rPr>
        <w:t>、其他内资持股</w:t>
        <w:tab/>
      </w:r>
      <w:r>
        <w:rPr>
          <w:rFonts w:ascii="Times New Roman" w:hAnsi="Times New Roman" w:cs="Times New Roman" w:eastAsia="Times New Roman" w:hint="default"/>
          <w:spacing w:val="-1"/>
          <w:w w:val="90"/>
          <w:sz w:val="15"/>
          <w:szCs w:val="15"/>
        </w:rPr>
        <w:t>40,000,000.00</w:t>
        <w:tab/>
      </w:r>
      <w:r>
        <w:rPr>
          <w:rFonts w:ascii="Times New Roman" w:hAnsi="Times New Roman" w:cs="Times New Roman" w:eastAsia="Times New Roman" w:hint="default"/>
          <w:sz w:val="15"/>
          <w:szCs w:val="15"/>
        </w:rPr>
        <w:t>40,000,000.00</w:t>
      </w:r>
    </w:p>
    <w:p>
      <w:pPr>
        <w:spacing w:before="130"/>
        <w:ind w:left="223" w:right="0" w:firstLine="0"/>
        <w:jc w:val="left"/>
        <w:rPr>
          <w:rFonts w:ascii="宋体" w:hAnsi="宋体" w:cs="宋体" w:eastAsia="宋体" w:hint="default"/>
          <w:sz w:val="15"/>
          <w:szCs w:val="15"/>
        </w:rPr>
      </w:pPr>
      <w:r>
        <w:rPr>
          <w:rFonts w:ascii="宋体" w:hAnsi="宋体" w:cs="宋体" w:eastAsia="宋体" w:hint="default"/>
          <w:sz w:val="15"/>
          <w:szCs w:val="15"/>
        </w:rPr>
        <w:t>其中：境内法人持股</w:t>
      </w:r>
    </w:p>
    <w:p>
      <w:pPr>
        <w:spacing w:line="240" w:lineRule="auto" w:before="1"/>
        <w:rPr>
          <w:rFonts w:ascii="宋体" w:hAnsi="宋体" w:cs="宋体" w:eastAsia="宋体" w:hint="default"/>
          <w:sz w:val="11"/>
          <w:szCs w:val="11"/>
        </w:rPr>
      </w:pPr>
    </w:p>
    <w:p>
      <w:pPr>
        <w:tabs>
          <w:tab w:pos="3098" w:val="left" w:leader="none"/>
          <w:tab w:pos="9655" w:val="left" w:leader="none"/>
        </w:tabs>
        <w:spacing w:before="0"/>
        <w:ind w:left="671" w:right="0" w:firstLine="0"/>
        <w:jc w:val="left"/>
        <w:rPr>
          <w:rFonts w:ascii="Times New Roman" w:hAnsi="Times New Roman" w:cs="Times New Roman" w:eastAsia="Times New Roman" w:hint="default"/>
          <w:sz w:val="15"/>
          <w:szCs w:val="15"/>
        </w:rPr>
      </w:pPr>
      <w:r>
        <w:rPr>
          <w:rFonts w:ascii="宋体" w:hAnsi="宋体" w:cs="宋体" w:eastAsia="宋体" w:hint="default"/>
          <w:w w:val="95"/>
          <w:sz w:val="15"/>
          <w:szCs w:val="15"/>
        </w:rPr>
        <w:t>境内自然人持股</w:t>
        <w:tab/>
      </w:r>
      <w:r>
        <w:rPr>
          <w:rFonts w:ascii="Times New Roman" w:hAnsi="Times New Roman" w:cs="Times New Roman" w:eastAsia="Times New Roman" w:hint="default"/>
          <w:spacing w:val="-1"/>
          <w:w w:val="90"/>
          <w:sz w:val="15"/>
          <w:szCs w:val="15"/>
        </w:rPr>
        <w:t>40,000,000.00</w:t>
        <w:tab/>
      </w:r>
      <w:r>
        <w:rPr>
          <w:rFonts w:ascii="Times New Roman" w:hAnsi="Times New Roman" w:cs="Times New Roman" w:eastAsia="Times New Roman" w:hint="default"/>
          <w:sz w:val="15"/>
          <w:szCs w:val="15"/>
        </w:rPr>
        <w:t>40,000,000.00</w:t>
      </w:r>
    </w:p>
    <w:p>
      <w:pPr>
        <w:spacing w:line="391" w:lineRule="auto" w:before="133"/>
        <w:ind w:left="223" w:right="9073"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r>
        <w:rPr>
          <w:rFonts w:ascii="宋体" w:hAnsi="宋体" w:cs="宋体" w:eastAsia="宋体" w:hint="default"/>
          <w:w w:val="99"/>
          <w:sz w:val="15"/>
          <w:szCs w:val="15"/>
        </w:rPr>
        <w:t> </w:t>
      </w:r>
      <w:r>
        <w:rPr>
          <w:rFonts w:ascii="宋体" w:hAnsi="宋体" w:cs="宋体" w:eastAsia="宋体" w:hint="default"/>
          <w:sz w:val="15"/>
          <w:szCs w:val="15"/>
        </w:rPr>
        <w:t>其中：境外法人持股</w:t>
      </w:r>
    </w:p>
    <w:p>
      <w:pPr>
        <w:spacing w:before="50"/>
        <w:ind w:left="671" w:right="0" w:firstLine="0"/>
        <w:jc w:val="left"/>
        <w:rPr>
          <w:rFonts w:ascii="宋体" w:hAnsi="宋体" w:cs="宋体" w:eastAsia="宋体" w:hint="default"/>
          <w:sz w:val="15"/>
          <w:szCs w:val="15"/>
        </w:rPr>
      </w:pPr>
      <w:r>
        <w:rPr>
          <w:rFonts w:ascii="宋体" w:hAnsi="宋体" w:cs="宋体" w:eastAsia="宋体" w:hint="default"/>
          <w:sz w:val="15"/>
          <w:szCs w:val="15"/>
        </w:rPr>
        <w:t>境外自然人持股</w:t>
      </w:r>
    </w:p>
    <w:p>
      <w:pPr>
        <w:spacing w:line="240" w:lineRule="auto" w:before="0"/>
        <w:rPr>
          <w:rFonts w:ascii="宋体" w:hAnsi="宋体" w:cs="宋体" w:eastAsia="宋体" w:hint="default"/>
          <w:sz w:val="7"/>
          <w:szCs w:val="7"/>
        </w:rPr>
      </w:pPr>
    </w:p>
    <w:tbl>
      <w:tblPr>
        <w:tblW w:w="0" w:type="auto"/>
        <w:jc w:val="left"/>
        <w:tblInd w:w="188" w:type="dxa"/>
        <w:tblLayout w:type="fixed"/>
        <w:tblCellMar>
          <w:top w:w="0" w:type="dxa"/>
          <w:left w:w="0" w:type="dxa"/>
          <w:bottom w:w="0" w:type="dxa"/>
          <w:right w:w="0" w:type="dxa"/>
        </w:tblCellMar>
        <w:tblLook w:val="01E0"/>
      </w:tblPr>
      <w:tblGrid>
        <w:gridCol w:w="2574"/>
        <w:gridCol w:w="1226"/>
        <w:gridCol w:w="290"/>
        <w:gridCol w:w="2501"/>
        <w:gridCol w:w="2278"/>
        <w:gridCol w:w="290"/>
        <w:gridCol w:w="1198"/>
      </w:tblGrid>
      <w:tr>
        <w:trPr>
          <w:trHeight w:val="683"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412" w:lineRule="auto" w:before="52"/>
              <w:ind w:left="35" w:right="739"/>
              <w:jc w:val="left"/>
              <w:rPr>
                <w:rFonts w:ascii="宋体" w:hAnsi="宋体" w:cs="宋体" w:eastAsia="宋体" w:hint="default"/>
                <w:sz w:val="15"/>
                <w:szCs w:val="15"/>
              </w:rPr>
            </w:pPr>
            <w:r>
              <w:rPr>
                <w:rFonts w:ascii="宋体" w:hAnsi="宋体" w:cs="宋体" w:eastAsia="宋体" w:hint="default"/>
                <w:sz w:val="15"/>
                <w:szCs w:val="15"/>
              </w:rPr>
              <w:t>有限售条件股份合计</w:t>
            </w:r>
            <w:r>
              <w:rPr>
                <w:rFonts w:ascii="宋体" w:hAnsi="宋体" w:cs="宋体" w:eastAsia="宋体" w:hint="default"/>
                <w:w w:val="99"/>
                <w:sz w:val="15"/>
                <w:szCs w:val="15"/>
              </w:rPr>
              <w:t> </w:t>
            </w:r>
            <w:r>
              <w:rPr>
                <w:rFonts w:ascii="宋体" w:hAnsi="宋体" w:cs="宋体" w:eastAsia="宋体" w:hint="default"/>
                <w:w w:val="95"/>
                <w:sz w:val="15"/>
                <w:szCs w:val="15"/>
              </w:rPr>
              <w:t>二、无限售条件流通股份：</w:t>
            </w:r>
            <w:r>
              <w:rPr>
                <w:rFonts w:ascii="宋体" w:hAnsi="宋体" w:cs="宋体" w:eastAsia="宋体" w:hint="default"/>
                <w:sz w:val="15"/>
                <w:szCs w:val="15"/>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5"/>
                <w:szCs w:val="15"/>
              </w:rPr>
            </w:pPr>
            <w:r>
              <w:rPr>
                <w:rFonts w:ascii="Times New Roman"/>
                <w:spacing w:val="-1"/>
                <w:w w:val="90"/>
                <w:sz w:val="15"/>
              </w:rPr>
              <w:t>40,000,000.00</w:t>
            </w:r>
            <w:r>
              <w:rPr>
                <w:rFonts w:ascii="Times New Roman"/>
                <w:spacing w:val="-1"/>
                <w:sz w:val="15"/>
              </w:rPr>
            </w:r>
          </w:p>
        </w:tc>
        <w:tc>
          <w:tcPr>
            <w:tcW w:w="29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3"/>
              <w:jc w:val="right"/>
              <w:rPr>
                <w:rFonts w:ascii="Times New Roman" w:hAnsi="Times New Roman" w:cs="Times New Roman" w:eastAsia="Times New Roman" w:hint="default"/>
                <w:sz w:val="15"/>
                <w:szCs w:val="15"/>
              </w:rPr>
            </w:pPr>
            <w:r>
              <w:rPr>
                <w:rFonts w:ascii="Times New Roman"/>
                <w:w w:val="90"/>
                <w:sz w:val="15"/>
              </w:rPr>
              <w:t>40,000,000.00</w:t>
            </w:r>
            <w:r>
              <w:rPr>
                <w:rFonts w:ascii="Times New Roman"/>
                <w:sz w:val="15"/>
              </w:rPr>
            </w:r>
          </w:p>
        </w:tc>
      </w:tr>
      <w:tr>
        <w:trPr>
          <w:trHeight w:val="1705"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p>
            <w:pPr>
              <w:pStyle w:val="TableParagraph"/>
              <w:spacing w:line="240" w:lineRule="auto" w:before="13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、境内上市的外资股</w:t>
            </w:r>
          </w:p>
          <w:p>
            <w:pPr>
              <w:pStyle w:val="TableParagraph"/>
              <w:spacing w:line="240" w:lineRule="auto" w:before="13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、境外上市的外资股</w:t>
            </w:r>
          </w:p>
          <w:p>
            <w:pPr>
              <w:pStyle w:val="TableParagraph"/>
              <w:spacing w:line="393" w:lineRule="auto" w:before="133"/>
              <w:ind w:left="35" w:right="888"/>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r>
              <w:rPr>
                <w:rFonts w:ascii="宋体" w:hAnsi="宋体" w:cs="宋体" w:eastAsia="宋体" w:hint="default"/>
                <w:w w:val="99"/>
                <w:sz w:val="15"/>
                <w:szCs w:val="15"/>
              </w:rPr>
              <w:t> </w:t>
            </w:r>
            <w:r>
              <w:rPr>
                <w:rFonts w:ascii="宋体" w:hAnsi="宋体" w:cs="宋体" w:eastAsia="宋体" w:hint="default"/>
                <w:w w:val="95"/>
                <w:sz w:val="15"/>
                <w:szCs w:val="15"/>
              </w:rPr>
              <w:t>无限售条件流通股份合计</w:t>
            </w:r>
            <w:r>
              <w:rPr>
                <w:rFonts w:ascii="宋体" w:hAnsi="宋体" w:cs="宋体" w:eastAsia="宋体" w:hint="default"/>
                <w:sz w:val="15"/>
                <w:szCs w:val="15"/>
              </w:rPr>
            </w:r>
          </w:p>
        </w:tc>
        <w:tc>
          <w:tcPr>
            <w:tcW w:w="1226" w:type="dxa"/>
            <w:tcBorders>
              <w:top w:val="nil" w:sz="6" w:space="0" w:color="auto"/>
              <w:left w:val="nil" w:sz="6" w:space="0" w:color="auto"/>
              <w:bottom w:val="single" w:sz="4" w:space="0" w:color="000000"/>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24" w:right="0"/>
              <w:jc w:val="left"/>
              <w:rPr>
                <w:rFonts w:ascii="Times New Roman" w:hAnsi="Times New Roman" w:cs="Times New Roman" w:eastAsia="Times New Roman" w:hint="default"/>
                <w:sz w:val="15"/>
                <w:szCs w:val="15"/>
              </w:rPr>
            </w:pPr>
            <w:r>
              <w:rPr>
                <w:rFonts w:ascii="Times New Roman"/>
                <w:sz w:val="15"/>
              </w:rPr>
              <w:t>13,500,000.00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24" w:right="0"/>
              <w:jc w:val="left"/>
              <w:rPr>
                <w:rFonts w:ascii="Times New Roman" w:hAnsi="Times New Roman" w:cs="Times New Roman" w:eastAsia="Times New Roman" w:hint="default"/>
                <w:sz w:val="15"/>
                <w:szCs w:val="15"/>
              </w:rPr>
            </w:pPr>
            <w:r>
              <w:rPr>
                <w:rFonts w:ascii="Times New Roman"/>
                <w:sz w:val="15"/>
              </w:rPr>
              <w:t>13,500,000.00</w:t>
            </w:r>
          </w:p>
        </w:tc>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387" w:right="0"/>
              <w:jc w:val="left"/>
              <w:rPr>
                <w:rFonts w:ascii="Times New Roman" w:hAnsi="Times New Roman" w:cs="Times New Roman" w:eastAsia="Times New Roman" w:hint="default"/>
                <w:sz w:val="15"/>
                <w:szCs w:val="15"/>
              </w:rPr>
            </w:pPr>
            <w:r>
              <w:rPr>
                <w:rFonts w:ascii="Times New Roman"/>
                <w:spacing w:val="-3"/>
                <w:sz w:val="15"/>
              </w:rPr>
              <w:t>13,500,000.00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87" w:right="0"/>
              <w:jc w:val="left"/>
              <w:rPr>
                <w:rFonts w:ascii="Times New Roman" w:hAnsi="Times New Roman" w:cs="Times New Roman" w:eastAsia="Times New Roman" w:hint="default"/>
                <w:sz w:val="15"/>
                <w:szCs w:val="15"/>
              </w:rPr>
            </w:pPr>
            <w:r>
              <w:rPr>
                <w:rFonts w:ascii="Times New Roman"/>
                <w:spacing w:val="-3"/>
                <w:sz w:val="15"/>
              </w:rPr>
              <w:t>13,500,000.00</w:t>
            </w:r>
          </w:p>
        </w:tc>
        <w:tc>
          <w:tcPr>
            <w:tcW w:w="29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07" w:right="0"/>
              <w:jc w:val="left"/>
              <w:rPr>
                <w:rFonts w:ascii="Times New Roman" w:hAnsi="Times New Roman" w:cs="Times New Roman" w:eastAsia="Times New Roman" w:hint="default"/>
                <w:sz w:val="15"/>
                <w:szCs w:val="15"/>
              </w:rPr>
            </w:pPr>
            <w:r>
              <w:rPr>
                <w:rFonts w:ascii="Times New Roman"/>
                <w:w w:val="95"/>
                <w:sz w:val="15"/>
              </w:rPr>
              <w:t>13,500,000.00</w:t>
            </w:r>
            <w:r>
              <w:rPr>
                <w:rFonts w:ascii="Times New Roman"/>
                <w:sz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w w:val="95"/>
                <w:sz w:val="15"/>
              </w:rPr>
              <w:t>13,500,000.00</w:t>
            </w:r>
            <w:r>
              <w:rPr>
                <w:rFonts w:ascii="Times New Roman"/>
                <w:sz w:val="15"/>
              </w:rPr>
            </w:r>
          </w:p>
        </w:tc>
      </w:tr>
      <w:tr>
        <w:trPr>
          <w:trHeight w:val="367"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226" w:type="dxa"/>
            <w:tcBorders>
              <w:top w:val="single" w:sz="4" w:space="0" w:color="000000"/>
              <w:left w:val="nil" w:sz="6" w:space="0" w:color="auto"/>
              <w:bottom w:val="single" w:sz="6" w:space="0" w:color="000000"/>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15"/>
                <w:szCs w:val="15"/>
              </w:rPr>
            </w:pPr>
            <w:r>
              <w:rPr>
                <w:rFonts w:ascii="Times New Roman"/>
                <w:spacing w:val="-1"/>
                <w:w w:val="90"/>
                <w:sz w:val="15"/>
              </w:rPr>
              <w:t>40,000,000.00</w:t>
            </w:r>
            <w:r>
              <w:rPr>
                <w:rFonts w:ascii="Times New Roman"/>
                <w:spacing w:val="-1"/>
                <w:sz w:val="15"/>
              </w:rPr>
            </w:r>
          </w:p>
        </w:tc>
        <w:tc>
          <w:tcPr>
            <w:tcW w:w="290"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single" w:sz="4" w:space="0" w:color="000000"/>
              <w:right w:val="nil" w:sz="6" w:space="0" w:color="auto"/>
            </w:tcBorders>
          </w:tcPr>
          <w:p>
            <w:pPr>
              <w:pStyle w:val="TableParagraph"/>
              <w:spacing w:line="240" w:lineRule="auto" w:before="83"/>
              <w:ind w:left="324" w:right="0"/>
              <w:jc w:val="left"/>
              <w:rPr>
                <w:rFonts w:ascii="Times New Roman" w:hAnsi="Times New Roman" w:cs="Times New Roman" w:eastAsia="Times New Roman" w:hint="default"/>
                <w:sz w:val="15"/>
                <w:szCs w:val="15"/>
              </w:rPr>
            </w:pPr>
            <w:r>
              <w:rPr>
                <w:rFonts w:ascii="Times New Roman"/>
                <w:sz w:val="15"/>
              </w:rPr>
              <w:t>13,500,000.00</w:t>
            </w:r>
          </w:p>
        </w:tc>
        <w:tc>
          <w:tcPr>
            <w:tcW w:w="2278" w:type="dxa"/>
            <w:tcBorders>
              <w:top w:val="single" w:sz="4" w:space="0" w:color="000000"/>
              <w:left w:val="nil" w:sz="6" w:space="0" w:color="auto"/>
              <w:bottom w:val="single" w:sz="4" w:space="0" w:color="000000"/>
              <w:right w:val="nil" w:sz="6" w:space="0" w:color="auto"/>
            </w:tcBorders>
          </w:tcPr>
          <w:p>
            <w:pPr>
              <w:pStyle w:val="TableParagraph"/>
              <w:spacing w:line="240" w:lineRule="auto" w:before="83"/>
              <w:ind w:left="1387" w:right="0"/>
              <w:jc w:val="left"/>
              <w:rPr>
                <w:rFonts w:ascii="Times New Roman" w:hAnsi="Times New Roman" w:cs="Times New Roman" w:eastAsia="Times New Roman" w:hint="default"/>
                <w:sz w:val="15"/>
                <w:szCs w:val="15"/>
              </w:rPr>
            </w:pPr>
            <w:r>
              <w:rPr>
                <w:rFonts w:ascii="Times New Roman"/>
                <w:spacing w:val="-3"/>
                <w:sz w:val="15"/>
              </w:rPr>
              <w:t>13,500,000.00</w:t>
            </w:r>
          </w:p>
        </w:tc>
        <w:tc>
          <w:tcPr>
            <w:tcW w:w="290"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single" w:sz="17" w:space="0" w:color="000000"/>
              <w:right w:val="nil" w:sz="6" w:space="0" w:color="auto"/>
            </w:tcBorders>
          </w:tcPr>
          <w:p>
            <w:pPr>
              <w:pStyle w:val="TableParagraph"/>
              <w:spacing w:line="240" w:lineRule="auto" w:before="83"/>
              <w:ind w:right="100"/>
              <w:jc w:val="right"/>
              <w:rPr>
                <w:rFonts w:ascii="Times New Roman" w:hAnsi="Times New Roman" w:cs="Times New Roman" w:eastAsia="Times New Roman" w:hint="default"/>
                <w:sz w:val="15"/>
                <w:szCs w:val="15"/>
              </w:rPr>
            </w:pPr>
            <w:r>
              <w:rPr>
                <w:rFonts w:ascii="Times New Roman"/>
                <w:spacing w:val="-2"/>
                <w:w w:val="90"/>
                <w:sz w:val="15"/>
              </w:rPr>
              <w:t>53,500,000.00</w:t>
            </w:r>
            <w:r>
              <w:rPr>
                <w:rFonts w:ascii="Times New Roman"/>
                <w:spacing w:val="-2"/>
                <w:sz w:val="15"/>
              </w:rPr>
            </w:r>
          </w:p>
        </w:tc>
      </w:tr>
    </w:tbl>
    <w:p>
      <w:pPr>
        <w:spacing w:line="376" w:lineRule="auto" w:before="29"/>
        <w:ind w:left="472" w:right="543" w:firstLine="362"/>
        <w:jc w:val="left"/>
        <w:rPr>
          <w:rFonts w:ascii="宋体" w:hAnsi="宋体" w:cs="宋体" w:eastAsia="宋体" w:hint="default"/>
          <w:sz w:val="18"/>
          <w:szCs w:val="18"/>
        </w:rPr>
      </w:pPr>
      <w:r>
        <w:rPr/>
        <w:pict>
          <v:group style="position:absolute;margin-left:246.959991pt;margin-top:-2.078302pt;width:238.95pt;height:.1pt;mso-position-horizontal-relative:page;mso-position-vertical-relative:paragraph;z-index:-628264" coordorigin="4939,-42" coordsize="4779,2">
            <v:shape style="position:absolute;left:4939;top:-42;width:4779;height:2" coordorigin="4939,-42" coordsize="4779,0" path="m4939,-42l9718,-42e" filled="false" stroked="true" strokeweight=".48pt" strokecolor="#000000">
              <v:path arrowok="t"/>
            </v:shape>
            <w10:wrap type="none"/>
          </v:group>
        </w:pict>
      </w:r>
      <w:r>
        <w:rPr/>
        <w:pict>
          <v:group style="position:absolute;margin-left:171.119995pt;margin-top:-1.478302pt;width:61.35pt;height:.1pt;mso-position-horizontal-relative:page;mso-position-vertical-relative:paragraph;z-index:-628240" coordorigin="3422,-30" coordsize="1227,2">
            <v:shape style="position:absolute;left:3422;top:-30;width:1227;height:2" coordorigin="3422,-30" coordsize="1227,0" path="m3422,-30l4649,-30e" filled="false" stroked="true" strokeweight=".72pt" strokecolor="#000000">
              <v:path arrowok="t"/>
            </v:shape>
            <w10:wrap type="none"/>
          </v:group>
        </w:pict>
      </w:r>
      <w:r>
        <w:rPr>
          <w:rFonts w:ascii="宋体" w:hAnsi="宋体" w:cs="宋体" w:eastAsia="宋体" w:hint="default"/>
          <w:spacing w:val="-2"/>
          <w:sz w:val="18"/>
          <w:szCs w:val="18"/>
        </w:rPr>
        <w:t>注：经中国证券监督管理委员会证监许可</w:t>
      </w:r>
      <w:r>
        <w:rPr>
          <w:rFonts w:ascii="Times New Roman" w:hAnsi="Times New Roman" w:cs="Times New Roman" w:eastAsia="Times New Roman" w:hint="default"/>
          <w:spacing w:val="-2"/>
          <w:sz w:val="18"/>
          <w:szCs w:val="18"/>
        </w:rPr>
        <w:t>[2011]1129</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号《关于核准上海金仕达卫宁软件股份有限公司首次公开发行股票</w:t>
      </w:r>
      <w:r>
        <w:rPr>
          <w:rFonts w:ascii="宋体" w:hAnsi="宋体" w:cs="宋体" w:eastAsia="宋体" w:hint="default"/>
          <w:sz w:val="18"/>
          <w:szCs w:val="18"/>
        </w:rPr>
        <w:t> </w:t>
      </w:r>
      <w:r>
        <w:rPr>
          <w:rFonts w:ascii="宋体" w:hAnsi="宋体" w:cs="宋体" w:eastAsia="宋体" w:hint="default"/>
          <w:spacing w:val="-6"/>
          <w:sz w:val="18"/>
          <w:szCs w:val="18"/>
        </w:rPr>
        <w:t>并在创业板上市的批复》，</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月本公司发行社会公众股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元，发行后总股本为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5,350 </w:t>
      </w:r>
      <w:r>
        <w:rPr>
          <w:rFonts w:ascii="宋体" w:hAnsi="宋体" w:cs="宋体" w:eastAsia="宋体" w:hint="default"/>
          <w:spacing w:val="-8"/>
          <w:sz w:val="18"/>
          <w:szCs w:val="18"/>
        </w:rPr>
        <w:t>万元。上</w:t>
      </w:r>
    </w:p>
    <w:p>
      <w:pPr>
        <w:spacing w:before="26"/>
        <w:ind w:left="472" w:right="0" w:firstLine="0"/>
        <w:jc w:val="left"/>
        <w:rPr>
          <w:rFonts w:ascii="宋体" w:hAnsi="宋体" w:cs="宋体" w:eastAsia="宋体" w:hint="default"/>
          <w:sz w:val="18"/>
          <w:szCs w:val="18"/>
        </w:rPr>
      </w:pPr>
      <w:r>
        <w:rPr>
          <w:rFonts w:ascii="宋体" w:hAnsi="宋体" w:cs="宋体" w:eastAsia="宋体" w:hint="default"/>
          <w:sz w:val="18"/>
          <w:szCs w:val="18"/>
        </w:rPr>
        <w:t>述股本已经中磊会计师事务所有限责任公司中磊验字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号验资报告验证。</w:t>
      </w:r>
    </w:p>
    <w:p>
      <w:pPr>
        <w:spacing w:line="240" w:lineRule="auto" w:before="5"/>
        <w:rPr>
          <w:rFonts w:ascii="宋体" w:hAnsi="宋体" w:cs="宋体" w:eastAsia="宋体" w:hint="default"/>
          <w:sz w:val="29"/>
          <w:szCs w:val="29"/>
        </w:rPr>
      </w:pPr>
    </w:p>
    <w:tbl>
      <w:tblPr>
        <w:tblW w:w="0" w:type="auto"/>
        <w:jc w:val="left"/>
        <w:tblInd w:w="472" w:type="dxa"/>
        <w:tblLayout w:type="fixed"/>
        <w:tblCellMar>
          <w:top w:w="0" w:type="dxa"/>
          <w:left w:w="0" w:type="dxa"/>
          <w:bottom w:w="0" w:type="dxa"/>
          <w:right w:w="0" w:type="dxa"/>
        </w:tblCellMar>
        <w:tblLook w:val="01E0"/>
      </w:tblPr>
      <w:tblGrid>
        <w:gridCol w:w="1778"/>
        <w:gridCol w:w="1394"/>
        <w:gridCol w:w="286"/>
        <w:gridCol w:w="1339"/>
        <w:gridCol w:w="286"/>
        <w:gridCol w:w="1217"/>
        <w:gridCol w:w="286"/>
        <w:gridCol w:w="1392"/>
      </w:tblGrid>
      <w:tr>
        <w:trPr>
          <w:trHeight w:val="764" w:hRule="exact"/>
        </w:trPr>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、资本公积</w:t>
            </w:r>
          </w:p>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8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86"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8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30" w:hRule="exact"/>
        </w:trPr>
        <w:tc>
          <w:tcPr>
            <w:tcW w:w="1778" w:type="dxa"/>
            <w:tcBorders>
              <w:top w:val="single" w:sz="4" w:space="0" w:color="000000"/>
              <w:left w:val="nil" w:sz="6" w:space="0" w:color="auto"/>
              <w:bottom w:val="nil" w:sz="6" w:space="0" w:color="auto"/>
              <w:right w:val="nil" w:sz="6" w:space="0" w:color="auto"/>
            </w:tcBorders>
          </w:tcPr>
          <w:p>
            <w:pPr>
              <w:pStyle w:val="TableParagraph"/>
              <w:spacing w:line="367" w:lineRule="auto" w:before="58"/>
              <w:ind w:left="110" w:right="587"/>
              <w:jc w:val="left"/>
              <w:rPr>
                <w:rFonts w:ascii="宋体" w:hAnsi="宋体" w:cs="宋体" w:eastAsia="宋体" w:hint="default"/>
                <w:sz w:val="18"/>
                <w:szCs w:val="18"/>
              </w:rPr>
            </w:pPr>
            <w:r>
              <w:rPr>
                <w:rFonts w:ascii="宋体" w:hAnsi="宋体" w:cs="宋体" w:eastAsia="宋体" w:hint="default"/>
                <w:sz w:val="18"/>
                <w:szCs w:val="18"/>
              </w:rPr>
              <w:t>股本溢价 其他资本公积</w:t>
            </w:r>
          </w:p>
        </w:tc>
        <w:tc>
          <w:tcPr>
            <w:tcW w:w="139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12,912,479.56</w:t>
            </w:r>
          </w:p>
        </w:tc>
        <w:tc>
          <w:tcPr>
            <w:tcW w:w="28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325,479,830.08</w:t>
            </w:r>
          </w:p>
        </w:tc>
        <w:tc>
          <w:tcPr>
            <w:tcW w:w="286"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56" w:right="0"/>
              <w:jc w:val="center"/>
              <w:rPr>
                <w:rFonts w:ascii="Times New Roman" w:hAnsi="Times New Roman" w:cs="Times New Roman" w:eastAsia="Times New Roman" w:hint="default"/>
                <w:sz w:val="18"/>
                <w:szCs w:val="18"/>
              </w:rPr>
            </w:pPr>
            <w:r>
              <w:rPr>
                <w:rFonts w:ascii="Times New Roman"/>
                <w:sz w:val="18"/>
              </w:rPr>
              <w:t>338,392,309.64</w:t>
            </w:r>
          </w:p>
        </w:tc>
      </w:tr>
      <w:tr>
        <w:trPr>
          <w:trHeight w:val="379"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8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12,912,479.56</w:t>
            </w:r>
          </w:p>
        </w:tc>
        <w:tc>
          <w:tcPr>
            <w:tcW w:w="28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325,479,830.08</w:t>
            </w:r>
          </w:p>
        </w:tc>
        <w:tc>
          <w:tcPr>
            <w:tcW w:w="286"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12"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56" w:right="0"/>
              <w:jc w:val="center"/>
              <w:rPr>
                <w:rFonts w:ascii="Times New Roman" w:hAnsi="Times New Roman" w:cs="Times New Roman" w:eastAsia="Times New Roman" w:hint="default"/>
                <w:sz w:val="18"/>
                <w:szCs w:val="18"/>
              </w:rPr>
            </w:pPr>
            <w:r>
              <w:rPr>
                <w:rFonts w:ascii="Times New Roman"/>
                <w:sz w:val="18"/>
              </w:rPr>
              <w:t>338,392,309.64</w:t>
            </w:r>
          </w:p>
        </w:tc>
      </w:tr>
    </w:tbl>
    <w:p>
      <w:pPr>
        <w:spacing w:before="37"/>
        <w:ind w:left="924" w:right="0" w:firstLine="0"/>
        <w:jc w:val="left"/>
        <w:rPr>
          <w:rFonts w:ascii="宋体" w:hAnsi="宋体" w:cs="宋体" w:eastAsia="宋体" w:hint="default"/>
          <w:sz w:val="18"/>
          <w:szCs w:val="18"/>
        </w:rPr>
      </w:pPr>
      <w:r>
        <w:rPr>
          <w:rFonts w:ascii="宋体" w:hAnsi="宋体" w:cs="宋体" w:eastAsia="宋体" w:hint="default"/>
          <w:sz w:val="18"/>
          <w:szCs w:val="18"/>
        </w:rPr>
        <w:t>注：本期资本公积变动为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年发行新股时股本溢价。</w:t>
      </w:r>
    </w:p>
    <w:p>
      <w:pPr>
        <w:spacing w:after="0"/>
        <w:jc w:val="left"/>
        <w:rPr>
          <w:rFonts w:ascii="宋体" w:hAnsi="宋体" w:cs="宋体" w:eastAsia="宋体" w:hint="default"/>
          <w:sz w:val="18"/>
          <w:szCs w:val="18"/>
        </w:rPr>
        <w:sectPr>
          <w:type w:val="continuous"/>
          <w:pgSz w:w="11910" w:h="16840"/>
          <w:pgMar w:top="1580" w:bottom="280" w:left="660" w:right="580"/>
        </w:sectPr>
      </w:pPr>
    </w:p>
    <w:p>
      <w:pPr>
        <w:spacing w:line="240" w:lineRule="auto" w:before="0"/>
        <w:rPr>
          <w:rFonts w:ascii="宋体" w:hAnsi="宋体" w:cs="宋体" w:eastAsia="宋体" w:hint="default"/>
          <w:sz w:val="2"/>
          <w:szCs w:val="2"/>
        </w:rPr>
      </w:pPr>
    </w:p>
    <w:p>
      <w:pPr>
        <w:spacing w:line="247" w:lineRule="exact"/>
        <w:ind w:left="105"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宋体" w:hAnsi="宋体" w:cs="宋体" w:eastAsia="宋体" w:hint="default"/>
          <w:position w:val="-4"/>
          <w:sz w:val="20"/>
          <w:szCs w:val="20"/>
        </w:rPr>
      </w:r>
    </w:p>
    <w:p>
      <w:pPr>
        <w:pStyle w:val="BodyText"/>
        <w:spacing w:line="240" w:lineRule="auto" w:before="46"/>
        <w:ind w:left="535" w:right="0"/>
        <w:jc w:val="left"/>
      </w:pPr>
      <w:r>
        <w:rPr>
          <w:rFonts w:ascii="Times New Roman" w:hAnsi="Times New Roman" w:cs="Times New Roman" w:eastAsia="Times New Roman" w:hint="default"/>
        </w:rPr>
        <w:t>23</w:t>
      </w:r>
      <w:r>
        <w:rPr/>
        <w:t>、盈余公积</w:t>
      </w:r>
    </w:p>
    <w:p>
      <w:pPr>
        <w:tabs>
          <w:tab w:pos="2246" w:val="left" w:leader="none"/>
          <w:tab w:pos="2447" w:val="left" w:leader="none"/>
          <w:tab w:pos="3868" w:val="left" w:leader="none"/>
          <w:tab w:pos="5560" w:val="left" w:leader="none"/>
          <w:tab w:pos="6998" w:val="left" w:leader="none"/>
          <w:tab w:pos="7245" w:val="left" w:leader="none"/>
        </w:tabs>
        <w:spacing w:line="381" w:lineRule="auto" w:before="121"/>
        <w:ind w:left="223" w:right="1830" w:firstLine="432"/>
        <w:jc w:val="left"/>
        <w:rPr>
          <w:rFonts w:ascii="Times New Roman" w:hAnsi="Times New Roman" w:cs="Times New Roman" w:eastAsia="Times New Roman" w:hint="default"/>
          <w:sz w:val="18"/>
          <w:szCs w:val="18"/>
        </w:rPr>
      </w:pPr>
      <w:r>
        <w:rPr/>
        <w:pict>
          <v:group style="position:absolute;margin-left:56.639999pt;margin-top:22.681719pt;width:81pt;height:.1pt;mso-position-horizontal-relative:page;mso-position-vertical-relative:paragraph;z-index:-627664" coordorigin="1133,454" coordsize="1620,2">
            <v:shape style="position:absolute;left:1133;top:454;width:1620;height:2" coordorigin="1133,454" coordsize="1620,0" path="m1133,454l2753,454e" filled="false" stroked="true" strokeweight=".48pt" strokecolor="#000000">
              <v:path arrowok="t"/>
            </v:shape>
            <w10:wrap type="none"/>
          </v:group>
        </w:pict>
      </w:r>
      <w:r>
        <w:rPr/>
        <w:pict>
          <v:group style="position:absolute;margin-left:151.919998pt;margin-top:22.681719pt;width:70.1pt;height:.1pt;mso-position-horizontal-relative:page;mso-position-vertical-relative:paragraph;z-index:-627640" coordorigin="3038,454" coordsize="1402,2">
            <v:shape style="position:absolute;left:3038;top:454;width:1402;height:2" coordorigin="3038,454" coordsize="1402,0" path="m3038,454l4440,454e" filled="false" stroked="true" strokeweight=".48pt" strokecolor="#000000">
              <v:path arrowok="t"/>
            </v:shape>
            <w10:wrap type="none"/>
          </v:group>
        </w:pict>
      </w:r>
      <w:r>
        <w:rPr/>
        <w:pict>
          <v:group style="position:absolute;margin-left:236.159988pt;margin-top:22.681719pt;width:63.6pt;height:.1pt;mso-position-horizontal-relative:page;mso-position-vertical-relative:paragraph;z-index:-627616" coordorigin="4723,454" coordsize="1272,2">
            <v:shape style="position:absolute;left:4723;top:454;width:1272;height:2" coordorigin="4723,454" coordsize="1272,0" path="m4723,454l5995,454e" filled="false" stroked="true" strokeweight=".48pt" strokecolor="#000000">
              <v:path arrowok="t"/>
            </v:shape>
            <w10:wrap type="none"/>
          </v:group>
        </w:pict>
      </w:r>
      <w:r>
        <w:rPr/>
        <w:pict>
          <v:group style="position:absolute;margin-left:314.039978pt;margin-top:22.681719pt;width:65.8pt;height:.1pt;mso-position-horizontal-relative:page;mso-position-vertical-relative:paragraph;z-index:-627592" coordorigin="6281,454" coordsize="1316,2">
            <v:shape style="position:absolute;left:6281;top:454;width:1316;height:2" coordorigin="6281,454" coordsize="1316,0" path="m6281,454l7596,454e" filled="false" stroked="true" strokeweight=".48pt" strokecolor="#000000">
              <v:path arrowok="t"/>
            </v:shape>
            <w10:wrap type="none"/>
          </v:group>
        </w:pict>
      </w:r>
      <w:r>
        <w:rPr/>
        <w:pict>
          <v:group style="position:absolute;margin-left:394.079987pt;margin-top:22.681719pt;width:65.3pt;height:.1pt;mso-position-horizontal-relative:page;mso-position-vertical-relative:paragraph;z-index:-627568" coordorigin="7882,454" coordsize="1306,2">
            <v:shape style="position:absolute;left:7882;top:454;width:1306;height:2" coordorigin="7882,454" coordsize="1306,0" path="m7882,454l9187,454e" filled="false" stroked="true" strokeweight=".48pt" strokecolor="#000000">
              <v:path arrowok="t"/>
            </v:shape>
            <w10:wrap type="none"/>
          </v:group>
        </w:pict>
      </w:r>
      <w:r>
        <w:rPr/>
        <w:pict>
          <v:group style="position:absolute;margin-left:151.919998pt;margin-top:41.401718pt;width:70.1pt;height:.1pt;mso-position-horizontal-relative:page;mso-position-vertical-relative:paragraph;z-index:-627544" coordorigin="3038,828" coordsize="1402,2">
            <v:shape style="position:absolute;left:3038;top:828;width:1402;height:2" coordorigin="3038,828" coordsize="1402,0" path="m3038,828l4440,828e" filled="false" stroked="true" strokeweight=".48pt" strokecolor="#000000">
              <v:path arrowok="t"/>
            </v:shape>
            <w10:wrap type="none"/>
          </v:group>
        </w:pict>
      </w:r>
      <w:r>
        <w:rPr/>
        <w:pict>
          <v:group style="position:absolute;margin-left:236.159988pt;margin-top:41.401718pt;width:63.6pt;height:.1pt;mso-position-horizontal-relative:page;mso-position-vertical-relative:paragraph;z-index:-627520" coordorigin="4723,828" coordsize="1272,2">
            <v:shape style="position:absolute;left:4723;top:828;width:1272;height:2" coordorigin="4723,828" coordsize="1272,0" path="m4723,828l5995,828e" filled="false" stroked="true" strokeweight=".48pt" strokecolor="#000000">
              <v:path arrowok="t"/>
            </v:shape>
            <w10:wrap type="none"/>
          </v:group>
        </w:pict>
      </w:r>
      <w:r>
        <w:rPr/>
        <w:pict>
          <v:group style="position:absolute;margin-left:314.039978pt;margin-top:41.401718pt;width:65.8pt;height:.1pt;mso-position-horizontal-relative:page;mso-position-vertical-relative:paragraph;z-index:-627496" coordorigin="6281,828" coordsize="1316,2">
            <v:shape style="position:absolute;left:6281;top:828;width:1316;height:2" coordorigin="6281,828" coordsize="1316,0" path="m6281,828l7596,828e" filled="false" stroked="true" strokeweight=".48pt" strokecolor="#000000">
              <v:path arrowok="t"/>
            </v:shape>
            <w10:wrap type="none"/>
          </v:group>
        </w:pict>
      </w:r>
      <w:r>
        <w:rPr/>
        <w:pict>
          <v:group style="position:absolute;margin-left:394.079987pt;margin-top:41.401718pt;width:65.3pt;height:.1pt;mso-position-horizontal-relative:page;mso-position-vertical-relative:paragraph;z-index:-627472" coordorigin="7882,828" coordsize="1306,2">
            <v:shape style="position:absolute;left:7882;top:828;width:1306;height:2" coordorigin="7882,828" coordsize="1306,0" path="m7882,828l9187,828e" filled="false" stroked="true" strokeweight=".48pt" strokecolor="#000000">
              <v:path arrowok="t"/>
            </v:shape>
            <w10:wrap type="none"/>
          </v:group>
        </w:pict>
      </w: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tab/>
        <w:tab/>
        <w:t>期初数</w:t>
        <w:tab/>
        <w:t>本期增加</w:t>
        <w:tab/>
        <w:t>本期减少</w:t>
        <w:tab/>
        <w:tab/>
        <w:t>期末数</w:t>
      </w:r>
      <w:r>
        <w:rPr>
          <w:rFonts w:ascii="宋体" w:hAnsi="宋体" w:cs="宋体" w:eastAsia="宋体" w:hint="default"/>
          <w:sz w:val="18"/>
          <w:szCs w:val="18"/>
        </w:rPr>
        <w:t> 法定盈余公积</w:t>
        <w:tab/>
      </w:r>
      <w:r>
        <w:rPr>
          <w:rFonts w:ascii="Times New Roman" w:hAnsi="Times New Roman" w:cs="Times New Roman" w:eastAsia="Times New Roman" w:hint="default"/>
          <w:spacing w:val="-1"/>
          <w:sz w:val="18"/>
          <w:szCs w:val="18"/>
        </w:rPr>
        <w:t>6,207,466.10</w:t>
        <w:tab/>
        <w:t>4,651,093.25</w:t>
        <w:tab/>
        <w:tab/>
        <w:t>10,858,559.35</w:t>
      </w:r>
    </w:p>
    <w:p>
      <w:pPr>
        <w:tabs>
          <w:tab w:pos="2246" w:val="left" w:leader="none"/>
          <w:tab w:pos="3868" w:val="left" w:leader="none"/>
          <w:tab w:pos="6998" w:val="left" w:leader="none"/>
        </w:tabs>
        <w:spacing w:before="7"/>
        <w:ind w:left="65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pacing w:val="-1"/>
          <w:sz w:val="18"/>
          <w:szCs w:val="18"/>
        </w:rPr>
        <w:t>6,207,466.10</w:t>
        <w:tab/>
        <w:t>4,651,093.25</w:t>
        <w:tab/>
        <w:t>10,858,559.35</w:t>
      </w:r>
    </w:p>
    <w:p>
      <w:pPr>
        <w:spacing w:line="240" w:lineRule="auto" w:before="1"/>
        <w:rPr>
          <w:rFonts w:ascii="Times New Roman" w:hAnsi="Times New Roman" w:cs="Times New Roman" w:eastAsia="Times New Roman" w:hint="default"/>
          <w:sz w:val="7"/>
          <w:szCs w:val="7"/>
        </w:rPr>
      </w:pPr>
    </w:p>
    <w:p>
      <w:pPr>
        <w:tabs>
          <w:tab w:pos="3698" w:val="left" w:leader="none"/>
          <w:tab w:pos="5256" w:val="left" w:leader="none"/>
          <w:tab w:pos="6856" w:val="left" w:leader="none"/>
        </w:tabs>
        <w:spacing w:line="28" w:lineRule="exact"/>
        <w:ind w:left="2013" w:right="0" w:firstLine="0"/>
        <w:rPr>
          <w:rFonts w:ascii="Times New Roman" w:hAnsi="Times New Roman" w:cs="Times New Roman" w:eastAsia="Times New Roman" w:hint="default"/>
          <w:sz w:val="2"/>
          <w:szCs w:val="2"/>
        </w:rPr>
      </w:pPr>
      <w:r>
        <w:rPr>
          <w:rFonts w:ascii="Times New Roman"/>
          <w:position w:val="0"/>
          <w:sz w:val="2"/>
        </w:rPr>
        <w:pict>
          <v:group style="width:70.6pt;height:1.45pt;mso-position-horizontal-relative:char;mso-position-vertical-relative:line" coordorigin="0,0" coordsize="1412,29">
            <v:group style="position:absolute;left:5;top:5;width:1402;height:2" coordorigin="5,5" coordsize="1402,2">
              <v:shape style="position:absolute;left:5;top:5;width:1402;height:2" coordorigin="5,5" coordsize="1402,0" path="m5,5l1406,5e" filled="false" stroked="true" strokeweight=".48pt" strokecolor="#000000">
                <v:path arrowok="t"/>
              </v:shape>
            </v:group>
            <v:group style="position:absolute;left:5;top:24;width:1402;height:2" coordorigin="5,24" coordsize="1402,2">
              <v:shape style="position:absolute;left:5;top:24;width:1402;height:2" coordorigin="5,24" coordsize="1402,0" path="m5,24l14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4.1pt;height:1.45pt;mso-position-horizontal-relative:char;mso-position-vertical-relative:line" coordorigin="0,0" coordsize="1282,29">
            <v:group style="position:absolute;left:5;top:5;width:1272;height:2" coordorigin="5,5" coordsize="1272,2">
              <v:shape style="position:absolute;left:5;top:5;width:1272;height:2" coordorigin="5,5" coordsize="1272,0" path="m5,5l1277,5e" filled="false" stroked="true" strokeweight=".48pt" strokecolor="#000000">
                <v:path arrowok="t"/>
              </v:shape>
            </v:group>
            <v:group style="position:absolute;left:5;top:24;width:1272;height:2" coordorigin="5,24" coordsize="1272,2">
              <v:shape style="position:absolute;left:5;top:24;width:1272;height:2" coordorigin="5,24" coordsize="1272,0" path="m5,24l127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25pt;height:1.45pt;mso-position-horizontal-relative:char;mso-position-vertical-relative:line" coordorigin="0,0" coordsize="1325,29">
            <v:group style="position:absolute;left:5;top:5;width:1316;height:2" coordorigin="5,5" coordsize="1316,2">
              <v:shape style="position:absolute;left:5;top:5;width:1316;height:2" coordorigin="5,5" coordsize="1316,0" path="m5,5l1320,5e" filled="false" stroked="true" strokeweight=".48pt" strokecolor="#000000">
                <v:path arrowok="t"/>
              </v:shape>
            </v:group>
            <v:group style="position:absolute;left:5;top:24;width:1316;height:2" coordorigin="5,24" coordsize="1316,2">
              <v:shape style="position:absolute;left:5;top:24;width:1316;height:2" coordorigin="5,24" coordsize="1316,0" path="m5,24l132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5.8pt;height:1.45pt;mso-position-horizontal-relative:char;mso-position-vertical-relative:line" coordorigin="0,0" coordsize="1316,29">
            <v:group style="position:absolute;left:5;top:5;width:1306;height:2" coordorigin="5,5" coordsize="1306,2">
              <v:shape style="position:absolute;left:5;top:5;width:1306;height:2" coordorigin="5,5" coordsize="1306,0" path="m5,5l1310,5e" filled="false" stroked="true" strokeweight=".48pt" strokecolor="#000000">
                <v:path arrowok="t"/>
              </v:shape>
            </v:group>
            <v:group style="position:absolute;left:5;top:24;width:1306;height:2" coordorigin="5,24" coordsize="1306,2">
              <v:shape style="position:absolute;left:5;top:24;width:1306;height:2" coordorigin="5,24" coordsize="1306,0" path="m5,24l1310,24e" filled="false" stroked="true" strokeweight=".48pt" strokecolor="#000000">
                <v:path arrowok="t"/>
              </v:shape>
            </v:group>
          </v:group>
        </w:pict>
      </w:r>
      <w:r>
        <w:rPr>
          <w:rFonts w:ascii="Times New Roman"/>
          <w:position w:val="0"/>
          <w:sz w:val="2"/>
        </w:rPr>
      </w:r>
    </w:p>
    <w:p>
      <w:pPr>
        <w:spacing w:line="240" w:lineRule="auto" w:before="1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849" w:footer="976" w:top="1460" w:bottom="1160" w:left="1020" w:right="1020"/>
        </w:sectPr>
      </w:pPr>
    </w:p>
    <w:p>
      <w:pPr>
        <w:pStyle w:val="BodyText"/>
        <w:spacing w:line="240" w:lineRule="auto" w:before="34"/>
        <w:ind w:left="535" w:right="0"/>
        <w:jc w:val="left"/>
      </w:pPr>
      <w:r>
        <w:rPr>
          <w:rFonts w:ascii="Times New Roman" w:hAnsi="Times New Roman" w:cs="Times New Roman" w:eastAsia="Times New Roman" w:hint="default"/>
          <w:w w:val="95"/>
        </w:rPr>
        <w:t>24</w:t>
      </w:r>
      <w:r>
        <w:rPr>
          <w:w w:val="95"/>
        </w:rPr>
        <w:t>、未分配利润</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5"/>
          <w:szCs w:val="15"/>
        </w:rPr>
      </w:pPr>
    </w:p>
    <w:p>
      <w:pPr>
        <w:tabs>
          <w:tab w:pos="4510" w:val="left" w:leader="none"/>
        </w:tabs>
        <w:spacing w:before="0"/>
        <w:ind w:left="411" w:right="0"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tab/>
        <w:t>期末数</w:t>
      </w:r>
    </w:p>
    <w:p>
      <w:pPr>
        <w:spacing w:after="0"/>
        <w:jc w:val="left"/>
        <w:rPr>
          <w:rFonts w:ascii="宋体" w:hAnsi="宋体" w:cs="宋体" w:eastAsia="宋体" w:hint="default"/>
          <w:sz w:val="18"/>
          <w:szCs w:val="18"/>
        </w:rPr>
        <w:sectPr>
          <w:type w:val="continuous"/>
          <w:pgSz w:w="11910" w:h="16840"/>
          <w:pgMar w:top="1580" w:bottom="280" w:left="1020" w:right="1020"/>
          <w:cols w:num="2" w:equalWidth="0">
            <w:col w:w="2005" w:space="40"/>
            <w:col w:w="7825"/>
          </w:cols>
        </w:sectPr>
      </w:pPr>
    </w:p>
    <w:p>
      <w:pPr>
        <w:spacing w:line="240" w:lineRule="auto" w:before="9"/>
        <w:rPr>
          <w:rFonts w:ascii="宋体" w:hAnsi="宋体" w:cs="宋体" w:eastAsia="宋体" w:hint="default"/>
          <w:sz w:val="6"/>
          <w:szCs w:val="6"/>
        </w:rPr>
      </w:pPr>
    </w:p>
    <w:tbl>
      <w:tblPr>
        <w:tblW w:w="0" w:type="auto"/>
        <w:jc w:val="left"/>
        <w:tblInd w:w="188" w:type="dxa"/>
        <w:tblLayout w:type="fixed"/>
        <w:tblCellMar>
          <w:top w:w="0" w:type="dxa"/>
          <w:left w:w="0" w:type="dxa"/>
          <w:bottom w:w="0" w:type="dxa"/>
          <w:right w:w="0" w:type="dxa"/>
        </w:tblCellMar>
        <w:tblLook w:val="01E0"/>
      </w:tblPr>
      <w:tblGrid>
        <w:gridCol w:w="5145"/>
        <w:gridCol w:w="281"/>
        <w:gridCol w:w="2419"/>
      </w:tblGrid>
      <w:tr>
        <w:trPr>
          <w:trHeight w:val="699" w:hRule="exact"/>
        </w:trPr>
        <w:tc>
          <w:tcPr>
            <w:tcW w:w="5145" w:type="dxa"/>
            <w:tcBorders>
              <w:top w:val="single" w:sz="4" w:space="0" w:color="000000"/>
              <w:left w:val="nil" w:sz="6" w:space="0" w:color="auto"/>
              <w:bottom w:val="nil" w:sz="6" w:space="0" w:color="auto"/>
              <w:right w:val="nil" w:sz="6" w:space="0" w:color="auto"/>
            </w:tcBorders>
          </w:tcPr>
          <w:p>
            <w:pPr>
              <w:pStyle w:val="TableParagraph"/>
              <w:spacing w:line="352" w:lineRule="auto" w:before="29"/>
              <w:ind w:left="35" w:right="2947"/>
              <w:jc w:val="left"/>
              <w:rPr>
                <w:rFonts w:ascii="宋体" w:hAnsi="宋体" w:cs="宋体" w:eastAsia="宋体" w:hint="default"/>
                <w:sz w:val="18"/>
                <w:szCs w:val="18"/>
              </w:rPr>
            </w:pPr>
            <w:r>
              <w:rPr>
                <w:rFonts w:ascii="宋体" w:hAnsi="宋体" w:cs="宋体" w:eastAsia="宋体" w:hint="default"/>
                <w:sz w:val="18"/>
                <w:szCs w:val="18"/>
              </w:rPr>
              <w:t>调整前上期末未分配利润 调整期初未分配利润合计数</w:t>
            </w:r>
          </w:p>
        </w:tc>
        <w:tc>
          <w:tcPr>
            <w:tcW w:w="281" w:type="dxa"/>
            <w:tcBorders>
              <w:top w:val="nil" w:sz="6" w:space="0" w:color="auto"/>
              <w:left w:val="nil" w:sz="6" w:space="0" w:color="auto"/>
              <w:bottom w:val="nil" w:sz="6" w:space="0" w:color="auto"/>
              <w:right w:val="nil" w:sz="6" w:space="0" w:color="auto"/>
            </w:tcBorders>
          </w:tcPr>
          <w:p>
            <w:pP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352" w:right="0"/>
              <w:jc w:val="left"/>
              <w:rPr>
                <w:rFonts w:ascii="Times New Roman" w:hAnsi="Times New Roman" w:cs="Times New Roman" w:eastAsia="Times New Roman" w:hint="default"/>
                <w:sz w:val="18"/>
                <w:szCs w:val="18"/>
              </w:rPr>
            </w:pPr>
            <w:r>
              <w:rPr>
                <w:rFonts w:ascii="Times New Roman"/>
                <w:sz w:val="18"/>
              </w:rPr>
              <w:t>35,688,110.04</w:t>
            </w:r>
          </w:p>
        </w:tc>
      </w:tr>
      <w:tr>
        <w:trPr>
          <w:trHeight w:val="351" w:hRule="exact"/>
        </w:trPr>
        <w:tc>
          <w:tcPr>
            <w:tcW w:w="51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81"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2" w:right="0"/>
              <w:jc w:val="left"/>
              <w:rPr>
                <w:rFonts w:ascii="Times New Roman" w:hAnsi="Times New Roman" w:cs="Times New Roman" w:eastAsia="Times New Roman" w:hint="default"/>
                <w:sz w:val="18"/>
                <w:szCs w:val="18"/>
              </w:rPr>
            </w:pPr>
            <w:r>
              <w:rPr>
                <w:rFonts w:ascii="Times New Roman"/>
                <w:sz w:val="18"/>
              </w:rPr>
              <w:t>35,688,110.04</w:t>
            </w:r>
          </w:p>
        </w:tc>
      </w:tr>
      <w:tr>
        <w:trPr>
          <w:trHeight w:val="346" w:hRule="exact"/>
        </w:trPr>
        <w:tc>
          <w:tcPr>
            <w:tcW w:w="514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81"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5" w:right="0"/>
              <w:jc w:val="left"/>
              <w:rPr>
                <w:rFonts w:ascii="Times New Roman" w:hAnsi="Times New Roman" w:cs="Times New Roman" w:eastAsia="Times New Roman" w:hint="default"/>
                <w:sz w:val="18"/>
                <w:szCs w:val="18"/>
              </w:rPr>
            </w:pPr>
            <w:r>
              <w:rPr>
                <w:rFonts w:ascii="Times New Roman"/>
                <w:sz w:val="18"/>
              </w:rPr>
              <w:t>44,292,891.86</w:t>
            </w:r>
          </w:p>
        </w:tc>
      </w:tr>
      <w:tr>
        <w:trPr>
          <w:trHeight w:val="693" w:hRule="exact"/>
        </w:trPr>
        <w:tc>
          <w:tcPr>
            <w:tcW w:w="5145" w:type="dxa"/>
            <w:tcBorders>
              <w:top w:val="nil" w:sz="6" w:space="0" w:color="auto"/>
              <w:left w:val="nil" w:sz="6" w:space="0" w:color="auto"/>
              <w:bottom w:val="nil" w:sz="6" w:space="0" w:color="auto"/>
              <w:right w:val="nil" w:sz="6" w:space="0" w:color="auto"/>
            </w:tcBorders>
          </w:tcPr>
          <w:p>
            <w:pPr>
              <w:pStyle w:val="TableParagraph"/>
              <w:spacing w:line="355" w:lineRule="auto" w:before="22"/>
              <w:ind w:left="375" w:right="3127" w:hanging="341"/>
              <w:jc w:val="left"/>
              <w:rPr>
                <w:rFonts w:ascii="宋体" w:hAnsi="宋体" w:cs="宋体" w:eastAsia="宋体" w:hint="default"/>
                <w:sz w:val="18"/>
                <w:szCs w:val="18"/>
              </w:rPr>
            </w:pPr>
            <w:r>
              <w:rPr>
                <w:rFonts w:ascii="宋体" w:hAnsi="宋体" w:cs="宋体" w:eastAsia="宋体" w:hint="default"/>
                <w:sz w:val="18"/>
                <w:szCs w:val="18"/>
              </w:rPr>
              <w:t>减：提取法定盈余公积金 分配股利</w:t>
            </w:r>
          </w:p>
        </w:tc>
        <w:tc>
          <w:tcPr>
            <w:tcW w:w="281"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36" w:right="0"/>
              <w:jc w:val="left"/>
              <w:rPr>
                <w:rFonts w:ascii="Times New Roman" w:hAnsi="Times New Roman" w:cs="Times New Roman" w:eastAsia="Times New Roman" w:hint="default"/>
                <w:sz w:val="18"/>
                <w:szCs w:val="18"/>
              </w:rPr>
            </w:pPr>
            <w:r>
              <w:rPr>
                <w:rFonts w:ascii="Times New Roman"/>
                <w:sz w:val="18"/>
              </w:rPr>
              <w:t>4,651,093.25</w:t>
            </w:r>
          </w:p>
        </w:tc>
      </w:tr>
      <w:tr>
        <w:trPr>
          <w:trHeight w:val="372" w:hRule="exact"/>
        </w:trPr>
        <w:tc>
          <w:tcPr>
            <w:tcW w:w="514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81" w:type="dxa"/>
            <w:tcBorders>
              <w:top w:val="nil" w:sz="6" w:space="0" w:color="auto"/>
              <w:left w:val="nil" w:sz="6" w:space="0" w:color="auto"/>
              <w:bottom w:val="nil" w:sz="6" w:space="0" w:color="auto"/>
              <w:right w:val="nil" w:sz="6" w:space="0" w:color="auto"/>
            </w:tcBorders>
          </w:tcPr>
          <w:p>
            <w:pPr/>
          </w:p>
        </w:tc>
        <w:tc>
          <w:tcPr>
            <w:tcW w:w="241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345" w:right="0"/>
              <w:jc w:val="left"/>
              <w:rPr>
                <w:rFonts w:ascii="Times New Roman" w:hAnsi="Times New Roman" w:cs="Times New Roman" w:eastAsia="Times New Roman" w:hint="default"/>
                <w:sz w:val="18"/>
                <w:szCs w:val="18"/>
              </w:rPr>
            </w:pPr>
            <w:r>
              <w:rPr>
                <w:rFonts w:ascii="Times New Roman"/>
                <w:sz w:val="18"/>
              </w:rPr>
              <w:t>75,329,908.65</w:t>
            </w:r>
          </w:p>
        </w:tc>
      </w:tr>
    </w:tbl>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020" w:right="1020"/>
        </w:sectPr>
      </w:pPr>
    </w:p>
    <w:p>
      <w:pPr>
        <w:pStyle w:val="BodyText"/>
        <w:spacing w:line="240" w:lineRule="auto" w:before="34"/>
        <w:ind w:left="638" w:right="0"/>
        <w:jc w:val="left"/>
      </w:pPr>
      <w:r>
        <w:rPr>
          <w:rFonts w:ascii="Times New Roman" w:hAnsi="Times New Roman" w:cs="Times New Roman" w:eastAsia="Times New Roman" w:hint="default"/>
        </w:rPr>
        <w:t>25</w:t>
      </w:r>
      <w:r>
        <w:rPr/>
        <w:t>、营业收入、成本</w:t>
      </w:r>
    </w:p>
    <w:p>
      <w:pPr>
        <w:pStyle w:val="BodyText"/>
        <w:spacing w:line="240" w:lineRule="auto" w:before="50"/>
        <w:ind w:left="638" w:right="0"/>
        <w:jc w:val="left"/>
      </w:pPr>
      <w:r>
        <w:rPr>
          <w:w w:val="95"/>
        </w:rPr>
        <w:t>（</w:t>
      </w:r>
      <w:r>
        <w:rPr>
          <w:rFonts w:ascii="Times New Roman" w:hAnsi="Times New Roman" w:cs="Times New Roman" w:eastAsia="Times New Roman" w:hint="default"/>
          <w:w w:val="95"/>
        </w:rPr>
        <w:t>1</w:t>
      </w:r>
      <w:r>
        <w:rPr>
          <w:w w:val="95"/>
        </w:rPr>
        <w:t>）营业收入和成本</w:t>
      </w:r>
      <w:r>
        <w:rPr/>
      </w:r>
    </w:p>
    <w:p>
      <w:pPr>
        <w:spacing w:line="240" w:lineRule="auto" w:before="10"/>
        <w:rPr>
          <w:rFonts w:ascii="宋体" w:hAnsi="宋体" w:cs="宋体" w:eastAsia="宋体" w:hint="default"/>
          <w:sz w:val="21"/>
          <w:szCs w:val="21"/>
        </w:rPr>
      </w:pPr>
    </w:p>
    <w:p>
      <w:pPr>
        <w:spacing w:before="0"/>
        <w:ind w:left="655" w:right="0" w:firstLine="0"/>
        <w:jc w:val="left"/>
        <w:rPr>
          <w:rFonts w:ascii="宋体" w:hAnsi="宋体" w:cs="宋体" w:eastAsia="宋体" w:hint="default"/>
          <w:sz w:val="18"/>
          <w:szCs w:val="18"/>
        </w:rPr>
      </w:pPr>
      <w:r>
        <w:rPr/>
        <w:pict>
          <v:shape style="position:absolute;margin-left:56.639999pt;margin-top:7.271717pt;width:405.5pt;height:71.4pt;mso-position-horizontal-relative:page;mso-position-vertical-relative:paragraph;z-index:8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245"/>
                    <w:gridCol w:w="1382"/>
                    <w:gridCol w:w="238"/>
                    <w:gridCol w:w="1382"/>
                    <w:gridCol w:w="235"/>
                    <w:gridCol w:w="1385"/>
                    <w:gridCol w:w="240"/>
                    <w:gridCol w:w="1382"/>
                  </w:tblGrid>
                  <w:tr>
                    <w:trPr>
                      <w:trHeight w:val="348" w:hRule="exact"/>
                    </w:trPr>
                    <w:tc>
                      <w:tcPr>
                        <w:tcW w:w="1865" w:type="dxa"/>
                        <w:gridSpan w:val="2"/>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9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8" w:type="dxa"/>
                        <w:tcBorders>
                          <w:top w:val="single" w:sz="4" w:space="0" w:color="000000"/>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0" w:type="dxa"/>
                        <w:tcBorders>
                          <w:top w:val="single" w:sz="4" w:space="0" w:color="000000"/>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691"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348" w:lineRule="auto" w:before="25"/>
                          <w:ind w:left="110" w:right="787"/>
                          <w:jc w:val="left"/>
                          <w:rPr>
                            <w:rFonts w:ascii="宋体" w:hAnsi="宋体" w:cs="宋体" w:eastAsia="宋体" w:hint="default"/>
                            <w:sz w:val="18"/>
                            <w:szCs w:val="18"/>
                          </w:rPr>
                        </w:pPr>
                        <w:r>
                          <w:rPr>
                            <w:rFonts w:ascii="宋体" w:hAnsi="宋体" w:cs="宋体" w:eastAsia="宋体" w:hint="default"/>
                            <w:sz w:val="18"/>
                            <w:szCs w:val="18"/>
                          </w:rPr>
                          <w:t>主营业务 其他业务</w:t>
                        </w:r>
                      </w:p>
                    </w:tc>
                    <w:tc>
                      <w:tcPr>
                        <w:tcW w:w="245"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46" w:right="0"/>
                          <w:jc w:val="center"/>
                          <w:rPr>
                            <w:rFonts w:ascii="Times New Roman" w:hAnsi="Times New Roman" w:cs="Times New Roman" w:eastAsia="Times New Roman" w:hint="default"/>
                            <w:sz w:val="18"/>
                            <w:szCs w:val="18"/>
                          </w:rPr>
                        </w:pPr>
                        <w:r>
                          <w:rPr>
                            <w:rFonts w:ascii="Times New Roman"/>
                            <w:sz w:val="18"/>
                          </w:rPr>
                          <w:t>169,919,002.90</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44" w:right="0"/>
                          <w:jc w:val="center"/>
                          <w:rPr>
                            <w:rFonts w:ascii="Times New Roman" w:hAnsi="Times New Roman" w:cs="Times New Roman" w:eastAsia="Times New Roman" w:hint="default"/>
                            <w:sz w:val="18"/>
                            <w:szCs w:val="18"/>
                          </w:rPr>
                        </w:pPr>
                        <w:r>
                          <w:rPr>
                            <w:rFonts w:ascii="Times New Roman"/>
                            <w:sz w:val="18"/>
                          </w:rPr>
                          <w:t>120,229,590.95</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35" w:right="0"/>
                          <w:jc w:val="center"/>
                          <w:rPr>
                            <w:rFonts w:ascii="Times New Roman" w:hAnsi="Times New Roman" w:cs="Times New Roman" w:eastAsia="Times New Roman" w:hint="default"/>
                            <w:sz w:val="18"/>
                            <w:szCs w:val="18"/>
                          </w:rPr>
                        </w:pPr>
                        <w:r>
                          <w:rPr>
                            <w:rFonts w:ascii="Times New Roman"/>
                            <w:sz w:val="18"/>
                          </w:rPr>
                          <w:t>67,890,246.83</w:t>
                        </w:r>
                      </w:p>
                    </w:tc>
                    <w:tc>
                      <w:tcPr>
                        <w:tcW w:w="240"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50,326,750.07</w:t>
                        </w:r>
                      </w:p>
                    </w:tc>
                  </w:tr>
                  <w:tr>
                    <w:trPr>
                      <w:trHeight w:val="360"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4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45"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46" w:right="0"/>
                          <w:jc w:val="center"/>
                          <w:rPr>
                            <w:rFonts w:ascii="Times New Roman" w:hAnsi="Times New Roman" w:cs="Times New Roman" w:eastAsia="Times New Roman" w:hint="default"/>
                            <w:sz w:val="18"/>
                            <w:szCs w:val="18"/>
                          </w:rPr>
                        </w:pPr>
                        <w:r>
                          <w:rPr>
                            <w:rFonts w:ascii="Times New Roman"/>
                            <w:sz w:val="18"/>
                          </w:rPr>
                          <w:t>169,919,002.90</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44" w:right="0"/>
                          <w:jc w:val="center"/>
                          <w:rPr>
                            <w:rFonts w:ascii="Times New Roman" w:hAnsi="Times New Roman" w:cs="Times New Roman" w:eastAsia="Times New Roman" w:hint="default"/>
                            <w:sz w:val="18"/>
                            <w:szCs w:val="18"/>
                          </w:rPr>
                        </w:pPr>
                        <w:r>
                          <w:rPr>
                            <w:rFonts w:ascii="Times New Roman"/>
                            <w:sz w:val="18"/>
                          </w:rPr>
                          <w:t>120,229,590.95</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135" w:right="0"/>
                          <w:jc w:val="center"/>
                          <w:rPr>
                            <w:rFonts w:ascii="Times New Roman" w:hAnsi="Times New Roman" w:cs="Times New Roman" w:eastAsia="Times New Roman" w:hint="default"/>
                            <w:sz w:val="18"/>
                            <w:szCs w:val="18"/>
                          </w:rPr>
                        </w:pPr>
                        <w:r>
                          <w:rPr>
                            <w:rFonts w:ascii="Times New Roman"/>
                            <w:sz w:val="18"/>
                          </w:rPr>
                          <w:t>67,890,246.83</w:t>
                        </w:r>
                      </w:p>
                    </w:tc>
                    <w:tc>
                      <w:tcPr>
                        <w:tcW w:w="240"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50,326,750.07</w:t>
                        </w:r>
                      </w:p>
                    </w:tc>
                  </w:tr>
                </w:tbl>
                <w:p>
                  <w:pPr/>
                </w:p>
              </w:txbxContent>
            </v:textbox>
            <w10:wrap type="none"/>
          </v:shape>
        </w:pict>
      </w: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tabs>
          <w:tab w:pos="3687" w:val="left" w:leader="none"/>
        </w:tabs>
        <w:spacing w:before="0"/>
        <w:ind w:left="447"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spacing w:after="0"/>
        <w:jc w:val="left"/>
        <w:rPr>
          <w:rFonts w:ascii="宋体" w:hAnsi="宋体" w:cs="宋体" w:eastAsia="宋体" w:hint="default"/>
          <w:sz w:val="18"/>
          <w:szCs w:val="18"/>
        </w:rPr>
        <w:sectPr>
          <w:type w:val="continuous"/>
          <w:pgSz w:w="11910" w:h="16840"/>
          <w:pgMar w:top="1580" w:bottom="280" w:left="1020" w:right="1020"/>
          <w:cols w:num="2" w:equalWidth="0">
            <w:col w:w="2633" w:space="40"/>
            <w:col w:w="719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34"/>
        <w:ind w:left="638" w:right="0"/>
        <w:jc w:val="left"/>
      </w:pPr>
      <w:r>
        <w:rPr/>
        <w:t>（</w:t>
      </w:r>
      <w:r>
        <w:rPr>
          <w:rFonts w:ascii="Times New Roman" w:hAnsi="Times New Roman" w:cs="Times New Roman" w:eastAsia="Times New Roman" w:hint="default"/>
        </w:rPr>
        <w:t>2</w:t>
      </w:r>
      <w:r>
        <w:rPr/>
        <w:t>）主营业务（分行业）</w:t>
      </w:r>
    </w:p>
    <w:p>
      <w:pPr>
        <w:tabs>
          <w:tab w:pos="6359" w:val="left" w:leader="none"/>
        </w:tabs>
        <w:spacing w:line="231" w:lineRule="exact" w:before="99"/>
        <w:ind w:left="3035"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spacing w:after="0" w:line="231" w:lineRule="exact"/>
        <w:jc w:val="left"/>
        <w:rPr>
          <w:rFonts w:ascii="宋体" w:hAnsi="宋体" w:cs="宋体" w:eastAsia="宋体" w:hint="default"/>
          <w:sz w:val="18"/>
          <w:szCs w:val="18"/>
        </w:rPr>
        <w:sectPr>
          <w:type w:val="continuous"/>
          <w:pgSz w:w="11910" w:h="16840"/>
          <w:pgMar w:top="1580" w:bottom="280" w:left="1020" w:right="1020"/>
        </w:sectPr>
      </w:pPr>
    </w:p>
    <w:p>
      <w:pPr>
        <w:spacing w:line="180" w:lineRule="exact" w:before="0"/>
        <w:ind w:left="223" w:right="0" w:firstLine="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p>
      <w:pPr>
        <w:spacing w:line="240" w:lineRule="auto" w:before="4"/>
        <w:rPr>
          <w:rFonts w:ascii="宋体" w:hAnsi="宋体" w:cs="宋体" w:eastAsia="宋体" w:hint="default"/>
          <w:sz w:val="19"/>
          <w:szCs w:val="19"/>
        </w:rPr>
      </w:pPr>
    </w:p>
    <w:p>
      <w:pPr>
        <w:spacing w:line="20" w:lineRule="exact"/>
        <w:ind w:left="108" w:right="-166" w:firstLine="0"/>
        <w:rPr>
          <w:rFonts w:ascii="宋体" w:hAnsi="宋体" w:cs="宋体" w:eastAsia="宋体" w:hint="default"/>
          <w:sz w:val="2"/>
          <w:szCs w:val="2"/>
        </w:rPr>
      </w:pPr>
      <w:r>
        <w:rPr>
          <w:rFonts w:ascii="宋体" w:hAnsi="宋体" w:cs="宋体" w:eastAsia="宋体" w:hint="default"/>
          <w:sz w:val="2"/>
          <w:szCs w:val="2"/>
        </w:rPr>
        <w:pict>
          <v:group style="width:73.350pt;height:.5pt;mso-position-horizontal-relative:char;mso-position-vertical-relative:line" coordorigin="0,0" coordsize="1467,10">
            <v:group style="position:absolute;left:5;top:5;width:1457;height:2" coordorigin="5,5" coordsize="1457,2">
              <v:shape style="position:absolute;left:5;top:5;width:1457;height:2" coordorigin="5,5" coordsize="1457,0" path="m5,5l1462,5e" filled="false" stroked="true" strokeweight=".48pt" strokecolor="#000000">
                <v:path arrowok="t"/>
              </v:shape>
            </v:group>
          </v:group>
        </w:pict>
      </w:r>
      <w:r>
        <w:rPr>
          <w:rFonts w:ascii="宋体" w:hAnsi="宋体" w:cs="宋体" w:eastAsia="宋体" w:hint="default"/>
          <w:sz w:val="2"/>
          <w:szCs w:val="2"/>
        </w:rPr>
      </w:r>
    </w:p>
    <w:p>
      <w:pPr>
        <w:spacing w:line="142" w:lineRule="exact" w:before="0"/>
        <w:ind w:left="223" w:right="0" w:firstLine="0"/>
        <w:jc w:val="center"/>
        <w:rPr>
          <w:rFonts w:ascii="宋体" w:hAnsi="宋体" w:cs="宋体" w:eastAsia="宋体" w:hint="default"/>
          <w:sz w:val="18"/>
          <w:szCs w:val="18"/>
        </w:rPr>
      </w:pPr>
      <w:r>
        <w:rPr>
          <w:rFonts w:ascii="宋体" w:hAnsi="宋体" w:cs="宋体" w:eastAsia="宋体" w:hint="default"/>
          <w:sz w:val="18"/>
          <w:szCs w:val="18"/>
        </w:rPr>
        <w:t>医</w:t>
      </w:r>
      <w:r>
        <w:rPr>
          <w:rFonts w:ascii="宋体" w:hAnsi="宋体" w:cs="宋体" w:eastAsia="宋体" w:hint="default"/>
          <w:spacing w:val="-59"/>
          <w:sz w:val="18"/>
          <w:szCs w:val="18"/>
        </w:rPr>
        <w:t> </w:t>
      </w:r>
      <w:r>
        <w:rPr>
          <w:rFonts w:ascii="宋体" w:hAnsi="宋体" w:cs="宋体" w:eastAsia="宋体" w:hint="default"/>
          <w:sz w:val="18"/>
          <w:szCs w:val="18"/>
        </w:rPr>
        <w:t>疗</w:t>
      </w:r>
      <w:r>
        <w:rPr>
          <w:rFonts w:ascii="宋体" w:hAnsi="宋体" w:cs="宋体" w:eastAsia="宋体" w:hint="default"/>
          <w:spacing w:val="-59"/>
          <w:sz w:val="18"/>
          <w:szCs w:val="18"/>
        </w:rPr>
        <w:t> </w:t>
      </w:r>
      <w:r>
        <w:rPr>
          <w:rFonts w:ascii="宋体" w:hAnsi="宋体" w:cs="宋体" w:eastAsia="宋体" w:hint="default"/>
          <w:sz w:val="18"/>
          <w:szCs w:val="18"/>
        </w:rPr>
        <w:t>卫</w:t>
      </w:r>
      <w:r>
        <w:rPr>
          <w:rFonts w:ascii="宋体" w:hAnsi="宋体" w:cs="宋体" w:eastAsia="宋体" w:hint="default"/>
          <w:spacing w:val="-59"/>
          <w:sz w:val="18"/>
          <w:szCs w:val="18"/>
        </w:rPr>
        <w:t> </w:t>
      </w:r>
      <w:r>
        <w:rPr>
          <w:rFonts w:ascii="宋体" w:hAnsi="宋体" w:cs="宋体" w:eastAsia="宋体" w:hint="default"/>
          <w:sz w:val="18"/>
          <w:szCs w:val="18"/>
        </w:rPr>
        <w:t>生</w:t>
      </w:r>
      <w:r>
        <w:rPr>
          <w:rFonts w:ascii="宋体" w:hAnsi="宋体" w:cs="宋体" w:eastAsia="宋体" w:hint="default"/>
          <w:spacing w:val="-59"/>
          <w:sz w:val="18"/>
          <w:szCs w:val="18"/>
        </w:rPr>
        <w:t> </w:t>
      </w:r>
      <w:r>
        <w:rPr>
          <w:rFonts w:ascii="宋体" w:hAnsi="宋体" w:cs="宋体" w:eastAsia="宋体" w:hint="default"/>
          <w:sz w:val="18"/>
          <w:szCs w:val="18"/>
        </w:rPr>
        <w:t>信</w:t>
      </w:r>
      <w:r>
        <w:rPr>
          <w:rFonts w:ascii="宋体" w:hAnsi="宋体" w:cs="宋体" w:eastAsia="宋体" w:hint="default"/>
          <w:spacing w:val="-59"/>
          <w:sz w:val="18"/>
          <w:szCs w:val="18"/>
        </w:rPr>
        <w:t> </w:t>
      </w:r>
      <w:r>
        <w:rPr>
          <w:rFonts w:ascii="宋体" w:hAnsi="宋体" w:cs="宋体" w:eastAsia="宋体" w:hint="default"/>
          <w:sz w:val="18"/>
          <w:szCs w:val="18"/>
        </w:rPr>
        <w:t>息</w:t>
      </w:r>
    </w:p>
    <w:p>
      <w:pPr>
        <w:spacing w:line="240" w:lineRule="auto" w:before="7"/>
        <w:rPr>
          <w:rFonts w:ascii="宋体" w:hAnsi="宋体" w:cs="宋体" w:eastAsia="宋体" w:hint="default"/>
          <w:sz w:val="6"/>
          <w:szCs w:val="6"/>
        </w:rPr>
      </w:pPr>
      <w:r>
        <w:rPr/>
        <w:br w:type="column"/>
      </w:r>
      <w:r>
        <w:rPr>
          <w:rFonts w:ascii="宋体"/>
          <w:sz w:val="6"/>
        </w:rPr>
      </w:r>
    </w:p>
    <w:p>
      <w:pPr>
        <w:tabs>
          <w:tab w:pos="3112" w:val="left" w:leader="none"/>
        </w:tabs>
        <w:spacing w:line="20" w:lineRule="exact"/>
        <w:ind w:left="-291" w:right="0" w:firstLine="0"/>
        <w:rPr>
          <w:rFonts w:ascii="宋体" w:hAnsi="宋体" w:cs="宋体" w:eastAsia="宋体" w:hint="default"/>
          <w:sz w:val="2"/>
          <w:szCs w:val="2"/>
        </w:rPr>
      </w:pPr>
      <w:r>
        <w:rPr>
          <w:rFonts w:ascii="宋体"/>
          <w:sz w:val="2"/>
        </w:rPr>
        <w:pict>
          <v:group style="width:158.9pt;height:.5pt;mso-position-horizontal-relative:char;mso-position-vertical-relative:line" coordorigin="0,0" coordsize="3178,10">
            <v:group style="position:absolute;left:5;top:5;width:3168;height:2" coordorigin="5,5" coordsize="3168,2">
              <v:shape style="position:absolute;left:5;top:5;width:3168;height:2" coordorigin="5,5" coordsize="3168,0" path="m5,5l3173,5e" filled="false" stroked="true" strokeweight=".48pt" strokecolor="#000000">
                <v:path arrowok="t"/>
              </v:shape>
            </v:group>
          </v:group>
        </w:pict>
      </w:r>
      <w:r>
        <w:rPr>
          <w:rFonts w:ascii="宋体"/>
          <w:sz w:val="2"/>
        </w:rPr>
      </w:r>
      <w:r>
        <w:rPr>
          <w:rFonts w:ascii="宋体"/>
          <w:sz w:val="2"/>
        </w:rPr>
        <w:tab/>
      </w:r>
      <w:r>
        <w:rPr>
          <w:rFonts w:ascii="宋体"/>
          <w:sz w:val="2"/>
        </w:rPr>
        <w:pict>
          <v:group style="width:150.85pt;height:.5pt;mso-position-horizontal-relative:char;mso-position-vertical-relative:line" coordorigin="0,0" coordsize="3017,10">
            <v:group style="position:absolute;left:5;top:5;width:3008;height:2" coordorigin="5,5" coordsize="3008,2">
              <v:shape style="position:absolute;left:5;top:5;width:3008;height:2" coordorigin="5,5" coordsize="3008,0" path="m5,5l3012,5e" filled="false" stroked="true" strokeweight=".48pt" strokecolor="#000000">
                <v:path arrowok="t"/>
              </v:shape>
            </v:group>
          </v:group>
        </w:pict>
      </w:r>
      <w:r>
        <w:rPr>
          <w:rFonts w:ascii="宋体"/>
          <w:sz w:val="2"/>
        </w:rPr>
      </w:r>
    </w:p>
    <w:p>
      <w:pPr>
        <w:tabs>
          <w:tab w:pos="1881" w:val="left" w:leader="none"/>
          <w:tab w:pos="3585" w:val="left" w:leader="none"/>
          <w:tab w:pos="5164" w:val="left" w:leader="none"/>
        </w:tabs>
        <w:spacing w:before="14"/>
        <w:ind w:left="223" w:right="0" w:firstLine="0"/>
        <w:jc w:val="left"/>
        <w:rPr>
          <w:rFonts w:ascii="宋体" w:hAnsi="宋体" w:cs="宋体" w:eastAsia="宋体" w:hint="default"/>
          <w:sz w:val="18"/>
          <w:szCs w:val="18"/>
        </w:rPr>
      </w:pPr>
      <w:r>
        <w:rPr/>
        <w:pict>
          <v:group style="position:absolute;margin-left:141.599991pt;margin-top:16.611715pt;width:73.350pt;height:.1pt;mso-position-horizontal-relative:page;mso-position-vertical-relative:paragraph;z-index:8368" coordorigin="2832,332" coordsize="1467,2">
            <v:shape style="position:absolute;left:2832;top:332;width:1467;height:2" coordorigin="2832,332" coordsize="1467,0" path="m2832,332l4298,332e" filled="false" stroked="true" strokeweight=".48pt" strokecolor="#000000">
              <v:path arrowok="t"/>
            </v:shape>
            <w10:wrap type="none"/>
          </v:group>
        </w:pict>
      </w:r>
      <w:r>
        <w:rPr/>
        <w:pict>
          <v:group style="position:absolute;margin-left:226.679993pt;margin-top:16.611715pt;width:73.350pt;height:.1pt;mso-position-horizontal-relative:page;mso-position-vertical-relative:paragraph;z-index:8392" coordorigin="4534,332" coordsize="1467,2">
            <v:shape style="position:absolute;left:4534;top:332;width:1467;height:2" coordorigin="4534,332" coordsize="1467,0" path="m4534,332l6000,332e" filled="false" stroked="true" strokeweight=".48pt" strokecolor="#000000">
              <v:path arrowok="t"/>
            </v:shape>
            <w10:wrap type="none"/>
          </v:group>
        </w:pict>
      </w:r>
      <w:r>
        <w:rPr/>
        <w:pict>
          <v:group style="position:absolute;margin-left:311.759979pt;margin-top:16.611715pt;width:69.25pt;height:.1pt;mso-position-horizontal-relative:page;mso-position-vertical-relative:paragraph;z-index:8416" coordorigin="6235,332" coordsize="1385,2">
            <v:shape style="position:absolute;left:6235;top:332;width:1385;height:2" coordorigin="6235,332" coordsize="1385,0" path="m6235,332l7620,332e" filled="false" stroked="true" strokeweight=".48pt" strokecolor="#000000">
              <v:path arrowok="t"/>
            </v:shape>
            <w10:wrap type="none"/>
          </v:group>
        </w:pict>
      </w:r>
      <w:r>
        <w:rPr/>
        <w:pict>
          <v:group style="position:absolute;margin-left:393pt;margin-top:16.611715pt;width:69.150pt;height:.1pt;mso-position-horizontal-relative:page;mso-position-vertical-relative:paragraph;z-index:8440" coordorigin="7860,332" coordsize="1383,2">
            <v:shape style="position:absolute;left:7860;top:332;width:1383;height:2" coordorigin="7860,332" coordsize="1383,0" path="m7860,332l9242,332e" filled="false" stroked="true" strokeweight=".48pt" strokecolor="#000000">
              <v:path arrowok="t"/>
            </v:shape>
            <w10:wrap type="none"/>
          </v:group>
        </w:pict>
      </w:r>
      <w:r>
        <w:rPr>
          <w:rFonts w:ascii="宋体" w:hAnsi="宋体" w:cs="宋体" w:eastAsia="宋体" w:hint="default"/>
          <w:sz w:val="18"/>
          <w:szCs w:val="18"/>
        </w:rPr>
        <w:t>本期数</w:t>
        <w:tab/>
        <w:t>上期数</w:t>
        <w:tab/>
        <w:t>本期数</w:t>
        <w:tab/>
        <w:t>上期数</w:t>
      </w:r>
    </w:p>
    <w:p>
      <w:pPr>
        <w:spacing w:after="0"/>
        <w:jc w:val="left"/>
        <w:rPr>
          <w:rFonts w:ascii="宋体" w:hAnsi="宋体" w:cs="宋体" w:eastAsia="宋体" w:hint="default"/>
          <w:sz w:val="18"/>
          <w:szCs w:val="18"/>
        </w:rPr>
        <w:sectPr>
          <w:type w:val="continuous"/>
          <w:pgSz w:w="11910" w:h="16840"/>
          <w:pgMar w:top="1580" w:bottom="280" w:left="1020" w:right="1020"/>
          <w:cols w:num="2" w:equalWidth="0">
            <w:col w:w="1460" w:space="638"/>
            <w:col w:w="7772"/>
          </w:cols>
        </w:sectPr>
      </w:pPr>
    </w:p>
    <w:p>
      <w:pPr>
        <w:tabs>
          <w:tab w:pos="2047" w:val="left" w:leader="none"/>
          <w:tab w:pos="3748" w:val="left" w:leader="none"/>
          <w:tab w:pos="5457" w:val="left" w:leader="none"/>
          <w:tab w:pos="7079" w:val="left" w:leader="none"/>
        </w:tabs>
        <w:spacing w:line="290" w:lineRule="exact" w:before="0"/>
        <w:ind w:left="22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化行业</w:t>
        <w:tab/>
      </w:r>
      <w:r>
        <w:rPr>
          <w:rFonts w:ascii="Times New Roman" w:hAnsi="Times New Roman" w:cs="Times New Roman" w:eastAsia="Times New Roman" w:hint="default"/>
          <w:spacing w:val="-1"/>
          <w:sz w:val="18"/>
          <w:szCs w:val="18"/>
        </w:rPr>
        <w:t>169,919,002.90</w:t>
        <w:tab/>
        <w:t>120,229,590.95</w:t>
        <w:tab/>
        <w:t>67,890,246.83</w:t>
        <w:tab/>
        <w:t>50,326,750.07</w:t>
      </w:r>
    </w:p>
    <w:p>
      <w:pPr>
        <w:spacing w:line="240" w:lineRule="auto" w:before="2"/>
        <w:rPr>
          <w:rFonts w:ascii="Times New Roman" w:hAnsi="Times New Roman" w:cs="Times New Roman" w:eastAsia="Times New Roman" w:hint="default"/>
          <w:sz w:val="2"/>
          <w:szCs w:val="2"/>
        </w:rPr>
      </w:pPr>
    </w:p>
    <w:p>
      <w:pPr>
        <w:tabs>
          <w:tab w:pos="3508" w:val="left" w:leader="none"/>
          <w:tab w:pos="5210" w:val="left" w:leader="none"/>
          <w:tab w:pos="6835" w:val="left" w:leader="none"/>
        </w:tabs>
        <w:spacing w:line="20" w:lineRule="exact"/>
        <w:ind w:left="1807" w:right="0" w:firstLine="0"/>
        <w:rPr>
          <w:rFonts w:ascii="Times New Roman" w:hAnsi="Times New Roman" w:cs="Times New Roman" w:eastAsia="Times New Roman" w:hint="default"/>
          <w:sz w:val="2"/>
          <w:szCs w:val="2"/>
        </w:rPr>
      </w:pPr>
      <w:r>
        <w:rPr>
          <w:rFonts w:ascii="Times New Roman"/>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Times New Roman"/>
          <w:sz w:val="2"/>
        </w:rPr>
      </w:r>
    </w:p>
    <w:p>
      <w:pPr>
        <w:tabs>
          <w:tab w:pos="2047" w:val="left" w:leader="none"/>
          <w:tab w:pos="3748" w:val="left" w:leader="none"/>
          <w:tab w:pos="5457" w:val="left" w:leader="none"/>
          <w:tab w:pos="7079" w:val="left" w:leader="none"/>
        </w:tabs>
        <w:spacing w:before="14"/>
        <w:ind w:left="57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169,919,002.90</w:t>
        <w:tab/>
        <w:t>120,229,590.95</w:t>
        <w:tab/>
        <w:t>67,890,246.83</w:t>
        <w:tab/>
        <w:t>50,326,750.07</w:t>
      </w:r>
    </w:p>
    <w:p>
      <w:pPr>
        <w:spacing w:line="240" w:lineRule="auto" w:before="9"/>
        <w:rPr>
          <w:rFonts w:ascii="Times New Roman" w:hAnsi="Times New Roman" w:cs="Times New Roman" w:eastAsia="Times New Roman" w:hint="default"/>
          <w:sz w:val="5"/>
          <w:szCs w:val="5"/>
        </w:rPr>
      </w:pPr>
    </w:p>
    <w:p>
      <w:pPr>
        <w:tabs>
          <w:tab w:pos="3508" w:val="left" w:leader="none"/>
          <w:tab w:pos="5210" w:val="left" w:leader="none"/>
          <w:tab w:pos="6835" w:val="left" w:leader="none"/>
        </w:tabs>
        <w:spacing w:line="28" w:lineRule="exact"/>
        <w:ind w:left="1807" w:right="0" w:firstLine="0"/>
        <w:rPr>
          <w:rFonts w:ascii="Times New Roman" w:hAnsi="Times New Roman" w:cs="Times New Roman" w:eastAsia="Times New Roman" w:hint="default"/>
          <w:sz w:val="2"/>
          <w:szCs w:val="2"/>
        </w:rPr>
      </w:pPr>
      <w:r>
        <w:rPr>
          <w:rFonts w:ascii="Times New Roman"/>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0">
                <v:path arrowok="t"/>
              </v:shape>
            </v:group>
            <v:group style="position:absolute;left:5;top:24;width:1385;height:2" coordorigin="5,24" coordsize="1385,2">
              <v:shape style="position:absolute;left:5;top:24;width:1385;height:2" coordorigin="5,24" coordsize="1385,0" path="m5,24l139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8pt" strokecolor="#000000">
                <v:path arrowok="t"/>
              </v:shape>
            </v:group>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w:pict>
      </w:r>
      <w:r>
        <w:rPr>
          <w:rFonts w:ascii="Times New Roman"/>
          <w:position w:val="0"/>
          <w:sz w:val="2"/>
        </w:rPr>
      </w:r>
    </w:p>
    <w:p>
      <w:pPr>
        <w:pStyle w:val="BodyText"/>
        <w:spacing w:line="240" w:lineRule="auto" w:before="26"/>
        <w:ind w:left="638" w:right="0"/>
        <w:jc w:val="left"/>
      </w:pPr>
      <w:r>
        <w:rPr/>
        <w:pict>
          <v:group style="position:absolute;margin-left:141.599991pt;margin-top:36.843655pt;width:158.4pt;height:.1pt;mso-position-horizontal-relative:page;mso-position-vertical-relative:paragraph;z-index:-627352" coordorigin="2832,737" coordsize="3168,2">
            <v:shape style="position:absolute;left:2832;top:737;width:3168;height:2" coordorigin="2832,737" coordsize="3168,0" path="m2832,737l6000,737e" filled="false" stroked="true" strokeweight=".48pt" strokecolor="#000000">
              <v:path arrowok="t"/>
            </v:shape>
            <w10:wrap type="none"/>
          </v:group>
        </w:pict>
      </w:r>
      <w:r>
        <w:rPr/>
        <w:pict>
          <v:group style="position:absolute;margin-left:311.759979pt;margin-top:36.843655pt;width:150.4pt;height:.1pt;mso-position-horizontal-relative:page;mso-position-vertical-relative:paragraph;z-index:-627328" coordorigin="6235,737" coordsize="3008,2">
            <v:shape style="position:absolute;left:6235;top:737;width:3008;height:2" coordorigin="6235,737" coordsize="3008,0" path="m6235,737l9242,737e" filled="false" stroked="true" strokeweight=".48pt" strokecolor="#000000">
              <v:path arrowok="t"/>
            </v:shape>
            <w10:wrap type="none"/>
          </v:group>
        </w:pict>
      </w:r>
      <w:r>
        <w:rPr/>
        <w:t>（</w:t>
      </w:r>
      <w:r>
        <w:rPr>
          <w:rFonts w:ascii="Times New Roman" w:hAnsi="Times New Roman" w:cs="Times New Roman" w:eastAsia="Times New Roman" w:hint="default"/>
        </w:rPr>
        <w:t>3</w:t>
      </w:r>
      <w:r>
        <w:rPr/>
        <w:t>）主营业务（分产品）</w:t>
      </w:r>
    </w:p>
    <w:p>
      <w:pPr>
        <w:spacing w:line="240" w:lineRule="auto" w:before="3"/>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457"/>
        <w:gridCol w:w="242"/>
        <w:gridCol w:w="1937"/>
        <w:gridCol w:w="1231"/>
        <w:gridCol w:w="235"/>
        <w:gridCol w:w="1865"/>
        <w:gridCol w:w="1142"/>
      </w:tblGrid>
      <w:tr>
        <w:trPr>
          <w:trHeight w:val="713" w:hRule="exact"/>
        </w:trPr>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56"/>
              <w:jc w:val="right"/>
              <w:rPr>
                <w:rFonts w:ascii="宋体" w:hAnsi="宋体" w:cs="宋体" w:eastAsia="宋体" w:hint="default"/>
                <w:sz w:val="18"/>
                <w:szCs w:val="18"/>
              </w:rPr>
            </w:pPr>
            <w:r>
              <w:rPr>
                <w:rFonts w:ascii="宋体" w:hAnsi="宋体" w:cs="宋体" w:eastAsia="宋体" w:hint="default"/>
                <w:sz w:val="18"/>
                <w:szCs w:val="18"/>
              </w:rPr>
              <w:t>项  目</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24" w:right="-8"/>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15"/>
              <w:ind w:left="50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0"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44" w:right="-1"/>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before="115"/>
              <w:ind w:left="46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82"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51" w:hRule="exact"/>
        </w:trPr>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6"/>
              <w:ind w:left="324" w:right="0"/>
              <w:jc w:val="left"/>
              <w:rPr>
                <w:rFonts w:ascii="Times New Roman" w:hAnsi="Times New Roman" w:cs="Times New Roman" w:eastAsia="Times New Roman" w:hint="default"/>
                <w:sz w:val="18"/>
                <w:szCs w:val="18"/>
              </w:rPr>
            </w:pPr>
            <w:r>
              <w:rPr>
                <w:rFonts w:ascii="Times New Roman"/>
                <w:sz w:val="18"/>
              </w:rPr>
              <w:t>91,004,944.04</w:t>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67,887,369.68</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6"/>
              <w:ind w:right="584"/>
              <w:jc w:val="right"/>
              <w:rPr>
                <w:rFonts w:ascii="Times New Roman" w:hAnsi="Times New Roman" w:cs="Times New Roman" w:eastAsia="Times New Roman" w:hint="default"/>
                <w:sz w:val="18"/>
                <w:szCs w:val="18"/>
              </w:rPr>
            </w:pPr>
            <w:r>
              <w:rPr>
                <w:rFonts w:ascii="Times New Roman"/>
                <w:spacing w:val="-1"/>
                <w:sz w:val="18"/>
              </w:rPr>
              <w:t>24,584,918.82</w:t>
            </w: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15,558,106.87</w:t>
            </w:r>
          </w:p>
        </w:tc>
      </w:tr>
      <w:tr>
        <w:trPr>
          <w:trHeight w:val="341"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24" w:right="0"/>
              <w:jc w:val="left"/>
              <w:rPr>
                <w:rFonts w:ascii="Times New Roman" w:hAnsi="Times New Roman" w:cs="Times New Roman" w:eastAsia="Times New Roman" w:hint="default"/>
                <w:sz w:val="18"/>
                <w:szCs w:val="18"/>
              </w:rPr>
            </w:pPr>
            <w:r>
              <w:rPr>
                <w:rFonts w:ascii="Times New Roman"/>
                <w:sz w:val="18"/>
              </w:rPr>
              <w:t>45,263,264.62</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31,539,058.37</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84"/>
              <w:jc w:val="right"/>
              <w:rPr>
                <w:rFonts w:ascii="Times New Roman" w:hAnsi="Times New Roman" w:cs="Times New Roman" w:eastAsia="Times New Roman" w:hint="default"/>
                <w:sz w:val="18"/>
                <w:szCs w:val="18"/>
              </w:rPr>
            </w:pPr>
            <w:r>
              <w:rPr>
                <w:rFonts w:ascii="Times New Roman"/>
                <w:spacing w:val="-1"/>
                <w:sz w:val="18"/>
              </w:rPr>
              <w:t>35,450,753.32</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28,547,067.10</w:t>
            </w:r>
          </w:p>
        </w:tc>
      </w:tr>
      <w:tr>
        <w:trPr>
          <w:trHeight w:val="341"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24" w:right="0"/>
              <w:jc w:val="left"/>
              <w:rPr>
                <w:rFonts w:ascii="Times New Roman" w:hAnsi="Times New Roman" w:cs="Times New Roman" w:eastAsia="Times New Roman" w:hint="default"/>
                <w:sz w:val="18"/>
                <w:szCs w:val="18"/>
              </w:rPr>
            </w:pPr>
            <w:r>
              <w:rPr>
                <w:rFonts w:ascii="Times New Roman"/>
                <w:sz w:val="18"/>
              </w:rPr>
              <w:t>33,650,794.24</w:t>
            </w: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20,803,162.90</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84"/>
              <w:jc w:val="right"/>
              <w:rPr>
                <w:rFonts w:ascii="Times New Roman" w:hAnsi="Times New Roman" w:cs="Times New Roman" w:eastAsia="Times New Roman" w:hint="default"/>
                <w:sz w:val="18"/>
                <w:szCs w:val="18"/>
              </w:rPr>
            </w:pPr>
            <w:r>
              <w:rPr>
                <w:rFonts w:ascii="Times New Roman"/>
                <w:spacing w:val="-1"/>
                <w:sz w:val="18"/>
              </w:rPr>
              <w:t>7,854,574.69</w:t>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pacing w:val="-1"/>
                <w:sz w:val="18"/>
              </w:rPr>
              <w:t>6,221,576.10</w:t>
            </w:r>
          </w:p>
        </w:tc>
      </w:tr>
      <w:tr>
        <w:trPr>
          <w:trHeight w:val="358"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56"/>
              <w:jc w:val="right"/>
              <w:rPr>
                <w:rFonts w:ascii="宋体" w:hAnsi="宋体" w:cs="宋体" w:eastAsia="宋体" w:hint="default"/>
                <w:sz w:val="18"/>
                <w:szCs w:val="18"/>
              </w:rPr>
            </w:pPr>
            <w:r>
              <w:rPr>
                <w:rFonts w:ascii="宋体" w:hAnsi="宋体" w:cs="宋体" w:eastAsia="宋体" w:hint="default"/>
                <w:sz w:val="18"/>
                <w:szCs w:val="18"/>
              </w:rPr>
              <w:t>合  计</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4"/>
              <w:ind w:left="235" w:right="0"/>
              <w:jc w:val="left"/>
              <w:rPr>
                <w:rFonts w:ascii="Times New Roman" w:hAnsi="Times New Roman" w:cs="Times New Roman" w:eastAsia="Times New Roman" w:hint="default"/>
                <w:sz w:val="18"/>
                <w:szCs w:val="18"/>
              </w:rPr>
            </w:pPr>
            <w:r>
              <w:rPr>
                <w:rFonts w:ascii="Times New Roman"/>
                <w:sz w:val="18"/>
              </w:rPr>
              <w:t>169,919,002.90</w:t>
            </w:r>
          </w:p>
        </w:tc>
        <w:tc>
          <w:tcPr>
            <w:tcW w:w="1231"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120,229,590.95</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4"/>
              <w:ind w:right="584"/>
              <w:jc w:val="right"/>
              <w:rPr>
                <w:rFonts w:ascii="Times New Roman" w:hAnsi="Times New Roman" w:cs="Times New Roman" w:eastAsia="Times New Roman" w:hint="default"/>
                <w:sz w:val="18"/>
                <w:szCs w:val="18"/>
              </w:rPr>
            </w:pPr>
            <w:r>
              <w:rPr>
                <w:rFonts w:ascii="Times New Roman"/>
                <w:spacing w:val="-1"/>
                <w:sz w:val="18"/>
              </w:rPr>
              <w:t>67,890,246.83</w:t>
            </w:r>
          </w:p>
        </w:tc>
        <w:tc>
          <w:tcPr>
            <w:tcW w:w="1142"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50,326,750.07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020" w:right="1020"/>
        </w:sectPr>
      </w:pPr>
    </w:p>
    <w:p>
      <w:pPr>
        <w:pStyle w:val="BodyText"/>
        <w:spacing w:line="240" w:lineRule="auto" w:before="11"/>
        <w:ind w:left="638" w:right="0"/>
        <w:jc w:val="left"/>
      </w:pPr>
      <w:r>
        <w:rPr/>
        <w:pict>
          <v:group style="position:absolute;margin-left:141.360001pt;margin-top:-2.186343pt;width:73.8pt;height:1.45pt;mso-position-horizontal-relative:page;mso-position-vertical-relative:paragraph;z-index:-627304" coordorigin="2827,-44" coordsize="1476,29">
            <v:group style="position:absolute;left:2832;top:-39;width:1467;height:2" coordorigin="2832,-39" coordsize="1467,2">
              <v:shape style="position:absolute;left:2832;top:-39;width:1467;height:2" coordorigin="2832,-39" coordsize="1467,0" path="m2832,-39l4298,-39e" filled="false" stroked="true" strokeweight=".48pt" strokecolor="#000000">
                <v:path arrowok="t"/>
              </v:shape>
            </v:group>
            <v:group style="position:absolute;left:2832;top:-20;width:1467;height:2" coordorigin="2832,-20" coordsize="1467,2">
              <v:shape style="position:absolute;left:2832;top:-20;width:1467;height:2" coordorigin="2832,-20" coordsize="1467,0" path="m2832,-20l4298,-20e" filled="false" stroked="true" strokeweight=".48pt" strokecolor="#000000">
                <v:path arrowok="t"/>
              </v:shape>
            </v:group>
            <w10:wrap type="none"/>
          </v:group>
        </w:pict>
      </w:r>
      <w:r>
        <w:rPr/>
        <w:pict>
          <v:group style="position:absolute;margin-left:311.519989pt;margin-top:-2.186343pt;width:69.75pt;height:1.45pt;mso-position-horizontal-relative:page;mso-position-vertical-relative:paragraph;z-index:-627280" coordorigin="6230,-44" coordsize="1395,29">
            <v:group style="position:absolute;left:6235;top:-39;width:1385;height:2" coordorigin="6235,-39" coordsize="1385,2">
              <v:shape style="position:absolute;left:6235;top:-39;width:1385;height:2" coordorigin="6235,-39" coordsize="1385,0" path="m6235,-39l7620,-39e" filled="false" stroked="true" strokeweight=".48pt" strokecolor="#000000">
                <v:path arrowok="t"/>
              </v:shape>
            </v:group>
            <v:group style="position:absolute;left:6235;top:-20;width:1385;height:2" coordorigin="6235,-20" coordsize="1385,2">
              <v:shape style="position:absolute;left:6235;top:-20;width:1385;height:2" coordorigin="6235,-20" coordsize="1385,0" path="m6235,-20l7620,-20e" filled="false" stroked="true" strokeweight=".48pt" strokecolor="#000000">
                <v:path arrowok="t"/>
              </v:shape>
            </v:group>
            <w10:wrap type="none"/>
          </v:group>
        </w:pict>
      </w:r>
      <w:r>
        <w:rPr>
          <w:w w:val="95"/>
        </w:rPr>
        <w:t>（</w:t>
      </w:r>
      <w:r>
        <w:rPr>
          <w:rFonts w:ascii="Times New Roman" w:hAnsi="Times New Roman" w:cs="Times New Roman" w:eastAsia="Times New Roman" w:hint="default"/>
          <w:w w:val="95"/>
        </w:rPr>
        <w:t>4</w:t>
      </w:r>
      <w:r>
        <w:rPr>
          <w:w w:val="95"/>
        </w:rPr>
        <w:t>）主营业务收入（分地区）</w:t>
      </w:r>
      <w:r>
        <w:rPr/>
      </w:r>
    </w:p>
    <w:p>
      <w:pPr>
        <w:spacing w:line="240" w:lineRule="auto" w:before="7"/>
        <w:rPr>
          <w:rFonts w:ascii="宋体" w:hAnsi="宋体" w:cs="宋体" w:eastAsia="宋体" w:hint="default"/>
          <w:sz w:val="19"/>
          <w:szCs w:val="19"/>
        </w:rPr>
      </w:pPr>
    </w:p>
    <w:p>
      <w:pPr>
        <w:spacing w:before="0"/>
        <w:ind w:left="1265" w:right="1807" w:firstLine="0"/>
        <w:jc w:val="center"/>
        <w:rPr>
          <w:rFonts w:ascii="宋体" w:hAnsi="宋体" w:cs="宋体" w:eastAsia="宋体" w:hint="default"/>
          <w:sz w:val="18"/>
          <w:szCs w:val="18"/>
        </w:rPr>
      </w:pPr>
      <w:r>
        <w:rPr/>
        <w:pict>
          <v:group style="position:absolute;margin-left:212.159988pt;margin-top:7.271706pt;width:250.45pt;height:.1pt;mso-position-horizontal-relative:page;mso-position-vertical-relative:paragraph;z-index:8560" coordorigin="4243,145" coordsize="5009,2">
            <v:shape style="position:absolute;left:4243;top:145;width:5009;height:2" coordorigin="4243,145" coordsize="5009,0" path="m4243,145l9252,145e" filled="false" stroked="true" strokeweight=".48pt" strokecolor="#000000">
              <v:path arrowok="t"/>
            </v:shape>
            <w10:wrap type="none"/>
          </v:group>
        </w:pict>
      </w: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r>
        <w:rPr/>
        <w:br w:type="column"/>
      </w:r>
      <w:r>
        <w:rPr>
          <w:rFonts w:ascii="宋体"/>
          <w:sz w:val="18"/>
        </w:rPr>
      </w:r>
    </w:p>
    <w:p>
      <w:pPr>
        <w:spacing w:before="156"/>
        <w:ind w:left="0" w:right="1921" w:firstLine="0"/>
        <w:jc w:val="center"/>
        <w:rPr>
          <w:rFonts w:ascii="宋体" w:hAnsi="宋体" w:cs="宋体" w:eastAsia="宋体" w:hint="default"/>
          <w:sz w:val="18"/>
          <w:szCs w:val="18"/>
        </w:rPr>
      </w:pPr>
      <w:r>
        <w:rPr>
          <w:rFonts w:ascii="宋体" w:hAnsi="宋体" w:cs="宋体" w:eastAsia="宋体" w:hint="default"/>
          <w:sz w:val="18"/>
          <w:szCs w:val="18"/>
        </w:rPr>
        <w:t>营业收入</w:t>
      </w:r>
    </w:p>
    <w:p>
      <w:pPr>
        <w:tabs>
          <w:tab w:pos="2656" w:val="left" w:leader="none"/>
        </w:tabs>
        <w:spacing w:before="95"/>
        <w:ind w:left="0" w:right="1876" w:firstLine="0"/>
        <w:jc w:val="center"/>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after="0"/>
        <w:jc w:val="center"/>
        <w:rPr>
          <w:rFonts w:ascii="宋体" w:hAnsi="宋体" w:cs="宋体" w:eastAsia="宋体" w:hint="default"/>
          <w:sz w:val="18"/>
          <w:szCs w:val="18"/>
        </w:rPr>
        <w:sectPr>
          <w:type w:val="continuous"/>
          <w:pgSz w:w="11910" w:h="16840"/>
          <w:pgMar w:top="1580" w:bottom="280" w:left="1020" w:right="1020"/>
          <w:cols w:num="2" w:equalWidth="0">
            <w:col w:w="3473" w:space="40"/>
            <w:col w:w="6357"/>
          </w:cols>
        </w:sectPr>
      </w:pPr>
    </w:p>
    <w:p>
      <w:pPr>
        <w:spacing w:line="240" w:lineRule="auto" w:before="5"/>
        <w:rPr>
          <w:rFonts w:ascii="宋体" w:hAnsi="宋体" w:cs="宋体" w:eastAsia="宋体" w:hint="default"/>
          <w:sz w:val="5"/>
          <w:szCs w:val="5"/>
        </w:rPr>
      </w:pPr>
    </w:p>
    <w:p>
      <w:pPr>
        <w:tabs>
          <w:tab w:pos="3218" w:val="left" w:leader="none"/>
          <w:tab w:pos="5920" w:val="left" w:leader="none"/>
        </w:tabs>
        <w:spacing w:line="20" w:lineRule="exact"/>
        <w:ind w:left="108" w:right="0" w:firstLine="0"/>
        <w:rPr>
          <w:rFonts w:ascii="宋体" w:hAnsi="宋体" w:cs="宋体" w:eastAsia="宋体" w:hint="default"/>
          <w:sz w:val="2"/>
          <w:szCs w:val="2"/>
        </w:rPr>
      </w:pPr>
      <w:r>
        <w:rPr>
          <w:rFonts w:ascii="宋体"/>
          <w:sz w:val="2"/>
        </w:rPr>
        <w:pict>
          <v:group style="width:135.6pt;height:.5pt;mso-position-horizontal-relative:char;mso-position-vertical-relative:line" coordorigin="0,0" coordsize="2712,10">
            <v:group style="position:absolute;left:5;top:5;width:2703;height:2" coordorigin="5,5" coordsize="2703,2">
              <v:shape style="position:absolute;left:5;top:5;width:2703;height:2" coordorigin="5,5" coordsize="2703,0" path="m5,5l2707,5e" filled="false" stroked="true" strokeweight=".48pt" strokecolor="#000000">
                <v:path arrowok="t"/>
              </v:shape>
            </v:group>
          </v:group>
        </w:pict>
      </w:r>
      <w:r>
        <w:rPr>
          <w:rFonts w:ascii="宋体"/>
          <w:sz w:val="2"/>
        </w:rPr>
      </w:r>
      <w:r>
        <w:rPr>
          <w:rFonts w:ascii="宋体"/>
          <w:sz w:val="2"/>
        </w:rPr>
        <w:tab/>
      </w:r>
      <w:r>
        <w:rPr>
          <w:rFonts w:ascii="宋体"/>
          <w:sz w:val="2"/>
        </w:rPr>
        <w:pict>
          <v:group style="width:115.95pt;height:.5pt;mso-position-horizontal-relative:char;mso-position-vertical-relative:line" coordorigin="0,0" coordsize="2319,10">
            <v:group style="position:absolute;left:5;top:5;width:2309;height:2" coordorigin="5,5" coordsize="2309,2">
              <v:shape style="position:absolute;left:5;top:5;width:2309;height:2" coordorigin="5,5" coordsize="2309,0" path="m5,5l2314,5e" filled="false" stroked="true" strokeweight=".48pt" strokecolor="#000000">
                <v:path arrowok="t"/>
              </v:shape>
            </v:group>
          </v:group>
        </w:pict>
      </w:r>
      <w:r>
        <w:rPr>
          <w:rFonts w:ascii="宋体"/>
          <w:sz w:val="2"/>
        </w:rPr>
      </w:r>
      <w:r>
        <w:rPr>
          <w:rFonts w:ascii="宋体"/>
          <w:sz w:val="2"/>
        </w:rPr>
        <w:tab/>
      </w:r>
      <w:r>
        <w:rPr>
          <w:rFonts w:ascii="宋体"/>
          <w:sz w:val="2"/>
        </w:rPr>
        <w:pict>
          <v:group style="width:115.8pt;height:.5pt;mso-position-horizontal-relative:char;mso-position-vertical-relative:line" coordorigin="0,0" coordsize="2316,10">
            <v:group style="position:absolute;left:5;top:5;width:2307;height:2" coordorigin="5,5" coordsize="2307,2">
              <v:shape style="position:absolute;left:5;top:5;width:2307;height:2" coordorigin="5,5" coordsize="2307,0" path="m5,5l2311,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80" w:bottom="280" w:left="1020" w:right="1020"/>
        </w:sectPr>
      </w:pPr>
    </w:p>
    <w:p>
      <w:pPr>
        <w:spacing w:line="202" w:lineRule="exact" w:before="76"/>
        <w:ind w:left="1531" w:right="0" w:firstLine="0"/>
        <w:jc w:val="center"/>
        <w:rPr>
          <w:rFonts w:ascii="宋体" w:hAnsi="宋体" w:cs="宋体" w:eastAsia="宋体" w:hint="default"/>
          <w:sz w:val="18"/>
          <w:szCs w:val="18"/>
        </w:rPr>
      </w:pPr>
      <w:r>
        <w:rPr/>
        <w:pict>
          <v:group style="position:absolute;margin-left:56.279999pt;margin-top:1.231729pt;width:482.65pt;height:12.4pt;mso-position-horizontal-relative:page;mso-position-vertical-relative:paragraph;z-index:-627160" coordorigin="1126,25" coordsize="9653,248">
            <v:shape style="position:absolute;left:1135;top:25;width:797;height:144" type="#_x0000_t75" stroked="false">
              <v:imagedata r:id="rId8" o:title=""/>
            </v:shape>
            <v:shape style="position:absolute;left:1966;top:25;width:430;height:101" type="#_x0000_t75" stroked="false">
              <v:imagedata r:id="rId9" o:title=""/>
            </v:shape>
            <v:group style="position:absolute;left:1133;top:178;width:1251;height:94" coordorigin="1133,178" coordsize="1251,94">
              <v:shape style="position:absolute;left:1133;top:178;width:1251;height:94" coordorigin="1133,178" coordsize="1251,94" path="m1133,272l1227,257,1312,245,1407,234,1511,224,1646,213,1819,203,2383,178,1133,272xe" filled="true" fillcolor="#074278" stroked="false">
                <v:path arrowok="t"/>
                <v:fill type="solid"/>
              </v:shape>
            </v:group>
            <v:group style="position:absolute;left:1133;top:44;width:9639;height:2" coordorigin="1133,44" coordsize="9639,2">
              <v:shape style="position:absolute;left:1133;top:44;width:9639;height:2" coordorigin="1133,44" coordsize="9639,0" path="m1133,44l10771,44e" filled="false" stroked="true" strokeweight=".72pt" strokecolor="#000000">
                <v:path arrowok="t"/>
              </v:shape>
            </v:group>
            <w10:wrap type="none"/>
          </v:group>
        </w:pict>
      </w:r>
      <w:r>
        <w:rPr>
          <w:rFonts w:ascii="宋体" w:hAnsi="宋体" w:cs="宋体" w:eastAsia="宋体" w:hint="default"/>
          <w:sz w:val="18"/>
          <w:szCs w:val="18"/>
        </w:rPr>
        <w:t>营业收入</w:t>
      </w:r>
    </w:p>
    <w:p>
      <w:pPr>
        <w:spacing w:line="166" w:lineRule="exact" w:before="0"/>
        <w:ind w:left="1283" w:right="733" w:firstLine="0"/>
        <w:jc w:val="left"/>
        <w:rPr>
          <w:rFonts w:ascii="宋体" w:hAnsi="宋体" w:cs="宋体" w:eastAsia="宋体" w:hint="default"/>
          <w:sz w:val="18"/>
          <w:szCs w:val="18"/>
        </w:rPr>
      </w:pPr>
      <w:r>
        <w:rPr/>
        <w:pict>
          <v:group style="position:absolute;margin-left:212.159988pt;margin-top:5.463045pt;width:250.45pt;height:.1pt;mso-position-horizontal-relative:page;mso-position-vertical-relative:paragraph;z-index:8680" coordorigin="4243,109" coordsize="5009,2">
            <v:shape style="position:absolute;left:4243;top:109;width:5009;height:2" coordorigin="4243,109" coordsize="5009,0" path="m4243,109l9252,109e" filled="false" stroked="true" strokeweight=".48pt" strokecolor="#000000">
              <v:path arrowok="t"/>
            </v:shape>
            <w10:wrap type="none"/>
          </v:group>
        </w:pict>
      </w:r>
      <w:r>
        <w:rPr>
          <w:rFonts w:ascii="宋体" w:hAnsi="宋体" w:cs="宋体" w:eastAsia="宋体" w:hint="default"/>
          <w:sz w:val="18"/>
          <w:szCs w:val="18"/>
        </w:rPr>
        <w:t>项目</w:t>
      </w:r>
    </w:p>
    <w:p>
      <w:pPr>
        <w:tabs>
          <w:tab w:pos="4231" w:val="left" w:leader="none"/>
        </w:tabs>
        <w:spacing w:line="199" w:lineRule="exact" w:before="0"/>
        <w:ind w:left="1574" w:right="0" w:firstLine="0"/>
        <w:jc w:val="center"/>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0"/>
        <w:rPr>
          <w:rFonts w:ascii="宋体" w:hAnsi="宋体" w:cs="宋体" w:eastAsia="宋体" w:hint="default"/>
          <w:sz w:val="5"/>
          <w:szCs w:val="5"/>
        </w:rPr>
      </w:pPr>
    </w:p>
    <w:tbl>
      <w:tblPr>
        <w:tblW w:w="0" w:type="auto"/>
        <w:jc w:val="left"/>
        <w:tblInd w:w="188" w:type="dxa"/>
        <w:tblLayout w:type="fixed"/>
        <w:tblCellMar>
          <w:top w:w="0" w:type="dxa"/>
          <w:left w:w="0" w:type="dxa"/>
          <w:bottom w:w="0" w:type="dxa"/>
          <w:right w:w="0" w:type="dxa"/>
        </w:tblCellMar>
        <w:tblLook w:val="01E0"/>
      </w:tblPr>
      <w:tblGrid>
        <w:gridCol w:w="1277"/>
        <w:gridCol w:w="1350"/>
        <w:gridCol w:w="408"/>
        <w:gridCol w:w="2309"/>
        <w:gridCol w:w="394"/>
        <w:gridCol w:w="2306"/>
      </w:tblGrid>
      <w:tr>
        <w:trPr>
          <w:trHeight w:val="331" w:hRule="exact"/>
        </w:trPr>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50" w:type="dxa"/>
            <w:tcBorders>
              <w:top w:val="single" w:sz="4" w:space="0" w:color="000000"/>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791"/>
              <w:jc w:val="right"/>
              <w:rPr>
                <w:rFonts w:ascii="Times New Roman" w:hAnsi="Times New Roman" w:cs="Times New Roman" w:eastAsia="Times New Roman" w:hint="default"/>
                <w:sz w:val="18"/>
                <w:szCs w:val="18"/>
              </w:rPr>
            </w:pPr>
            <w:r>
              <w:rPr>
                <w:rFonts w:ascii="Times New Roman"/>
                <w:spacing w:val="-1"/>
                <w:sz w:val="18"/>
              </w:rPr>
              <w:t>76,412,969.53</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788"/>
              <w:jc w:val="right"/>
              <w:rPr>
                <w:rFonts w:ascii="Times New Roman" w:hAnsi="Times New Roman" w:cs="Times New Roman" w:eastAsia="Times New Roman" w:hint="default"/>
                <w:sz w:val="18"/>
                <w:szCs w:val="18"/>
              </w:rPr>
            </w:pPr>
            <w:r>
              <w:rPr>
                <w:rFonts w:ascii="Times New Roman"/>
                <w:spacing w:val="-1"/>
                <w:sz w:val="18"/>
              </w:rPr>
              <w:t>61,076,423.84</w:t>
            </w:r>
          </w:p>
        </w:tc>
      </w:tr>
      <w:tr>
        <w:trPr>
          <w:trHeight w:val="322"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50"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1"/>
              <w:jc w:val="right"/>
              <w:rPr>
                <w:rFonts w:ascii="Times New Roman" w:hAnsi="Times New Roman" w:cs="Times New Roman" w:eastAsia="Times New Roman" w:hint="default"/>
                <w:sz w:val="18"/>
                <w:szCs w:val="18"/>
              </w:rPr>
            </w:pPr>
            <w:r>
              <w:rPr>
                <w:rFonts w:ascii="Times New Roman"/>
                <w:spacing w:val="-1"/>
                <w:sz w:val="18"/>
              </w:rPr>
              <w:t>13,448,543.75</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8"/>
              <w:jc w:val="right"/>
              <w:rPr>
                <w:rFonts w:ascii="Times New Roman" w:hAnsi="Times New Roman" w:cs="Times New Roman" w:eastAsia="Times New Roman" w:hint="default"/>
                <w:sz w:val="18"/>
                <w:szCs w:val="18"/>
              </w:rPr>
            </w:pPr>
            <w:r>
              <w:rPr>
                <w:rFonts w:ascii="Times New Roman"/>
                <w:spacing w:val="-1"/>
                <w:sz w:val="18"/>
              </w:rPr>
              <w:t>14,465,779.23</w:t>
            </w:r>
          </w:p>
        </w:tc>
      </w:tr>
      <w:tr>
        <w:trPr>
          <w:trHeight w:val="322"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50"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1"/>
              <w:jc w:val="right"/>
              <w:rPr>
                <w:rFonts w:ascii="Times New Roman" w:hAnsi="Times New Roman" w:cs="Times New Roman" w:eastAsia="Times New Roman" w:hint="default"/>
                <w:sz w:val="18"/>
                <w:szCs w:val="18"/>
              </w:rPr>
            </w:pPr>
            <w:r>
              <w:rPr>
                <w:rFonts w:ascii="Times New Roman"/>
                <w:spacing w:val="-1"/>
                <w:sz w:val="18"/>
              </w:rPr>
              <w:t>22,705,121.43</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8"/>
              <w:jc w:val="right"/>
              <w:rPr>
                <w:rFonts w:ascii="Times New Roman" w:hAnsi="Times New Roman" w:cs="Times New Roman" w:eastAsia="Times New Roman" w:hint="default"/>
                <w:sz w:val="18"/>
                <w:szCs w:val="18"/>
              </w:rPr>
            </w:pPr>
            <w:r>
              <w:rPr>
                <w:rFonts w:ascii="Times New Roman"/>
                <w:spacing w:val="-1"/>
                <w:sz w:val="18"/>
              </w:rPr>
              <w:t>7,647,293.31</w:t>
            </w:r>
          </w:p>
        </w:tc>
      </w:tr>
      <w:tr>
        <w:trPr>
          <w:trHeight w:val="320"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350"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1"/>
              <w:jc w:val="right"/>
              <w:rPr>
                <w:rFonts w:ascii="Times New Roman" w:hAnsi="Times New Roman" w:cs="Times New Roman" w:eastAsia="Times New Roman" w:hint="default"/>
                <w:sz w:val="18"/>
                <w:szCs w:val="18"/>
              </w:rPr>
            </w:pPr>
            <w:r>
              <w:rPr>
                <w:rFonts w:ascii="Times New Roman"/>
                <w:spacing w:val="-1"/>
                <w:sz w:val="18"/>
              </w:rPr>
              <w:t>13,552,333.36</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8"/>
              <w:jc w:val="right"/>
              <w:rPr>
                <w:rFonts w:ascii="Times New Roman" w:hAnsi="Times New Roman" w:cs="Times New Roman" w:eastAsia="Times New Roman" w:hint="default"/>
                <w:sz w:val="18"/>
                <w:szCs w:val="18"/>
              </w:rPr>
            </w:pPr>
            <w:r>
              <w:rPr>
                <w:rFonts w:ascii="Times New Roman"/>
                <w:spacing w:val="-1"/>
                <w:sz w:val="18"/>
              </w:rPr>
              <w:t>7,794,315.53</w:t>
            </w:r>
          </w:p>
        </w:tc>
      </w:tr>
      <w:tr>
        <w:trPr>
          <w:trHeight w:val="320"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350"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788"/>
              <w:jc w:val="right"/>
              <w:rPr>
                <w:rFonts w:ascii="Times New Roman" w:hAnsi="Times New Roman" w:cs="Times New Roman" w:eastAsia="Times New Roman" w:hint="default"/>
                <w:sz w:val="18"/>
                <w:szCs w:val="18"/>
              </w:rPr>
            </w:pPr>
            <w:r>
              <w:rPr>
                <w:rFonts w:ascii="Times New Roman"/>
                <w:spacing w:val="-1"/>
                <w:sz w:val="18"/>
              </w:rPr>
              <w:t>126,118,968.07</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788"/>
              <w:jc w:val="right"/>
              <w:rPr>
                <w:rFonts w:ascii="Times New Roman" w:hAnsi="Times New Roman" w:cs="Times New Roman" w:eastAsia="Times New Roman" w:hint="default"/>
                <w:sz w:val="18"/>
                <w:szCs w:val="18"/>
              </w:rPr>
            </w:pPr>
            <w:r>
              <w:rPr>
                <w:rFonts w:ascii="Times New Roman"/>
                <w:spacing w:val="-1"/>
                <w:sz w:val="18"/>
              </w:rPr>
              <w:t>90,983,811.91</w:t>
            </w:r>
          </w:p>
        </w:tc>
      </w:tr>
      <w:tr>
        <w:trPr>
          <w:trHeight w:val="331"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50"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788"/>
              <w:jc w:val="right"/>
              <w:rPr>
                <w:rFonts w:ascii="Times New Roman" w:hAnsi="Times New Roman" w:cs="Times New Roman" w:eastAsia="Times New Roman" w:hint="default"/>
                <w:sz w:val="18"/>
                <w:szCs w:val="18"/>
              </w:rPr>
            </w:pPr>
            <w:r>
              <w:rPr>
                <w:rFonts w:ascii="Times New Roman"/>
                <w:spacing w:val="-1"/>
                <w:sz w:val="18"/>
              </w:rPr>
              <w:t>8,882,296.87</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788"/>
              <w:jc w:val="right"/>
              <w:rPr>
                <w:rFonts w:ascii="Times New Roman" w:hAnsi="Times New Roman" w:cs="Times New Roman" w:eastAsia="Times New Roman" w:hint="default"/>
                <w:sz w:val="18"/>
                <w:szCs w:val="18"/>
              </w:rPr>
            </w:pPr>
            <w:r>
              <w:rPr>
                <w:rFonts w:ascii="Times New Roman"/>
                <w:spacing w:val="-1"/>
                <w:sz w:val="18"/>
              </w:rPr>
              <w:t>3,632,661.62</w:t>
            </w:r>
          </w:p>
        </w:tc>
      </w:tr>
      <w:tr>
        <w:trPr>
          <w:trHeight w:val="322"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50"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1"/>
              <w:jc w:val="right"/>
              <w:rPr>
                <w:rFonts w:ascii="Times New Roman" w:hAnsi="Times New Roman" w:cs="Times New Roman" w:eastAsia="Times New Roman" w:hint="default"/>
                <w:sz w:val="18"/>
                <w:szCs w:val="18"/>
              </w:rPr>
            </w:pPr>
            <w:r>
              <w:rPr>
                <w:rFonts w:ascii="Times New Roman"/>
                <w:spacing w:val="-1"/>
                <w:sz w:val="18"/>
              </w:rPr>
              <w:t>16,966,759.91</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8"/>
              <w:jc w:val="right"/>
              <w:rPr>
                <w:rFonts w:ascii="Times New Roman" w:hAnsi="Times New Roman" w:cs="Times New Roman" w:eastAsia="Times New Roman" w:hint="default"/>
                <w:sz w:val="18"/>
                <w:szCs w:val="18"/>
              </w:rPr>
            </w:pPr>
            <w:r>
              <w:rPr>
                <w:rFonts w:ascii="Times New Roman"/>
                <w:spacing w:val="-1"/>
                <w:sz w:val="18"/>
              </w:rPr>
              <w:t>12,624,250.25</w:t>
            </w:r>
          </w:p>
        </w:tc>
      </w:tr>
      <w:tr>
        <w:trPr>
          <w:trHeight w:val="321"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50"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91"/>
              <w:jc w:val="right"/>
              <w:rPr>
                <w:rFonts w:ascii="Times New Roman" w:hAnsi="Times New Roman" w:cs="Times New Roman" w:eastAsia="Times New Roman" w:hint="default"/>
                <w:sz w:val="18"/>
                <w:szCs w:val="18"/>
              </w:rPr>
            </w:pPr>
            <w:r>
              <w:rPr>
                <w:rFonts w:ascii="Times New Roman"/>
                <w:spacing w:val="-1"/>
                <w:sz w:val="18"/>
              </w:rPr>
              <w:t>17,950,978.05</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88"/>
              <w:jc w:val="right"/>
              <w:rPr>
                <w:rFonts w:ascii="Times New Roman" w:hAnsi="Times New Roman" w:cs="Times New Roman" w:eastAsia="Times New Roman" w:hint="default"/>
                <w:sz w:val="18"/>
                <w:szCs w:val="18"/>
              </w:rPr>
            </w:pPr>
            <w:r>
              <w:rPr>
                <w:rFonts w:ascii="Times New Roman"/>
                <w:spacing w:val="-1"/>
                <w:sz w:val="18"/>
              </w:rPr>
              <w:t>12,988,867.17</w:t>
            </w:r>
          </w:p>
        </w:tc>
      </w:tr>
      <w:tr>
        <w:trPr>
          <w:trHeight w:val="341"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08" w:type="dxa"/>
            <w:tcBorders>
              <w:top w:val="nil" w:sz="6" w:space="0" w:color="auto"/>
              <w:left w:val="nil" w:sz="6" w:space="0" w:color="auto"/>
              <w:bottom w:val="nil" w:sz="6" w:space="0" w:color="auto"/>
              <w:right w:val="nil" w:sz="6" w:space="0" w:color="auto"/>
            </w:tcBorders>
          </w:tcPr>
          <w:p>
            <w:pPr/>
          </w:p>
        </w:tc>
        <w:tc>
          <w:tcPr>
            <w:tcW w:w="2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788"/>
              <w:jc w:val="right"/>
              <w:rPr>
                <w:rFonts w:ascii="Times New Roman" w:hAnsi="Times New Roman" w:cs="Times New Roman" w:eastAsia="Times New Roman" w:hint="default"/>
                <w:sz w:val="18"/>
                <w:szCs w:val="18"/>
              </w:rPr>
            </w:pPr>
            <w:r>
              <w:rPr>
                <w:rFonts w:ascii="Times New Roman"/>
                <w:spacing w:val="-1"/>
                <w:sz w:val="18"/>
              </w:rPr>
              <w:t>169,919,002.90</w:t>
            </w:r>
          </w:p>
        </w:tc>
        <w:tc>
          <w:tcPr>
            <w:tcW w:w="394" w:type="dxa"/>
            <w:tcBorders>
              <w:top w:val="nil" w:sz="6" w:space="0" w:color="auto"/>
              <w:left w:val="nil" w:sz="6" w:space="0" w:color="auto"/>
              <w:bottom w:val="nil" w:sz="6" w:space="0" w:color="auto"/>
              <w:right w:val="nil" w:sz="6" w:space="0" w:color="auto"/>
            </w:tcBorders>
          </w:tcPr>
          <w:p>
            <w:pPr/>
          </w:p>
        </w:tc>
        <w:tc>
          <w:tcPr>
            <w:tcW w:w="2306"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788"/>
              <w:jc w:val="right"/>
              <w:rPr>
                <w:rFonts w:ascii="Times New Roman" w:hAnsi="Times New Roman" w:cs="Times New Roman" w:eastAsia="Times New Roman" w:hint="default"/>
                <w:sz w:val="18"/>
                <w:szCs w:val="18"/>
              </w:rPr>
            </w:pPr>
            <w:r>
              <w:rPr>
                <w:rFonts w:ascii="Times New Roman"/>
                <w:spacing w:val="-1"/>
                <w:sz w:val="18"/>
              </w:rPr>
              <w:t>120,229,590.95</w:t>
            </w:r>
          </w:p>
        </w:tc>
      </w:tr>
      <w:tr>
        <w:trPr>
          <w:trHeight w:val="399" w:hRule="exact"/>
        </w:trPr>
        <w:tc>
          <w:tcPr>
            <w:tcW w:w="804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3"/>
              <w:ind w:left="286" w:right="0"/>
              <w:jc w:val="left"/>
              <w:rPr>
                <w:rFonts w:ascii="宋体" w:hAnsi="宋体" w:cs="宋体" w:eastAsia="宋体" w:hint="default"/>
                <w:sz w:val="18"/>
                <w:szCs w:val="18"/>
              </w:rPr>
            </w:pPr>
            <w:r>
              <w:rPr>
                <w:rFonts w:ascii="宋体" w:hAnsi="宋体" w:cs="宋体" w:eastAsia="宋体" w:hint="default"/>
                <w:sz w:val="18"/>
                <w:szCs w:val="18"/>
              </w:rPr>
              <w:t>注：公司前五名客户的营业收入情况：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4"/>
        <w:ind w:left="535" w:right="733"/>
        <w:jc w:val="left"/>
      </w:pPr>
      <w:r>
        <w:rPr/>
        <w:pict>
          <v:shape style="position:absolute;margin-left:56.639999pt;margin-top:-137.490707pt;width:484.1pt;height:123.05pt;mso-position-horizontal-relative:page;mso-position-vertical-relative:paragraph;z-index:8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3406"/>
                    <w:gridCol w:w="331"/>
                    <w:gridCol w:w="2033"/>
                    <w:gridCol w:w="326"/>
                    <w:gridCol w:w="2256"/>
                  </w:tblGrid>
                  <w:tr>
                    <w:trPr>
                      <w:trHeight w:val="391" w:hRule="exact"/>
                    </w:trPr>
                    <w:tc>
                      <w:tcPr>
                        <w:tcW w:w="1330" w:type="dxa"/>
                        <w:tcBorders>
                          <w:top w:val="nil" w:sz="6" w:space="0" w:color="auto"/>
                          <w:left w:val="nil" w:sz="6" w:space="0" w:color="auto"/>
                          <w:bottom w:val="single" w:sz="4" w:space="0" w:color="000000"/>
                          <w:right w:val="nil" w:sz="6" w:space="0" w:color="auto"/>
                        </w:tcBorders>
                      </w:tcPr>
                      <w:p>
                        <w:pPr/>
                      </w:p>
                    </w:tc>
                    <w:tc>
                      <w:tcPr>
                        <w:tcW w:w="340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325"/>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57"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占本期销售收入比例</w:t>
                        </w:r>
                      </w:p>
                    </w:tc>
                  </w:tr>
                  <w:tr>
                    <w:trPr>
                      <w:trHeight w:val="346" w:hRule="exact"/>
                    </w:trPr>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single" w:sz="4" w:space="0" w:color="000000"/>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10,340,935.90</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6.09%</w:t>
                        </w:r>
                      </w:p>
                    </w:tc>
                  </w:tr>
                  <w:tr>
                    <w:trPr>
                      <w:trHeight w:val="335"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pacing w:val="-1"/>
                            <w:sz w:val="18"/>
                          </w:rPr>
                          <w:t>8,812,861.53</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Times New Roman"/>
                            <w:sz w:val="18"/>
                          </w:rPr>
                          <w:t>5.19%</w:t>
                        </w:r>
                      </w:p>
                    </w:tc>
                  </w:tr>
                  <w:tr>
                    <w:trPr>
                      <w:trHeight w:val="335"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Times New Roman" w:hAnsi="Times New Roman" w:cs="Times New Roman" w:eastAsia="Times New Roman" w:hint="default"/>
                            <w:sz w:val="18"/>
                            <w:szCs w:val="18"/>
                          </w:rPr>
                        </w:pPr>
                        <w:r>
                          <w:rPr>
                            <w:rFonts w:ascii="Times New Roman"/>
                            <w:spacing w:val="-1"/>
                            <w:sz w:val="18"/>
                          </w:rPr>
                          <w:t>5,704,275.83</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 w:right="0"/>
                          <w:jc w:val="center"/>
                          <w:rPr>
                            <w:rFonts w:ascii="Times New Roman" w:hAnsi="Times New Roman" w:cs="Times New Roman" w:eastAsia="Times New Roman" w:hint="default"/>
                            <w:sz w:val="18"/>
                            <w:szCs w:val="18"/>
                          </w:rPr>
                        </w:pPr>
                        <w:r>
                          <w:rPr>
                            <w:rFonts w:ascii="Times New Roman"/>
                            <w:sz w:val="18"/>
                          </w:rPr>
                          <w:t>3.36%</w:t>
                        </w:r>
                      </w:p>
                    </w:tc>
                  </w:tr>
                  <w:tr>
                    <w:trPr>
                      <w:trHeight w:val="335"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pacing w:val="-1"/>
                            <w:sz w:val="18"/>
                          </w:rPr>
                          <w:t>4,537,042.75</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Times New Roman"/>
                            <w:sz w:val="18"/>
                          </w:rPr>
                          <w:t>2.67%</w:t>
                        </w:r>
                      </w:p>
                    </w:tc>
                  </w:tr>
                  <w:tr>
                    <w:trPr>
                      <w:trHeight w:val="335"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2"/>
                          <w:jc w:val="right"/>
                          <w:rPr>
                            <w:rFonts w:ascii="Times New Roman" w:hAnsi="Times New Roman" w:cs="Times New Roman" w:eastAsia="Times New Roman" w:hint="default"/>
                            <w:sz w:val="18"/>
                            <w:szCs w:val="18"/>
                          </w:rPr>
                        </w:pPr>
                        <w:r>
                          <w:rPr>
                            <w:rFonts w:ascii="Times New Roman"/>
                            <w:spacing w:val="-1"/>
                            <w:sz w:val="18"/>
                          </w:rPr>
                          <w:t>4,205,982.91</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 w:right="0"/>
                          <w:jc w:val="center"/>
                          <w:rPr>
                            <w:rFonts w:ascii="Times New Roman" w:hAnsi="Times New Roman" w:cs="Times New Roman" w:eastAsia="Times New Roman" w:hint="default"/>
                            <w:sz w:val="18"/>
                            <w:szCs w:val="18"/>
                          </w:rPr>
                        </w:pPr>
                        <w:r>
                          <w:rPr>
                            <w:rFonts w:ascii="Times New Roman"/>
                            <w:sz w:val="18"/>
                          </w:rPr>
                          <w:t>2.48%</w:t>
                        </w:r>
                      </w:p>
                    </w:tc>
                  </w:tr>
                  <w:tr>
                    <w:trPr>
                      <w:trHeight w:val="355" w:hRule="exact"/>
                    </w:trPr>
                    <w:tc>
                      <w:tcPr>
                        <w:tcW w:w="1330"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34" w:lineRule="exact"/>
                          <w:ind w:right="1325"/>
                          <w:jc w:val="center"/>
                          <w:rPr>
                            <w:rFonts w:ascii="宋体" w:hAnsi="宋体" w:cs="宋体" w:eastAsia="宋体" w:hint="default"/>
                            <w:sz w:val="18"/>
                            <w:szCs w:val="18"/>
                          </w:rPr>
                        </w:pPr>
                        <w:r>
                          <w:rPr>
                            <w:rFonts w:ascii="宋体" w:hAnsi="宋体" w:cs="宋体" w:eastAsia="宋体" w:hint="default"/>
                            <w:sz w:val="18"/>
                            <w:szCs w:val="18"/>
                          </w:rPr>
                          <w:t>小计</w:t>
                        </w: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33,601,098.92</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19.79%</w:t>
                        </w:r>
                      </w:p>
                    </w:tc>
                  </w:tr>
                </w:tbl>
                <w:p>
                  <w:pPr/>
                </w:p>
              </w:txbxContent>
            </v:textbox>
            <w10:wrap type="none"/>
          </v:shape>
        </w:pict>
      </w:r>
      <w:r>
        <w:rPr>
          <w:rFonts w:ascii="Times New Roman" w:hAnsi="Times New Roman" w:cs="Times New Roman" w:eastAsia="Times New Roman" w:hint="default"/>
        </w:rPr>
        <w:t>26</w:t>
      </w:r>
      <w:r>
        <w:rPr/>
        <w:t>、营业税金及附加</w:t>
      </w:r>
    </w:p>
    <w:p>
      <w:pPr>
        <w:spacing w:line="240" w:lineRule="auto" w:before="0"/>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517"/>
        <w:gridCol w:w="416"/>
        <w:gridCol w:w="1933"/>
        <w:gridCol w:w="444"/>
        <w:gridCol w:w="2460"/>
        <w:gridCol w:w="463"/>
        <w:gridCol w:w="2462"/>
      </w:tblGrid>
      <w:tr>
        <w:trPr>
          <w:trHeight w:val="365" w:hRule="exact"/>
        </w:trPr>
        <w:tc>
          <w:tcPr>
            <w:tcW w:w="1517" w:type="dxa"/>
            <w:tcBorders>
              <w:top w:val="nil" w:sz="6" w:space="0" w:color="auto"/>
              <w:left w:val="nil" w:sz="6" w:space="0" w:color="auto"/>
              <w:bottom w:val="single" w:sz="4" w:space="0" w:color="000000"/>
              <w:right w:val="nil" w:sz="6" w:space="0" w:color="auto"/>
            </w:tcBorders>
          </w:tcPr>
          <w:p>
            <w:pPr/>
          </w:p>
        </w:tc>
        <w:tc>
          <w:tcPr>
            <w:tcW w:w="4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9" w:hRule="exact"/>
        </w:trPr>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16" w:type="dxa"/>
            <w:tcBorders>
              <w:top w:val="single" w:sz="4" w:space="0" w:color="000000"/>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616"/>
              <w:jc w:val="right"/>
              <w:rPr>
                <w:rFonts w:ascii="Times New Roman" w:hAnsi="Times New Roman" w:cs="Times New Roman" w:eastAsia="Times New Roman" w:hint="default"/>
                <w:sz w:val="18"/>
                <w:szCs w:val="18"/>
              </w:rPr>
            </w:pPr>
            <w:r>
              <w:rPr>
                <w:rFonts w:ascii="Times New Roman"/>
                <w:spacing w:val="-1"/>
                <w:sz w:val="18"/>
              </w:rPr>
              <w:t>1,345,935.92</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617"/>
              <w:jc w:val="right"/>
              <w:rPr>
                <w:rFonts w:ascii="Times New Roman" w:hAnsi="Times New Roman" w:cs="Times New Roman" w:eastAsia="Times New Roman" w:hint="default"/>
                <w:sz w:val="18"/>
                <w:szCs w:val="18"/>
              </w:rPr>
            </w:pPr>
            <w:r>
              <w:rPr>
                <w:rFonts w:ascii="Times New Roman"/>
                <w:spacing w:val="-1"/>
                <w:sz w:val="18"/>
              </w:rPr>
              <w:t>980,908.15</w:t>
            </w:r>
          </w:p>
        </w:tc>
      </w:tr>
      <w:tr>
        <w:trPr>
          <w:trHeight w:val="338"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41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6"/>
              <w:jc w:val="right"/>
              <w:rPr>
                <w:rFonts w:ascii="Times New Roman" w:hAnsi="Times New Roman" w:cs="Times New Roman" w:eastAsia="Times New Roman" w:hint="default"/>
                <w:sz w:val="18"/>
                <w:szCs w:val="18"/>
              </w:rPr>
            </w:pPr>
            <w:r>
              <w:rPr>
                <w:rFonts w:ascii="Times New Roman"/>
                <w:spacing w:val="-1"/>
                <w:sz w:val="18"/>
              </w:rPr>
              <w:t>1,206,445.70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7"/>
              <w:jc w:val="right"/>
              <w:rPr>
                <w:rFonts w:ascii="Times New Roman" w:hAnsi="Times New Roman" w:cs="Times New Roman" w:eastAsia="Times New Roman" w:hint="default"/>
                <w:sz w:val="18"/>
                <w:szCs w:val="18"/>
              </w:rPr>
            </w:pPr>
            <w:r>
              <w:rPr>
                <w:rFonts w:ascii="Times New Roman"/>
                <w:spacing w:val="-1"/>
                <w:sz w:val="18"/>
              </w:rPr>
              <w:t>920,182.61</w:t>
            </w:r>
          </w:p>
        </w:tc>
      </w:tr>
      <w:tr>
        <w:trPr>
          <w:trHeight w:val="340"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7"/>
              <w:jc w:val="right"/>
              <w:rPr>
                <w:rFonts w:ascii="Times New Roman" w:hAnsi="Times New Roman" w:cs="Times New Roman" w:eastAsia="Times New Roman" w:hint="default"/>
                <w:sz w:val="18"/>
                <w:szCs w:val="18"/>
              </w:rPr>
            </w:pPr>
            <w:r>
              <w:rPr>
                <w:rFonts w:ascii="Times New Roman"/>
                <w:spacing w:val="-1"/>
                <w:sz w:val="18"/>
              </w:rPr>
              <w:t>517,048.18</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7"/>
              <w:jc w:val="right"/>
              <w:rPr>
                <w:rFonts w:ascii="Times New Roman" w:hAnsi="Times New Roman" w:cs="Times New Roman" w:eastAsia="Times New Roman" w:hint="default"/>
                <w:sz w:val="18"/>
                <w:szCs w:val="18"/>
              </w:rPr>
            </w:pPr>
            <w:r>
              <w:rPr>
                <w:rFonts w:ascii="Times New Roman"/>
                <w:spacing w:val="-1"/>
                <w:sz w:val="18"/>
              </w:rPr>
              <w:t>394,363.98</w:t>
            </w:r>
          </w:p>
        </w:tc>
      </w:tr>
      <w:tr>
        <w:trPr>
          <w:trHeight w:val="340"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41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171,448.36</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131,454.65</w:t>
            </w:r>
          </w:p>
        </w:tc>
      </w:tr>
      <w:tr>
        <w:trPr>
          <w:trHeight w:val="339"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617"/>
              <w:jc w:val="right"/>
              <w:rPr>
                <w:rFonts w:ascii="Times New Roman" w:hAnsi="Times New Roman" w:cs="Times New Roman" w:eastAsia="Times New Roman" w:hint="default"/>
                <w:sz w:val="18"/>
                <w:szCs w:val="18"/>
              </w:rPr>
            </w:pPr>
            <w:r>
              <w:rPr>
                <w:rFonts w:ascii="Times New Roman"/>
                <w:spacing w:val="-1"/>
                <w:sz w:val="18"/>
              </w:rPr>
              <w:t>344,698.75</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
        </w:tc>
      </w:tr>
      <w:tr>
        <w:trPr>
          <w:trHeight w:val="365" w:hRule="exact"/>
        </w:trPr>
        <w:tc>
          <w:tcPr>
            <w:tcW w:w="1517"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616"/>
              <w:jc w:val="right"/>
              <w:rPr>
                <w:rFonts w:ascii="Times New Roman" w:hAnsi="Times New Roman" w:cs="Times New Roman" w:eastAsia="Times New Roman" w:hint="default"/>
                <w:sz w:val="18"/>
                <w:szCs w:val="18"/>
              </w:rPr>
            </w:pPr>
            <w:r>
              <w:rPr>
                <w:rFonts w:ascii="Times New Roman"/>
                <w:spacing w:val="-1"/>
                <w:sz w:val="18"/>
              </w:rPr>
              <w:t>3,585,576.91</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617"/>
              <w:jc w:val="right"/>
              <w:rPr>
                <w:rFonts w:ascii="Times New Roman" w:hAnsi="Times New Roman" w:cs="Times New Roman" w:eastAsia="Times New Roman" w:hint="default"/>
                <w:sz w:val="18"/>
                <w:szCs w:val="18"/>
              </w:rPr>
            </w:pPr>
            <w:r>
              <w:rPr>
                <w:rFonts w:ascii="Times New Roman"/>
                <w:spacing w:val="-1"/>
                <w:sz w:val="18"/>
              </w:rPr>
              <w:t>2,426,909.39</w:t>
            </w:r>
          </w:p>
        </w:tc>
      </w:tr>
    </w:tbl>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49" w:footer="976" w:top="1460" w:bottom="1160" w:left="1020" w:right="960"/>
        </w:sectPr>
      </w:pPr>
    </w:p>
    <w:p>
      <w:pPr>
        <w:pStyle w:val="BodyText"/>
        <w:spacing w:line="240" w:lineRule="auto" w:before="34"/>
        <w:ind w:left="535" w:right="0"/>
        <w:jc w:val="left"/>
      </w:pPr>
      <w:r>
        <w:rPr>
          <w:rFonts w:ascii="Times New Roman" w:hAnsi="Times New Roman" w:cs="Times New Roman" w:eastAsia="Times New Roman" w:hint="default"/>
          <w:w w:val="95"/>
        </w:rPr>
        <w:t>27</w:t>
      </w:r>
      <w:r>
        <w:rPr>
          <w:w w:val="95"/>
        </w:rPr>
        <w:t>、销售费用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tabs>
          <w:tab w:pos="5265" w:val="left" w:leader="none"/>
        </w:tabs>
        <w:spacing w:before="0"/>
        <w:ind w:left="0" w:right="1832" w:firstLine="0"/>
        <w:jc w:val="center"/>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0"/>
        <w:rPr>
          <w:rFonts w:ascii="宋体" w:hAnsi="宋体" w:cs="宋体" w:eastAsia="宋体" w:hint="default"/>
          <w:sz w:val="5"/>
          <w:szCs w:val="5"/>
        </w:rPr>
      </w:pPr>
    </w:p>
    <w:p>
      <w:pPr>
        <w:spacing w:line="20" w:lineRule="exact"/>
        <w:ind w:left="3540" w:right="0" w:firstLine="0"/>
        <w:rPr>
          <w:rFonts w:ascii="宋体" w:hAnsi="宋体" w:cs="宋体" w:eastAsia="宋体" w:hint="default"/>
          <w:sz w:val="2"/>
          <w:szCs w:val="2"/>
        </w:rPr>
      </w:pPr>
      <w:r>
        <w:rPr>
          <w:rFonts w:ascii="宋体" w:hAnsi="宋体" w:cs="宋体" w:eastAsia="宋体" w:hint="default"/>
          <w:sz w:val="2"/>
          <w:szCs w:val="2"/>
        </w:rPr>
        <w:pict>
          <v:group style="width:222.15pt;height:.5pt;mso-position-horizontal-relative:char;mso-position-vertical-relative:line" coordorigin="0,0" coordsize="4443,10">
            <v:group style="position:absolute;left:5;top:5;width:4433;height:2" coordorigin="5,5" coordsize="4433,2">
              <v:shape style="position:absolute;left:5;top:5;width:4433;height:2" coordorigin="5,5" coordsize="4433,0" path="m5,5l4438,5e" filled="false" stroked="true" strokeweight=".48pt" strokecolor="#000000">
                <v:path arrowok="t"/>
              </v:shape>
            </v:group>
          </v:group>
        </w:pict>
      </w:r>
      <w:r>
        <w:rPr>
          <w:rFonts w:ascii="宋体" w:hAnsi="宋体" w:cs="宋体" w:eastAsia="宋体" w:hint="default"/>
          <w:sz w:val="2"/>
          <w:szCs w:val="2"/>
        </w:rPr>
      </w:r>
    </w:p>
    <w:p>
      <w:pPr>
        <w:tabs>
          <w:tab w:pos="5244" w:val="left" w:leader="none"/>
        </w:tabs>
        <w:spacing w:before="49"/>
        <w:ind w:left="-21" w:right="1810" w:firstLine="0"/>
        <w:jc w:val="center"/>
        <w:rPr>
          <w:rFonts w:ascii="Times New Roman" w:hAnsi="Times New Roman" w:cs="Times New Roman" w:eastAsia="Times New Roman" w:hint="default"/>
          <w:sz w:val="18"/>
          <w:szCs w:val="18"/>
        </w:rPr>
      </w:pPr>
      <w:r>
        <w:rPr/>
        <w:pict>
          <v:group style="position:absolute;margin-left:56.639999pt;margin-top:-.787671pt;width:221.55pt;height:.1pt;mso-position-horizontal-relative:page;mso-position-vertical-relative:paragraph;z-index:8704" coordorigin="1133,-16" coordsize="4431,2">
            <v:shape style="position:absolute;left:1133;top:-16;width:4431;height:2" coordorigin="1133,-16" coordsize="4431,0" path="m1133,-16l5563,-16e" filled="false" stroked="true" strokeweight=".48pt" strokecolor="#000000">
              <v:path arrowok="t"/>
            </v:shape>
            <w10:wrap type="none"/>
          </v:group>
        </w:pict>
      </w:r>
      <w:r>
        <w:rPr>
          <w:rFonts w:ascii="Times New Roman"/>
          <w:spacing w:val="-1"/>
          <w:sz w:val="18"/>
        </w:rPr>
        <w:t>32,449,057.06</w:t>
        <w:tab/>
        <w:t>18,490,122.93</w:t>
      </w:r>
    </w:p>
    <w:p>
      <w:pPr>
        <w:spacing w:after="0"/>
        <w:jc w:val="center"/>
        <w:rPr>
          <w:rFonts w:ascii="Times New Roman" w:hAnsi="Times New Roman" w:cs="Times New Roman" w:eastAsia="Times New Roman" w:hint="default"/>
          <w:sz w:val="18"/>
          <w:szCs w:val="18"/>
        </w:rPr>
        <w:sectPr>
          <w:type w:val="continuous"/>
          <w:pgSz w:w="11910" w:h="16840"/>
          <w:pgMar w:top="1580" w:bottom="280" w:left="1020" w:right="960"/>
          <w:cols w:num="2" w:equalWidth="0">
            <w:col w:w="1793" w:space="40"/>
            <w:col w:w="8097"/>
          </w:cols>
        </w:sectPr>
      </w:pPr>
    </w:p>
    <w:p>
      <w:pPr>
        <w:spacing w:before="111"/>
        <w:ind w:left="475" w:right="733" w:firstLine="0"/>
        <w:jc w:val="left"/>
        <w:rPr>
          <w:rFonts w:ascii="宋体" w:hAnsi="宋体" w:cs="宋体" w:eastAsia="宋体" w:hint="default"/>
          <w:sz w:val="18"/>
          <w:szCs w:val="18"/>
        </w:rPr>
      </w:pPr>
      <w:r>
        <w:rPr>
          <w:rFonts w:ascii="宋体" w:hAnsi="宋体" w:cs="宋体" w:eastAsia="宋体" w:hint="default"/>
          <w:sz w:val="18"/>
          <w:szCs w:val="18"/>
        </w:rPr>
        <w:t>注：销售费用增长主要为业务增长及营销服务体系建设使人工成本、差旅费、会务费等费用增长。</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020" w:right="960"/>
        </w:sectPr>
      </w:pPr>
    </w:p>
    <w:p>
      <w:pPr>
        <w:pStyle w:val="BodyText"/>
        <w:spacing w:line="240" w:lineRule="auto" w:before="34"/>
        <w:ind w:left="535" w:right="0"/>
        <w:jc w:val="left"/>
      </w:pPr>
      <w:r>
        <w:rPr>
          <w:rFonts w:ascii="Times New Roman" w:hAnsi="Times New Roman" w:cs="Times New Roman" w:eastAsia="Times New Roman" w:hint="default"/>
          <w:w w:val="95"/>
        </w:rPr>
        <w:t>28</w:t>
      </w:r>
      <w:r>
        <w:rPr>
          <w:w w:val="95"/>
        </w:rPr>
        <w:t>、管理费用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5"/>
          <w:szCs w:val="15"/>
        </w:rPr>
      </w:pPr>
    </w:p>
    <w:p>
      <w:pPr>
        <w:tabs>
          <w:tab w:pos="5164" w:val="left" w:leader="none"/>
        </w:tabs>
        <w:spacing w:before="0"/>
        <w:ind w:left="0" w:right="1933" w:firstLine="0"/>
        <w:jc w:val="center"/>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1"/>
        <w:rPr>
          <w:rFonts w:ascii="宋体" w:hAnsi="宋体" w:cs="宋体" w:eastAsia="宋体" w:hint="default"/>
          <w:sz w:val="6"/>
          <w:szCs w:val="6"/>
        </w:rPr>
      </w:pPr>
    </w:p>
    <w:p>
      <w:pPr>
        <w:spacing w:line="20" w:lineRule="exact"/>
        <w:ind w:left="3440" w:right="0" w:firstLine="0"/>
        <w:rPr>
          <w:rFonts w:ascii="宋体" w:hAnsi="宋体" w:cs="宋体" w:eastAsia="宋体" w:hint="default"/>
          <w:sz w:val="2"/>
          <w:szCs w:val="2"/>
        </w:rPr>
      </w:pPr>
      <w:r>
        <w:rPr>
          <w:rFonts w:ascii="宋体" w:hAnsi="宋体" w:cs="宋体" w:eastAsia="宋体" w:hint="default"/>
          <w:sz w:val="2"/>
          <w:szCs w:val="2"/>
        </w:rPr>
        <w:pict>
          <v:group style="width:222.15pt;height:.5pt;mso-position-horizontal-relative:char;mso-position-vertical-relative:line" coordorigin="0,0" coordsize="4443,10">
            <v:group style="position:absolute;left:5;top:5;width:4433;height:2" coordorigin="5,5" coordsize="4433,2">
              <v:shape style="position:absolute;left:5;top:5;width:4433;height:2" coordorigin="5,5" coordsize="4433,0" path="m5,5l4438,5e" filled="false" stroked="true" strokeweight=".48pt" strokecolor="#000000">
                <v:path arrowok="t"/>
              </v:shape>
            </v:group>
          </v:group>
        </w:pict>
      </w:r>
      <w:r>
        <w:rPr>
          <w:rFonts w:ascii="宋体" w:hAnsi="宋体" w:cs="宋体" w:eastAsia="宋体" w:hint="default"/>
          <w:sz w:val="2"/>
          <w:szCs w:val="2"/>
        </w:rPr>
      </w:r>
    </w:p>
    <w:p>
      <w:pPr>
        <w:tabs>
          <w:tab w:pos="5143" w:val="left" w:leader="none"/>
        </w:tabs>
        <w:spacing w:before="66"/>
        <w:ind w:left="-21" w:right="1911" w:firstLine="0"/>
        <w:jc w:val="center"/>
        <w:rPr>
          <w:rFonts w:ascii="Times New Roman" w:hAnsi="Times New Roman" w:cs="Times New Roman" w:eastAsia="Times New Roman" w:hint="default"/>
          <w:sz w:val="18"/>
          <w:szCs w:val="18"/>
        </w:rPr>
      </w:pPr>
      <w:r>
        <w:rPr/>
        <w:pict>
          <v:group style="position:absolute;margin-left:56.639999pt;margin-top:-.777678pt;width:221.55pt;height:.1pt;mso-position-horizontal-relative:page;mso-position-vertical-relative:paragraph;z-index:8728" coordorigin="1133,-16" coordsize="4431,2">
            <v:shape style="position:absolute;left:1133;top:-16;width:4431;height:2" coordorigin="1133,-16" coordsize="4431,0" path="m1133,-16l5563,-16e" filled="false" stroked="true" strokeweight=".48pt" strokecolor="#000000">
              <v:path arrowok="t"/>
            </v:shape>
            <w10:wrap type="none"/>
          </v:group>
        </w:pict>
      </w:r>
      <w:r>
        <w:rPr>
          <w:rFonts w:ascii="Times New Roman"/>
          <w:spacing w:val="-1"/>
          <w:sz w:val="18"/>
        </w:rPr>
        <w:t>33,096,757.79</w:t>
        <w:tab/>
        <w:t>20,643,486.27</w:t>
      </w:r>
    </w:p>
    <w:p>
      <w:pPr>
        <w:spacing w:after="0"/>
        <w:jc w:val="center"/>
        <w:rPr>
          <w:rFonts w:ascii="Times New Roman" w:hAnsi="Times New Roman" w:cs="Times New Roman" w:eastAsia="Times New Roman" w:hint="default"/>
          <w:sz w:val="18"/>
          <w:szCs w:val="18"/>
        </w:rPr>
        <w:sectPr>
          <w:type w:val="continuous"/>
          <w:pgSz w:w="11910" w:h="16840"/>
          <w:pgMar w:top="1580" w:bottom="280" w:left="1020" w:right="960"/>
          <w:cols w:num="2" w:equalWidth="0">
            <w:col w:w="1793" w:space="40"/>
            <w:col w:w="8097"/>
          </w:cols>
        </w:sectPr>
      </w:pPr>
    </w:p>
    <w:p>
      <w:pPr>
        <w:spacing w:before="125"/>
        <w:ind w:left="475" w:right="733" w:firstLine="0"/>
        <w:jc w:val="left"/>
        <w:rPr>
          <w:rFonts w:ascii="宋体" w:hAnsi="宋体" w:cs="宋体" w:eastAsia="宋体" w:hint="default"/>
          <w:sz w:val="18"/>
          <w:szCs w:val="18"/>
        </w:rPr>
      </w:pPr>
      <w:r>
        <w:rPr>
          <w:rFonts w:ascii="宋体" w:hAnsi="宋体" w:cs="宋体" w:eastAsia="宋体" w:hint="default"/>
          <w:sz w:val="18"/>
          <w:szCs w:val="18"/>
        </w:rPr>
        <w:t>注：管理费用增长主要为研发费用增加及上市费用影响。</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left="535" w:right="733"/>
        <w:jc w:val="left"/>
      </w:pPr>
      <w:r>
        <w:rPr>
          <w:rFonts w:ascii="Times New Roman" w:hAnsi="Times New Roman" w:cs="Times New Roman" w:eastAsia="Times New Roman" w:hint="default"/>
        </w:rPr>
        <w:t>29</w:t>
      </w:r>
      <w:r>
        <w:rPr/>
        <w:t>、财务费用</w:t>
      </w:r>
    </w:p>
    <w:p>
      <w:pPr>
        <w:spacing w:after="0" w:line="240" w:lineRule="auto"/>
        <w:jc w:val="left"/>
        <w:sectPr>
          <w:type w:val="continuous"/>
          <w:pgSz w:w="11910" w:h="16840"/>
          <w:pgMar w:top="1580" w:bottom="280" w:left="1020" w:right="960"/>
        </w:sectPr>
      </w:pPr>
    </w:p>
    <w:p>
      <w:pPr>
        <w:spacing w:line="240" w:lineRule="auto" w:before="5"/>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427"/>
        <w:gridCol w:w="506"/>
        <w:gridCol w:w="1933"/>
        <w:gridCol w:w="446"/>
        <w:gridCol w:w="2460"/>
        <w:gridCol w:w="466"/>
        <w:gridCol w:w="2400"/>
      </w:tblGrid>
      <w:tr>
        <w:trPr>
          <w:trHeight w:val="358" w:hRule="exact"/>
        </w:trPr>
        <w:tc>
          <w:tcPr>
            <w:tcW w:w="1427"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6"/>
                <w:szCs w:val="26"/>
              </w:rPr>
            </w:pPr>
          </w:p>
        </w:tc>
        <w:tc>
          <w:tcPr>
            <w:tcW w:w="506" w:type="dxa"/>
            <w:tcBorders>
              <w:top w:val="single" w:sz="6" w:space="0" w:color="000000"/>
              <w:left w:val="nil" w:sz="6" w:space="0" w:color="auto"/>
              <w:bottom w:val="single" w:sz="4" w:space="0" w:color="000000"/>
              <w:right w:val="nil" w:sz="6" w:space="0" w:color="auto"/>
            </w:tcBorders>
          </w:tcPr>
          <w:p>
            <w:pPr>
              <w:pStyle w:val="TableParagraph"/>
              <w:spacing w:line="240" w:lineRule="auto" w:before="27"/>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933" w:type="dxa"/>
            <w:tcBorders>
              <w:top w:val="single" w:sz="6" w:space="0" w:color="000000"/>
              <w:left w:val="nil" w:sz="6" w:space="0" w:color="auto"/>
              <w:bottom w:val="single" w:sz="4" w:space="0" w:color="000000"/>
              <w:right w:val="nil" w:sz="6" w:space="0" w:color="auto"/>
            </w:tcBorders>
          </w:tcPr>
          <w:p>
            <w:pPr>
              <w:pStyle w:val="TableParagraph"/>
              <w:spacing w:line="240" w:lineRule="auto" w:before="27"/>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46" w:type="dxa"/>
            <w:tcBorders>
              <w:top w:val="single" w:sz="6" w:space="0" w:color="000000"/>
              <w:left w:val="nil" w:sz="6" w:space="0" w:color="auto"/>
              <w:bottom w:val="nil" w:sz="6" w:space="0" w:color="auto"/>
              <w:right w:val="nil" w:sz="6" w:space="0" w:color="auto"/>
            </w:tcBorders>
          </w:tcPr>
          <w:p>
            <w:pPr/>
          </w:p>
        </w:tc>
        <w:tc>
          <w:tcPr>
            <w:tcW w:w="2460" w:type="dxa"/>
            <w:tcBorders>
              <w:top w:val="single" w:sz="6" w:space="0" w:color="000000"/>
              <w:left w:val="nil" w:sz="6" w:space="0" w:color="auto"/>
              <w:bottom w:val="single" w:sz="4" w:space="0" w:color="000000"/>
              <w:right w:val="nil" w:sz="6" w:space="0" w:color="auto"/>
            </w:tcBorders>
          </w:tcPr>
          <w:p>
            <w:pPr>
              <w:pStyle w:val="TableParagraph"/>
              <w:spacing w:line="240" w:lineRule="auto" w:before="27"/>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6" w:type="dxa"/>
            <w:tcBorders>
              <w:top w:val="single" w:sz="6" w:space="0" w:color="000000"/>
              <w:left w:val="nil" w:sz="6" w:space="0" w:color="auto"/>
              <w:bottom w:val="nil" w:sz="6" w:space="0" w:color="auto"/>
              <w:right w:val="nil" w:sz="6" w:space="0" w:color="auto"/>
            </w:tcBorders>
          </w:tcPr>
          <w:p>
            <w:pPr/>
          </w:p>
        </w:tc>
        <w:tc>
          <w:tcPr>
            <w:tcW w:w="2400" w:type="dxa"/>
            <w:tcBorders>
              <w:top w:val="single" w:sz="6" w:space="0" w:color="000000"/>
              <w:left w:val="nil" w:sz="6" w:space="0" w:color="auto"/>
              <w:bottom w:val="single" w:sz="4" w:space="0" w:color="000000"/>
              <w:right w:val="nil" w:sz="6" w:space="0" w:color="auto"/>
            </w:tcBorders>
          </w:tcPr>
          <w:p>
            <w:pPr>
              <w:pStyle w:val="TableParagraph"/>
              <w:spacing w:line="240" w:lineRule="auto" w:before="27"/>
              <w:ind w:left="60"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506" w:type="dxa"/>
            <w:tcBorders>
              <w:top w:val="single" w:sz="4" w:space="0" w:color="000000"/>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
        </w:tc>
      </w:tr>
      <w:tr>
        <w:trPr>
          <w:trHeight w:val="348"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50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18"/>
              <w:jc w:val="right"/>
              <w:rPr>
                <w:rFonts w:ascii="Times New Roman" w:hAnsi="Times New Roman" w:cs="Times New Roman" w:eastAsia="Times New Roman" w:hint="default"/>
                <w:sz w:val="18"/>
                <w:szCs w:val="18"/>
              </w:rPr>
            </w:pPr>
            <w:r>
              <w:rPr>
                <w:rFonts w:ascii="Times New Roman"/>
                <w:spacing w:val="-1"/>
                <w:sz w:val="18"/>
              </w:rPr>
              <w:t>4,013,820.48</w:t>
            </w:r>
          </w:p>
        </w:tc>
        <w:tc>
          <w:tcPr>
            <w:tcW w:w="466"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60"/>
              <w:jc w:val="right"/>
              <w:rPr>
                <w:rFonts w:ascii="Times New Roman" w:hAnsi="Times New Roman" w:cs="Times New Roman" w:eastAsia="Times New Roman" w:hint="default"/>
                <w:sz w:val="18"/>
                <w:szCs w:val="18"/>
              </w:rPr>
            </w:pPr>
            <w:r>
              <w:rPr>
                <w:rFonts w:ascii="Times New Roman"/>
                <w:spacing w:val="-1"/>
                <w:sz w:val="18"/>
              </w:rPr>
              <w:t>504,187.50</w:t>
            </w:r>
          </w:p>
        </w:tc>
      </w:tr>
      <w:tr>
        <w:trPr>
          <w:trHeight w:val="342"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618"/>
              <w:jc w:val="right"/>
              <w:rPr>
                <w:rFonts w:ascii="Times New Roman" w:hAnsi="Times New Roman" w:cs="Times New Roman" w:eastAsia="Times New Roman" w:hint="default"/>
                <w:sz w:val="18"/>
                <w:szCs w:val="18"/>
              </w:rPr>
            </w:pPr>
            <w:r>
              <w:rPr>
                <w:rFonts w:ascii="Times New Roman"/>
                <w:spacing w:val="-1"/>
                <w:sz w:val="18"/>
              </w:rPr>
              <w:t>100,752.63</w:t>
            </w:r>
          </w:p>
        </w:tc>
        <w:tc>
          <w:tcPr>
            <w:tcW w:w="466"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58"/>
              <w:jc w:val="right"/>
              <w:rPr>
                <w:rFonts w:ascii="Times New Roman" w:hAnsi="Times New Roman" w:cs="Times New Roman" w:eastAsia="Times New Roman" w:hint="default"/>
                <w:sz w:val="18"/>
                <w:szCs w:val="18"/>
              </w:rPr>
            </w:pPr>
            <w:r>
              <w:rPr>
                <w:rFonts w:ascii="Times New Roman"/>
                <w:spacing w:val="-1"/>
                <w:sz w:val="18"/>
              </w:rPr>
              <w:t>50,803.64</w:t>
            </w:r>
          </w:p>
        </w:tc>
      </w:tr>
      <w:tr>
        <w:trPr>
          <w:trHeight w:val="372" w:hRule="exact"/>
        </w:trPr>
        <w:tc>
          <w:tcPr>
            <w:tcW w:w="1427"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618"/>
              <w:jc w:val="right"/>
              <w:rPr>
                <w:rFonts w:ascii="Times New Roman" w:hAnsi="Times New Roman" w:cs="Times New Roman" w:eastAsia="Times New Roman" w:hint="default"/>
                <w:sz w:val="18"/>
                <w:szCs w:val="18"/>
              </w:rPr>
            </w:pPr>
            <w:r>
              <w:rPr>
                <w:rFonts w:ascii="Times New Roman"/>
                <w:spacing w:val="-1"/>
                <w:sz w:val="18"/>
              </w:rPr>
              <w:t>-3,913,067.85</w:t>
            </w:r>
          </w:p>
        </w:tc>
        <w:tc>
          <w:tcPr>
            <w:tcW w:w="466"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558"/>
              <w:jc w:val="right"/>
              <w:rPr>
                <w:rFonts w:ascii="Times New Roman" w:hAnsi="Times New Roman" w:cs="Times New Roman" w:eastAsia="Times New Roman" w:hint="default"/>
                <w:sz w:val="18"/>
                <w:szCs w:val="18"/>
              </w:rPr>
            </w:pPr>
            <w:r>
              <w:rPr>
                <w:rFonts w:ascii="Times New Roman"/>
                <w:spacing w:val="-1"/>
                <w:sz w:val="18"/>
              </w:rPr>
              <w:t>-453,383.86</w:t>
            </w:r>
          </w:p>
        </w:tc>
      </w:tr>
    </w:tbl>
    <w:p>
      <w:pPr>
        <w:spacing w:before="29"/>
        <w:ind w:left="475" w:right="733" w:firstLine="0"/>
        <w:jc w:val="left"/>
        <w:rPr>
          <w:rFonts w:ascii="宋体" w:hAnsi="宋体" w:cs="宋体" w:eastAsia="宋体" w:hint="default"/>
          <w:sz w:val="18"/>
          <w:szCs w:val="18"/>
        </w:rPr>
      </w:pPr>
      <w:r>
        <w:rPr/>
        <w:pict>
          <v:group style="position:absolute;margin-left:56.639999pt;margin-top:-91.478256pt;width:63.15pt;height:12.4pt;mso-position-horizontal-relative:page;mso-position-vertical-relative:paragraph;z-index:-627040" coordorigin="1133,-1830" coordsize="1263,248">
            <v:shape style="position:absolute;left:1135;top:-1830;width:797;height:144" type="#_x0000_t75" stroked="false">
              <v:imagedata r:id="rId8" o:title=""/>
            </v:shape>
            <v:shape style="position:absolute;left:1966;top:-1830;width:430;height:101" type="#_x0000_t75" stroked="false">
              <v:imagedata r:id="rId9" o:title=""/>
            </v:shape>
            <v:group style="position:absolute;left:1133;top:-1676;width:1251;height:94" coordorigin="1133,-1676" coordsize="1251,94">
              <v:shape style="position:absolute;left:1133;top:-1676;width:1251;height:94" coordorigin="1133,-1676" coordsize="1251,94" path="m1133,-1582l1227,-1597,1312,-1609,1407,-1620,1511,-1630,1646,-1641,1819,-1652,2383,-1676,1133,-1582xe" filled="true" fillcolor="#074278" stroked="false">
                <v:path arrowok="t"/>
                <v:fill type="solid"/>
              </v:shape>
            </v:group>
            <w10:wrap type="none"/>
          </v:group>
        </w:pict>
      </w:r>
      <w:r>
        <w:rPr>
          <w:rFonts w:ascii="宋体" w:hAnsi="宋体" w:cs="宋体" w:eastAsia="宋体" w:hint="default"/>
          <w:sz w:val="18"/>
          <w:szCs w:val="18"/>
        </w:rPr>
        <w:t>注：财务费用中利息收入增长主要为募集资金存款利息增加。</w:t>
      </w:r>
    </w:p>
    <w:p>
      <w:pPr>
        <w:spacing w:line="240" w:lineRule="auto" w:before="0"/>
        <w:rPr>
          <w:rFonts w:ascii="宋体" w:hAnsi="宋体" w:cs="宋体" w:eastAsia="宋体" w:hint="default"/>
          <w:sz w:val="18"/>
          <w:szCs w:val="18"/>
        </w:rPr>
      </w:pPr>
    </w:p>
    <w:p>
      <w:pPr>
        <w:pStyle w:val="BodyText"/>
        <w:spacing w:line="240" w:lineRule="auto" w:before="134"/>
        <w:ind w:left="535" w:right="733"/>
        <w:jc w:val="left"/>
      </w:pPr>
      <w:r>
        <w:rPr>
          <w:rFonts w:ascii="Times New Roman" w:hAnsi="Times New Roman" w:cs="Times New Roman" w:eastAsia="Times New Roman" w:hint="default"/>
        </w:rPr>
        <w:t>30</w:t>
      </w:r>
      <w:r>
        <w:rPr/>
        <w:t>、资产减值损失</w:t>
      </w:r>
    </w:p>
    <w:p>
      <w:pPr>
        <w:spacing w:line="240" w:lineRule="auto" w:before="10"/>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247"/>
        <w:gridCol w:w="686"/>
        <w:gridCol w:w="1933"/>
        <w:gridCol w:w="446"/>
        <w:gridCol w:w="2460"/>
        <w:gridCol w:w="466"/>
        <w:gridCol w:w="2460"/>
      </w:tblGrid>
      <w:tr>
        <w:trPr>
          <w:trHeight w:val="365" w:hRule="exact"/>
        </w:trPr>
        <w:tc>
          <w:tcPr>
            <w:tcW w:w="1247" w:type="dxa"/>
            <w:tcBorders>
              <w:top w:val="nil" w:sz="6" w:space="0" w:color="auto"/>
              <w:left w:val="nil" w:sz="6" w:space="0" w:color="auto"/>
              <w:bottom w:val="single" w:sz="4" w:space="0" w:color="000000"/>
              <w:right w:val="nil" w:sz="6" w:space="0" w:color="auto"/>
            </w:tcBorders>
          </w:tcPr>
          <w:p>
            <w:pPr/>
          </w:p>
        </w:tc>
        <w:tc>
          <w:tcPr>
            <w:tcW w:w="6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6" w:hRule="exact"/>
        </w:trPr>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686" w:type="dxa"/>
            <w:tcBorders>
              <w:top w:val="single" w:sz="4" w:space="0" w:color="000000"/>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758" w:right="0"/>
              <w:jc w:val="left"/>
              <w:rPr>
                <w:rFonts w:ascii="Times New Roman" w:hAnsi="Times New Roman" w:cs="Times New Roman" w:eastAsia="Times New Roman" w:hint="default"/>
                <w:sz w:val="18"/>
                <w:szCs w:val="18"/>
              </w:rPr>
            </w:pPr>
            <w:r>
              <w:rPr>
                <w:rFonts w:ascii="Times New Roman"/>
                <w:sz w:val="18"/>
              </w:rPr>
              <w:t>3,456,650.19</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113,022.23</w:t>
            </w:r>
          </w:p>
        </w:tc>
      </w:tr>
      <w:tr>
        <w:trPr>
          <w:trHeight w:val="365" w:hRule="exact"/>
        </w:trPr>
        <w:tc>
          <w:tcPr>
            <w:tcW w:w="1247"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left="758" w:right="0"/>
              <w:jc w:val="left"/>
              <w:rPr>
                <w:rFonts w:ascii="Times New Roman" w:hAnsi="Times New Roman" w:cs="Times New Roman" w:eastAsia="Times New Roman" w:hint="default"/>
                <w:sz w:val="18"/>
                <w:szCs w:val="18"/>
              </w:rPr>
            </w:pPr>
            <w:r>
              <w:rPr>
                <w:rFonts w:ascii="Times New Roman"/>
                <w:sz w:val="18"/>
              </w:rPr>
              <w:t>3,456,650.19</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113,022.23</w:t>
            </w:r>
          </w:p>
        </w:tc>
      </w:tr>
    </w:tbl>
    <w:p>
      <w:pPr>
        <w:spacing w:before="29"/>
        <w:ind w:left="475" w:right="733" w:firstLine="0"/>
        <w:jc w:val="left"/>
        <w:rPr>
          <w:rFonts w:ascii="宋体" w:hAnsi="宋体" w:cs="宋体" w:eastAsia="宋体" w:hint="default"/>
          <w:sz w:val="18"/>
          <w:szCs w:val="18"/>
        </w:rPr>
      </w:pPr>
      <w:r>
        <w:rPr>
          <w:rFonts w:ascii="宋体" w:hAnsi="宋体" w:cs="宋体" w:eastAsia="宋体" w:hint="default"/>
          <w:sz w:val="18"/>
          <w:szCs w:val="18"/>
        </w:rPr>
        <w:t>注：资产减值准备主要受应收款项余额及账龄变化影响。</w:t>
      </w:r>
    </w:p>
    <w:p>
      <w:pPr>
        <w:spacing w:line="240" w:lineRule="auto" w:before="0"/>
        <w:rPr>
          <w:rFonts w:ascii="宋体" w:hAnsi="宋体" w:cs="宋体" w:eastAsia="宋体" w:hint="default"/>
          <w:sz w:val="18"/>
          <w:szCs w:val="18"/>
        </w:rPr>
      </w:pPr>
    </w:p>
    <w:p>
      <w:pPr>
        <w:pStyle w:val="BodyText"/>
        <w:spacing w:line="240" w:lineRule="auto" w:before="137"/>
        <w:ind w:left="535" w:right="733"/>
        <w:jc w:val="left"/>
      </w:pPr>
      <w:r>
        <w:rPr>
          <w:rFonts w:ascii="Times New Roman" w:hAnsi="Times New Roman" w:cs="Times New Roman" w:eastAsia="Times New Roman" w:hint="default"/>
        </w:rPr>
        <w:t>31</w:t>
      </w:r>
      <w:r>
        <w:rPr/>
        <w:t>、投资收益</w:t>
      </w:r>
    </w:p>
    <w:p>
      <w:pPr>
        <w:spacing w:line="240" w:lineRule="auto" w:before="5"/>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956"/>
        <w:gridCol w:w="1910"/>
        <w:gridCol w:w="446"/>
        <w:gridCol w:w="2460"/>
        <w:gridCol w:w="466"/>
        <w:gridCol w:w="2460"/>
      </w:tblGrid>
      <w:tr>
        <w:trPr>
          <w:trHeight w:val="360" w:hRule="exact"/>
        </w:trPr>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0"/>
              <w:jc w:val="right"/>
              <w:rPr>
                <w:rFonts w:ascii="宋体" w:hAnsi="宋体" w:cs="宋体" w:eastAsia="宋体" w:hint="default"/>
                <w:sz w:val="18"/>
                <w:szCs w:val="18"/>
              </w:rPr>
            </w:pPr>
            <w:r>
              <w:rPr>
                <w:rFonts w:ascii="宋体" w:hAnsi="宋体" w:cs="宋体" w:eastAsia="宋体" w:hint="default"/>
                <w:sz w:val="18"/>
                <w:szCs w:val="18"/>
              </w:rPr>
              <w:t>项</w:t>
            </w: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38" w:hRule="exact"/>
        </w:trPr>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0" w:type="dxa"/>
            <w:tcBorders>
              <w:top w:val="single" w:sz="4" w:space="0" w:color="000000"/>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871" w:right="0"/>
              <w:jc w:val="left"/>
              <w:rPr>
                <w:rFonts w:ascii="Times New Roman" w:hAnsi="Times New Roman" w:cs="Times New Roman" w:eastAsia="Times New Roman" w:hint="default"/>
                <w:sz w:val="18"/>
                <w:szCs w:val="18"/>
              </w:rPr>
            </w:pPr>
            <w:r>
              <w:rPr>
                <w:rFonts w:ascii="Times New Roman"/>
                <w:sz w:val="18"/>
              </w:rPr>
              <w:t>38,356.16</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4" w:space="0" w:color="000000"/>
              <w:right w:val="nil" w:sz="6" w:space="0" w:color="auto"/>
            </w:tcBorders>
          </w:tcPr>
          <w:p>
            <w:pPr/>
          </w:p>
        </w:tc>
      </w:tr>
      <w:tr>
        <w:trPr>
          <w:trHeight w:val="355"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z w:val="18"/>
                <w:szCs w:val="18"/>
              </w:rPr>
              <w:t>合</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871" w:right="0"/>
              <w:jc w:val="left"/>
              <w:rPr>
                <w:rFonts w:ascii="Times New Roman" w:hAnsi="Times New Roman" w:cs="Times New Roman" w:eastAsia="Times New Roman" w:hint="default"/>
                <w:sz w:val="18"/>
                <w:szCs w:val="18"/>
              </w:rPr>
            </w:pPr>
            <w:r>
              <w:rPr>
                <w:rFonts w:ascii="Times New Roman"/>
                <w:sz w:val="18"/>
              </w:rPr>
              <w:t>38,356.16</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
        </w:tc>
      </w:tr>
      <w:tr>
        <w:trPr>
          <w:trHeight w:val="659"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65"/>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32</w:t>
            </w:r>
            <w:r>
              <w:rPr>
                <w:rFonts w:ascii="宋体" w:hAnsi="宋体" w:cs="宋体" w:eastAsia="宋体" w:hint="default"/>
                <w:w w:val="95"/>
                <w:sz w:val="21"/>
                <w:szCs w:val="21"/>
              </w:rPr>
              <w:t>、营业外收入</w:t>
            </w:r>
            <w:r>
              <w:rPr>
                <w:rFonts w:ascii="宋体" w:hAnsi="宋体" w:cs="宋体" w:eastAsia="宋体" w:hint="default"/>
                <w:sz w:val="21"/>
                <w:szCs w:val="21"/>
              </w:rPr>
            </w:r>
          </w:p>
        </w:tc>
        <w:tc>
          <w:tcPr>
            <w:tcW w:w="1910"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17" w:space="0" w:color="000000"/>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17" w:space="0" w:color="000000"/>
              <w:left w:val="nil" w:sz="6" w:space="0" w:color="auto"/>
              <w:bottom w:val="nil" w:sz="6" w:space="0" w:color="auto"/>
              <w:right w:val="nil" w:sz="6" w:space="0" w:color="auto"/>
            </w:tcBorders>
          </w:tcPr>
          <w:p>
            <w:pPr/>
          </w:p>
        </w:tc>
      </w:tr>
      <w:tr>
        <w:trPr>
          <w:trHeight w:val="341" w:hRule="exact"/>
        </w:trPr>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10"/>
              <w:jc w:val="right"/>
              <w:rPr>
                <w:rFonts w:ascii="宋体" w:hAnsi="宋体" w:cs="宋体" w:eastAsia="宋体" w:hint="default"/>
                <w:sz w:val="18"/>
                <w:szCs w:val="18"/>
              </w:rPr>
            </w:pPr>
            <w:r>
              <w:rPr>
                <w:rFonts w:ascii="宋体" w:hAnsi="宋体" w:cs="宋体" w:eastAsia="宋体" w:hint="default"/>
                <w:sz w:val="18"/>
                <w:szCs w:val="18"/>
              </w:rPr>
              <w:t>项</w:t>
            </w: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67"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37" w:hRule="exact"/>
        </w:trPr>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910" w:type="dxa"/>
            <w:tcBorders>
              <w:top w:val="single" w:sz="4" w:space="0" w:color="000000"/>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18"/>
              <w:jc w:val="right"/>
              <w:rPr>
                <w:rFonts w:ascii="Times New Roman" w:hAnsi="Times New Roman" w:cs="Times New Roman" w:eastAsia="Times New Roman" w:hint="default"/>
                <w:sz w:val="18"/>
                <w:szCs w:val="18"/>
              </w:rPr>
            </w:pPr>
            <w:r>
              <w:rPr>
                <w:rFonts w:ascii="Times New Roman"/>
                <w:spacing w:val="-1"/>
                <w:sz w:val="18"/>
              </w:rPr>
              <w:t>71,287.80</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nil" w:sz="6" w:space="0" w:color="auto"/>
              <w:right w:val="nil" w:sz="6" w:space="0" w:color="auto"/>
            </w:tcBorders>
          </w:tcPr>
          <w:p>
            <w:pPr/>
          </w:p>
        </w:tc>
      </w:tr>
      <w:tr>
        <w:trPr>
          <w:trHeight w:val="329"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0"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18"/>
              <w:jc w:val="right"/>
              <w:rPr>
                <w:rFonts w:ascii="Times New Roman" w:hAnsi="Times New Roman" w:cs="Times New Roman" w:eastAsia="Times New Roman" w:hint="default"/>
                <w:sz w:val="18"/>
                <w:szCs w:val="18"/>
              </w:rPr>
            </w:pPr>
            <w:r>
              <w:rPr>
                <w:rFonts w:ascii="Times New Roman"/>
                <w:spacing w:val="-1"/>
                <w:sz w:val="18"/>
              </w:rPr>
              <w:t>15,354,133.98</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20"/>
              <w:jc w:val="right"/>
              <w:rPr>
                <w:rFonts w:ascii="Times New Roman" w:hAnsi="Times New Roman" w:cs="Times New Roman" w:eastAsia="Times New Roman" w:hint="default"/>
                <w:sz w:val="18"/>
                <w:szCs w:val="18"/>
              </w:rPr>
            </w:pPr>
            <w:r>
              <w:rPr>
                <w:rFonts w:ascii="Times New Roman"/>
                <w:spacing w:val="-1"/>
                <w:sz w:val="18"/>
              </w:rPr>
              <w:t>10,186,793.35</w:t>
            </w:r>
          </w:p>
        </w:tc>
      </w:tr>
      <w:tr>
        <w:trPr>
          <w:trHeight w:val="330"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0"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18"/>
              <w:jc w:val="right"/>
              <w:rPr>
                <w:rFonts w:ascii="Times New Roman" w:hAnsi="Times New Roman" w:cs="Times New Roman" w:eastAsia="Times New Roman" w:hint="default"/>
                <w:sz w:val="18"/>
                <w:szCs w:val="18"/>
              </w:rPr>
            </w:pPr>
            <w:r>
              <w:rPr>
                <w:rFonts w:ascii="Times New Roman"/>
                <w:spacing w:val="-1"/>
                <w:sz w:val="18"/>
              </w:rPr>
              <w:t>241,580.45</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18"/>
              <w:jc w:val="right"/>
              <w:rPr>
                <w:rFonts w:ascii="Times New Roman" w:hAnsi="Times New Roman" w:cs="Times New Roman" w:eastAsia="Times New Roman" w:hint="default"/>
                <w:sz w:val="18"/>
                <w:szCs w:val="18"/>
              </w:rPr>
            </w:pPr>
            <w:r>
              <w:rPr>
                <w:rFonts w:ascii="Times New Roman"/>
                <w:spacing w:val="-1"/>
                <w:sz w:val="18"/>
              </w:rPr>
              <w:t>114,454.57</w:t>
            </w:r>
          </w:p>
        </w:tc>
      </w:tr>
      <w:tr>
        <w:trPr>
          <w:trHeight w:val="355"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z w:val="18"/>
                <w:szCs w:val="18"/>
              </w:rPr>
              <w:t>合</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4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618"/>
              <w:jc w:val="right"/>
              <w:rPr>
                <w:rFonts w:ascii="Times New Roman" w:hAnsi="Times New Roman" w:cs="Times New Roman" w:eastAsia="Times New Roman" w:hint="default"/>
                <w:sz w:val="18"/>
                <w:szCs w:val="18"/>
              </w:rPr>
            </w:pPr>
            <w:r>
              <w:rPr>
                <w:rFonts w:ascii="Times New Roman"/>
                <w:spacing w:val="-1"/>
                <w:sz w:val="18"/>
              </w:rPr>
              <w:t>15,667,002.23</w:t>
            </w:r>
          </w:p>
        </w:tc>
        <w:tc>
          <w:tcPr>
            <w:tcW w:w="466"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620"/>
              <w:jc w:val="right"/>
              <w:rPr>
                <w:rFonts w:ascii="Times New Roman" w:hAnsi="Times New Roman" w:cs="Times New Roman" w:eastAsia="Times New Roman" w:hint="default"/>
                <w:sz w:val="18"/>
                <w:szCs w:val="18"/>
              </w:rPr>
            </w:pPr>
            <w:r>
              <w:rPr>
                <w:rFonts w:ascii="Times New Roman"/>
                <w:spacing w:val="-1"/>
                <w:sz w:val="18"/>
              </w:rPr>
              <w:t>10,301,247.92</w:t>
            </w:r>
          </w:p>
        </w:tc>
      </w:tr>
    </w:tbl>
    <w:p>
      <w:pPr>
        <w:spacing w:before="29"/>
        <w:ind w:left="475" w:right="73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：政府补助的种类及金额：</w:t>
      </w:r>
    </w:p>
    <w:p>
      <w:pPr>
        <w:tabs>
          <w:tab w:pos="5236" w:val="left" w:leader="none"/>
          <w:tab w:pos="5428" w:val="left" w:leader="none"/>
          <w:tab w:pos="8243" w:val="left" w:leader="none"/>
        </w:tabs>
        <w:spacing w:line="367" w:lineRule="auto" w:before="120"/>
        <w:ind w:left="223" w:right="733" w:firstLine="1552"/>
        <w:jc w:val="left"/>
        <w:rPr>
          <w:rFonts w:ascii="Times New Roman" w:hAnsi="Times New Roman" w:cs="Times New Roman" w:eastAsia="Times New Roman" w:hint="default"/>
          <w:sz w:val="18"/>
          <w:szCs w:val="18"/>
        </w:rPr>
      </w:pPr>
      <w:r>
        <w:rPr/>
        <w:pict>
          <v:group style="position:absolute;margin-left:56.639999pt;margin-top:22.271698pt;width:193.35pt;height:.1pt;mso-position-horizontal-relative:page;mso-position-vertical-relative:paragraph;z-index:-627016" coordorigin="1133,445" coordsize="3867,2">
            <v:shape style="position:absolute;left:1133;top:445;width:3867;height:2" coordorigin="1133,445" coordsize="3867,0" path="m1133,445l4999,445e" filled="false" stroked="true" strokeweight=".48pt" strokecolor="#000000">
              <v:path arrowok="t"/>
            </v:shape>
            <w10:wrap type="none"/>
          </v:group>
        </w:pict>
      </w:r>
      <w:r>
        <w:rPr/>
        <w:pict>
          <v:group style="position:absolute;margin-left:272.160004pt;margin-top:22.271698pt;width:123pt;height:.1pt;mso-position-horizontal-relative:page;mso-position-vertical-relative:paragraph;z-index:-626992" coordorigin="5443,445" coordsize="2460,2">
            <v:shape style="position:absolute;left:5443;top:445;width:2460;height:2" coordorigin="5443,445" coordsize="2460,0" path="m5443,445l7903,445e" filled="false" stroked="true" strokeweight=".48pt" strokecolor="#000000">
              <v:path arrowok="t"/>
            </v:shape>
            <w10:wrap type="none"/>
          </v:group>
        </w:pict>
      </w:r>
      <w:r>
        <w:rPr/>
        <w:pict>
          <v:group style="position:absolute;margin-left:418.319977pt;margin-top:22.271698pt;width:123.15pt;height:.1pt;mso-position-horizontal-relative:page;mso-position-vertical-relative:paragraph;z-index:-626968" coordorigin="8366,445" coordsize="2463,2">
            <v:shape style="position:absolute;left:8366;top:445;width:2463;height:2" coordorigin="8366,445" coordsize="2463,0" path="m8366,445l10829,445e" filled="false" stroked="true" strokeweight=".48pt" strokecolor="#000000">
              <v:path arrowok="t"/>
            </v:shape>
            <w10:wrap type="none"/>
          </v:group>
        </w:pict>
      </w:r>
      <w:r>
        <w:rPr>
          <w:rFonts w:ascii="宋体" w:hAnsi="宋体" w:cs="宋体" w:eastAsia="宋体" w:hint="default"/>
          <w:sz w:val="18"/>
          <w:szCs w:val="18"/>
        </w:rPr>
        <w:t>项  目</w:t>
        <w:tab/>
        <w:tab/>
        <w:t>本期数</w:t>
        <w:tab/>
        <w:t>上期数 软件产品增值税即征即退</w:t>
        <w:tab/>
      </w:r>
      <w:r>
        <w:rPr>
          <w:rFonts w:ascii="Times New Roman" w:hAnsi="Times New Roman" w:cs="Times New Roman" w:eastAsia="Times New Roman" w:hint="default"/>
          <w:spacing w:val="-1"/>
          <w:sz w:val="18"/>
          <w:szCs w:val="18"/>
        </w:rPr>
        <w:t>11,838,161.98</w:t>
        <w:tab/>
        <w:t>9,052,608.62</w:t>
      </w:r>
    </w:p>
    <w:p>
      <w:pPr>
        <w:spacing w:line="116" w:lineRule="exact" w:before="0"/>
        <w:ind w:left="223" w:right="733" w:firstLine="0"/>
        <w:jc w:val="left"/>
        <w:rPr>
          <w:rFonts w:ascii="宋体" w:hAnsi="宋体" w:cs="宋体" w:eastAsia="宋体" w:hint="default"/>
          <w:sz w:val="18"/>
          <w:szCs w:val="18"/>
        </w:rPr>
      </w:pPr>
      <w:r>
        <w:rPr>
          <w:rFonts w:ascii="宋体" w:hAnsi="宋体" w:cs="宋体" w:eastAsia="宋体" w:hint="default"/>
          <w:sz w:val="18"/>
          <w:szCs w:val="18"/>
        </w:rPr>
        <w:t>三林世博功能区域管理委员会经济发展专项资</w:t>
      </w:r>
    </w:p>
    <w:p>
      <w:pPr>
        <w:tabs>
          <w:tab w:pos="8380" w:val="left" w:leader="none"/>
        </w:tabs>
        <w:spacing w:line="184" w:lineRule="exact" w:before="0"/>
        <w:ind w:left="5455" w:right="0" w:firstLine="0"/>
        <w:jc w:val="left"/>
        <w:rPr>
          <w:rFonts w:ascii="Times New Roman" w:hAnsi="Times New Roman" w:cs="Times New Roman" w:eastAsia="Times New Roman" w:hint="default"/>
          <w:sz w:val="18"/>
          <w:szCs w:val="18"/>
        </w:rPr>
      </w:pPr>
      <w:r>
        <w:rPr/>
        <w:pict>
          <v:shape style="position:absolute;margin-left:60.41pt;margin-top:5.387689pt;width:481.05pt;height:101.35pt;mso-position-horizontal-relative:page;mso-position-vertical-relative:paragraph;z-index:8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35"/>
                    <w:gridCol w:w="2460"/>
                    <w:gridCol w:w="463"/>
                    <w:gridCol w:w="2462"/>
                  </w:tblGrid>
                  <w:tr>
                    <w:trPr>
                      <w:trHeight w:val="562" w:hRule="exact"/>
                    </w:trPr>
                    <w:tc>
                      <w:tcPr>
                        <w:tcW w:w="423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金</w:t>
                        </w:r>
                      </w:p>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上海市科技小巨人培育企业资助经费</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617"/>
                          <w:jc w:val="right"/>
                          <w:rPr>
                            <w:rFonts w:ascii="Times New Roman" w:hAnsi="Times New Roman" w:cs="Times New Roman" w:eastAsia="Times New Roman" w:hint="default"/>
                            <w:sz w:val="18"/>
                            <w:szCs w:val="18"/>
                          </w:rPr>
                        </w:pPr>
                        <w:r>
                          <w:rPr>
                            <w:rFonts w:ascii="Times New Roman"/>
                            <w:spacing w:val="-1"/>
                            <w:sz w:val="18"/>
                          </w:rPr>
                          <w:t>433,334.00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617"/>
                          <w:jc w:val="right"/>
                          <w:rPr>
                            <w:rFonts w:ascii="Times New Roman" w:hAnsi="Times New Roman" w:cs="Times New Roman" w:eastAsia="Times New Roman" w:hint="default"/>
                            <w:sz w:val="18"/>
                            <w:szCs w:val="18"/>
                          </w:rPr>
                        </w:pPr>
                        <w:r>
                          <w:rPr>
                            <w:rFonts w:ascii="Times New Roman"/>
                            <w:spacing w:val="-1"/>
                            <w:sz w:val="18"/>
                          </w:rPr>
                          <w:t>433,333.00</w:t>
                        </w:r>
                      </w:p>
                    </w:tc>
                  </w:tr>
                  <w:tr>
                    <w:trPr>
                      <w:trHeight w:val="348" w:hRule="exact"/>
                    </w:trPr>
                    <w:tc>
                      <w:tcPr>
                        <w:tcW w:w="423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16"/>
                          <w:jc w:val="right"/>
                          <w:rPr>
                            <w:rFonts w:ascii="Times New Roman" w:hAnsi="Times New Roman" w:cs="Times New Roman" w:eastAsia="Times New Roman" w:hint="default"/>
                            <w:sz w:val="18"/>
                            <w:szCs w:val="18"/>
                          </w:rPr>
                        </w:pPr>
                        <w:r>
                          <w:rPr>
                            <w:rFonts w:ascii="Times New Roman"/>
                            <w:spacing w:val="-1"/>
                            <w:sz w:val="18"/>
                          </w:rPr>
                          <w:t>2,000,000.00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
                    </w:tc>
                  </w:tr>
                  <w:tr>
                    <w:trPr>
                      <w:trHeight w:val="349" w:hRule="exact"/>
                    </w:trPr>
                    <w:tc>
                      <w:tcPr>
                        <w:tcW w:w="423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区、街道财政资助</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16"/>
                          <w:jc w:val="right"/>
                          <w:rPr>
                            <w:rFonts w:ascii="Times New Roman" w:hAnsi="Times New Roman" w:cs="Times New Roman" w:eastAsia="Times New Roman" w:hint="default"/>
                            <w:sz w:val="18"/>
                            <w:szCs w:val="18"/>
                          </w:rPr>
                        </w:pPr>
                        <w:r>
                          <w:rPr>
                            <w:rFonts w:ascii="Times New Roman"/>
                            <w:spacing w:val="-1"/>
                            <w:sz w:val="18"/>
                          </w:rPr>
                          <w:t>116,700.00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17"/>
                          <w:jc w:val="right"/>
                          <w:rPr>
                            <w:rFonts w:ascii="Times New Roman" w:hAnsi="Times New Roman" w:cs="Times New Roman" w:eastAsia="Times New Roman" w:hint="default"/>
                            <w:sz w:val="18"/>
                            <w:szCs w:val="18"/>
                          </w:rPr>
                        </w:pPr>
                        <w:r>
                          <w:rPr>
                            <w:rFonts w:ascii="Times New Roman"/>
                            <w:spacing w:val="-1"/>
                            <w:sz w:val="18"/>
                          </w:rPr>
                          <w:t>39,000.00</w:t>
                        </w:r>
                      </w:p>
                    </w:tc>
                  </w:tr>
                  <w:tr>
                    <w:trPr>
                      <w:trHeight w:val="350" w:hRule="exact"/>
                    </w:trPr>
                    <w:tc>
                      <w:tcPr>
                        <w:tcW w:w="423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617"/>
                          <w:jc w:val="right"/>
                          <w:rPr>
                            <w:rFonts w:ascii="Times New Roman" w:hAnsi="Times New Roman" w:cs="Times New Roman" w:eastAsia="Times New Roman" w:hint="default"/>
                            <w:sz w:val="18"/>
                            <w:szCs w:val="18"/>
                          </w:rPr>
                        </w:pPr>
                        <w:r>
                          <w:rPr>
                            <w:rFonts w:ascii="Times New Roman"/>
                            <w:spacing w:val="-1"/>
                            <w:sz w:val="18"/>
                          </w:rPr>
                          <w:t>162,500.00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2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17"/>
                          <w:jc w:val="center"/>
                          <w:rPr>
                            <w:rFonts w:ascii="宋体" w:hAnsi="宋体" w:cs="宋体" w:eastAsia="宋体" w:hint="default"/>
                            <w:sz w:val="18"/>
                            <w:szCs w:val="18"/>
                          </w:rPr>
                        </w:pPr>
                        <w:r>
                          <w:rPr>
                            <w:rFonts w:ascii="宋体" w:hAnsi="宋体" w:cs="宋体" w:eastAsia="宋体" w:hint="default"/>
                            <w:sz w:val="18"/>
                            <w:szCs w:val="18"/>
                          </w:rPr>
                          <w:t>合  计</w:t>
                        </w: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616"/>
                          <w:jc w:val="right"/>
                          <w:rPr>
                            <w:rFonts w:ascii="Times New Roman" w:hAnsi="Times New Roman" w:cs="Times New Roman" w:eastAsia="Times New Roman" w:hint="default"/>
                            <w:sz w:val="18"/>
                            <w:szCs w:val="18"/>
                          </w:rPr>
                        </w:pPr>
                        <w:r>
                          <w:rPr>
                            <w:rFonts w:ascii="Times New Roman"/>
                            <w:spacing w:val="-1"/>
                            <w:sz w:val="18"/>
                          </w:rPr>
                          <w:t>15,354,133.98</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616"/>
                          <w:jc w:val="right"/>
                          <w:rPr>
                            <w:rFonts w:ascii="Times New Roman" w:hAnsi="Times New Roman" w:cs="Times New Roman" w:eastAsia="Times New Roman" w:hint="default"/>
                            <w:sz w:val="18"/>
                            <w:szCs w:val="18"/>
                          </w:rPr>
                        </w:pPr>
                        <w:r>
                          <w:rPr>
                            <w:rFonts w:ascii="Times New Roman"/>
                            <w:spacing w:val="-1"/>
                            <w:sz w:val="18"/>
                          </w:rPr>
                          <w:t>10,186,793.35</w:t>
                        </w:r>
                      </w:p>
                    </w:tc>
                  </w:tr>
                </w:tbl>
                <w:p>
                  <w:pPr/>
                </w:p>
              </w:txbxContent>
            </v:textbox>
            <w10:wrap type="none"/>
          </v:shape>
        </w:pict>
      </w:r>
      <w:r>
        <w:rPr>
          <w:rFonts w:ascii="Times New Roman"/>
          <w:spacing w:val="-1"/>
          <w:sz w:val="18"/>
        </w:rPr>
        <w:t>803,438.00</w:t>
        <w:tab/>
        <w:t>661,851.73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before="44"/>
        <w:ind w:left="47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日，本公司已获得主管税务机关批准的软件产品增值税即征即退税额为</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11,838,161.98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374" w:lineRule="auto" w:before="142"/>
        <w:ind w:left="475" w:right="3115" w:hanging="363"/>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年度实际收到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4,987,564.17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6,850,597.81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月收到。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：以上政府补助除软件产品增值税即征即退外，均计入非经常性损益。</w:t>
      </w:r>
    </w:p>
    <w:p>
      <w:pPr>
        <w:spacing w:line="240" w:lineRule="auto" w:before="9"/>
        <w:rPr>
          <w:rFonts w:ascii="宋体" w:hAnsi="宋体" w:cs="宋体" w:eastAsia="宋体" w:hint="default"/>
          <w:sz w:val="25"/>
          <w:szCs w:val="25"/>
        </w:rPr>
      </w:pPr>
    </w:p>
    <w:p>
      <w:pPr>
        <w:pStyle w:val="BodyText"/>
        <w:spacing w:line="240" w:lineRule="auto"/>
        <w:ind w:left="535" w:right="733"/>
        <w:jc w:val="left"/>
      </w:pPr>
      <w:r>
        <w:rPr>
          <w:rFonts w:ascii="Times New Roman" w:hAnsi="Times New Roman" w:cs="Times New Roman" w:eastAsia="Times New Roman" w:hint="default"/>
        </w:rPr>
        <w:t>33</w:t>
      </w:r>
      <w:r>
        <w:rPr/>
        <w:t>、所得税费用</w:t>
      </w:r>
    </w:p>
    <w:p>
      <w:pPr>
        <w:spacing w:after="0" w:line="240" w:lineRule="auto"/>
        <w:jc w:val="left"/>
        <w:sectPr>
          <w:pgSz w:w="11910" w:h="16840"/>
          <w:pgMar w:header="849" w:footer="976" w:top="1460" w:bottom="1160" w:left="1020" w:right="960"/>
        </w:sectPr>
      </w:pPr>
    </w:p>
    <w:p>
      <w:pPr>
        <w:spacing w:line="240" w:lineRule="auto" w:before="5"/>
        <w:rPr>
          <w:rFonts w:ascii="宋体" w:hAnsi="宋体" w:cs="宋体" w:eastAsia="宋体" w:hint="default"/>
          <w:sz w:val="3"/>
          <w:szCs w:val="3"/>
        </w:rPr>
      </w:pPr>
      <w:r>
        <w:rPr/>
        <w:pict>
          <v:group style="position:absolute;margin-left:56.639999pt;margin-top:75.120026pt;width:63.15pt;height:12.4pt;mso-position-horizontal-relative:page;mso-position-vertical-relative:page;z-index:-626848"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1247"/>
        <w:gridCol w:w="686"/>
        <w:gridCol w:w="1933"/>
        <w:gridCol w:w="444"/>
        <w:gridCol w:w="2460"/>
        <w:gridCol w:w="463"/>
        <w:gridCol w:w="2462"/>
      </w:tblGrid>
      <w:tr>
        <w:trPr>
          <w:trHeight w:val="362" w:hRule="exact"/>
        </w:trPr>
        <w:tc>
          <w:tcPr>
            <w:tcW w:w="3866" w:type="dxa"/>
            <w:gridSpan w:val="3"/>
            <w:tcBorders>
              <w:top w:val="single" w:sz="6" w:space="0" w:color="000000"/>
              <w:left w:val="nil" w:sz="6" w:space="0" w:color="auto"/>
              <w:bottom w:val="single" w:sz="4"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4" w:type="dxa"/>
            <w:tcBorders>
              <w:top w:val="single" w:sz="6" w:space="0" w:color="000000"/>
              <w:left w:val="nil" w:sz="6" w:space="0" w:color="auto"/>
              <w:bottom w:val="nil" w:sz="6" w:space="0" w:color="auto"/>
              <w:right w:val="nil" w:sz="6" w:space="0" w:color="auto"/>
            </w:tcBorders>
          </w:tcPr>
          <w:p>
            <w:pPr/>
          </w:p>
        </w:tc>
        <w:tc>
          <w:tcPr>
            <w:tcW w:w="2460" w:type="dxa"/>
            <w:tcBorders>
              <w:top w:val="single" w:sz="6" w:space="0" w:color="000000"/>
              <w:left w:val="nil" w:sz="6" w:space="0" w:color="auto"/>
              <w:bottom w:val="single" w:sz="4" w:space="0" w:color="000000"/>
              <w:right w:val="nil" w:sz="6" w:space="0" w:color="auto"/>
            </w:tcBorders>
          </w:tcPr>
          <w:p>
            <w:pPr>
              <w:pStyle w:val="TableParagraph"/>
              <w:spacing w:line="240" w:lineRule="auto" w:before="29"/>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3" w:type="dxa"/>
            <w:tcBorders>
              <w:top w:val="single" w:sz="6" w:space="0" w:color="000000"/>
              <w:left w:val="nil" w:sz="6" w:space="0" w:color="auto"/>
              <w:bottom w:val="nil" w:sz="6" w:space="0" w:color="auto"/>
              <w:right w:val="nil" w:sz="6" w:space="0" w:color="auto"/>
            </w:tcBorders>
          </w:tcPr>
          <w:p>
            <w:pPr/>
          </w:p>
        </w:tc>
        <w:tc>
          <w:tcPr>
            <w:tcW w:w="2462" w:type="dxa"/>
            <w:tcBorders>
              <w:top w:val="single" w:sz="6" w:space="0" w:color="000000"/>
              <w:left w:val="nil" w:sz="6" w:space="0" w:color="auto"/>
              <w:bottom w:val="single" w:sz="4" w:space="0" w:color="000000"/>
              <w:right w:val="nil" w:sz="6" w:space="0" w:color="auto"/>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57" w:hRule="exact"/>
        </w:trPr>
        <w:tc>
          <w:tcPr>
            <w:tcW w:w="386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758" w:right="0"/>
              <w:jc w:val="left"/>
              <w:rPr>
                <w:rFonts w:ascii="Times New Roman" w:hAnsi="Times New Roman" w:cs="Times New Roman" w:eastAsia="Times New Roman" w:hint="default"/>
                <w:sz w:val="18"/>
                <w:szCs w:val="18"/>
              </w:rPr>
            </w:pPr>
            <w:r>
              <w:rPr>
                <w:rFonts w:ascii="Times New Roman"/>
                <w:sz w:val="18"/>
              </w:rPr>
              <w:t>6,361,736.00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763" w:right="0"/>
              <w:jc w:val="left"/>
              <w:rPr>
                <w:rFonts w:ascii="Times New Roman" w:hAnsi="Times New Roman" w:cs="Times New Roman" w:eastAsia="Times New Roman" w:hint="default"/>
                <w:sz w:val="18"/>
                <w:szCs w:val="18"/>
              </w:rPr>
            </w:pPr>
            <w:r>
              <w:rPr>
                <w:rFonts w:ascii="Times New Roman"/>
                <w:sz w:val="18"/>
              </w:rPr>
              <w:t>4,119,713.15</w:t>
            </w:r>
          </w:p>
        </w:tc>
      </w:tr>
      <w:tr>
        <w:trPr>
          <w:trHeight w:val="349"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729" w:right="0"/>
              <w:jc w:val="left"/>
              <w:rPr>
                <w:rFonts w:ascii="Times New Roman" w:hAnsi="Times New Roman" w:cs="Times New Roman" w:eastAsia="Times New Roman" w:hint="default"/>
                <w:sz w:val="18"/>
                <w:szCs w:val="18"/>
              </w:rPr>
            </w:pPr>
            <w:r>
              <w:rPr>
                <w:rFonts w:ascii="Times New Roman"/>
                <w:sz w:val="18"/>
              </w:rPr>
              <w:t>-1,605,487.50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796" w:right="0"/>
              <w:jc w:val="left"/>
              <w:rPr>
                <w:rFonts w:ascii="Times New Roman" w:hAnsi="Times New Roman" w:cs="Times New Roman" w:eastAsia="Times New Roman" w:hint="default"/>
                <w:sz w:val="18"/>
                <w:szCs w:val="18"/>
              </w:rPr>
            </w:pPr>
            <w:r>
              <w:rPr>
                <w:rFonts w:ascii="Times New Roman"/>
                <w:sz w:val="18"/>
              </w:rPr>
              <w:t>-507,719.37</w:t>
            </w:r>
          </w:p>
        </w:tc>
      </w:tr>
      <w:tr>
        <w:trPr>
          <w:trHeight w:val="374"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758" w:right="0"/>
              <w:jc w:val="left"/>
              <w:rPr>
                <w:rFonts w:ascii="Times New Roman" w:hAnsi="Times New Roman" w:cs="Times New Roman" w:eastAsia="Times New Roman" w:hint="default"/>
                <w:sz w:val="18"/>
                <w:szCs w:val="18"/>
              </w:rPr>
            </w:pPr>
            <w:r>
              <w:rPr>
                <w:rFonts w:ascii="Times New Roman"/>
                <w:sz w:val="18"/>
              </w:rPr>
              <w:t>4,756,248.50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763" w:right="0"/>
              <w:jc w:val="left"/>
              <w:rPr>
                <w:rFonts w:ascii="Times New Roman" w:hAnsi="Times New Roman" w:cs="Times New Roman" w:eastAsia="Times New Roman" w:hint="default"/>
                <w:sz w:val="18"/>
                <w:szCs w:val="18"/>
              </w:rPr>
            </w:pPr>
            <w:r>
              <w:rPr>
                <w:rFonts w:ascii="Times New Roman"/>
                <w:sz w:val="18"/>
              </w:rPr>
              <w:t>3,611,993.78</w:t>
            </w:r>
          </w:p>
        </w:tc>
      </w:tr>
      <w:tr>
        <w:trPr>
          <w:trHeight w:val="667" w:hRule="exact"/>
        </w:trPr>
        <w:tc>
          <w:tcPr>
            <w:tcW w:w="969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、收到的其他与经营活动有关的现金</w:t>
            </w:r>
          </w:p>
        </w:tc>
      </w:tr>
      <w:tr>
        <w:trPr>
          <w:trHeight w:val="365" w:hRule="exact"/>
        </w:trPr>
        <w:tc>
          <w:tcPr>
            <w:tcW w:w="386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71" w:hRule="exact"/>
        </w:trPr>
        <w:tc>
          <w:tcPr>
            <w:tcW w:w="386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616"/>
              <w:jc w:val="right"/>
              <w:rPr>
                <w:rFonts w:ascii="Times New Roman" w:hAnsi="Times New Roman" w:cs="Times New Roman" w:eastAsia="Times New Roman" w:hint="default"/>
                <w:sz w:val="18"/>
                <w:szCs w:val="18"/>
              </w:rPr>
            </w:pPr>
            <w:r>
              <w:rPr>
                <w:rFonts w:ascii="Times New Roman"/>
                <w:spacing w:val="-1"/>
                <w:sz w:val="18"/>
              </w:rPr>
              <w:t>3,371,718.45</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617"/>
              <w:jc w:val="right"/>
              <w:rPr>
                <w:rFonts w:ascii="Times New Roman" w:hAnsi="Times New Roman" w:cs="Times New Roman" w:eastAsia="Times New Roman" w:hint="default"/>
                <w:sz w:val="18"/>
                <w:szCs w:val="18"/>
              </w:rPr>
            </w:pPr>
            <w:r>
              <w:rPr>
                <w:rFonts w:ascii="Times New Roman"/>
                <w:spacing w:val="-1"/>
                <w:sz w:val="18"/>
              </w:rPr>
              <w:t>815,306.30</w:t>
            </w:r>
          </w:p>
        </w:tc>
      </w:tr>
      <w:tr>
        <w:trPr>
          <w:trHeight w:val="362"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保函资金</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6"/>
              <w:jc w:val="right"/>
              <w:rPr>
                <w:rFonts w:ascii="Times New Roman" w:hAnsi="Times New Roman" w:cs="Times New Roman" w:eastAsia="Times New Roman" w:hint="default"/>
                <w:sz w:val="18"/>
                <w:szCs w:val="18"/>
              </w:rPr>
            </w:pPr>
            <w:r>
              <w:rPr>
                <w:rFonts w:ascii="Times New Roman"/>
                <w:spacing w:val="-1"/>
                <w:sz w:val="18"/>
              </w:rPr>
              <w:t>6,947,681.00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6"/>
              <w:jc w:val="right"/>
              <w:rPr>
                <w:rFonts w:ascii="Times New Roman" w:hAnsi="Times New Roman" w:cs="Times New Roman" w:eastAsia="Times New Roman" w:hint="default"/>
                <w:sz w:val="18"/>
                <w:szCs w:val="18"/>
              </w:rPr>
            </w:pPr>
            <w:r>
              <w:rPr>
                <w:rFonts w:ascii="Times New Roman"/>
                <w:spacing w:val="-1"/>
                <w:sz w:val="18"/>
              </w:rPr>
              <w:t>2,272,338.00</w:t>
            </w:r>
          </w:p>
        </w:tc>
      </w:tr>
      <w:tr>
        <w:trPr>
          <w:trHeight w:val="362"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宋体" w:hAnsi="宋体" w:cs="宋体" w:eastAsia="宋体" w:hint="default"/>
                <w:sz w:val="18"/>
                <w:szCs w:val="18"/>
              </w:rPr>
              <w:t>员工备用金</w:t>
            </w:r>
            <w:r>
              <w:rPr>
                <w:rFonts w:ascii="Times New Roman" w:hAnsi="Times New Roman" w:cs="Times New Roman" w:eastAsia="Times New Roman" w:hint="default"/>
                <w:sz w:val="18"/>
                <w:szCs w:val="18"/>
              </w:rPr>
              <w:t>/</w:t>
            </w:r>
            <w:r>
              <w:rPr>
                <w:rFonts w:ascii="宋体" w:hAnsi="宋体" w:cs="宋体" w:eastAsia="宋体" w:hint="default"/>
                <w:sz w:val="18"/>
                <w:szCs w:val="18"/>
              </w:rPr>
              <w:t>暂支款</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6"/>
              <w:jc w:val="right"/>
              <w:rPr>
                <w:rFonts w:ascii="Times New Roman" w:hAnsi="Times New Roman" w:cs="Times New Roman" w:eastAsia="Times New Roman" w:hint="default"/>
                <w:sz w:val="18"/>
                <w:szCs w:val="18"/>
              </w:rPr>
            </w:pPr>
            <w:r>
              <w:rPr>
                <w:rFonts w:ascii="Times New Roman"/>
                <w:spacing w:val="-1"/>
                <w:sz w:val="18"/>
              </w:rPr>
              <w:t>18,175,000.75</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6"/>
              <w:jc w:val="right"/>
              <w:rPr>
                <w:rFonts w:ascii="Times New Roman" w:hAnsi="Times New Roman" w:cs="Times New Roman" w:eastAsia="Times New Roman" w:hint="default"/>
                <w:sz w:val="18"/>
                <w:szCs w:val="18"/>
              </w:rPr>
            </w:pPr>
            <w:r>
              <w:rPr>
                <w:rFonts w:ascii="Times New Roman"/>
                <w:spacing w:val="-1"/>
                <w:sz w:val="18"/>
              </w:rPr>
              <w:t>7,375,511.84</w:t>
            </w:r>
          </w:p>
        </w:tc>
      </w:tr>
      <w:tr>
        <w:trPr>
          <w:trHeight w:val="362"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6"/>
              <w:jc w:val="right"/>
              <w:rPr>
                <w:rFonts w:ascii="Times New Roman" w:hAnsi="Times New Roman" w:cs="Times New Roman" w:eastAsia="Times New Roman" w:hint="default"/>
                <w:sz w:val="18"/>
                <w:szCs w:val="18"/>
              </w:rPr>
            </w:pPr>
            <w:r>
              <w:rPr>
                <w:rFonts w:ascii="Times New Roman"/>
                <w:spacing w:val="-1"/>
                <w:sz w:val="18"/>
              </w:rPr>
              <w:t>1,641,819.00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7"/>
              <w:jc w:val="right"/>
              <w:rPr>
                <w:rFonts w:ascii="Times New Roman" w:hAnsi="Times New Roman" w:cs="Times New Roman" w:eastAsia="Times New Roman" w:hint="default"/>
                <w:sz w:val="18"/>
                <w:szCs w:val="18"/>
              </w:rPr>
            </w:pPr>
            <w:r>
              <w:rPr>
                <w:rFonts w:ascii="Times New Roman"/>
                <w:spacing w:val="-1"/>
                <w:sz w:val="18"/>
              </w:rPr>
              <w:t>504,187.50</w:t>
            </w:r>
          </w:p>
        </w:tc>
      </w:tr>
      <w:tr>
        <w:trPr>
          <w:trHeight w:val="361"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617"/>
              <w:jc w:val="right"/>
              <w:rPr>
                <w:rFonts w:ascii="Times New Roman" w:hAnsi="Times New Roman" w:cs="Times New Roman" w:eastAsia="Times New Roman" w:hint="default"/>
                <w:sz w:val="18"/>
                <w:szCs w:val="18"/>
              </w:rPr>
            </w:pPr>
            <w:r>
              <w:rPr>
                <w:rFonts w:ascii="Times New Roman"/>
                <w:spacing w:val="-1"/>
                <w:sz w:val="18"/>
              </w:rPr>
              <w:t>796,356.65</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617"/>
              <w:jc w:val="right"/>
              <w:rPr>
                <w:rFonts w:ascii="Times New Roman" w:hAnsi="Times New Roman" w:cs="Times New Roman" w:eastAsia="Times New Roman" w:hint="default"/>
                <w:sz w:val="18"/>
                <w:szCs w:val="18"/>
              </w:rPr>
            </w:pPr>
            <w:r>
              <w:rPr>
                <w:rFonts w:ascii="Times New Roman"/>
                <w:spacing w:val="-1"/>
                <w:sz w:val="18"/>
              </w:rPr>
              <w:t>67,400.00</w:t>
            </w:r>
          </w:p>
        </w:tc>
      </w:tr>
      <w:tr>
        <w:trPr>
          <w:trHeight w:val="389"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9"/>
              <w:ind w:right="616"/>
              <w:jc w:val="right"/>
              <w:rPr>
                <w:rFonts w:ascii="Times New Roman" w:hAnsi="Times New Roman" w:cs="Times New Roman" w:eastAsia="Times New Roman" w:hint="default"/>
                <w:sz w:val="18"/>
                <w:szCs w:val="18"/>
              </w:rPr>
            </w:pPr>
            <w:r>
              <w:rPr>
                <w:rFonts w:ascii="Times New Roman"/>
                <w:spacing w:val="-1"/>
                <w:sz w:val="18"/>
              </w:rPr>
              <w:t>30,932,575.85</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79"/>
              <w:ind w:right="616"/>
              <w:jc w:val="right"/>
              <w:rPr>
                <w:rFonts w:ascii="Times New Roman" w:hAnsi="Times New Roman" w:cs="Times New Roman" w:eastAsia="Times New Roman" w:hint="default"/>
                <w:sz w:val="18"/>
                <w:szCs w:val="18"/>
              </w:rPr>
            </w:pPr>
            <w:r>
              <w:rPr>
                <w:rFonts w:ascii="Times New Roman"/>
                <w:spacing w:val="-1"/>
                <w:sz w:val="18"/>
              </w:rPr>
              <w:t>11,034,743.64</w:t>
            </w:r>
          </w:p>
        </w:tc>
      </w:tr>
      <w:tr>
        <w:trPr>
          <w:trHeight w:val="662" w:hRule="exact"/>
        </w:trPr>
        <w:tc>
          <w:tcPr>
            <w:tcW w:w="969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、支付的其他与经营活动有关的现金</w:t>
            </w:r>
          </w:p>
        </w:tc>
      </w:tr>
      <w:tr>
        <w:trPr>
          <w:trHeight w:val="349" w:hRule="exact"/>
        </w:trPr>
        <w:tc>
          <w:tcPr>
            <w:tcW w:w="386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51" w:hRule="exact"/>
        </w:trPr>
        <w:tc>
          <w:tcPr>
            <w:tcW w:w="386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616"/>
              <w:jc w:val="right"/>
              <w:rPr>
                <w:rFonts w:ascii="Times New Roman" w:hAnsi="Times New Roman" w:cs="Times New Roman" w:eastAsia="Times New Roman" w:hint="default"/>
                <w:sz w:val="18"/>
                <w:szCs w:val="18"/>
              </w:rPr>
            </w:pPr>
            <w:r>
              <w:rPr>
                <w:rFonts w:ascii="Times New Roman"/>
                <w:spacing w:val="-1"/>
                <w:sz w:val="18"/>
              </w:rPr>
              <w:t>2,346,522.50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616"/>
              <w:jc w:val="right"/>
              <w:rPr>
                <w:rFonts w:ascii="Times New Roman" w:hAnsi="Times New Roman" w:cs="Times New Roman" w:eastAsia="Times New Roman" w:hint="default"/>
                <w:sz w:val="18"/>
                <w:szCs w:val="18"/>
              </w:rPr>
            </w:pPr>
            <w:r>
              <w:rPr>
                <w:rFonts w:ascii="Times New Roman"/>
                <w:spacing w:val="-1"/>
                <w:sz w:val="18"/>
              </w:rPr>
              <w:t>1,313,253.61</w:t>
            </w:r>
          </w:p>
        </w:tc>
      </w:tr>
      <w:tr>
        <w:trPr>
          <w:trHeight w:val="340"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6"/>
              <w:jc w:val="right"/>
              <w:rPr>
                <w:rFonts w:ascii="Times New Roman" w:hAnsi="Times New Roman" w:cs="Times New Roman" w:eastAsia="Times New Roman" w:hint="default"/>
                <w:sz w:val="18"/>
                <w:szCs w:val="18"/>
              </w:rPr>
            </w:pPr>
            <w:r>
              <w:rPr>
                <w:rFonts w:ascii="Times New Roman"/>
                <w:spacing w:val="-1"/>
                <w:sz w:val="18"/>
              </w:rPr>
              <w:t>7,694,177.16</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6"/>
              <w:jc w:val="right"/>
              <w:rPr>
                <w:rFonts w:ascii="Times New Roman" w:hAnsi="Times New Roman" w:cs="Times New Roman" w:eastAsia="Times New Roman" w:hint="default"/>
                <w:sz w:val="18"/>
                <w:szCs w:val="18"/>
              </w:rPr>
            </w:pPr>
            <w:r>
              <w:rPr>
                <w:rFonts w:ascii="Times New Roman"/>
                <w:spacing w:val="-1"/>
                <w:sz w:val="18"/>
              </w:rPr>
              <w:t>5,203,584.57</w:t>
            </w:r>
          </w:p>
        </w:tc>
      </w:tr>
      <w:tr>
        <w:trPr>
          <w:trHeight w:val="340"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6"/>
              <w:jc w:val="right"/>
              <w:rPr>
                <w:rFonts w:ascii="Times New Roman" w:hAnsi="Times New Roman" w:cs="Times New Roman" w:eastAsia="Times New Roman" w:hint="default"/>
                <w:sz w:val="18"/>
                <w:szCs w:val="18"/>
              </w:rPr>
            </w:pPr>
            <w:r>
              <w:rPr>
                <w:rFonts w:ascii="Times New Roman"/>
                <w:spacing w:val="-1"/>
                <w:sz w:val="18"/>
              </w:rPr>
              <w:t>10,103,505.67</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6"/>
              <w:jc w:val="right"/>
              <w:rPr>
                <w:rFonts w:ascii="Times New Roman" w:hAnsi="Times New Roman" w:cs="Times New Roman" w:eastAsia="Times New Roman" w:hint="default"/>
                <w:sz w:val="18"/>
                <w:szCs w:val="18"/>
              </w:rPr>
            </w:pPr>
            <w:r>
              <w:rPr>
                <w:rFonts w:ascii="Times New Roman"/>
                <w:spacing w:val="-1"/>
                <w:sz w:val="18"/>
              </w:rPr>
              <w:t>3,325,631.58</w:t>
            </w:r>
          </w:p>
        </w:tc>
      </w:tr>
      <w:tr>
        <w:trPr>
          <w:trHeight w:val="341"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167,000.00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31,260.00</w:t>
            </w:r>
          </w:p>
        </w:tc>
      </w:tr>
      <w:tr>
        <w:trPr>
          <w:trHeight w:val="340"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7"/>
              <w:jc w:val="right"/>
              <w:rPr>
                <w:rFonts w:ascii="Times New Roman" w:hAnsi="Times New Roman" w:cs="Times New Roman" w:eastAsia="Times New Roman" w:hint="default"/>
                <w:sz w:val="18"/>
                <w:szCs w:val="18"/>
              </w:rPr>
            </w:pPr>
            <w:r>
              <w:rPr>
                <w:rFonts w:ascii="Times New Roman"/>
                <w:spacing w:val="-1"/>
                <w:sz w:val="18"/>
              </w:rPr>
              <w:t>743,544.44</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7"/>
              <w:jc w:val="right"/>
              <w:rPr>
                <w:rFonts w:ascii="Times New Roman" w:hAnsi="Times New Roman" w:cs="Times New Roman" w:eastAsia="Times New Roman" w:hint="default"/>
                <w:sz w:val="18"/>
                <w:szCs w:val="18"/>
              </w:rPr>
            </w:pPr>
            <w:r>
              <w:rPr>
                <w:rFonts w:ascii="Times New Roman"/>
                <w:spacing w:val="-1"/>
                <w:sz w:val="18"/>
              </w:rPr>
              <w:t>660,729.97</w:t>
            </w:r>
          </w:p>
        </w:tc>
      </w:tr>
      <w:tr>
        <w:trPr>
          <w:trHeight w:val="340"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7"/>
              <w:jc w:val="right"/>
              <w:rPr>
                <w:rFonts w:ascii="Times New Roman" w:hAnsi="Times New Roman" w:cs="Times New Roman" w:eastAsia="Times New Roman" w:hint="default"/>
                <w:sz w:val="18"/>
                <w:szCs w:val="18"/>
              </w:rPr>
            </w:pPr>
            <w:r>
              <w:rPr>
                <w:rFonts w:ascii="Times New Roman"/>
                <w:spacing w:val="-1"/>
                <w:sz w:val="18"/>
              </w:rPr>
              <w:t>241,912.59</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7"/>
              <w:jc w:val="right"/>
              <w:rPr>
                <w:rFonts w:ascii="Times New Roman" w:hAnsi="Times New Roman" w:cs="Times New Roman" w:eastAsia="Times New Roman" w:hint="default"/>
                <w:sz w:val="18"/>
                <w:szCs w:val="18"/>
              </w:rPr>
            </w:pPr>
            <w:r>
              <w:rPr>
                <w:rFonts w:ascii="Times New Roman"/>
                <w:spacing w:val="-1"/>
                <w:sz w:val="18"/>
              </w:rPr>
              <w:t>204,846.02</w:t>
            </w:r>
          </w:p>
        </w:tc>
      </w:tr>
      <w:tr>
        <w:trPr>
          <w:trHeight w:val="341"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446,384.88</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688,954.13</w:t>
            </w:r>
          </w:p>
        </w:tc>
      </w:tr>
      <w:tr>
        <w:trPr>
          <w:trHeight w:val="341"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6"/>
              <w:jc w:val="right"/>
              <w:rPr>
                <w:rFonts w:ascii="Times New Roman" w:hAnsi="Times New Roman" w:cs="Times New Roman" w:eastAsia="Times New Roman" w:hint="default"/>
                <w:sz w:val="18"/>
                <w:szCs w:val="18"/>
              </w:rPr>
            </w:pPr>
            <w:r>
              <w:rPr>
                <w:rFonts w:ascii="Times New Roman"/>
                <w:spacing w:val="-1"/>
                <w:sz w:val="18"/>
              </w:rPr>
              <w:t>1,050,753.75</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6"/>
              <w:jc w:val="right"/>
              <w:rPr>
                <w:rFonts w:ascii="Times New Roman" w:hAnsi="Times New Roman" w:cs="Times New Roman" w:eastAsia="Times New Roman" w:hint="default"/>
                <w:sz w:val="18"/>
                <w:szCs w:val="18"/>
              </w:rPr>
            </w:pPr>
            <w:r>
              <w:rPr>
                <w:rFonts w:ascii="Times New Roman"/>
                <w:spacing w:val="-1"/>
                <w:sz w:val="18"/>
              </w:rPr>
              <w:t>1,001,377.48</w:t>
            </w:r>
          </w:p>
        </w:tc>
      </w:tr>
      <w:tr>
        <w:trPr>
          <w:trHeight w:val="338"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6"/>
              <w:jc w:val="right"/>
              <w:rPr>
                <w:rFonts w:ascii="Times New Roman" w:hAnsi="Times New Roman" w:cs="Times New Roman" w:eastAsia="Times New Roman" w:hint="default"/>
                <w:sz w:val="18"/>
                <w:szCs w:val="18"/>
              </w:rPr>
            </w:pPr>
            <w:r>
              <w:rPr>
                <w:rFonts w:ascii="Times New Roman"/>
                <w:spacing w:val="-1"/>
                <w:sz w:val="18"/>
              </w:rPr>
              <w:t>2,950,757.85</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6"/>
              <w:jc w:val="right"/>
              <w:rPr>
                <w:rFonts w:ascii="Times New Roman" w:hAnsi="Times New Roman" w:cs="Times New Roman" w:eastAsia="Times New Roman" w:hint="default"/>
                <w:sz w:val="18"/>
                <w:szCs w:val="18"/>
              </w:rPr>
            </w:pPr>
            <w:r>
              <w:rPr>
                <w:rFonts w:ascii="Times New Roman"/>
                <w:spacing w:val="-1"/>
                <w:sz w:val="18"/>
              </w:rPr>
              <w:t>1,323,028.59</w:t>
            </w:r>
          </w:p>
        </w:tc>
      </w:tr>
      <w:tr>
        <w:trPr>
          <w:trHeight w:val="341"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6"/>
              <w:jc w:val="right"/>
              <w:rPr>
                <w:rFonts w:ascii="Times New Roman" w:hAnsi="Times New Roman" w:cs="Times New Roman" w:eastAsia="Times New Roman" w:hint="default"/>
                <w:sz w:val="18"/>
                <w:szCs w:val="18"/>
              </w:rPr>
            </w:pPr>
            <w:r>
              <w:rPr>
                <w:rFonts w:ascii="Times New Roman"/>
                <w:spacing w:val="-1"/>
                <w:sz w:val="18"/>
              </w:rPr>
              <w:t>2,891,976.41</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6"/>
              <w:jc w:val="right"/>
              <w:rPr>
                <w:rFonts w:ascii="Times New Roman" w:hAnsi="Times New Roman" w:cs="Times New Roman" w:eastAsia="Times New Roman" w:hint="default"/>
                <w:sz w:val="18"/>
                <w:szCs w:val="18"/>
              </w:rPr>
            </w:pPr>
            <w:r>
              <w:rPr>
                <w:rFonts w:ascii="Times New Roman"/>
                <w:spacing w:val="-1"/>
                <w:sz w:val="18"/>
              </w:rPr>
              <w:t>2,386,491.90</w:t>
            </w:r>
          </w:p>
        </w:tc>
      </w:tr>
      <w:tr>
        <w:trPr>
          <w:trHeight w:val="341"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保函资金</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6"/>
              <w:jc w:val="right"/>
              <w:rPr>
                <w:rFonts w:ascii="Times New Roman" w:hAnsi="Times New Roman" w:cs="Times New Roman" w:eastAsia="Times New Roman" w:hint="default"/>
                <w:sz w:val="18"/>
                <w:szCs w:val="18"/>
              </w:rPr>
            </w:pPr>
            <w:r>
              <w:rPr>
                <w:rFonts w:ascii="Times New Roman"/>
                <w:spacing w:val="-1"/>
                <w:sz w:val="18"/>
              </w:rPr>
              <w:t>9,274,308.00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6"/>
              <w:jc w:val="right"/>
              <w:rPr>
                <w:rFonts w:ascii="Times New Roman" w:hAnsi="Times New Roman" w:cs="Times New Roman" w:eastAsia="Times New Roman" w:hint="default"/>
                <w:sz w:val="18"/>
                <w:szCs w:val="18"/>
              </w:rPr>
            </w:pPr>
            <w:r>
              <w:rPr>
                <w:rFonts w:ascii="Times New Roman"/>
                <w:spacing w:val="-1"/>
                <w:sz w:val="18"/>
              </w:rPr>
              <w:t>6,706,470.00</w:t>
            </w:r>
          </w:p>
        </w:tc>
      </w:tr>
      <w:tr>
        <w:trPr>
          <w:trHeight w:val="338"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员工备用金</w:t>
            </w:r>
            <w:r>
              <w:rPr>
                <w:rFonts w:ascii="Times New Roman" w:hAnsi="Times New Roman" w:cs="Times New Roman" w:eastAsia="Times New Roman" w:hint="default"/>
                <w:sz w:val="18"/>
                <w:szCs w:val="18"/>
              </w:rPr>
              <w:t>/</w:t>
            </w:r>
            <w:r>
              <w:rPr>
                <w:rFonts w:ascii="宋体" w:hAnsi="宋体" w:cs="宋体" w:eastAsia="宋体" w:hint="default"/>
                <w:sz w:val="18"/>
                <w:szCs w:val="18"/>
              </w:rPr>
              <w:t>暂支款</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6"/>
              <w:jc w:val="right"/>
              <w:rPr>
                <w:rFonts w:ascii="Times New Roman" w:hAnsi="Times New Roman" w:cs="Times New Roman" w:eastAsia="Times New Roman" w:hint="default"/>
                <w:sz w:val="18"/>
                <w:szCs w:val="18"/>
              </w:rPr>
            </w:pPr>
            <w:r>
              <w:rPr>
                <w:rFonts w:ascii="Times New Roman"/>
                <w:spacing w:val="-1"/>
                <w:sz w:val="18"/>
              </w:rPr>
              <w:t>22,401,349.14</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6"/>
              <w:jc w:val="right"/>
              <w:rPr>
                <w:rFonts w:ascii="Times New Roman" w:hAnsi="Times New Roman" w:cs="Times New Roman" w:eastAsia="Times New Roman" w:hint="default"/>
                <w:sz w:val="18"/>
                <w:szCs w:val="18"/>
              </w:rPr>
            </w:pPr>
            <w:r>
              <w:rPr>
                <w:rFonts w:ascii="Times New Roman"/>
                <w:spacing w:val="-1"/>
                <w:sz w:val="18"/>
              </w:rPr>
              <w:t>7,374,339.32</w:t>
            </w:r>
          </w:p>
        </w:tc>
      </w:tr>
      <w:tr>
        <w:trPr>
          <w:trHeight w:val="341"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751,801.24</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17"/>
              <w:jc w:val="right"/>
              <w:rPr>
                <w:rFonts w:ascii="Times New Roman" w:hAnsi="Times New Roman" w:cs="Times New Roman" w:eastAsia="Times New Roman" w:hint="default"/>
                <w:sz w:val="18"/>
                <w:szCs w:val="18"/>
              </w:rPr>
            </w:pPr>
            <w:r>
              <w:rPr>
                <w:rFonts w:ascii="Times New Roman"/>
                <w:spacing w:val="-1"/>
                <w:sz w:val="18"/>
              </w:rPr>
              <w:t>850,285.19</w:t>
            </w:r>
          </w:p>
        </w:tc>
      </w:tr>
      <w:tr>
        <w:trPr>
          <w:trHeight w:val="367" w:hRule="exact"/>
        </w:trPr>
        <w:tc>
          <w:tcPr>
            <w:tcW w:w="38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616"/>
              <w:jc w:val="right"/>
              <w:rPr>
                <w:rFonts w:ascii="Times New Roman" w:hAnsi="Times New Roman" w:cs="Times New Roman" w:eastAsia="Times New Roman" w:hint="default"/>
                <w:sz w:val="18"/>
                <w:szCs w:val="18"/>
              </w:rPr>
            </w:pPr>
            <w:r>
              <w:rPr>
                <w:rFonts w:ascii="Times New Roman"/>
                <w:spacing w:val="-1"/>
                <w:sz w:val="18"/>
              </w:rPr>
              <w:t>61,063,993.63</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616"/>
              <w:jc w:val="right"/>
              <w:rPr>
                <w:rFonts w:ascii="Times New Roman" w:hAnsi="Times New Roman" w:cs="Times New Roman" w:eastAsia="Times New Roman" w:hint="default"/>
                <w:sz w:val="18"/>
                <w:szCs w:val="18"/>
              </w:rPr>
            </w:pPr>
            <w:r>
              <w:rPr>
                <w:rFonts w:ascii="Times New Roman"/>
                <w:spacing w:val="-1"/>
                <w:sz w:val="18"/>
              </w:rPr>
              <w:t>31,070,252.36</w:t>
            </w:r>
          </w:p>
        </w:tc>
      </w:tr>
      <w:tr>
        <w:trPr>
          <w:trHeight w:val="667" w:hRule="exact"/>
        </w:trPr>
        <w:tc>
          <w:tcPr>
            <w:tcW w:w="969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宋体" w:hAnsi="宋体" w:cs="宋体" w:eastAsia="宋体" w:hint="default"/>
                <w:sz w:val="21"/>
                <w:szCs w:val="21"/>
              </w:rPr>
              <w:t>、支付的其他与筹资活动有关的现金</w:t>
            </w:r>
          </w:p>
        </w:tc>
      </w:tr>
      <w:tr>
        <w:trPr>
          <w:trHeight w:val="365" w:hRule="exact"/>
        </w:trPr>
        <w:tc>
          <w:tcPr>
            <w:tcW w:w="1247" w:type="dxa"/>
            <w:tcBorders>
              <w:top w:val="nil" w:sz="6" w:space="0" w:color="auto"/>
              <w:left w:val="nil" w:sz="6" w:space="0" w:color="auto"/>
              <w:bottom w:val="single" w:sz="4" w:space="0" w:color="000000"/>
              <w:right w:val="nil" w:sz="6" w:space="0" w:color="auto"/>
            </w:tcBorders>
          </w:tcPr>
          <w:p>
            <w:pPr/>
          </w:p>
        </w:tc>
        <w:tc>
          <w:tcPr>
            <w:tcW w:w="68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72" w:hRule="exact"/>
        </w:trPr>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686" w:type="dxa"/>
            <w:tcBorders>
              <w:top w:val="single" w:sz="4" w:space="0" w:color="000000"/>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616"/>
              <w:jc w:val="right"/>
              <w:rPr>
                <w:rFonts w:ascii="Times New Roman" w:hAnsi="Times New Roman" w:cs="Times New Roman" w:eastAsia="Times New Roman" w:hint="default"/>
                <w:sz w:val="18"/>
                <w:szCs w:val="18"/>
              </w:rPr>
            </w:pPr>
            <w:r>
              <w:rPr>
                <w:rFonts w:ascii="Times New Roman"/>
                <w:spacing w:val="-1"/>
                <w:sz w:val="18"/>
              </w:rPr>
              <w:t>7,164,430.00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6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89" w:hRule="exact"/>
        </w:trPr>
        <w:tc>
          <w:tcPr>
            <w:tcW w:w="1247"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44"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6"/>
              <w:ind w:right="616"/>
              <w:jc w:val="right"/>
              <w:rPr>
                <w:rFonts w:ascii="Times New Roman" w:hAnsi="Times New Roman" w:cs="Times New Roman" w:eastAsia="Times New Roman" w:hint="default"/>
                <w:sz w:val="18"/>
                <w:szCs w:val="18"/>
              </w:rPr>
            </w:pPr>
            <w:r>
              <w:rPr>
                <w:rFonts w:ascii="Times New Roman"/>
                <w:spacing w:val="-1"/>
                <w:sz w:val="18"/>
              </w:rPr>
              <w:t>7,164,430.00</w:t>
            </w:r>
          </w:p>
        </w:tc>
        <w:tc>
          <w:tcPr>
            <w:tcW w:w="463"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76"/>
              <w:ind w:right="617"/>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line="240" w:lineRule="auto" w:before="8"/>
        <w:rPr>
          <w:rFonts w:ascii="宋体" w:hAnsi="宋体" w:cs="宋体" w:eastAsia="宋体" w:hint="default"/>
          <w:sz w:val="27"/>
          <w:szCs w:val="27"/>
        </w:rPr>
      </w:pPr>
    </w:p>
    <w:p>
      <w:pPr>
        <w:pStyle w:val="BodyText"/>
        <w:spacing w:line="240" w:lineRule="auto" w:before="34"/>
        <w:ind w:left="535" w:right="733"/>
        <w:jc w:val="left"/>
      </w:pPr>
      <w:r>
        <w:rPr>
          <w:rFonts w:ascii="Times New Roman" w:hAnsi="Times New Roman" w:cs="Times New Roman" w:eastAsia="Times New Roman" w:hint="default"/>
        </w:rPr>
        <w:t>37</w:t>
      </w:r>
      <w:r>
        <w:rPr/>
        <w:t>、现金流量表补充资料</w:t>
      </w:r>
    </w:p>
    <w:p>
      <w:pPr>
        <w:tabs>
          <w:tab w:pos="6664" w:val="left" w:leader="none"/>
          <w:tab w:pos="8632" w:val="left" w:leader="none"/>
        </w:tabs>
        <w:spacing w:before="99"/>
        <w:ind w:left="2551" w:right="0" w:firstLine="0"/>
        <w:jc w:val="left"/>
        <w:rPr>
          <w:rFonts w:ascii="宋体" w:hAnsi="宋体" w:cs="宋体" w:eastAsia="宋体" w:hint="default"/>
          <w:sz w:val="18"/>
          <w:szCs w:val="18"/>
        </w:rPr>
      </w:pPr>
      <w:r>
        <w:rPr>
          <w:rFonts w:ascii="宋体" w:hAnsi="宋体" w:cs="宋体" w:eastAsia="宋体" w:hint="default"/>
          <w:sz w:val="18"/>
          <w:szCs w:val="18"/>
        </w:rPr>
        <w:t>补充资料</w:t>
        <w:tab/>
        <w:t>本期数</w:t>
        <w:tab/>
        <w:t>上期数</w:t>
      </w:r>
    </w:p>
    <w:p>
      <w:pPr>
        <w:spacing w:line="240" w:lineRule="auto" w:before="2"/>
        <w:rPr>
          <w:rFonts w:ascii="宋体" w:hAnsi="宋体" w:cs="宋体" w:eastAsia="宋体" w:hint="default"/>
          <w:sz w:val="6"/>
          <w:szCs w:val="6"/>
        </w:rPr>
      </w:pPr>
    </w:p>
    <w:p>
      <w:pPr>
        <w:tabs>
          <w:tab w:pos="6038" w:val="left" w:leader="none"/>
          <w:tab w:pos="8064" w:val="left" w:leader="none"/>
        </w:tabs>
        <w:spacing w:line="20" w:lineRule="exact"/>
        <w:ind w:left="108" w:right="0" w:firstLine="0"/>
        <w:rPr>
          <w:rFonts w:ascii="宋体" w:hAnsi="宋体" w:cs="宋体" w:eastAsia="宋体" w:hint="default"/>
          <w:sz w:val="2"/>
          <w:szCs w:val="2"/>
        </w:rPr>
      </w:pPr>
      <w:r>
        <w:rPr>
          <w:rFonts w:ascii="宋体"/>
          <w:sz w:val="2"/>
        </w:rPr>
        <w:pict>
          <v:group style="width:280.2pt;height:.5pt;mso-position-horizontal-relative:char;mso-position-vertical-relative:line" coordorigin="0,0" coordsize="5604,10">
            <v:group style="position:absolute;left:5;top:5;width:5595;height:2" coordorigin="5,5" coordsize="5595,2">
              <v:shape style="position:absolute;left:5;top:5;width:5595;height:2" coordorigin="5,5" coordsize="5595,0" path="m5,5l5599,5e" filled="false" stroked="true" strokeweight=".48pt" strokecolor="#000000">
                <v:path arrowok="t"/>
              </v:shape>
            </v:group>
          </v:group>
        </w:pict>
      </w:r>
      <w:r>
        <w:rPr>
          <w:rFonts w:ascii="宋体"/>
          <w:sz w:val="2"/>
        </w:rPr>
      </w:r>
      <w:r>
        <w:rPr>
          <w:rFonts w:ascii="宋体"/>
          <w:sz w:val="2"/>
        </w:rPr>
        <w:tab/>
      </w:r>
      <w:r>
        <w:rPr>
          <w:rFonts w:ascii="宋体"/>
          <w:sz w:val="2"/>
        </w:rPr>
        <w:pict>
          <v:group style="width:85pt;height:.5pt;mso-position-horizontal-relative:char;mso-position-vertical-relative:line" coordorigin="0,0" coordsize="1700,10">
            <v:group style="position:absolute;left:5;top:5;width:1690;height:2" coordorigin="5,5" coordsize="1690,2">
              <v:shape style="position:absolute;left:5;top:5;width:1690;height:2" coordorigin="5,5" coordsize="1690,0" path="m5,5l1694,5e" filled="false" stroked="true" strokeweight=".48pt" strokecolor="#000000">
                <v:path arrowok="t"/>
              </v:shape>
            </v:group>
          </v:group>
        </w:pict>
      </w:r>
      <w:r>
        <w:rPr>
          <w:rFonts w:ascii="宋体"/>
          <w:sz w:val="2"/>
        </w:rPr>
      </w:r>
      <w:r>
        <w:rPr>
          <w:rFonts w:ascii="宋体"/>
          <w:sz w:val="2"/>
        </w:rPr>
        <w:tab/>
      </w:r>
      <w:r>
        <w:rPr>
          <w:rFonts w:ascii="宋体"/>
          <w:sz w:val="2"/>
        </w:rPr>
        <w:pict>
          <v:group style="width:83.8pt;height:.5pt;mso-position-horizontal-relative:char;mso-position-vertical-relative:line" coordorigin="0,0" coordsize="1676,10">
            <v:group style="position:absolute;left:5;top:5;width:1666;height:2" coordorigin="5,5" coordsize="1666,2">
              <v:shape style="position:absolute;left:5;top:5;width:1666;height:2" coordorigin="5,5" coordsize="1666,0" path="m5,5l1670,5e" filled="false" stroked="true" strokeweight=".48pt" strokecolor="#000000">
                <v:path arrowok="t"/>
              </v:shape>
            </v:group>
          </v:group>
        </w:pict>
      </w:r>
      <w:r>
        <w:rPr>
          <w:rFonts w:ascii="宋体"/>
          <w:sz w:val="2"/>
        </w:rPr>
      </w:r>
    </w:p>
    <w:p>
      <w:pPr>
        <w:spacing w:before="14"/>
        <w:ind w:left="223" w:right="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p>
      <w:pPr>
        <w:spacing w:after="0"/>
        <w:jc w:val="left"/>
        <w:rPr>
          <w:rFonts w:ascii="宋体" w:hAnsi="宋体" w:cs="宋体" w:eastAsia="宋体" w:hint="default"/>
          <w:sz w:val="18"/>
          <w:szCs w:val="18"/>
        </w:rPr>
        <w:sectPr>
          <w:pgSz w:w="11910" w:h="16840"/>
          <w:pgMar w:header="849" w:footer="976" w:top="1460" w:bottom="1160" w:left="1020" w:right="960"/>
        </w:sectPr>
      </w:pPr>
    </w:p>
    <w:p>
      <w:pPr>
        <w:spacing w:line="240" w:lineRule="auto" w:before="5"/>
        <w:rPr>
          <w:rFonts w:ascii="宋体" w:hAnsi="宋体" w:cs="宋体" w:eastAsia="宋体" w:hint="default"/>
          <w:sz w:val="3"/>
          <w:szCs w:val="3"/>
        </w:rPr>
      </w:pPr>
      <w:r>
        <w:rPr/>
        <w:pict>
          <v:group style="position:absolute;margin-left:56.639999pt;margin-top:75.120026pt;width:63.15pt;height:12.4pt;mso-position-horizontal-relative:page;mso-position-vertical-relative:page;z-index:-626824"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5594"/>
        <w:gridCol w:w="336"/>
        <w:gridCol w:w="1690"/>
        <w:gridCol w:w="74"/>
        <w:gridCol w:w="262"/>
        <w:gridCol w:w="77"/>
        <w:gridCol w:w="1646"/>
      </w:tblGrid>
      <w:tr>
        <w:trPr>
          <w:trHeight w:val="355" w:hRule="exact"/>
        </w:trPr>
        <w:tc>
          <w:tcPr>
            <w:tcW w:w="5594"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36" w:type="dxa"/>
            <w:tcBorders>
              <w:top w:val="single" w:sz="6" w:space="0" w:color="000000"/>
              <w:left w:val="nil" w:sz="6" w:space="0" w:color="auto"/>
              <w:bottom w:val="nil" w:sz="6" w:space="0" w:color="auto"/>
              <w:right w:val="nil" w:sz="6" w:space="0" w:color="auto"/>
            </w:tcBorders>
          </w:tcPr>
          <w:p>
            <w:pPr/>
          </w:p>
        </w:tc>
        <w:tc>
          <w:tcPr>
            <w:tcW w:w="1690"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62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6" w:type="dxa"/>
            <w:gridSpan w:val="2"/>
            <w:tcBorders>
              <w:top w:val="single" w:sz="6" w:space="0" w:color="000000"/>
              <w:left w:val="nil" w:sz="6" w:space="0" w:color="auto"/>
              <w:bottom w:val="nil" w:sz="6" w:space="0" w:color="auto"/>
              <w:right w:val="nil" w:sz="6" w:space="0" w:color="auto"/>
            </w:tcBorders>
          </w:tcPr>
          <w:p>
            <w:pPr/>
          </w:p>
        </w:tc>
        <w:tc>
          <w:tcPr>
            <w:tcW w:w="1723" w:type="dxa"/>
            <w:gridSpan w:val="2"/>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564"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51" w:hRule="exact"/>
        </w:trPr>
        <w:tc>
          <w:tcPr>
            <w:tcW w:w="559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44,292,891.86</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7"/>
              <w:ind w:left="523" w:right="0"/>
              <w:jc w:val="left"/>
              <w:rPr>
                <w:rFonts w:ascii="Times New Roman" w:hAnsi="Times New Roman" w:cs="Times New Roman" w:eastAsia="Times New Roman" w:hint="default"/>
                <w:sz w:val="18"/>
                <w:szCs w:val="18"/>
              </w:rPr>
            </w:pPr>
            <w:r>
              <w:rPr>
                <w:rFonts w:ascii="Times New Roman"/>
                <w:sz w:val="18"/>
              </w:rPr>
              <w:t>35,346,503.46</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加：计提的资产损失准备</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3,456,650.19</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56" w:right="0"/>
              <w:jc w:val="left"/>
              <w:rPr>
                <w:rFonts w:ascii="Times New Roman" w:hAnsi="Times New Roman" w:cs="Times New Roman" w:eastAsia="Times New Roman" w:hint="default"/>
                <w:sz w:val="18"/>
                <w:szCs w:val="18"/>
              </w:rPr>
            </w:pPr>
            <w:r>
              <w:rPr>
                <w:rFonts w:ascii="Times New Roman"/>
                <w:sz w:val="18"/>
              </w:rPr>
              <w:t>113,022.23</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固定资产折旧、油气资产折耗、生物性生物资产折旧</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895,026.60</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48" w:right="0"/>
              <w:jc w:val="left"/>
              <w:rPr>
                <w:rFonts w:ascii="Times New Roman" w:hAnsi="Times New Roman" w:cs="Times New Roman" w:eastAsia="Times New Roman" w:hint="default"/>
                <w:sz w:val="18"/>
                <w:szCs w:val="18"/>
              </w:rPr>
            </w:pPr>
            <w:r>
              <w:rPr>
                <w:rFonts w:ascii="Times New Roman"/>
                <w:sz w:val="18"/>
              </w:rPr>
              <w:t>570,784.41</w:t>
            </w:r>
          </w:p>
        </w:tc>
      </w:tr>
      <w:tr>
        <w:trPr>
          <w:trHeight w:val="67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48" w:lineRule="auto" w:before="20"/>
              <w:ind w:left="590" w:right="3563"/>
              <w:jc w:val="left"/>
              <w:rPr>
                <w:rFonts w:ascii="宋体" w:hAnsi="宋体" w:cs="宋体" w:eastAsia="宋体" w:hint="default"/>
                <w:sz w:val="18"/>
                <w:szCs w:val="18"/>
              </w:rPr>
            </w:pPr>
            <w:r>
              <w:rPr>
                <w:rFonts w:ascii="宋体" w:hAnsi="宋体" w:cs="宋体" w:eastAsia="宋体" w:hint="default"/>
                <w:sz w:val="18"/>
                <w:szCs w:val="18"/>
              </w:rPr>
              <w:t>无形资产摊销 长期待摊费用摊销</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37,596.00</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837" w:right="0"/>
              <w:jc w:val="left"/>
              <w:rPr>
                <w:rFonts w:ascii="Times New Roman" w:hAnsi="Times New Roman" w:cs="Times New Roman" w:eastAsia="Times New Roman" w:hint="default"/>
                <w:sz w:val="18"/>
                <w:szCs w:val="18"/>
              </w:rPr>
            </w:pPr>
            <w:r>
              <w:rPr>
                <w:rFonts w:ascii="Times New Roman"/>
                <w:sz w:val="18"/>
              </w:rPr>
              <w:t>27,572.53</w:t>
            </w:r>
          </w:p>
        </w:tc>
      </w:tr>
      <w:tr>
        <w:trPr>
          <w:trHeight w:val="682"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48" w:lineRule="auto" w:before="25"/>
              <w:ind w:left="590" w:right="649"/>
              <w:jc w:val="left"/>
              <w:rPr>
                <w:rFonts w:ascii="宋体" w:hAnsi="宋体" w:cs="宋体" w:eastAsia="宋体" w:hint="default"/>
                <w:sz w:val="18"/>
                <w:szCs w:val="18"/>
              </w:rPr>
            </w:pPr>
            <w:r>
              <w:rPr>
                <w:rFonts w:ascii="宋体" w:hAnsi="宋体" w:cs="宋体" w:eastAsia="宋体" w:hint="default"/>
                <w:w w:val="90"/>
                <w:sz w:val="18"/>
                <w:szCs w:val="18"/>
              </w:rPr>
              <w:t>处置固定资产、无形资产和其他长期资产的损失（减收益）</w:t>
            </w:r>
            <w:r>
              <w:rPr>
                <w:rFonts w:ascii="宋体" w:hAnsi="宋体" w:cs="宋体" w:eastAsia="宋体" w:hint="default"/>
                <w:spacing w:val="59"/>
                <w:w w:val="90"/>
                <w:sz w:val="18"/>
                <w:szCs w:val="18"/>
              </w:rPr>
              <w:t> </w:t>
            </w:r>
            <w:r>
              <w:rPr>
                <w:rFonts w:ascii="宋体" w:hAnsi="宋体" w:cs="宋体" w:eastAsia="宋体" w:hint="default"/>
                <w:sz w:val="18"/>
                <w:szCs w:val="18"/>
              </w:rPr>
              <w:t>固定资产报废损失</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-71,287.80</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837" w:right="0"/>
              <w:jc w:val="left"/>
              <w:rPr>
                <w:rFonts w:ascii="Times New Roman" w:hAnsi="Times New Roman" w:cs="Times New Roman" w:eastAsia="Times New Roman" w:hint="default"/>
                <w:sz w:val="18"/>
                <w:szCs w:val="18"/>
              </w:rPr>
            </w:pPr>
            <w:r>
              <w:rPr>
                <w:rFonts w:ascii="Times New Roman"/>
                <w:sz w:val="18"/>
              </w:rPr>
              <w:t>15,434.60</w:t>
            </w:r>
          </w:p>
        </w:tc>
      </w:tr>
      <w:tr>
        <w:trPr>
          <w:trHeight w:val="682"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25"/>
              <w:ind w:left="590" w:right="1783"/>
              <w:jc w:val="left"/>
              <w:rPr>
                <w:rFonts w:ascii="宋体" w:hAnsi="宋体" w:cs="宋体" w:eastAsia="宋体" w:hint="default"/>
                <w:sz w:val="18"/>
                <w:szCs w:val="18"/>
              </w:rPr>
            </w:pPr>
            <w:r>
              <w:rPr>
                <w:rFonts w:ascii="宋体" w:hAnsi="宋体" w:cs="宋体" w:eastAsia="宋体" w:hint="default"/>
                <w:spacing w:val="-1"/>
                <w:sz w:val="18"/>
                <w:szCs w:val="18"/>
              </w:rPr>
              <w:t>公允价值变动损失（收益以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pacing w:val="-74"/>
                <w:sz w:val="18"/>
                <w:szCs w:val="18"/>
              </w:rPr>
              <w:t> </w:t>
            </w:r>
            <w:r>
              <w:rPr>
                <w:rFonts w:ascii="宋体" w:hAnsi="宋体" w:cs="宋体" w:eastAsia="宋体" w:hint="default"/>
                <w:sz w:val="18"/>
                <w:szCs w:val="18"/>
              </w:rPr>
              <w:t>财务费用</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
        </w:tc>
      </w:tr>
      <w:tr>
        <w:trPr>
          <w:trHeight w:val="34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90"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-38,356.16</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
        </w:tc>
      </w:tr>
      <w:tr>
        <w:trPr>
          <w:trHeight w:val="1024"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21"/>
              <w:ind w:left="590" w:right="1603"/>
              <w:jc w:val="both"/>
              <w:rPr>
                <w:rFonts w:ascii="宋体" w:hAnsi="宋体" w:cs="宋体" w:eastAsia="宋体" w:hint="default"/>
                <w:sz w:val="18"/>
                <w:szCs w:val="18"/>
              </w:rPr>
            </w:pPr>
            <w:r>
              <w:rPr>
                <w:rFonts w:ascii="宋体" w:hAnsi="宋体" w:cs="宋体" w:eastAsia="宋体" w:hint="default"/>
                <w:spacing w:val="-1"/>
                <w:sz w:val="18"/>
                <w:szCs w:val="18"/>
              </w:rPr>
              <w:t>递延所得税资产减少（增加以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pacing w:val="-73"/>
                <w:sz w:val="18"/>
                <w:szCs w:val="18"/>
              </w:rPr>
              <w:t> </w:t>
            </w: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pacing w:val="-73"/>
                <w:sz w:val="18"/>
                <w:szCs w:val="18"/>
              </w:rPr>
              <w:t> </w:t>
            </w:r>
            <w:r>
              <w:rPr>
                <w:rFonts w:ascii="宋体" w:hAnsi="宋体" w:cs="宋体" w:eastAsia="宋体" w:hint="default"/>
                <w:sz w:val="18"/>
                <w:szCs w:val="18"/>
              </w:rPr>
              <w:t>存货的减少（减：增加）</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8" w:right="0"/>
              <w:jc w:val="left"/>
              <w:rPr>
                <w:rFonts w:ascii="Times New Roman" w:hAnsi="Times New Roman" w:cs="Times New Roman" w:eastAsia="Times New Roman" w:hint="default"/>
                <w:sz w:val="18"/>
                <w:szCs w:val="18"/>
              </w:rPr>
            </w:pPr>
            <w:r>
              <w:rPr>
                <w:rFonts w:ascii="Times New Roman"/>
                <w:sz w:val="18"/>
              </w:rPr>
              <w:t>-1,605,487.50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-8,150,978.06</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688" w:right="0"/>
              <w:jc w:val="left"/>
              <w:rPr>
                <w:rFonts w:ascii="Times New Roman" w:hAnsi="Times New Roman" w:cs="Times New Roman" w:eastAsia="Times New Roman" w:hint="default"/>
                <w:sz w:val="18"/>
                <w:szCs w:val="18"/>
              </w:rPr>
            </w:pPr>
            <w:r>
              <w:rPr>
                <w:rFonts w:ascii="Times New Roman"/>
                <w:sz w:val="18"/>
              </w:rPr>
              <w:t>-507,719.37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1,948,249.38</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-53,100,330.62</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470" w:right="0"/>
              <w:jc w:val="left"/>
              <w:rPr>
                <w:rFonts w:ascii="Times New Roman" w:hAnsi="Times New Roman" w:cs="Times New Roman" w:eastAsia="Times New Roman" w:hint="default"/>
                <w:sz w:val="18"/>
                <w:szCs w:val="18"/>
              </w:rPr>
            </w:pPr>
            <w:r>
              <w:rPr>
                <w:rFonts w:ascii="Times New Roman"/>
                <w:sz w:val="18"/>
              </w:rPr>
              <w:t>-11,928,666.21</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18,659,026.31</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23" w:right="0"/>
              <w:jc w:val="left"/>
              <w:rPr>
                <w:rFonts w:ascii="Times New Roman" w:hAnsi="Times New Roman" w:cs="Times New Roman" w:eastAsia="Times New Roman" w:hint="default"/>
                <w:sz w:val="18"/>
                <w:szCs w:val="18"/>
              </w:rPr>
            </w:pPr>
            <w:r>
              <w:rPr>
                <w:rFonts w:ascii="Times New Roman"/>
                <w:sz w:val="18"/>
              </w:rPr>
              <w:t>13,038,030.88</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223,865.00</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2"/>
              <w:ind w:left="688" w:right="0"/>
              <w:jc w:val="left"/>
              <w:rPr>
                <w:rFonts w:ascii="Times New Roman" w:hAnsi="Times New Roman" w:cs="Times New Roman" w:eastAsia="Times New Roman" w:hint="default"/>
                <w:sz w:val="18"/>
                <w:szCs w:val="18"/>
              </w:rPr>
            </w:pPr>
            <w:r>
              <w:rPr>
                <w:rFonts w:ascii="Times New Roman"/>
                <w:sz w:val="18"/>
              </w:rPr>
              <w:t>-554,845.29</w:t>
            </w:r>
          </w:p>
        </w:tc>
      </w:tr>
      <w:tr>
        <w:trPr>
          <w:trHeight w:val="360"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4,598,615.82</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523" w:right="0"/>
              <w:jc w:val="left"/>
              <w:rPr>
                <w:rFonts w:ascii="Times New Roman" w:hAnsi="Times New Roman" w:cs="Times New Roman" w:eastAsia="Times New Roman" w:hint="default"/>
                <w:sz w:val="18"/>
                <w:szCs w:val="18"/>
              </w:rPr>
            </w:pPr>
            <w:r>
              <w:rPr>
                <w:rFonts w:ascii="Times New Roman"/>
                <w:sz w:val="18"/>
              </w:rPr>
              <w:t>38,068,366.62</w:t>
            </w:r>
          </w:p>
        </w:tc>
      </w:tr>
      <w:tr>
        <w:trPr>
          <w:trHeight w:val="699"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41"/>
              <w:ind w:left="110" w:right="23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 债务转为资本</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12" w:space="0" w:color="000000"/>
              <w:left w:val="nil" w:sz="6" w:space="0" w:color="auto"/>
              <w:bottom w:val="nil" w:sz="6" w:space="0" w:color="auto"/>
              <w:right w:val="nil" w:sz="6" w:space="0" w:color="auto"/>
            </w:tcBorders>
          </w:tcPr>
          <w:p>
            <w:pP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single" w:sz="12" w:space="0" w:color="000000"/>
              <w:left w:val="nil" w:sz="6" w:space="0" w:color="auto"/>
              <w:bottom w:val="nil" w:sz="6" w:space="0" w:color="auto"/>
              <w:right w:val="nil" w:sz="6" w:space="0" w:color="auto"/>
            </w:tcBorders>
          </w:tcPr>
          <w:p>
            <w:pP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
        </w:tc>
      </w:tr>
      <w:tr>
        <w:trPr>
          <w:trHeight w:val="68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25"/>
              <w:ind w:left="110" w:right="269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、现金及现金等价物净增加情况： 现金的期末余额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405,258,639.87</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73,786,787.82</w:t>
            </w:r>
          </w:p>
        </w:tc>
      </w:tr>
      <w:tr>
        <w:trPr>
          <w:trHeight w:val="67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48" w:lineRule="auto" w:before="20"/>
              <w:ind w:left="110" w:right="3323"/>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加：现金等价物的期末余额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73,786,787.82</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23" w:right="0"/>
              <w:jc w:val="left"/>
              <w:rPr>
                <w:rFonts w:ascii="Times New Roman" w:hAnsi="Times New Roman" w:cs="Times New Roman" w:eastAsia="Times New Roman" w:hint="default"/>
                <w:sz w:val="18"/>
                <w:szCs w:val="18"/>
              </w:rPr>
            </w:pPr>
            <w:r>
              <w:rPr>
                <w:rFonts w:ascii="Times New Roman"/>
                <w:sz w:val="18"/>
              </w:rPr>
              <w:t>58,328,036.61</w:t>
            </w:r>
          </w:p>
        </w:tc>
      </w:tr>
      <w:tr>
        <w:trPr>
          <w:trHeight w:val="348"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single" w:sz="4" w:space="0" w:color="000000"/>
              <w:right w:val="nil" w:sz="6" w:space="0" w:color="auto"/>
            </w:tcBorders>
          </w:tcPr>
          <w:p>
            <w:pPr/>
          </w:p>
        </w:tc>
      </w:tr>
      <w:tr>
        <w:trPr>
          <w:trHeight w:val="360"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331,471,852.05</w:t>
            </w: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523" w:right="0"/>
              <w:jc w:val="left"/>
              <w:rPr>
                <w:rFonts w:ascii="Times New Roman" w:hAnsi="Times New Roman" w:cs="Times New Roman" w:eastAsia="Times New Roman" w:hint="default"/>
                <w:sz w:val="18"/>
                <w:szCs w:val="18"/>
              </w:rPr>
            </w:pPr>
            <w:r>
              <w:rPr>
                <w:rFonts w:ascii="Times New Roman"/>
                <w:sz w:val="18"/>
              </w:rPr>
              <w:t>15,458,751.21</w:t>
            </w:r>
          </w:p>
        </w:tc>
      </w:tr>
      <w:tr>
        <w:trPr>
          <w:trHeight w:val="658"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宋体" w:hAnsi="宋体" w:cs="宋体" w:eastAsia="宋体" w:hint="default"/>
                <w:sz w:val="21"/>
                <w:szCs w:val="21"/>
              </w:rPr>
              <w:t>、现金和现金等价物</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336" w:type="dxa"/>
            <w:gridSpan w:val="2"/>
            <w:tcBorders>
              <w:top w:val="nil" w:sz="6" w:space="0" w:color="auto"/>
              <w:left w:val="nil" w:sz="6" w:space="0" w:color="auto"/>
              <w:bottom w:val="nil" w:sz="6" w:space="0" w:color="auto"/>
              <w:right w:val="nil" w:sz="6" w:space="0" w:color="auto"/>
            </w:tcBorders>
          </w:tcPr>
          <w:p>
            <w:pPr/>
          </w:p>
        </w:tc>
        <w:tc>
          <w:tcPr>
            <w:tcW w:w="1723" w:type="dxa"/>
            <w:gridSpan w:val="2"/>
            <w:tcBorders>
              <w:top w:val="nil" w:sz="6" w:space="0" w:color="auto"/>
              <w:left w:val="nil" w:sz="6" w:space="0" w:color="auto"/>
              <w:bottom w:val="nil" w:sz="6" w:space="0" w:color="auto"/>
              <w:right w:val="nil" w:sz="6" w:space="0" w:color="auto"/>
            </w:tcBorders>
          </w:tcPr>
          <w:p>
            <w:pPr/>
          </w:p>
        </w:tc>
      </w:tr>
      <w:tr>
        <w:trPr>
          <w:trHeight w:val="364" w:hRule="exact"/>
        </w:trPr>
        <w:tc>
          <w:tcPr>
            <w:tcW w:w="559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4"/>
              <w:ind w:left="3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67" w:hRule="exact"/>
        </w:trPr>
        <w:tc>
          <w:tcPr>
            <w:tcW w:w="559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1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4"/>
              <w:ind w:left="532" w:right="0"/>
              <w:jc w:val="left"/>
              <w:rPr>
                <w:rFonts w:ascii="Times New Roman" w:hAnsi="Times New Roman" w:cs="Times New Roman" w:eastAsia="Times New Roman" w:hint="default"/>
                <w:sz w:val="18"/>
                <w:szCs w:val="18"/>
              </w:rPr>
            </w:pPr>
            <w:r>
              <w:rPr>
                <w:rFonts w:ascii="Times New Roman"/>
                <w:sz w:val="18"/>
              </w:rPr>
              <w:t>405,258,639.87</w:t>
            </w: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73,786,787.82</w:t>
            </w:r>
          </w:p>
        </w:tc>
      </w:tr>
      <w:tr>
        <w:trPr>
          <w:trHeight w:val="359"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847" w:right="0"/>
              <w:jc w:val="left"/>
              <w:rPr>
                <w:rFonts w:ascii="Times New Roman" w:hAnsi="Times New Roman" w:cs="Times New Roman" w:eastAsia="Times New Roman" w:hint="default"/>
                <w:sz w:val="18"/>
                <w:szCs w:val="18"/>
              </w:rPr>
            </w:pPr>
            <w:r>
              <w:rPr>
                <w:rFonts w:ascii="Times New Roman"/>
                <w:sz w:val="18"/>
              </w:rPr>
              <w:t>219,101.10</w:t>
            </w: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pacing w:val="-1"/>
                <w:sz w:val="18"/>
              </w:rPr>
              <w:t>65,251.67</w:t>
            </w:r>
          </w:p>
        </w:tc>
      </w:tr>
      <w:tr>
        <w:trPr>
          <w:trHeight w:val="359"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5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532" w:right="0"/>
              <w:jc w:val="left"/>
              <w:rPr>
                <w:rFonts w:ascii="Times New Roman" w:hAnsi="Times New Roman" w:cs="Times New Roman" w:eastAsia="Times New Roman" w:hint="default"/>
                <w:sz w:val="18"/>
                <w:szCs w:val="18"/>
              </w:rPr>
            </w:pPr>
            <w:r>
              <w:rPr>
                <w:rFonts w:ascii="Times New Roman"/>
                <w:sz w:val="18"/>
              </w:rPr>
              <w:t>399,717,366.77</w:t>
            </w: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18"/>
                <w:szCs w:val="18"/>
              </w:rPr>
            </w:pPr>
            <w:r>
              <w:rPr>
                <w:rFonts w:ascii="Times New Roman"/>
                <w:spacing w:val="-1"/>
                <w:sz w:val="18"/>
              </w:rPr>
              <w:t>72,931,536.16</w:t>
            </w:r>
          </w:p>
        </w:tc>
      </w:tr>
      <w:tr>
        <w:trPr>
          <w:trHeight w:val="360"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9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712" w:right="0"/>
              <w:jc w:val="left"/>
              <w:rPr>
                <w:rFonts w:ascii="Times New Roman" w:hAnsi="Times New Roman" w:cs="Times New Roman" w:eastAsia="Times New Roman" w:hint="default"/>
                <w:sz w:val="18"/>
                <w:szCs w:val="18"/>
              </w:rPr>
            </w:pPr>
            <w:r>
              <w:rPr>
                <w:rFonts w:ascii="Times New Roman"/>
                <w:sz w:val="18"/>
              </w:rPr>
              <w:t>5,322,172.00</w:t>
            </w: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pacing w:val="-1"/>
                <w:sz w:val="18"/>
              </w:rPr>
              <w:t>789,999.99</w:t>
            </w:r>
          </w:p>
        </w:tc>
      </w:tr>
      <w:tr>
        <w:trPr>
          <w:trHeight w:val="354"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nil" w:sz="6" w:space="0" w:color="auto"/>
              <w:right w:val="nil" w:sz="6" w:space="0" w:color="auto"/>
            </w:tcBorders>
          </w:tcPr>
          <w:p>
            <w:pP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59"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nil" w:sz="6" w:space="0" w:color="auto"/>
              <w:right w:val="nil" w:sz="6" w:space="0" w:color="auto"/>
            </w:tcBorders>
          </w:tcPr>
          <w:p>
            <w:pP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7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532" w:right="0"/>
              <w:jc w:val="left"/>
              <w:rPr>
                <w:rFonts w:ascii="Times New Roman" w:hAnsi="Times New Roman" w:cs="Times New Roman" w:eastAsia="Times New Roman" w:hint="default"/>
                <w:sz w:val="18"/>
                <w:szCs w:val="18"/>
              </w:rPr>
            </w:pPr>
            <w:r>
              <w:rPr>
                <w:rFonts w:ascii="Times New Roman"/>
                <w:sz w:val="18"/>
              </w:rPr>
              <w:t>405,258,639.87</w:t>
            </w:r>
          </w:p>
        </w:tc>
        <w:tc>
          <w:tcPr>
            <w:tcW w:w="338" w:type="dxa"/>
            <w:gridSpan w:val="2"/>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73,786,787.82</w:t>
            </w:r>
          </w:p>
        </w:tc>
      </w:tr>
    </w:tbl>
    <w:p>
      <w:pPr>
        <w:spacing w:line="229" w:lineRule="exact" w:before="0"/>
        <w:ind w:left="475" w:right="1787" w:firstLine="0"/>
        <w:jc w:val="left"/>
        <w:rPr>
          <w:rFonts w:ascii="宋体" w:hAnsi="宋体" w:cs="宋体" w:eastAsia="宋体" w:hint="default"/>
          <w:sz w:val="18"/>
          <w:szCs w:val="18"/>
        </w:rPr>
      </w:pPr>
      <w:r>
        <w:rPr>
          <w:rFonts w:ascii="宋体" w:hAnsi="宋体" w:cs="宋体" w:eastAsia="宋体" w:hint="default"/>
          <w:sz w:val="18"/>
          <w:szCs w:val="18"/>
        </w:rPr>
        <w:t>注：现金和现金等价物不含母公司或集团内子公司使用受限制的现金和现金等价物。</w:t>
      </w:r>
    </w:p>
    <w:p>
      <w:pPr>
        <w:spacing w:after="0" w:line="229" w:lineRule="exact"/>
        <w:jc w:val="left"/>
        <w:rPr>
          <w:rFonts w:ascii="宋体" w:hAnsi="宋体" w:cs="宋体" w:eastAsia="宋体" w:hint="default"/>
          <w:sz w:val="18"/>
          <w:szCs w:val="18"/>
        </w:rPr>
        <w:sectPr>
          <w:footerReference w:type="default" r:id="rId42"/>
          <w:pgSz w:w="11910" w:h="16840"/>
          <w:pgMar w:footer="976" w:header="849" w:top="1460" w:bottom="1160" w:left="1020" w:right="980"/>
          <w:pgNumType w:start="110"/>
        </w:sectPr>
      </w:pPr>
    </w:p>
    <w:p>
      <w:pPr>
        <w:spacing w:line="240" w:lineRule="auto" w:before="0"/>
        <w:rPr>
          <w:rFonts w:ascii="宋体" w:hAnsi="宋体" w:cs="宋体" w:eastAsia="宋体" w:hint="default"/>
          <w:sz w:val="2"/>
          <w:szCs w:val="2"/>
        </w:rPr>
      </w:pPr>
    </w:p>
    <w:p>
      <w:pPr>
        <w:spacing w:line="326"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6.3500pt;mso-position-horizontal-relative:char;mso-position-vertical-relative:line" coordorigin="0,0" coordsize="9653,327">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27" type="#_x0000_t202" filled="false" stroked="false">
                <v:textbox inset="0,0,0,0">
                  <w:txbxContent>
                    <w:p>
                      <w:pPr>
                        <w:spacing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十、母公司财务报表有关项目注释</w:t>
                      </w:r>
                    </w:p>
                  </w:txbxContent>
                </v:textbox>
                <w10:wrap type="none"/>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sz w:val="6"/>
          <w:szCs w:val="6"/>
        </w:rPr>
      </w:pPr>
    </w:p>
    <w:p>
      <w:pPr>
        <w:pStyle w:val="BodyText"/>
        <w:spacing w:line="240" w:lineRule="auto" w:before="34"/>
        <w:ind w:left="535" w:right="1787"/>
        <w:jc w:val="left"/>
      </w:pPr>
      <w:r>
        <w:rPr>
          <w:rFonts w:ascii="Times New Roman" w:hAnsi="Times New Roman" w:cs="Times New Roman" w:eastAsia="Times New Roman" w:hint="default"/>
        </w:rPr>
        <w:t>1</w:t>
      </w:r>
      <w:r>
        <w:rPr/>
        <w:t>、应收账款</w:t>
      </w:r>
    </w:p>
    <w:p>
      <w:pPr>
        <w:pStyle w:val="BodyText"/>
        <w:spacing w:line="240" w:lineRule="auto" w:before="40"/>
        <w:ind w:left="535" w:right="1787"/>
        <w:jc w:val="left"/>
      </w:pPr>
      <w:r>
        <w:rPr/>
        <w:pict>
          <v:shape style="position:absolute;margin-left:56.639999pt;margin-top:19.769321pt;width:405pt;height:113.1pt;mso-position-horizontal-relative:page;mso-position-vertical-relative:paragraph;z-index:9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0"/>
                    <w:gridCol w:w="1298"/>
                    <w:gridCol w:w="937"/>
                    <w:gridCol w:w="1185"/>
                  </w:tblGrid>
                  <w:tr>
                    <w:trPr>
                      <w:trHeight w:val="365" w:hRule="exact"/>
                    </w:trPr>
                    <w:tc>
                      <w:tcPr>
                        <w:tcW w:w="4680" w:type="dxa"/>
                        <w:vMerge w:val="restart"/>
                        <w:tcBorders>
                          <w:top w:val="nil" w:sz="6" w:space="0" w:color="auto"/>
                          <w:left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
                    </w:tc>
                    <w:tc>
                      <w:tcPr>
                        <w:tcW w:w="9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85" w:type="dxa"/>
                        <w:tcBorders>
                          <w:top w:val="nil" w:sz="6" w:space="0" w:color="auto"/>
                          <w:left w:val="nil" w:sz="6" w:space="0" w:color="auto"/>
                          <w:bottom w:val="single" w:sz="4" w:space="0" w:color="000000"/>
                          <w:right w:val="nil" w:sz="6" w:space="0" w:color="auto"/>
                        </w:tcBorders>
                      </w:tcPr>
                      <w:p>
                        <w:pPr/>
                      </w:p>
                    </w:tc>
                  </w:tr>
                  <w:tr>
                    <w:trPr>
                      <w:trHeight w:val="350" w:hRule="exact"/>
                    </w:trPr>
                    <w:tc>
                      <w:tcPr>
                        <w:tcW w:w="4680" w:type="dxa"/>
                        <w:vMerge/>
                        <w:tcBorders>
                          <w:left w:val="nil" w:sz="6" w:space="0" w:color="auto"/>
                          <w:bottom w:val="single" w:sz="4" w:space="0" w:color="000000"/>
                          <w:right w:val="nil" w:sz="6" w:space="0" w:color="auto"/>
                        </w:tcBorders>
                      </w:tcPr>
                      <w:p>
                        <w:pP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6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4" w:hRule="exact"/>
                    </w:trPr>
                    <w:tc>
                      <w:tcPr>
                        <w:tcW w:w="468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42"/>
                          <w:jc w:val="right"/>
                          <w:rPr>
                            <w:rFonts w:ascii="Times New Roman" w:hAnsi="Times New Roman" w:cs="Times New Roman" w:eastAsia="Times New Roman" w:hint="default"/>
                            <w:sz w:val="18"/>
                            <w:szCs w:val="18"/>
                          </w:rPr>
                        </w:pPr>
                        <w:r>
                          <w:rPr>
                            <w:rFonts w:ascii="Times New Roman"/>
                            <w:spacing w:val="-1"/>
                            <w:sz w:val="18"/>
                          </w:rPr>
                          <w:t>26,345,024.35</w:t>
                        </w:r>
                      </w:p>
                    </w:tc>
                    <w:tc>
                      <w:tcPr>
                        <w:tcW w:w="93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34"/>
                          <w:jc w:val="right"/>
                          <w:rPr>
                            <w:rFonts w:ascii="Times New Roman" w:hAnsi="Times New Roman" w:cs="Times New Roman" w:eastAsia="Times New Roman" w:hint="default"/>
                            <w:sz w:val="18"/>
                            <w:szCs w:val="18"/>
                          </w:rPr>
                        </w:pPr>
                        <w:r>
                          <w:rPr>
                            <w:rFonts w:ascii="Times New Roman"/>
                            <w:spacing w:val="-1"/>
                            <w:sz w:val="18"/>
                          </w:rPr>
                          <w:t>42.78%</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1,703,611.12</w:t>
                        </w:r>
                      </w:p>
                    </w:tc>
                  </w:tr>
                  <w:tr>
                    <w:trPr>
                      <w:trHeight w:val="404"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165" w:lineRule="exact"/>
                          <w:ind w:left="110" w:right="0"/>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较大</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Times New Roman" w:hAnsi="Times New Roman" w:cs="Times New Roman" w:eastAsia="Times New Roman" w:hint="default"/>
                            <w:sz w:val="18"/>
                            <w:szCs w:val="18"/>
                          </w:rPr>
                        </w:pPr>
                        <w:r>
                          <w:rPr>
                            <w:rFonts w:ascii="Times New Roman"/>
                            <w:spacing w:val="-1"/>
                            <w:sz w:val="18"/>
                          </w:rPr>
                          <w:t>423,400.00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1"/>
                          <w:jc w:val="right"/>
                          <w:rPr>
                            <w:rFonts w:ascii="Times New Roman" w:hAnsi="Times New Roman" w:cs="Times New Roman" w:eastAsia="Times New Roman" w:hint="default"/>
                            <w:sz w:val="18"/>
                            <w:szCs w:val="18"/>
                          </w:rPr>
                        </w:pPr>
                        <w:r>
                          <w:rPr>
                            <w:rFonts w:ascii="Times New Roman"/>
                            <w:sz w:val="18"/>
                          </w:rPr>
                          <w:t>0.69%</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423,400.00</w:t>
                        </w:r>
                      </w:p>
                    </w:tc>
                  </w:tr>
                  <w:tr>
                    <w:trPr>
                      <w:trHeight w:val="368"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42"/>
                          <w:jc w:val="right"/>
                          <w:rPr>
                            <w:rFonts w:ascii="Times New Roman" w:hAnsi="Times New Roman" w:cs="Times New Roman" w:eastAsia="Times New Roman" w:hint="default"/>
                            <w:sz w:val="18"/>
                            <w:szCs w:val="18"/>
                          </w:rPr>
                        </w:pPr>
                        <w:r>
                          <w:rPr>
                            <w:rFonts w:ascii="Times New Roman"/>
                            <w:spacing w:val="-1"/>
                            <w:sz w:val="18"/>
                          </w:rPr>
                          <w:t>34,819,221.73</w:t>
                        </w:r>
                      </w:p>
                    </w:tc>
                    <w:tc>
                      <w:tcPr>
                        <w:tcW w:w="937"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34"/>
                          <w:jc w:val="right"/>
                          <w:rPr>
                            <w:rFonts w:ascii="Times New Roman" w:hAnsi="Times New Roman" w:cs="Times New Roman" w:eastAsia="Times New Roman" w:hint="default"/>
                            <w:sz w:val="18"/>
                            <w:szCs w:val="18"/>
                          </w:rPr>
                        </w:pPr>
                        <w:r>
                          <w:rPr>
                            <w:rFonts w:ascii="Times New Roman"/>
                            <w:spacing w:val="-1"/>
                            <w:sz w:val="18"/>
                          </w:rPr>
                          <w:t>56.53%</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2,758,559.97</w:t>
                        </w:r>
                      </w:p>
                    </w:tc>
                  </w:tr>
                  <w:tr>
                    <w:trPr>
                      <w:trHeight w:val="36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42"/>
                          <w:jc w:val="right"/>
                          <w:rPr>
                            <w:rFonts w:ascii="Times New Roman" w:hAnsi="Times New Roman" w:cs="Times New Roman" w:eastAsia="Times New Roman" w:hint="default"/>
                            <w:sz w:val="18"/>
                            <w:szCs w:val="18"/>
                          </w:rPr>
                        </w:pPr>
                        <w:r>
                          <w:rPr>
                            <w:rFonts w:ascii="Times New Roman"/>
                            <w:spacing w:val="-1"/>
                            <w:sz w:val="18"/>
                          </w:rPr>
                          <w:t>61,587,646.08</w:t>
                        </w:r>
                      </w:p>
                    </w:tc>
                    <w:tc>
                      <w:tcPr>
                        <w:tcW w:w="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156" w:right="0"/>
                          <w:jc w:val="left"/>
                          <w:rPr>
                            <w:rFonts w:ascii="Times New Roman" w:hAnsi="Times New Roman" w:cs="Times New Roman" w:eastAsia="Times New Roman" w:hint="default"/>
                            <w:sz w:val="18"/>
                            <w:szCs w:val="18"/>
                          </w:rPr>
                        </w:pPr>
                        <w:r>
                          <w:rPr>
                            <w:rFonts w:ascii="Times New Roman"/>
                            <w:sz w:val="18"/>
                          </w:rPr>
                          <w:t>100.00%</w:t>
                        </w: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4,885,571.09</w:t>
                        </w:r>
                      </w:p>
                    </w:tc>
                  </w:tr>
                </w:tbl>
                <w:p>
                  <w:pPr/>
                </w:p>
              </w:txbxContent>
            </v:textbox>
            <w10:wrap type="none"/>
          </v:shape>
        </w:pict>
      </w:r>
      <w:r>
        <w:rPr/>
        <w:t>（</w:t>
      </w:r>
      <w:r>
        <w:rPr>
          <w:rFonts w:ascii="Times New Roman" w:hAnsi="Times New Roman" w:cs="Times New Roman" w:eastAsia="Times New Roman" w:hint="default"/>
        </w:rPr>
        <w:t>1</w:t>
      </w:r>
      <w:r>
        <w:rPr/>
        <w:t>）应收账款按类别列示如下：</w:t>
      </w:r>
    </w:p>
    <w:p>
      <w:pPr>
        <w:spacing w:line="240" w:lineRule="auto" w:before="10"/>
        <w:rPr>
          <w:rFonts w:ascii="宋体" w:hAnsi="宋体" w:cs="宋体" w:eastAsia="宋体" w:hint="default"/>
          <w:sz w:val="21"/>
          <w:szCs w:val="21"/>
        </w:rPr>
      </w:pPr>
    </w:p>
    <w:p>
      <w:pPr>
        <w:spacing w:before="0"/>
        <w:ind w:left="2183" w:right="1787" w:firstLine="0"/>
        <w:jc w:val="left"/>
        <w:rPr>
          <w:rFonts w:ascii="宋体" w:hAnsi="宋体" w:cs="宋体" w:eastAsia="宋体" w:hint="default"/>
          <w:sz w:val="18"/>
          <w:szCs w:val="18"/>
        </w:rPr>
      </w:pPr>
      <w:r>
        <w:rPr>
          <w:rFonts w:ascii="宋体" w:hAnsi="宋体" w:cs="宋体" w:eastAsia="宋体" w:hint="default"/>
          <w:sz w:val="18"/>
          <w:szCs w:val="18"/>
        </w:rPr>
        <w:t>类  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205" w:lineRule="exact" w:before="44"/>
        <w:ind w:left="3104" w:right="0" w:firstLine="0"/>
        <w:jc w:val="center"/>
        <w:rPr>
          <w:rFonts w:ascii="宋体" w:hAnsi="宋体" w:cs="宋体" w:eastAsia="宋体" w:hint="default"/>
          <w:sz w:val="18"/>
          <w:szCs w:val="18"/>
        </w:rPr>
      </w:pPr>
      <w:r>
        <w:rPr>
          <w:rFonts w:ascii="宋体" w:hAnsi="宋体" w:cs="宋体" w:eastAsia="宋体" w:hint="default"/>
          <w:sz w:val="18"/>
          <w:szCs w:val="18"/>
        </w:rPr>
        <w:t>期初数</w:t>
      </w:r>
    </w:p>
    <w:p>
      <w:pPr>
        <w:spacing w:line="175" w:lineRule="exact" w:before="0"/>
        <w:ind w:left="2183" w:right="1787" w:firstLine="0"/>
        <w:jc w:val="left"/>
        <w:rPr>
          <w:rFonts w:ascii="宋体" w:hAnsi="宋体" w:cs="宋体" w:eastAsia="宋体" w:hint="default"/>
          <w:sz w:val="18"/>
          <w:szCs w:val="18"/>
        </w:rPr>
      </w:pPr>
      <w:r>
        <w:rPr/>
        <w:pict>
          <v:group style="position:absolute;margin-left:290.639984pt;margin-top:5.763029pt;width:171pt;height:.1pt;mso-position-horizontal-relative:page;mso-position-vertical-relative:paragraph;z-index:9232" coordorigin="5813,115" coordsize="3420,2">
            <v:shape style="position:absolute;left:5813;top:115;width:3420;height:2" coordorigin="5813,115" coordsize="3420,0" path="m5813,115l9233,115e" filled="false" stroked="true" strokeweight=".48pt" strokecolor="#000000">
              <v:path arrowok="t"/>
            </v:shape>
            <w10:wrap type="none"/>
          </v:group>
        </w:pict>
      </w:r>
      <w:r>
        <w:rPr>
          <w:rFonts w:ascii="宋体" w:hAnsi="宋体" w:cs="宋体" w:eastAsia="宋体" w:hint="default"/>
          <w:sz w:val="18"/>
          <w:szCs w:val="18"/>
        </w:rPr>
        <w:t>类  别</w:t>
      </w:r>
    </w:p>
    <w:p>
      <w:pPr>
        <w:tabs>
          <w:tab w:pos="4227" w:val="left" w:leader="none"/>
          <w:tab w:pos="5307" w:val="left" w:leader="none"/>
        </w:tabs>
        <w:spacing w:line="205" w:lineRule="exact" w:before="0"/>
        <w:ind w:left="3126" w:right="0" w:firstLine="0"/>
        <w:jc w:val="center"/>
        <w:rPr>
          <w:rFonts w:ascii="宋体" w:hAnsi="宋体" w:cs="宋体" w:eastAsia="宋体" w:hint="default"/>
          <w:sz w:val="18"/>
          <w:szCs w:val="18"/>
        </w:rPr>
      </w:pPr>
      <w:r>
        <w:rPr>
          <w:rFonts w:ascii="宋体" w:hAnsi="宋体" w:cs="宋体" w:eastAsia="宋体" w:hint="default"/>
          <w:sz w:val="18"/>
          <w:szCs w:val="18"/>
        </w:rPr>
        <w:t>金  额</w:t>
        <w:tab/>
        <w:t>金  额</w:t>
        <w:tab/>
        <w:t>金  额</w:t>
      </w:r>
    </w:p>
    <w:p>
      <w:pPr>
        <w:spacing w:line="240" w:lineRule="auto" w:before="12"/>
        <w:rPr>
          <w:rFonts w:ascii="宋体" w:hAnsi="宋体" w:cs="宋体" w:eastAsia="宋体" w:hint="default"/>
          <w:sz w:val="5"/>
          <w:szCs w:val="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05.5pt;height:.5pt;mso-position-horizontal-relative:char;mso-position-vertical-relative:line" coordorigin="0,0" coordsize="8110,10">
            <v:group style="position:absolute;left:5;top:5;width:8100;height:2" coordorigin="5,5" coordsize="8100,2">
              <v:shape style="position:absolute;left:5;top:5;width:8100;height:2" coordorigin="5,5" coordsize="8100,0" path="m5,5l8105,5e" filled="false" stroked="true" strokeweight=".48pt" strokecolor="#000000">
                <v:path arrowok="t"/>
              </v:shape>
            </v:group>
          </v:group>
        </w:pict>
      </w:r>
      <w:r>
        <w:rPr>
          <w:rFonts w:ascii="宋体" w:hAnsi="宋体" w:cs="宋体" w:eastAsia="宋体" w:hint="default"/>
          <w:sz w:val="2"/>
          <w:szCs w:val="2"/>
        </w:rPr>
      </w:r>
    </w:p>
    <w:p>
      <w:pPr>
        <w:tabs>
          <w:tab w:pos="5001" w:val="left" w:leader="none"/>
          <w:tab w:pos="6335" w:val="left" w:leader="none"/>
          <w:tab w:pos="7295" w:val="left" w:leader="none"/>
        </w:tabs>
        <w:spacing w:before="17"/>
        <w:ind w:left="223"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w:t>
        <w:tab/>
      </w:r>
      <w:r>
        <w:rPr>
          <w:rFonts w:ascii="Times New Roman" w:hAnsi="Times New Roman" w:cs="Times New Roman" w:eastAsia="Times New Roman" w:hint="default"/>
          <w:spacing w:val="-1"/>
          <w:sz w:val="18"/>
          <w:szCs w:val="18"/>
        </w:rPr>
        <w:t>3,953,190.00</w:t>
        <w:tab/>
        <w:t>13.53%</w:t>
        <w:tab/>
        <w:t>212,526.50</w:t>
      </w:r>
    </w:p>
    <w:p>
      <w:pPr>
        <w:spacing w:line="196" w:lineRule="exact" w:before="36"/>
        <w:ind w:left="223" w:right="1787" w:firstLine="0"/>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p>
    <w:p>
      <w:pPr>
        <w:tabs>
          <w:tab w:pos="5135" w:val="left" w:leader="none"/>
          <w:tab w:pos="6427" w:val="left" w:leader="none"/>
          <w:tab w:pos="7295" w:val="left" w:leader="none"/>
        </w:tabs>
        <w:spacing w:line="274" w:lineRule="exact" w:before="0"/>
        <w:ind w:left="223" w:right="142"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较大</w:t>
        <w:tab/>
      </w:r>
      <w:r>
        <w:rPr>
          <w:rFonts w:ascii="Times New Roman" w:hAnsi="Times New Roman" w:cs="Times New Roman" w:eastAsia="Times New Roman" w:hint="default"/>
          <w:spacing w:val="-1"/>
          <w:sz w:val="18"/>
          <w:szCs w:val="18"/>
        </w:rPr>
        <w:t>757,795.00</w:t>
        <w:tab/>
      </w:r>
      <w:r>
        <w:rPr>
          <w:rFonts w:ascii="Times New Roman" w:hAnsi="Times New Roman" w:cs="Times New Roman" w:eastAsia="Times New Roman" w:hint="default"/>
          <w:sz w:val="18"/>
          <w:szCs w:val="18"/>
        </w:rPr>
        <w:t>2.59%</w:t>
        <w:tab/>
      </w:r>
      <w:r>
        <w:rPr>
          <w:rFonts w:ascii="Times New Roman" w:hAnsi="Times New Roman" w:cs="Times New Roman" w:eastAsia="Times New Roman" w:hint="default"/>
          <w:spacing w:val="-1"/>
          <w:sz w:val="18"/>
          <w:szCs w:val="18"/>
        </w:rPr>
        <w:t>606,236.00</w:t>
      </w:r>
    </w:p>
    <w:p>
      <w:pPr>
        <w:tabs>
          <w:tab w:pos="4910" w:val="left" w:leader="none"/>
          <w:tab w:pos="6335" w:val="left" w:leader="none"/>
          <w:tab w:pos="7161" w:val="left" w:leader="none"/>
        </w:tabs>
        <w:spacing w:before="50"/>
        <w:ind w:left="223"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其他不重大</w:t>
        <w:tab/>
      </w:r>
      <w:r>
        <w:rPr>
          <w:rFonts w:ascii="Times New Roman" w:hAnsi="Times New Roman" w:cs="Times New Roman" w:eastAsia="Times New Roman" w:hint="default"/>
          <w:spacing w:val="-1"/>
          <w:sz w:val="18"/>
          <w:szCs w:val="18"/>
        </w:rPr>
        <w:t>24,498,027.54</w:t>
        <w:tab/>
        <w:t>83.88%</w:t>
        <w:tab/>
        <w:t>1,453,212.16</w:t>
      </w:r>
    </w:p>
    <w:p>
      <w:pPr>
        <w:spacing w:line="240" w:lineRule="auto" w:before="9"/>
        <w:rPr>
          <w:rFonts w:ascii="Times New Roman" w:hAnsi="Times New Roman" w:cs="Times New Roman" w:eastAsia="Times New Roman" w:hint="default"/>
          <w:sz w:val="5"/>
          <w:szCs w:val="5"/>
        </w:rPr>
      </w:pPr>
    </w:p>
    <w:p>
      <w:pPr>
        <w:spacing w:line="20" w:lineRule="exact"/>
        <w:ind w:left="47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71.5pt;height:.5pt;mso-position-horizontal-relative:char;mso-position-vertical-relative:line" coordorigin="0,0" coordsize="3430,10">
            <v:group style="position:absolute;left:5;top:5;width:3420;height:2" coordorigin="5,5" coordsize="3420,2">
              <v:shape style="position:absolute;left:5;top:5;width:3420;height:2" coordorigin="5,5" coordsize="3420,0" path="m5,5l3425,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4910" w:val="left" w:leader="none"/>
          <w:tab w:pos="6247" w:val="left" w:leader="none"/>
          <w:tab w:pos="7161" w:val="left" w:leader="none"/>
        </w:tabs>
        <w:spacing w:before="14"/>
        <w:ind w:left="2183"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29,209,012.54</w:t>
        <w:tab/>
        <w:t>100.00%</w:t>
        <w:tab/>
        <w:t>2,271,974.66</w:t>
      </w:r>
    </w:p>
    <w:p>
      <w:pPr>
        <w:spacing w:line="240" w:lineRule="auto" w:before="7"/>
        <w:rPr>
          <w:rFonts w:ascii="Times New Roman" w:hAnsi="Times New Roman" w:cs="Times New Roman" w:eastAsia="Times New Roman" w:hint="default"/>
          <w:sz w:val="5"/>
          <w:szCs w:val="5"/>
        </w:rPr>
      </w:pPr>
    </w:p>
    <w:p>
      <w:pPr>
        <w:spacing w:line="28" w:lineRule="exact"/>
        <w:ind w:left="47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71.5pt;height:1.45pt;mso-position-horizontal-relative:char;mso-position-vertical-relative:line" coordorigin="0,0" coordsize="3430,29">
            <v:group style="position:absolute;left:5;top:5;width:3420;height:2" coordorigin="5,5" coordsize="3420,2">
              <v:shape style="position:absolute;left:5;top:5;width:3420;height:2" coordorigin="5,5" coordsize="3420,0" path="m5,5l3425,5e" filled="false" stroked="true" strokeweight=".48pt" strokecolor="#000000">
                <v:path arrowok="t"/>
              </v:shape>
            </v:group>
            <v:group style="position:absolute;left:5;top:24;width:3420;height:2" coordorigin="5,24" coordsize="3420,2">
              <v:shape style="position:absolute;left:5;top:24;width:3420;height:2" coordorigin="5,24" coordsize="3420,0" path="m5,24l3425,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before="52"/>
        <w:ind w:left="475" w:right="1787"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before="155"/>
        <w:ind w:left="475" w:right="1787" w:firstLine="0"/>
        <w:jc w:val="left"/>
        <w:rPr>
          <w:rFonts w:ascii="宋体" w:hAnsi="宋体" w:cs="宋体" w:eastAsia="宋体" w:hint="default"/>
          <w:sz w:val="18"/>
          <w:szCs w:val="18"/>
        </w:rPr>
      </w:pPr>
      <w:r>
        <w:rPr>
          <w:rFonts w:ascii="宋体" w:hAnsi="宋体" w:cs="宋体" w:eastAsia="宋体" w:hint="default"/>
          <w:sz w:val="18"/>
          <w:szCs w:val="18"/>
        </w:rPr>
        <w:t>本公司单项金额重大的应收账款是指单个客户金额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w:t>
      </w:r>
    </w:p>
    <w:p>
      <w:pPr>
        <w:pStyle w:val="BodyText"/>
        <w:spacing w:line="240" w:lineRule="auto" w:before="114"/>
        <w:ind w:left="535" w:right="1787"/>
        <w:jc w:val="left"/>
      </w:pPr>
      <w:r>
        <w:rPr/>
        <w:t>（</w:t>
      </w:r>
      <w:r>
        <w:rPr>
          <w:rFonts w:ascii="Times New Roman" w:hAnsi="Times New Roman" w:cs="Times New Roman" w:eastAsia="Times New Roman" w:hint="default"/>
        </w:rPr>
        <w:t>2</w:t>
      </w:r>
      <w:r>
        <w:rPr/>
        <w:t>）应收账款账龄</w:t>
      </w:r>
    </w:p>
    <w:p>
      <w:pPr>
        <w:spacing w:before="99"/>
        <w:ind w:left="2178" w:right="0" w:firstLine="0"/>
        <w:jc w:val="center"/>
        <w:rPr>
          <w:rFonts w:ascii="宋体" w:hAnsi="宋体" w:cs="宋体" w:eastAsia="宋体" w:hint="default"/>
          <w:sz w:val="18"/>
          <w:szCs w:val="18"/>
        </w:rPr>
      </w:pPr>
      <w:r>
        <w:rPr/>
        <w:pict>
          <v:group style="position:absolute;margin-left:170.759995pt;margin-top:20.981714pt;width:364.7pt;height:.1pt;mso-position-horizontal-relative:page;mso-position-vertical-relative:paragraph;z-index:-626560" coordorigin="3415,420" coordsize="7294,2">
            <v:shape style="position:absolute;left:3415;top:420;width:7294;height:2" coordorigin="3415,420" coordsize="7294,0" path="m3415,420l10709,420e" filled="false" stroked="true" strokeweight=".48pt" strokecolor="#000000">
              <v:path arrowok="t"/>
            </v:shape>
            <w10:wrap type="none"/>
          </v:group>
        </w:pict>
      </w:r>
      <w:r>
        <w:rPr>
          <w:rFonts w:ascii="宋体" w:hAnsi="宋体" w:cs="宋体" w:eastAsia="宋体" w:hint="default"/>
          <w:sz w:val="18"/>
          <w:szCs w:val="18"/>
        </w:rPr>
        <w:t>期末数</w:t>
      </w:r>
    </w:p>
    <w:tbl>
      <w:tblPr>
        <w:tblW w:w="0" w:type="auto"/>
        <w:jc w:val="left"/>
        <w:tblInd w:w="112" w:type="dxa"/>
        <w:tblLayout w:type="fixed"/>
        <w:tblCellMar>
          <w:top w:w="0" w:type="dxa"/>
          <w:left w:w="0" w:type="dxa"/>
          <w:bottom w:w="0" w:type="dxa"/>
          <w:right w:w="0" w:type="dxa"/>
        </w:tblCellMar>
        <w:tblLook w:val="01E0"/>
      </w:tblPr>
      <w:tblGrid>
        <w:gridCol w:w="968"/>
        <w:gridCol w:w="966"/>
        <w:gridCol w:w="348"/>
        <w:gridCol w:w="1805"/>
        <w:gridCol w:w="283"/>
        <w:gridCol w:w="1224"/>
        <w:gridCol w:w="288"/>
        <w:gridCol w:w="1757"/>
        <w:gridCol w:w="288"/>
        <w:gridCol w:w="1649"/>
      </w:tblGrid>
      <w:tr>
        <w:trPr>
          <w:trHeight w:val="440" w:hRule="exact"/>
        </w:trPr>
        <w:tc>
          <w:tcPr>
            <w:tcW w:w="968" w:type="dxa"/>
            <w:tcBorders>
              <w:top w:val="nil" w:sz="6" w:space="0" w:color="auto"/>
              <w:left w:val="nil" w:sz="6" w:space="0" w:color="auto"/>
              <w:bottom w:val="single" w:sz="4" w:space="0" w:color="000000"/>
              <w:right w:val="nil" w:sz="6" w:space="0" w:color="auto"/>
            </w:tcBorders>
          </w:tcPr>
          <w:p>
            <w:pPr>
              <w:pStyle w:val="TableParagraph"/>
              <w:spacing w:line="175" w:lineRule="exact"/>
              <w:ind w:right="89"/>
              <w:jc w:val="right"/>
              <w:rPr>
                <w:rFonts w:ascii="宋体" w:hAnsi="宋体" w:cs="宋体" w:eastAsia="宋体" w:hint="default"/>
                <w:sz w:val="18"/>
                <w:szCs w:val="18"/>
              </w:rPr>
            </w:pPr>
            <w:r>
              <w:rPr>
                <w:rFonts w:ascii="宋体" w:hAnsi="宋体" w:cs="宋体" w:eastAsia="宋体" w:hint="default"/>
                <w:sz w:val="18"/>
                <w:szCs w:val="18"/>
              </w:rPr>
              <w:t>账</w:t>
            </w:r>
          </w:p>
        </w:tc>
        <w:tc>
          <w:tcPr>
            <w:tcW w:w="966" w:type="dxa"/>
            <w:tcBorders>
              <w:top w:val="nil" w:sz="6" w:space="0" w:color="auto"/>
              <w:left w:val="nil" w:sz="6" w:space="0" w:color="auto"/>
              <w:bottom w:val="single" w:sz="4" w:space="0" w:color="000000"/>
              <w:right w:val="nil" w:sz="6" w:space="0" w:color="auto"/>
            </w:tcBorders>
          </w:tcPr>
          <w:p>
            <w:pPr>
              <w:pStyle w:val="TableParagraph"/>
              <w:spacing w:line="175" w:lineRule="exact"/>
              <w:ind w:left="89"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49"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6" w:type="dxa"/>
            <w:tcBorders>
              <w:top w:val="single" w:sz="4"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49,941,138.64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81.09%</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2,497,056.93</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47,444,081.71</w:t>
            </w:r>
          </w:p>
        </w:tc>
      </w:tr>
      <w:tr>
        <w:trPr>
          <w:trHeight w:val="34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18"/>
                <w:szCs w:val="18"/>
              </w:rPr>
            </w:pPr>
            <w:r>
              <w:rPr>
                <w:rFonts w:ascii="Times New Roman"/>
                <w:spacing w:val="-1"/>
                <w:sz w:val="18"/>
              </w:rPr>
              <w:t>8,179,472.84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pacing w:val="-1"/>
                <w:sz w:val="18"/>
              </w:rPr>
              <w:t>13.28%</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18"/>
                <w:szCs w:val="18"/>
              </w:rPr>
            </w:pPr>
            <w:r>
              <w:rPr>
                <w:rFonts w:ascii="Times New Roman"/>
                <w:spacing w:val="-1"/>
                <w:sz w:val="18"/>
              </w:rPr>
              <w:t>817,947.28</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18"/>
                <w:szCs w:val="18"/>
              </w:rPr>
            </w:pPr>
            <w:r>
              <w:rPr>
                <w:rFonts w:ascii="Times New Roman"/>
                <w:spacing w:val="-1"/>
                <w:sz w:val="18"/>
              </w:rPr>
              <w:t>7,361,525.56</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3,132,639.60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z w:val="18"/>
              </w:rPr>
              <w:t>5.09%</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1,236,171.88</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1,896,467.72</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334,395.00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z w:val="18"/>
              </w:rPr>
              <w:t>0.54%</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334,395.00</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
        </w:tc>
      </w:tr>
      <w:tr>
        <w:trPr>
          <w:trHeight w:val="36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61,587,646.08</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288"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4,885,571.09</w:t>
            </w:r>
          </w:p>
        </w:tc>
        <w:tc>
          <w:tcPr>
            <w:tcW w:w="288"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56,702,074.99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968"/>
        <w:gridCol w:w="966"/>
        <w:gridCol w:w="348"/>
        <w:gridCol w:w="1805"/>
        <w:gridCol w:w="283"/>
        <w:gridCol w:w="1224"/>
        <w:gridCol w:w="706"/>
        <w:gridCol w:w="1342"/>
        <w:gridCol w:w="286"/>
        <w:gridCol w:w="1649"/>
      </w:tblGrid>
      <w:tr>
        <w:trPr>
          <w:trHeight w:val="713" w:hRule="exact"/>
        </w:trPr>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账</w:t>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51"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6" w:type="dxa"/>
            <w:tcBorders>
              <w:top w:val="single" w:sz="4"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23,587,661.94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80.76%</w:t>
            </w:r>
          </w:p>
        </w:tc>
        <w:tc>
          <w:tcPr>
            <w:tcW w:w="706" w:type="dxa"/>
            <w:tcBorders>
              <w:top w:val="single" w:sz="4" w:space="0" w:color="000000"/>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1,179,383.10</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22,408,278.84</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5,286,955.60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18.10%</w:t>
            </w:r>
          </w:p>
        </w:tc>
        <w:tc>
          <w:tcPr>
            <w:tcW w:w="70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825,075.56</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4,461,880.04</w:t>
            </w:r>
          </w:p>
        </w:tc>
      </w:tr>
      <w:tr>
        <w:trPr>
          <w:trHeight w:val="338"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334,395.00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z w:val="18"/>
              </w:rPr>
              <w:t>1.14%</w:t>
            </w:r>
          </w:p>
        </w:tc>
        <w:tc>
          <w:tcPr>
            <w:tcW w:w="706" w:type="dxa"/>
            <w:tcBorders>
              <w:top w:val="nil" w:sz="6" w:space="0" w:color="auto"/>
              <w:left w:val="nil" w:sz="6" w:space="0" w:color="auto"/>
              <w:bottom w:val="single" w:sz="4" w:space="0" w:color="000000"/>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8"/>
                <w:szCs w:val="18"/>
              </w:rPr>
            </w:pPr>
            <w:r>
              <w:rPr>
                <w:rFonts w:ascii="Times New Roman"/>
                <w:spacing w:val="-1"/>
                <w:sz w:val="18"/>
              </w:rPr>
              <w:t>267,516.00</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66,879.00</w:t>
            </w:r>
          </w:p>
        </w:tc>
      </w:tr>
      <w:tr>
        <w:trPr>
          <w:trHeight w:val="36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29,209,012.54</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706" w:type="dxa"/>
            <w:tcBorders>
              <w:top w:val="single" w:sz="4" w:space="0" w:color="000000"/>
              <w:left w:val="nil" w:sz="6" w:space="0" w:color="auto"/>
              <w:bottom w:val="single" w:sz="12" w:space="0" w:color="000000"/>
              <w:right w:val="nil" w:sz="6" w:space="0" w:color="auto"/>
            </w:tcBorders>
          </w:tcPr>
          <w:p>
            <w:pP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2,271,974.66</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26,937,037.88</w:t>
            </w:r>
          </w:p>
        </w:tc>
      </w:tr>
    </w:tbl>
    <w:p>
      <w:pPr>
        <w:spacing w:before="37"/>
        <w:ind w:left="475" w:right="1787" w:firstLine="0"/>
        <w:jc w:val="left"/>
        <w:rPr>
          <w:rFonts w:ascii="宋体" w:hAnsi="宋体" w:cs="宋体" w:eastAsia="宋体" w:hint="default"/>
          <w:sz w:val="18"/>
          <w:szCs w:val="18"/>
        </w:rPr>
      </w:pPr>
      <w:r>
        <w:rPr/>
        <w:pict>
          <v:group style="position:absolute;margin-left:170.759995pt;margin-top:-88.438286pt;width:364.7pt;height:.1pt;mso-position-horizontal-relative:page;mso-position-vertical-relative:paragraph;z-index:-626536" coordorigin="3415,-1769" coordsize="7294,2">
            <v:shape style="position:absolute;left:3415;top:-1769;width:7294;height:2" coordorigin="3415,-1769" coordsize="7294,0" path="m3415,-1769l10709,-1769e" filled="false" stroked="true" strokeweight=".48pt" strokecolor="#000000">
              <v:path arrowok="t"/>
            </v:shape>
            <w10:wrap type="none"/>
          </v:group>
        </w:pic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：期末本账户余额中无持有本公司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以上股份的股东欠款。</w:t>
      </w:r>
    </w:p>
    <w:p>
      <w:pPr>
        <w:spacing w:before="142"/>
        <w:ind w:left="475" w:right="178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：本账户期末余额中欠款金额前五名和占应收账款账面余额比例如下：</w:t>
      </w:r>
    </w:p>
    <w:p>
      <w:pPr>
        <w:tabs>
          <w:tab w:pos="4610" w:val="left" w:leader="none"/>
          <w:tab w:pos="6523" w:val="left" w:leader="none"/>
          <w:tab w:pos="8246" w:val="left" w:leader="none"/>
        </w:tabs>
        <w:spacing w:line="156" w:lineRule="auto" w:before="136"/>
        <w:ind w:left="8877" w:right="217" w:hanging="7167"/>
        <w:jc w:val="left"/>
        <w:rPr>
          <w:rFonts w:ascii="宋体" w:hAnsi="宋体" w:cs="宋体" w:eastAsia="宋体" w:hint="default"/>
          <w:sz w:val="18"/>
          <w:szCs w:val="18"/>
        </w:rPr>
      </w:pPr>
      <w:r>
        <w:rPr>
          <w:rFonts w:ascii="宋体" w:hAnsi="宋体" w:cs="宋体" w:eastAsia="宋体" w:hint="default"/>
          <w:position w:val="-11"/>
          <w:sz w:val="18"/>
          <w:szCs w:val="18"/>
        </w:rPr>
        <w:t>单位</w:t>
        <w:tab/>
        <w:t>金额</w:t>
        <w:tab/>
        <w:t>欠款年限</w:t>
        <w:tab/>
      </w:r>
      <w:r>
        <w:rPr>
          <w:rFonts w:ascii="宋体" w:hAnsi="宋体" w:cs="宋体" w:eastAsia="宋体" w:hint="default"/>
          <w:sz w:val="18"/>
          <w:szCs w:val="18"/>
        </w:rPr>
        <w:t>占应收款项总额比</w:t>
      </w:r>
      <w:r>
        <w:rPr>
          <w:rFonts w:ascii="宋体" w:hAnsi="宋体" w:cs="宋体" w:eastAsia="宋体" w:hint="default"/>
          <w:sz w:val="18"/>
          <w:szCs w:val="18"/>
        </w:rPr>
        <w:t> 例</w:t>
      </w:r>
    </w:p>
    <w:p>
      <w:pPr>
        <w:spacing w:line="240" w:lineRule="auto" w:before="8"/>
        <w:rPr>
          <w:rFonts w:ascii="宋体" w:hAnsi="宋体" w:cs="宋体" w:eastAsia="宋体" w:hint="default"/>
          <w:sz w:val="2"/>
          <w:szCs w:val="2"/>
        </w:rPr>
      </w:pPr>
    </w:p>
    <w:p>
      <w:pPr>
        <w:tabs>
          <w:tab w:pos="3969" w:val="left" w:leader="none"/>
          <w:tab w:pos="5908" w:val="left" w:leader="none"/>
          <w:tab w:pos="8131" w:val="left" w:leader="none"/>
        </w:tabs>
        <w:spacing w:line="20" w:lineRule="exact"/>
        <w:ind w:left="108" w:right="0" w:firstLine="0"/>
        <w:rPr>
          <w:rFonts w:ascii="宋体" w:hAnsi="宋体" w:cs="宋体" w:eastAsia="宋体" w:hint="default"/>
          <w:sz w:val="2"/>
          <w:szCs w:val="2"/>
        </w:rPr>
      </w:pPr>
      <w:r>
        <w:rPr>
          <w:rFonts w:ascii="宋体"/>
          <w:sz w:val="2"/>
        </w:rPr>
        <w:pict>
          <v:group style="width:178.1pt;height:.5pt;mso-position-horizontal-relative:char;mso-position-vertical-relative:line" coordorigin="0,0" coordsize="3562,10">
            <v:group style="position:absolute;left:5;top:5;width:3552;height:2" coordorigin="5,5" coordsize="3552,2">
              <v:shape style="position:absolute;left:5;top:5;width:3552;height:2" coordorigin="5,5" coordsize="3552,0" path="m5,5l3557,5e" filled="false" stroked="true" strokeweight=".48pt" strokecolor="#000000">
                <v:path arrowok="t"/>
              </v:shape>
            </v:group>
          </v:group>
        </w:pict>
      </w:r>
      <w:r>
        <w:rPr>
          <w:rFonts w:ascii="宋体"/>
          <w:sz w:val="2"/>
        </w:rPr>
      </w:r>
      <w:r>
        <w:rPr>
          <w:rFonts w:ascii="宋体"/>
          <w:sz w:val="2"/>
        </w:rPr>
        <w:tab/>
      </w:r>
      <w:r>
        <w:rPr>
          <w:rFonts w:ascii="宋体"/>
          <w:sz w:val="2"/>
        </w:rPr>
        <w:pict>
          <v:group style="width:82.1pt;height:.5pt;mso-position-horizontal-relative:char;mso-position-vertical-relative:line" coordorigin="0,0" coordsize="1642,10">
            <v:group style="position:absolute;left:5;top:5;width:1632;height:2" coordorigin="5,5" coordsize="1632,2">
              <v:shape style="position:absolute;left:5;top:5;width:1632;height:2" coordorigin="5,5" coordsize="1632,0" path="m5,5l1637,5e" filled="false" stroked="true" strokeweight=".48pt" strokecolor="#000000">
                <v:path arrowok="t"/>
              </v:shape>
            </v:group>
          </v:group>
        </w:pict>
      </w:r>
      <w:r>
        <w:rPr>
          <w:rFonts w:ascii="宋体"/>
          <w:sz w:val="2"/>
        </w:rPr>
      </w:r>
      <w:r>
        <w:rPr>
          <w:rFonts w:ascii="宋体"/>
          <w:sz w:val="2"/>
        </w:rPr>
        <w:tab/>
      </w:r>
      <w:r>
        <w:rPr>
          <w:rFonts w:ascii="宋体"/>
          <w:sz w:val="2"/>
        </w:rPr>
        <w:pict>
          <v:group style="width:97.45pt;height:.5pt;mso-position-horizontal-relative:char;mso-position-vertical-relative:line" coordorigin="0,0" coordsize="1949,10">
            <v:group style="position:absolute;left:5;top:5;width:1940;height:2" coordorigin="5,5" coordsize="1940,2">
              <v:shape style="position:absolute;left:5;top:5;width:1940;height:2" coordorigin="5,5" coordsize="1940,0" path="m5,5l1944,5e" filled="false" stroked="true" strokeweight=".48pt" strokecolor="#000000">
                <v:path arrowok="t"/>
              </v:shape>
            </v:group>
          </v:group>
        </w:pict>
      </w:r>
      <w:r>
        <w:rPr>
          <w:rFonts w:ascii="宋体"/>
          <w:sz w:val="2"/>
        </w:rPr>
      </w:r>
      <w:r>
        <w:rPr>
          <w:rFonts w:ascii="宋体"/>
          <w:sz w:val="2"/>
        </w:rPr>
        <w:tab/>
      </w:r>
      <w:r>
        <w:rPr>
          <w:rFonts w:ascii="宋体"/>
          <w:sz w:val="2"/>
        </w:rPr>
        <w:pict>
          <v:group style="width:83.55pt;height:.5pt;mso-position-horizontal-relative:char;mso-position-vertical-relative:line" coordorigin="0,0" coordsize="1671,10">
            <v:group style="position:absolute;left:5;top:5;width:1661;height:2" coordorigin="5,5" coordsize="1661,2">
              <v:shape style="position:absolute;left:5;top:5;width:1661;height:2" coordorigin="5,5" coordsize="1661,0" path="m5,5l1666,5e" filled="false" stroked="true" strokeweight=".48pt" strokecolor="#000000">
                <v:path arrowok="t"/>
              </v:shape>
            </v:group>
          </v:group>
        </w:pict>
      </w:r>
      <w:r>
        <w:rPr>
          <w:rFonts w:ascii="宋体"/>
          <w:sz w:val="2"/>
        </w:rPr>
      </w:r>
    </w:p>
    <w:p>
      <w:pPr>
        <w:tabs>
          <w:tab w:pos="4555" w:val="left" w:leader="none"/>
          <w:tab w:pos="6547" w:val="left" w:leader="none"/>
          <w:tab w:pos="8735" w:val="left" w:leader="none"/>
        </w:tabs>
        <w:spacing w:before="9"/>
        <w:ind w:left="223"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tab/>
      </w:r>
      <w:r>
        <w:rPr>
          <w:rFonts w:ascii="Times New Roman" w:hAnsi="Times New Roman" w:cs="Times New Roman" w:eastAsia="Times New Roman" w:hint="default"/>
          <w:spacing w:val="-1"/>
          <w:sz w:val="18"/>
          <w:szCs w:val="18"/>
        </w:rPr>
        <w:t>6,085,639.24</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9.88%</w:t>
      </w:r>
    </w:p>
    <w:p>
      <w:pPr>
        <w:spacing w:after="0"/>
        <w:jc w:val="left"/>
        <w:rPr>
          <w:rFonts w:ascii="Times New Roman" w:hAnsi="Times New Roman" w:cs="Times New Roman" w:eastAsia="Times New Roman" w:hint="default"/>
          <w:sz w:val="18"/>
          <w:szCs w:val="18"/>
        </w:rPr>
        <w:sectPr>
          <w:pgSz w:w="11910" w:h="16840"/>
          <w:pgMar w:header="849" w:footer="976" w:top="1460" w:bottom="1160" w:left="1020" w:right="980"/>
        </w:sectPr>
      </w:pPr>
    </w:p>
    <w:p>
      <w:pPr>
        <w:tabs>
          <w:tab w:pos="4610" w:val="left" w:leader="none"/>
          <w:tab w:pos="6523" w:val="left" w:leader="none"/>
          <w:tab w:pos="8246" w:val="left" w:leader="none"/>
        </w:tabs>
        <w:spacing w:line="156" w:lineRule="auto" w:before="97"/>
        <w:ind w:left="8877" w:right="217" w:hanging="7167"/>
        <w:jc w:val="left"/>
        <w:rPr>
          <w:rFonts w:ascii="宋体" w:hAnsi="宋体" w:cs="宋体" w:eastAsia="宋体" w:hint="default"/>
          <w:sz w:val="18"/>
          <w:szCs w:val="18"/>
        </w:rPr>
      </w:pPr>
      <w:r>
        <w:rPr/>
        <w:pict>
          <v:group style="position:absolute;margin-left:56.279999pt;margin-top:1.242642pt;width:482.65pt;height:12.4pt;mso-position-horizontal-relative:page;mso-position-vertical-relative:paragraph;z-index:-626248" coordorigin="1126,25" coordsize="9653,248">
            <v:shape style="position:absolute;left:1135;top:25;width:797;height:144" type="#_x0000_t75" stroked="false">
              <v:imagedata r:id="rId8" o:title=""/>
            </v:shape>
            <v:shape style="position:absolute;left:1966;top:25;width:430;height:101" type="#_x0000_t75" stroked="false">
              <v:imagedata r:id="rId9" o:title=""/>
            </v:shape>
            <v:group style="position:absolute;left:1133;top:178;width:1251;height:94" coordorigin="1133,178" coordsize="1251,94">
              <v:shape style="position:absolute;left:1133;top:178;width:1251;height:94" coordorigin="1133,178" coordsize="1251,94" path="m1133,272l1227,257,1312,246,1407,234,1511,224,1646,213,1819,203,2383,178,1133,272xe" filled="true" fillcolor="#074278" stroked="false">
                <v:path arrowok="t"/>
                <v:fill type="solid"/>
              </v:shape>
            </v:group>
            <v:group style="position:absolute;left:1133;top:44;width:9639;height:2" coordorigin="1133,44" coordsize="9639,2">
              <v:shape style="position:absolute;left:1133;top:44;width:9639;height:2" coordorigin="1133,44" coordsize="9639,0" path="m1133,44l10771,44e" filled="false" stroked="true" strokeweight=".72pt" strokecolor="#000000">
                <v:path arrowok="t"/>
              </v:shape>
            </v:group>
            <w10:wrap type="none"/>
          </v:group>
        </w:pict>
      </w:r>
      <w:r>
        <w:rPr>
          <w:rFonts w:ascii="宋体" w:hAnsi="宋体" w:cs="宋体" w:eastAsia="宋体" w:hint="default"/>
          <w:position w:val="-11"/>
          <w:sz w:val="18"/>
          <w:szCs w:val="18"/>
        </w:rPr>
        <w:t>单位</w:t>
        <w:tab/>
        <w:t>金额</w:t>
        <w:tab/>
        <w:t>欠款年限</w:t>
        <w:tab/>
      </w:r>
      <w:r>
        <w:rPr>
          <w:rFonts w:ascii="宋体" w:hAnsi="宋体" w:cs="宋体" w:eastAsia="宋体" w:hint="default"/>
          <w:sz w:val="18"/>
          <w:szCs w:val="18"/>
        </w:rPr>
        <w:t>占应收款项总额比</w:t>
      </w:r>
      <w:r>
        <w:rPr>
          <w:rFonts w:ascii="宋体" w:hAnsi="宋体" w:cs="宋体" w:eastAsia="宋体" w:hint="default"/>
          <w:sz w:val="18"/>
          <w:szCs w:val="18"/>
        </w:rPr>
        <w:t> 例</w:t>
      </w:r>
    </w:p>
    <w:p>
      <w:pPr>
        <w:spacing w:line="240" w:lineRule="auto" w:before="10"/>
        <w:rPr>
          <w:rFonts w:ascii="宋体" w:hAnsi="宋体" w:cs="宋体" w:eastAsia="宋体" w:hint="default"/>
          <w:sz w:val="2"/>
          <w:szCs w:val="2"/>
        </w:rPr>
      </w:pPr>
    </w:p>
    <w:p>
      <w:pPr>
        <w:tabs>
          <w:tab w:pos="3967" w:val="left" w:leader="none"/>
          <w:tab w:pos="5908" w:val="left" w:leader="none"/>
          <w:tab w:pos="8131" w:val="left" w:leader="none"/>
        </w:tabs>
        <w:spacing w:line="20" w:lineRule="exact"/>
        <w:ind w:left="108" w:right="0" w:firstLine="0"/>
        <w:rPr>
          <w:rFonts w:ascii="宋体" w:hAnsi="宋体" w:cs="宋体" w:eastAsia="宋体" w:hint="default"/>
          <w:sz w:val="2"/>
          <w:szCs w:val="2"/>
        </w:rPr>
      </w:pPr>
      <w:r>
        <w:rPr>
          <w:rFonts w:ascii="宋体"/>
          <w:sz w:val="2"/>
        </w:rPr>
        <w:pict>
          <v:group style="width:178.1pt;height:.5pt;mso-position-horizontal-relative:char;mso-position-vertical-relative:line" coordorigin="0,0" coordsize="3562,10">
            <v:group style="position:absolute;left:5;top:5;width:3552;height:2" coordorigin="5,5" coordsize="3552,2">
              <v:shape style="position:absolute;left:5;top:5;width:3552;height:2" coordorigin="5,5" coordsize="3552,0" path="m5,5l3557,5e" filled="false" stroked="true" strokeweight=".48pt" strokecolor="#000000">
                <v:path arrowok="t"/>
              </v:shape>
            </v:group>
          </v:group>
        </w:pict>
      </w:r>
      <w:r>
        <w:rPr>
          <w:rFonts w:ascii="宋体"/>
          <w:sz w:val="2"/>
        </w:rPr>
      </w:r>
      <w:r>
        <w:rPr>
          <w:rFonts w:ascii="宋体"/>
          <w:sz w:val="2"/>
        </w:rPr>
        <w:tab/>
      </w:r>
      <w:r>
        <w:rPr>
          <w:rFonts w:ascii="宋体"/>
          <w:sz w:val="2"/>
        </w:rPr>
        <w:pict>
          <v:group style="width:82.2pt;height:.5pt;mso-position-horizontal-relative:char;mso-position-vertical-relative:line" coordorigin="0,0" coordsize="1644,10">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宋体"/>
          <w:sz w:val="2"/>
        </w:rPr>
      </w:r>
      <w:r>
        <w:rPr>
          <w:rFonts w:ascii="宋体"/>
          <w:sz w:val="2"/>
        </w:rPr>
        <w:tab/>
      </w:r>
      <w:r>
        <w:rPr>
          <w:rFonts w:ascii="宋体"/>
          <w:sz w:val="2"/>
        </w:rPr>
        <w:pict>
          <v:group style="width:97.45pt;height:.5pt;mso-position-horizontal-relative:char;mso-position-vertical-relative:line" coordorigin="0,0" coordsize="1949,10">
            <v:group style="position:absolute;left:5;top:5;width:1940;height:2" coordorigin="5,5" coordsize="1940,2">
              <v:shape style="position:absolute;left:5;top:5;width:1940;height:2" coordorigin="5,5" coordsize="1940,0" path="m5,5l1944,5e" filled="false" stroked="true" strokeweight=".48pt" strokecolor="#000000">
                <v:path arrowok="t"/>
              </v:shape>
            </v:group>
          </v:group>
        </w:pict>
      </w:r>
      <w:r>
        <w:rPr>
          <w:rFonts w:ascii="宋体"/>
          <w:sz w:val="2"/>
        </w:rPr>
      </w:r>
      <w:r>
        <w:rPr>
          <w:rFonts w:ascii="宋体"/>
          <w:sz w:val="2"/>
        </w:rPr>
        <w:tab/>
      </w:r>
      <w:r>
        <w:rPr>
          <w:rFonts w:ascii="宋体"/>
          <w:sz w:val="2"/>
        </w:rPr>
        <w:pict>
          <v:group style="width:83.55pt;height:.5pt;mso-position-horizontal-relative:char;mso-position-vertical-relative:line" coordorigin="0,0" coordsize="1671,10">
            <v:group style="position:absolute;left:5;top:5;width:1661;height:2" coordorigin="5,5" coordsize="1661,2">
              <v:shape style="position:absolute;left:5;top:5;width:1661;height:2" coordorigin="5,5" coordsize="1661,0" path="m5,5l1666,5e" filled="false" stroked="true" strokeweight=".48pt" strokecolor="#000000">
                <v:path arrowok="t"/>
              </v:shape>
            </v:group>
          </v:group>
        </w:pict>
      </w:r>
      <w:r>
        <w:rPr>
          <w:rFonts w:ascii="宋体"/>
          <w:sz w:val="2"/>
        </w:rPr>
      </w:r>
    </w:p>
    <w:p>
      <w:pPr>
        <w:tabs>
          <w:tab w:pos="4555" w:val="left" w:leader="none"/>
          <w:tab w:pos="6163" w:val="left" w:leader="none"/>
          <w:tab w:pos="8735" w:val="left" w:leader="none"/>
        </w:tabs>
        <w:spacing w:before="9"/>
        <w:ind w:left="223"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tab/>
      </w:r>
      <w:r>
        <w:rPr>
          <w:rFonts w:ascii="Times New Roman" w:hAnsi="Times New Roman" w:cs="Times New Roman" w:eastAsia="Times New Roman" w:hint="default"/>
          <w:spacing w:val="-1"/>
          <w:sz w:val="18"/>
          <w:szCs w:val="18"/>
        </w:rPr>
        <w:t>4,965,219.20</w:t>
        <w:tab/>
      </w:r>
      <w:r>
        <w:rPr>
          <w:rFonts w:ascii="Times New Roman" w:hAnsi="Times New Roman" w:cs="Times New Roman" w:eastAsia="Times New Roman" w:hint="default"/>
          <w:sz w:val="18"/>
          <w:szCs w:val="18"/>
        </w:rPr>
        <w:t>1 </w:t>
      </w:r>
      <w:r>
        <w:rPr>
          <w:rFonts w:ascii="宋体" w:hAnsi="宋体" w:cs="宋体" w:eastAsia="宋体" w:hint="default"/>
          <w:spacing w:val="-1"/>
          <w:sz w:val="18"/>
          <w:szCs w:val="18"/>
        </w:rPr>
        <w:t>年以内、</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8.06%</w:t>
      </w:r>
    </w:p>
    <w:p>
      <w:pPr>
        <w:spacing w:after="0"/>
        <w:jc w:val="left"/>
        <w:rPr>
          <w:rFonts w:ascii="Times New Roman" w:hAnsi="Times New Roman" w:cs="Times New Roman" w:eastAsia="Times New Roman" w:hint="default"/>
          <w:sz w:val="18"/>
          <w:szCs w:val="18"/>
        </w:rPr>
        <w:sectPr>
          <w:pgSz w:w="11910" w:h="16840"/>
          <w:pgMar w:header="849" w:footer="976" w:top="1460" w:bottom="1160" w:left="1020" w:right="980"/>
        </w:sectPr>
      </w:pPr>
    </w:p>
    <w:p>
      <w:pPr>
        <w:tabs>
          <w:tab w:pos="4555" w:val="left" w:leader="none"/>
          <w:tab w:pos="6028" w:val="left" w:leader="none"/>
        </w:tabs>
        <w:spacing w:before="29"/>
        <w:ind w:left="223" w:right="-19" w:firstLine="0"/>
        <w:jc w:val="left"/>
        <w:rPr>
          <w:rFonts w:ascii="Times New Roman" w:hAnsi="Times New Roman" w:cs="Times New Roman" w:eastAsia="Times New Roman" w:hint="default"/>
          <w:sz w:val="18"/>
          <w:szCs w:val="18"/>
        </w:rPr>
      </w:pPr>
      <w:r>
        <w:rPr/>
        <w:pict>
          <v:shape style="position:absolute;margin-left:60.41pt;margin-top:16.107359pt;width:480.45pt;height:62.6pt;mso-position-horizontal-relative:page;mso-position-vertical-relative:paragraph;z-index:9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9"/>
                    <w:gridCol w:w="2735"/>
                    <w:gridCol w:w="1634"/>
                    <w:gridCol w:w="2530"/>
                    <w:gridCol w:w="1661"/>
                  </w:tblGrid>
                  <w:tr>
                    <w:trPr>
                      <w:trHeight w:val="541"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73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2,616,375.71</w:t>
                        </w:r>
                      </w:p>
                    </w:tc>
                    <w:tc>
                      <w:tcPr>
                        <w:tcW w:w="2530" w:type="dxa"/>
                        <w:tcBorders>
                          <w:top w:val="nil" w:sz="6" w:space="0" w:color="auto"/>
                          <w:left w:val="nil" w:sz="6" w:space="0" w:color="auto"/>
                          <w:bottom w:val="nil" w:sz="6" w:space="0" w:color="auto"/>
                          <w:right w:val="nil" w:sz="6" w:space="0" w:color="auto"/>
                        </w:tcBorders>
                      </w:tcPr>
                      <w:p>
                        <w:pPr>
                          <w:pStyle w:val="TableParagraph"/>
                          <w:spacing w:line="194" w:lineRule="exact"/>
                          <w:ind w:left="26"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31"/>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4.25%</w:t>
                        </w:r>
                      </w:p>
                    </w:tc>
                  </w:tr>
                  <w:tr>
                    <w:trPr>
                      <w:trHeight w:val="331"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73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1,862,167.00</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3.02%</w:t>
                        </w:r>
                      </w:p>
                    </w:tc>
                  </w:tr>
                  <w:tr>
                    <w:trPr>
                      <w:trHeight w:val="350" w:hRule="exact"/>
                    </w:trPr>
                    <w:tc>
                      <w:tcPr>
                        <w:tcW w:w="1049" w:type="dxa"/>
                        <w:tcBorders>
                          <w:top w:val="nil" w:sz="6" w:space="0" w:color="auto"/>
                          <w:left w:val="nil" w:sz="6" w:space="0" w:color="auto"/>
                          <w:bottom w:val="nil" w:sz="6" w:space="0" w:color="auto"/>
                          <w:right w:val="nil" w:sz="6" w:space="0" w:color="auto"/>
                        </w:tcBorders>
                      </w:tcPr>
                      <w:p>
                        <w:pP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7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18,329,401.15</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61"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29.76%</w:t>
                        </w:r>
                      </w:p>
                    </w:tc>
                  </w:tr>
                </w:tbl>
                <w:p>
                  <w:pPr/>
                </w:p>
              </w:txbxContent>
            </v:textbox>
            <w10:wrap type="none"/>
          </v:shape>
        </w:pic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tab/>
      </w:r>
      <w:r>
        <w:rPr>
          <w:rFonts w:ascii="Times New Roman" w:hAnsi="Times New Roman" w:cs="Times New Roman" w:eastAsia="Times New Roman" w:hint="default"/>
          <w:spacing w:val="-1"/>
          <w:sz w:val="18"/>
          <w:szCs w:val="18"/>
        </w:rPr>
        <w:t>2,800,000.00</w:t>
        <w:tab/>
      </w:r>
      <w:r>
        <w:rPr>
          <w:rFonts w:ascii="Times New Roman" w:hAnsi="Times New Roman" w:cs="Times New Roman" w:eastAsia="Times New Roman" w:hint="default"/>
          <w:position w:val="12"/>
          <w:sz w:val="18"/>
          <w:szCs w:val="18"/>
        </w:rPr>
        <w:t>1 </w:t>
      </w:r>
      <w:r>
        <w:rPr>
          <w:rFonts w:ascii="宋体" w:hAnsi="宋体" w:cs="宋体" w:eastAsia="宋体" w:hint="default"/>
          <w:position w:val="12"/>
          <w:sz w:val="18"/>
          <w:szCs w:val="18"/>
        </w:rPr>
        <w:t>年以内、</w:t>
      </w:r>
      <w:r>
        <w:rPr>
          <w:rFonts w:ascii="Times New Roman" w:hAnsi="Times New Roman" w:cs="Times New Roman" w:eastAsia="Times New Roman" w:hint="default"/>
          <w:position w:val="12"/>
          <w:sz w:val="18"/>
          <w:szCs w:val="18"/>
        </w:rPr>
        <w:t>1</w:t>
      </w:r>
      <w:r>
        <w:rPr>
          <w:rFonts w:ascii="宋体" w:hAnsi="宋体" w:cs="宋体" w:eastAsia="宋体" w:hint="default"/>
          <w:position w:val="12"/>
          <w:sz w:val="18"/>
          <w:szCs w:val="18"/>
        </w:rPr>
        <w:t>－</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pacing w:val="-1"/>
          <w:position w:val="12"/>
          <w:sz w:val="18"/>
          <w:szCs w:val="18"/>
        </w:rPr>
        <w:t> </w:t>
      </w:r>
      <w:r>
        <w:rPr>
          <w:rFonts w:ascii="宋体" w:hAnsi="宋体" w:cs="宋体" w:eastAsia="宋体" w:hint="default"/>
          <w:position w:val="12"/>
          <w:sz w:val="18"/>
          <w:szCs w:val="18"/>
        </w:rPr>
        <w:t>年、</w:t>
      </w:r>
      <w:r>
        <w:rPr>
          <w:rFonts w:ascii="Times New Roman" w:hAnsi="Times New Roman" w:cs="Times New Roman" w:eastAsia="Times New Roman" w:hint="default"/>
          <w:position w:val="12"/>
          <w:sz w:val="18"/>
          <w:szCs w:val="18"/>
        </w:rPr>
        <w:t>2</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16"/>
          <w:szCs w:val="16"/>
        </w:rPr>
      </w:pPr>
      <w:r>
        <w:rPr/>
        <w:br w:type="column"/>
      </w:r>
      <w:r>
        <w:rPr>
          <w:rFonts w:ascii="Times New Roman"/>
          <w:sz w:val="16"/>
        </w:rPr>
      </w:r>
    </w:p>
    <w:p>
      <w:pPr>
        <w:spacing w:before="0"/>
        <w:ind w:left="223" w:right="0" w:firstLine="0"/>
        <w:jc w:val="left"/>
        <w:rPr>
          <w:rFonts w:ascii="Times New Roman" w:hAnsi="Times New Roman" w:cs="Times New Roman" w:eastAsia="Times New Roman" w:hint="default"/>
          <w:sz w:val="18"/>
          <w:szCs w:val="18"/>
        </w:rPr>
      </w:pPr>
      <w:r>
        <w:rPr>
          <w:rFonts w:ascii="Times New Roman"/>
          <w:sz w:val="18"/>
        </w:rPr>
        <w:t>4.55%</w:t>
      </w:r>
    </w:p>
    <w:p>
      <w:pPr>
        <w:spacing w:after="0"/>
        <w:jc w:val="left"/>
        <w:rPr>
          <w:rFonts w:ascii="Times New Roman" w:hAnsi="Times New Roman" w:cs="Times New Roman" w:eastAsia="Times New Roman" w:hint="default"/>
          <w:sz w:val="18"/>
          <w:szCs w:val="18"/>
        </w:rPr>
        <w:sectPr>
          <w:type w:val="continuous"/>
          <w:pgSz w:w="11910" w:h="16840"/>
          <w:pgMar w:top="1580" w:bottom="280" w:left="1020" w:right="980"/>
          <w:cols w:num="2" w:equalWidth="0">
            <w:col w:w="7739" w:space="773"/>
            <w:col w:w="139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580" w:bottom="280" w:left="1020" w:right="980"/>
        </w:sectPr>
      </w:pPr>
    </w:p>
    <w:p>
      <w:pPr>
        <w:spacing w:line="240" w:lineRule="auto" w:before="3"/>
        <w:rPr>
          <w:rFonts w:ascii="Times New Roman" w:hAnsi="Times New Roman" w:cs="Times New Roman" w:eastAsia="Times New Roman" w:hint="default"/>
          <w:sz w:val="17"/>
          <w:szCs w:val="17"/>
        </w:rPr>
      </w:pPr>
    </w:p>
    <w:p>
      <w:pPr>
        <w:pStyle w:val="BodyText"/>
        <w:spacing w:line="240" w:lineRule="auto"/>
        <w:ind w:left="535" w:right="0"/>
        <w:jc w:val="left"/>
      </w:pPr>
      <w:r>
        <w:rPr>
          <w:rFonts w:ascii="Times New Roman" w:hAnsi="Times New Roman" w:cs="Times New Roman" w:eastAsia="Times New Roman" w:hint="default"/>
        </w:rPr>
        <w:t>2</w:t>
      </w:r>
      <w:r>
        <w:rPr/>
        <w:t>、其他应收款</w:t>
      </w:r>
    </w:p>
    <w:p>
      <w:pPr>
        <w:pStyle w:val="BodyText"/>
        <w:spacing w:line="240" w:lineRule="auto" w:before="40"/>
        <w:ind w:left="535" w:right="0"/>
        <w:jc w:val="left"/>
      </w:pPr>
      <w:r>
        <w:rPr>
          <w:w w:val="95"/>
        </w:rPr>
        <w:t>（</w:t>
      </w:r>
      <w:r>
        <w:rPr>
          <w:rFonts w:ascii="Times New Roman" w:hAnsi="Times New Roman" w:cs="Times New Roman" w:eastAsia="Times New Roman" w:hint="default"/>
          <w:w w:val="95"/>
        </w:rPr>
        <w:t>1</w:t>
      </w:r>
      <w:r>
        <w:rPr>
          <w:w w:val="95"/>
        </w:rPr>
        <w:t>）其他应收款按类别列示如下：</w:t>
      </w:r>
      <w:r>
        <w:rPr/>
      </w:r>
    </w:p>
    <w:p>
      <w:pPr>
        <w:spacing w:line="240" w:lineRule="auto" w:before="7"/>
        <w:rPr>
          <w:rFonts w:ascii="宋体" w:hAnsi="宋体" w:cs="宋体" w:eastAsia="宋体" w:hint="default"/>
          <w:sz w:val="21"/>
          <w:szCs w:val="21"/>
        </w:rPr>
      </w:pPr>
    </w:p>
    <w:p>
      <w:pPr>
        <w:spacing w:before="0"/>
        <w:ind w:left="2183" w:right="0" w:firstLine="0"/>
        <w:jc w:val="left"/>
        <w:rPr>
          <w:rFonts w:ascii="宋体" w:hAnsi="宋体" w:cs="宋体" w:eastAsia="宋体" w:hint="default"/>
          <w:sz w:val="18"/>
          <w:szCs w:val="18"/>
        </w:rPr>
      </w:pPr>
      <w:r>
        <w:rPr/>
        <w:pict>
          <v:shape style="position:absolute;margin-left:56.639999pt;margin-top:7.39173pt;width:405pt;height:75.75pt;mso-position-horizontal-relative:page;mso-position-vertical-relative:paragraph;z-index:9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0"/>
                    <w:gridCol w:w="1348"/>
                    <w:gridCol w:w="886"/>
                    <w:gridCol w:w="1186"/>
                  </w:tblGrid>
                  <w:tr>
                    <w:trPr>
                      <w:trHeight w:val="348" w:hRule="exact"/>
                    </w:trPr>
                    <w:tc>
                      <w:tcPr>
                        <w:tcW w:w="4680" w:type="dxa"/>
                        <w:tcBorders>
                          <w:top w:val="nil" w:sz="6" w:space="0" w:color="auto"/>
                          <w:left w:val="nil" w:sz="6" w:space="0" w:color="auto"/>
                          <w:bottom w:val="single" w:sz="4" w:space="0" w:color="000000"/>
                          <w:right w:val="nil" w:sz="6" w:space="0" w:color="auto"/>
                        </w:tcBorders>
                      </w:tcPr>
                      <w:p>
                        <w:pPr/>
                      </w:p>
                    </w:tc>
                    <w:tc>
                      <w:tcPr>
                        <w:tcW w:w="134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6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88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0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6"/>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468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8"/>
                            <w:szCs w:val="18"/>
                          </w:rPr>
                        </w:pPr>
                        <w:r>
                          <w:rPr>
                            <w:rFonts w:ascii="Times New Roman"/>
                            <w:spacing w:val="-1"/>
                            <w:sz w:val="18"/>
                          </w:rPr>
                          <w:t>6,850,597.81</w:t>
                        </w:r>
                      </w:p>
                    </w:tc>
                    <w:tc>
                      <w:tcPr>
                        <w:tcW w:w="88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95" w:right="0"/>
                          <w:jc w:val="left"/>
                          <w:rPr>
                            <w:rFonts w:ascii="Times New Roman" w:hAnsi="Times New Roman" w:cs="Times New Roman" w:eastAsia="Times New Roman" w:hint="default"/>
                            <w:sz w:val="18"/>
                            <w:szCs w:val="18"/>
                          </w:rPr>
                        </w:pPr>
                        <w:r>
                          <w:rPr>
                            <w:rFonts w:ascii="Times New Roman"/>
                            <w:sz w:val="18"/>
                          </w:rPr>
                          <w:t>31.87%</w:t>
                        </w:r>
                      </w:p>
                    </w:tc>
                    <w:tc>
                      <w:tcPr>
                        <w:tcW w:w="1186" w:type="dxa"/>
                        <w:tcBorders>
                          <w:top w:val="single" w:sz="4" w:space="0" w:color="000000"/>
                          <w:left w:val="nil" w:sz="6" w:space="0" w:color="auto"/>
                          <w:bottom w:val="nil" w:sz="6" w:space="0" w:color="auto"/>
                          <w:right w:val="nil" w:sz="6" w:space="0" w:color="auto"/>
                        </w:tcBorders>
                      </w:tcPr>
                      <w:p>
                        <w:pPr/>
                      </w:p>
                    </w:tc>
                  </w:tr>
                  <w:tr>
                    <w:trPr>
                      <w:trHeight w:val="516"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32" w:lineRule="exact" w:before="18"/>
                          <w:ind w:left="110" w:right="108"/>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较大</w:t>
                        </w:r>
                      </w:p>
                    </w:tc>
                    <w:tc>
                      <w:tcPr>
                        <w:tcW w:w="1348"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r>
                  <w:tr>
                    <w:trPr>
                      <w:trHeight w:val="317"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93"/>
                          <w:jc w:val="right"/>
                          <w:rPr>
                            <w:rFonts w:ascii="Times New Roman" w:hAnsi="Times New Roman" w:cs="Times New Roman" w:eastAsia="Times New Roman" w:hint="default"/>
                            <w:sz w:val="18"/>
                            <w:szCs w:val="18"/>
                          </w:rPr>
                        </w:pPr>
                        <w:r>
                          <w:rPr>
                            <w:rFonts w:ascii="Times New Roman"/>
                            <w:spacing w:val="-1"/>
                            <w:sz w:val="18"/>
                          </w:rPr>
                          <w:t>14,643,715.37</w:t>
                        </w:r>
                      </w:p>
                    </w:tc>
                    <w:tc>
                      <w:tcPr>
                        <w:tcW w:w="88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95" w:right="0"/>
                          <w:jc w:val="left"/>
                          <w:rPr>
                            <w:rFonts w:ascii="Times New Roman" w:hAnsi="Times New Roman" w:cs="Times New Roman" w:eastAsia="Times New Roman" w:hint="default"/>
                            <w:sz w:val="18"/>
                            <w:szCs w:val="18"/>
                          </w:rPr>
                        </w:pPr>
                        <w:r>
                          <w:rPr>
                            <w:rFonts w:ascii="Times New Roman"/>
                            <w:sz w:val="18"/>
                          </w:rPr>
                          <w:t>68.13%</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8" w:right="0"/>
                          <w:jc w:val="center"/>
                          <w:rPr>
                            <w:rFonts w:ascii="Times New Roman" w:hAnsi="Times New Roman" w:cs="Times New Roman" w:eastAsia="Times New Roman" w:hint="default"/>
                            <w:sz w:val="18"/>
                            <w:szCs w:val="18"/>
                          </w:rPr>
                        </w:pPr>
                        <w:r>
                          <w:rPr>
                            <w:rFonts w:ascii="Times New Roman"/>
                            <w:sz w:val="18"/>
                          </w:rPr>
                          <w:t>1,003,723.15</w:t>
                        </w:r>
                      </w:p>
                    </w:tc>
                  </w:tr>
                </w:tbl>
                <w:p>
                  <w:pPr/>
                </w:p>
              </w:txbxContent>
            </v:textbox>
            <w10:wrap type="none"/>
          </v:shape>
        </w:pict>
      </w:r>
      <w:r>
        <w:rPr>
          <w:rFonts w:ascii="宋体" w:hAnsi="宋体" w:cs="宋体" w:eastAsia="宋体" w:hint="default"/>
          <w:sz w:val="18"/>
          <w:szCs w:val="18"/>
        </w:rPr>
        <w:t>类  别</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spacing w:before="0"/>
        <w:ind w:left="535" w:right="0" w:firstLine="0"/>
        <w:jc w:val="left"/>
        <w:rPr>
          <w:rFonts w:ascii="宋体" w:hAnsi="宋体" w:cs="宋体" w:eastAsia="宋体" w:hint="default"/>
          <w:sz w:val="18"/>
          <w:szCs w:val="18"/>
        </w:rPr>
      </w:pP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1910" w:h="16840"/>
          <w:pgMar w:top="1580" w:bottom="280" w:left="1020" w:right="980"/>
          <w:cols w:num="2" w:equalWidth="0">
            <w:col w:w="3790" w:space="1910"/>
            <w:col w:w="42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tabs>
          <w:tab w:pos="4910" w:val="left" w:leader="none"/>
          <w:tab w:pos="6247" w:val="left" w:leader="none"/>
          <w:tab w:pos="7161" w:val="left" w:leader="none"/>
        </w:tabs>
        <w:spacing w:before="44"/>
        <w:ind w:left="2183"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21,494,313.18</w:t>
        <w:tab/>
        <w:t>100.00%</w:t>
        <w:tab/>
        <w:t>1,003,723.15</w:t>
      </w:r>
    </w:p>
    <w:p>
      <w:pPr>
        <w:spacing w:line="240" w:lineRule="auto" w:before="7"/>
        <w:rPr>
          <w:rFonts w:ascii="Times New Roman" w:hAnsi="Times New Roman" w:cs="Times New Roman" w:eastAsia="Times New Roman" w:hint="default"/>
          <w:sz w:val="5"/>
          <w:szCs w:val="5"/>
        </w:rPr>
      </w:pPr>
    </w:p>
    <w:p>
      <w:pPr>
        <w:spacing w:line="28" w:lineRule="exact"/>
        <w:ind w:left="47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71.5pt;height:1.45pt;mso-position-horizontal-relative:char;mso-position-vertical-relative:line" coordorigin="0,0" coordsize="3430,29">
            <v:group style="position:absolute;left:5;top:5;width:3420;height:2" coordorigin="5,5" coordsize="3420,2">
              <v:shape style="position:absolute;left:5;top:5;width:3420;height:2" coordorigin="5,5" coordsize="3420,0" path="m5,5l3425,5e" filled="false" stroked="true" strokeweight=".48pt" strokecolor="#000000">
                <v:path arrowok="t"/>
              </v:shape>
            </v:group>
            <v:group style="position:absolute;left:5;top:24;width:3420;height:2" coordorigin="5,24" coordsize="3420,2">
              <v:shape style="position:absolute;left:5;top:24;width:3420;height:2" coordorigin="5,24" coordsize="3420,0" path="m5,24l3425,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8"/>
        <w:rPr>
          <w:rFonts w:ascii="Times New Roman" w:hAnsi="Times New Roman" w:cs="Times New Roman" w:eastAsia="Times New Roman" w:hint="default"/>
          <w:sz w:val="24"/>
          <w:szCs w:val="24"/>
        </w:rPr>
      </w:pPr>
    </w:p>
    <w:p>
      <w:pPr>
        <w:spacing w:line="205" w:lineRule="exact" w:before="44"/>
        <w:ind w:left="6235" w:right="1787" w:firstLine="0"/>
        <w:jc w:val="left"/>
        <w:rPr>
          <w:rFonts w:ascii="宋体" w:hAnsi="宋体" w:cs="宋体" w:eastAsia="宋体" w:hint="default"/>
          <w:sz w:val="18"/>
          <w:szCs w:val="18"/>
        </w:rPr>
      </w:pPr>
      <w:r>
        <w:rPr>
          <w:rFonts w:ascii="宋体" w:hAnsi="宋体" w:cs="宋体" w:eastAsia="宋体" w:hint="default"/>
          <w:sz w:val="18"/>
          <w:szCs w:val="18"/>
        </w:rPr>
        <w:t>期初数</w:t>
      </w:r>
    </w:p>
    <w:p>
      <w:pPr>
        <w:spacing w:line="205" w:lineRule="exact" w:before="0"/>
        <w:ind w:left="2183" w:right="1787" w:firstLine="0"/>
        <w:jc w:val="left"/>
        <w:rPr>
          <w:rFonts w:ascii="宋体" w:hAnsi="宋体" w:cs="宋体" w:eastAsia="宋体" w:hint="default"/>
          <w:sz w:val="18"/>
          <w:szCs w:val="18"/>
        </w:rPr>
      </w:pPr>
      <w:r>
        <w:rPr/>
        <w:pict>
          <v:shape style="position:absolute;margin-left:56.639999pt;margin-top:5.763034pt;width:405pt;height:94.8pt;mso-position-horizontal-relative:page;mso-position-vertical-relative:paragraph;z-index:9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0"/>
                    <w:gridCol w:w="1258"/>
                    <w:gridCol w:w="974"/>
                    <w:gridCol w:w="1187"/>
                  </w:tblGrid>
                  <w:tr>
                    <w:trPr>
                      <w:trHeight w:val="350" w:hRule="exact"/>
                    </w:trPr>
                    <w:tc>
                      <w:tcPr>
                        <w:tcW w:w="4680" w:type="dxa"/>
                        <w:tcBorders>
                          <w:top w:val="nil" w:sz="6" w:space="0" w:color="auto"/>
                          <w:left w:val="nil" w:sz="6" w:space="0" w:color="auto"/>
                          <w:bottom w:val="single" w:sz="4" w:space="0" w:color="000000"/>
                          <w:right w:val="nil" w:sz="6" w:space="0" w:color="auto"/>
                        </w:tcBorders>
                      </w:tcPr>
                      <w:p>
                        <w:pP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6"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97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3"/>
                          <w:jc w:val="center"/>
                          <w:rPr>
                            <w:rFonts w:ascii="宋体" w:hAnsi="宋体" w:cs="宋体" w:eastAsia="宋体" w:hint="default"/>
                            <w:sz w:val="18"/>
                            <w:szCs w:val="18"/>
                          </w:rPr>
                        </w:pPr>
                        <w:r>
                          <w:rPr>
                            <w:rFonts w:ascii="宋体" w:hAnsi="宋体" w:cs="宋体" w:eastAsia="宋体" w:hint="default"/>
                            <w:sz w:val="18"/>
                            <w:szCs w:val="18"/>
                          </w:rPr>
                          <w:t>比例</w:t>
                        </w:r>
                      </w:p>
                    </w:tc>
                    <w:tc>
                      <w:tcPr>
                        <w:tcW w:w="118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8" w:hRule="exact"/>
                    </w:trPr>
                    <w:tc>
                      <w:tcPr>
                        <w:tcW w:w="468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258" w:type="dxa"/>
                        <w:tcBorders>
                          <w:top w:val="single" w:sz="4" w:space="0" w:color="000000"/>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
                    </w:tc>
                    <w:tc>
                      <w:tcPr>
                        <w:tcW w:w="1187" w:type="dxa"/>
                        <w:tcBorders>
                          <w:top w:val="single" w:sz="4" w:space="0" w:color="000000"/>
                          <w:left w:val="nil" w:sz="6" w:space="0" w:color="auto"/>
                          <w:bottom w:val="nil" w:sz="6" w:space="0" w:color="auto"/>
                          <w:right w:val="nil" w:sz="6" w:space="0" w:color="auto"/>
                        </w:tcBorders>
                      </w:tcPr>
                      <w:p>
                        <w:pPr/>
                      </w:p>
                    </w:tc>
                  </w:tr>
                  <w:tr>
                    <w:trPr>
                      <w:trHeight w:val="52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32" w:lineRule="exact" w:before="22"/>
                          <w:ind w:left="110" w:right="108"/>
                          <w:jc w:val="left"/>
                          <w:rPr>
                            <w:rFonts w:ascii="宋体" w:hAnsi="宋体" w:cs="宋体" w:eastAsia="宋体" w:hint="default"/>
                            <w:sz w:val="18"/>
                            <w:szCs w:val="18"/>
                          </w:rPr>
                        </w:pPr>
                        <w:r>
                          <w:rPr>
                            <w:rFonts w:ascii="宋体" w:hAnsi="宋体" w:cs="宋体" w:eastAsia="宋体" w:hint="default"/>
                            <w:spacing w:val="5"/>
                            <w:sz w:val="18"/>
                            <w:szCs w:val="18"/>
                          </w:rPr>
                          <w:t>单项金额不重大但按信用风险特征组合后该组合的风险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较大</w:t>
                        </w:r>
                      </w:p>
                    </w:tc>
                    <w:tc>
                      <w:tcPr>
                        <w:tcW w:w="1258"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r>
                  <w:tr>
                    <w:trPr>
                      <w:trHeight w:val="319"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5" w:right="0"/>
                          <w:jc w:val="center"/>
                          <w:rPr>
                            <w:rFonts w:ascii="Times New Roman" w:hAnsi="Times New Roman" w:cs="Times New Roman" w:eastAsia="Times New Roman" w:hint="default"/>
                            <w:sz w:val="18"/>
                            <w:szCs w:val="18"/>
                          </w:rPr>
                        </w:pPr>
                        <w:r>
                          <w:rPr>
                            <w:rFonts w:ascii="Times New Roman"/>
                            <w:sz w:val="18"/>
                          </w:rPr>
                          <w:t>6,874,281.23</w:t>
                        </w:r>
                      </w:p>
                    </w:tc>
                    <w:tc>
                      <w:tcPr>
                        <w:tcW w:w="97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9"/>
                          <w:jc w:val="center"/>
                          <w:rPr>
                            <w:rFonts w:ascii="Times New Roman" w:hAnsi="Times New Roman" w:cs="Times New Roman" w:eastAsia="Times New Roman" w:hint="default"/>
                            <w:sz w:val="18"/>
                            <w:szCs w:val="18"/>
                          </w:rPr>
                        </w:pPr>
                        <w:r>
                          <w:rPr>
                            <w:rFonts w:ascii="Times New Roman"/>
                            <w:sz w:val="18"/>
                          </w:rPr>
                          <w:t>100.00%</w:t>
                        </w: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74" w:right="0"/>
                          <w:jc w:val="left"/>
                          <w:rPr>
                            <w:rFonts w:ascii="Times New Roman" w:hAnsi="Times New Roman" w:cs="Times New Roman" w:eastAsia="Times New Roman" w:hint="default"/>
                            <w:sz w:val="18"/>
                            <w:szCs w:val="18"/>
                          </w:rPr>
                        </w:pPr>
                        <w:r>
                          <w:rPr>
                            <w:rFonts w:ascii="Times New Roman"/>
                            <w:sz w:val="18"/>
                          </w:rPr>
                          <w:t>430,058.16</w:t>
                        </w:r>
                      </w:p>
                    </w:tc>
                  </w:tr>
                  <w:tr>
                    <w:trPr>
                      <w:trHeight w:val="36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258"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6,874,281.23</w:t>
                        </w:r>
                      </w:p>
                    </w:tc>
                    <w:tc>
                      <w:tcPr>
                        <w:tcW w:w="97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9"/>
                          <w:jc w:val="center"/>
                          <w:rPr>
                            <w:rFonts w:ascii="Times New Roman" w:hAnsi="Times New Roman" w:cs="Times New Roman" w:eastAsia="Times New Roman" w:hint="default"/>
                            <w:sz w:val="18"/>
                            <w:szCs w:val="18"/>
                          </w:rPr>
                        </w:pPr>
                        <w:r>
                          <w:rPr>
                            <w:rFonts w:ascii="Times New Roman"/>
                            <w:sz w:val="18"/>
                          </w:rPr>
                          <w:t>100.00%</w:t>
                        </w:r>
                      </w:p>
                    </w:tc>
                    <w:tc>
                      <w:tcPr>
                        <w:tcW w:w="118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174" w:right="0"/>
                          <w:jc w:val="left"/>
                          <w:rPr>
                            <w:rFonts w:ascii="Times New Roman" w:hAnsi="Times New Roman" w:cs="Times New Roman" w:eastAsia="Times New Roman" w:hint="default"/>
                            <w:sz w:val="18"/>
                            <w:szCs w:val="18"/>
                          </w:rPr>
                        </w:pPr>
                        <w:r>
                          <w:rPr>
                            <w:rFonts w:ascii="Times New Roman"/>
                            <w:sz w:val="18"/>
                          </w:rPr>
                          <w:t>430,058.16</w:t>
                        </w:r>
                      </w:p>
                    </w:tc>
                  </w:tr>
                </w:tbl>
                <w:p>
                  <w:pPr/>
                </w:p>
              </w:txbxContent>
            </v:textbox>
            <w10:wrap type="none"/>
          </v:shape>
        </w:pict>
      </w:r>
      <w:r>
        <w:rPr>
          <w:rFonts w:ascii="宋体" w:hAnsi="宋体" w:cs="宋体" w:eastAsia="宋体" w:hint="default"/>
          <w:sz w:val="18"/>
          <w:szCs w:val="18"/>
        </w:rPr>
        <w:t>类  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475" w:right="1787"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before="155"/>
        <w:ind w:left="475" w:right="1787" w:firstLine="0"/>
        <w:jc w:val="left"/>
        <w:rPr>
          <w:rFonts w:ascii="宋体" w:hAnsi="宋体" w:cs="宋体" w:eastAsia="宋体" w:hint="default"/>
          <w:sz w:val="18"/>
          <w:szCs w:val="18"/>
        </w:rPr>
      </w:pPr>
      <w:r>
        <w:rPr>
          <w:rFonts w:ascii="宋体" w:hAnsi="宋体" w:cs="宋体" w:eastAsia="宋体" w:hint="default"/>
          <w:sz w:val="18"/>
          <w:szCs w:val="18"/>
        </w:rPr>
        <w:t>本公司单项金额重大的其他应收款是指单个客户金额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w:t>
      </w:r>
    </w:p>
    <w:p>
      <w:pPr>
        <w:pStyle w:val="BodyText"/>
        <w:spacing w:line="240" w:lineRule="auto" w:before="116"/>
        <w:ind w:left="535" w:right="1787"/>
        <w:jc w:val="left"/>
      </w:pPr>
      <w:r>
        <w:rPr/>
        <w:t>（</w:t>
      </w:r>
      <w:r>
        <w:rPr>
          <w:rFonts w:ascii="Times New Roman" w:hAnsi="Times New Roman" w:cs="Times New Roman" w:eastAsia="Times New Roman" w:hint="default"/>
        </w:rPr>
        <w:t>2</w:t>
      </w:r>
      <w:r>
        <w:rPr/>
        <w:t>）其他应收款账龄</w:t>
      </w:r>
    </w:p>
    <w:p>
      <w:pPr>
        <w:spacing w:before="99"/>
        <w:ind w:left="2178" w:right="0" w:firstLine="0"/>
        <w:jc w:val="center"/>
        <w:rPr>
          <w:rFonts w:ascii="宋体" w:hAnsi="宋体" w:cs="宋体" w:eastAsia="宋体" w:hint="default"/>
          <w:sz w:val="18"/>
          <w:szCs w:val="18"/>
        </w:rPr>
      </w:pPr>
      <w:r>
        <w:rPr/>
        <w:pict>
          <v:group style="position:absolute;margin-left:170.759995pt;margin-top:20.861710pt;width:364.7pt;height:.1pt;mso-position-horizontal-relative:page;mso-position-vertical-relative:paragraph;z-index:-626224" coordorigin="3415,417" coordsize="7294,2">
            <v:shape style="position:absolute;left:3415;top:417;width:7294;height:2" coordorigin="3415,417" coordsize="7294,0" path="m3415,417l10709,417e" filled="false" stroked="true" strokeweight=".48pt" strokecolor="#000000">
              <v:path arrowok="t"/>
            </v:shape>
            <w10:wrap type="none"/>
          </v:group>
        </w:pict>
      </w:r>
      <w:r>
        <w:rPr>
          <w:rFonts w:ascii="宋体" w:hAnsi="宋体" w:cs="宋体" w:eastAsia="宋体" w:hint="default"/>
          <w:sz w:val="18"/>
          <w:szCs w:val="18"/>
        </w:rPr>
        <w:t>期末数</w:t>
      </w:r>
    </w:p>
    <w:tbl>
      <w:tblPr>
        <w:tblW w:w="0" w:type="auto"/>
        <w:jc w:val="left"/>
        <w:tblInd w:w="112" w:type="dxa"/>
        <w:tblLayout w:type="fixed"/>
        <w:tblCellMar>
          <w:top w:w="0" w:type="dxa"/>
          <w:left w:w="0" w:type="dxa"/>
          <w:bottom w:w="0" w:type="dxa"/>
          <w:right w:w="0" w:type="dxa"/>
        </w:tblCellMar>
        <w:tblLook w:val="01E0"/>
      </w:tblPr>
      <w:tblGrid>
        <w:gridCol w:w="968"/>
        <w:gridCol w:w="966"/>
        <w:gridCol w:w="348"/>
        <w:gridCol w:w="1805"/>
        <w:gridCol w:w="283"/>
        <w:gridCol w:w="1224"/>
        <w:gridCol w:w="288"/>
        <w:gridCol w:w="1759"/>
        <w:gridCol w:w="286"/>
        <w:gridCol w:w="1649"/>
      </w:tblGrid>
      <w:tr>
        <w:trPr>
          <w:trHeight w:val="440" w:hRule="exact"/>
        </w:trPr>
        <w:tc>
          <w:tcPr>
            <w:tcW w:w="968" w:type="dxa"/>
            <w:tcBorders>
              <w:top w:val="nil" w:sz="6" w:space="0" w:color="auto"/>
              <w:left w:val="nil" w:sz="6" w:space="0" w:color="auto"/>
              <w:bottom w:val="single" w:sz="4" w:space="0" w:color="000000"/>
              <w:right w:val="nil" w:sz="6" w:space="0" w:color="auto"/>
            </w:tcBorders>
          </w:tcPr>
          <w:p>
            <w:pPr>
              <w:pStyle w:val="TableParagraph"/>
              <w:spacing w:line="173" w:lineRule="exact"/>
              <w:ind w:right="89"/>
              <w:jc w:val="right"/>
              <w:rPr>
                <w:rFonts w:ascii="宋体" w:hAnsi="宋体" w:cs="宋体" w:eastAsia="宋体" w:hint="default"/>
                <w:sz w:val="18"/>
                <w:szCs w:val="18"/>
              </w:rPr>
            </w:pPr>
            <w:r>
              <w:rPr>
                <w:rFonts w:ascii="宋体" w:hAnsi="宋体" w:cs="宋体" w:eastAsia="宋体" w:hint="default"/>
                <w:sz w:val="18"/>
                <w:szCs w:val="18"/>
              </w:rPr>
              <w:t>账</w:t>
            </w:r>
          </w:p>
        </w:tc>
        <w:tc>
          <w:tcPr>
            <w:tcW w:w="966" w:type="dxa"/>
            <w:tcBorders>
              <w:top w:val="nil" w:sz="6" w:space="0" w:color="auto"/>
              <w:left w:val="nil" w:sz="6" w:space="0" w:color="auto"/>
              <w:bottom w:val="single" w:sz="4" w:space="0" w:color="000000"/>
              <w:right w:val="nil" w:sz="6" w:space="0" w:color="auto"/>
            </w:tcBorders>
          </w:tcPr>
          <w:p>
            <w:pPr>
              <w:pStyle w:val="TableParagraph"/>
              <w:spacing w:line="173" w:lineRule="exact"/>
              <w:ind w:left="89"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 w:right="0"/>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51" w:hRule="exact"/>
        </w:trPr>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6" w:type="dxa"/>
            <w:tcBorders>
              <w:top w:val="single" w:sz="4"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17,045,173.99</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79.30%</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339,327.97</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16,705,846.02</w:t>
            </w:r>
          </w:p>
        </w:tc>
      </w:tr>
      <w:tr>
        <w:trPr>
          <w:trHeight w:val="34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3,770,962.69</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17.54%</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373,534.73</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3,397,427.96</w:t>
            </w:r>
          </w:p>
        </w:tc>
      </w:tr>
      <w:tr>
        <w:trPr>
          <w:trHeight w:val="34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18"/>
                <w:szCs w:val="18"/>
              </w:rPr>
            </w:pPr>
            <w:r>
              <w:rPr>
                <w:rFonts w:ascii="Times New Roman"/>
                <w:spacing w:val="-1"/>
                <w:sz w:val="18"/>
              </w:rPr>
              <w:t>469,701.50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z w:val="18"/>
              </w:rPr>
              <w:t>2.19%</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8"/>
                <w:szCs w:val="18"/>
              </w:rPr>
            </w:pPr>
            <w:r>
              <w:rPr>
                <w:rFonts w:ascii="Times New Roman"/>
                <w:spacing w:val="-1"/>
                <w:sz w:val="18"/>
              </w:rPr>
              <w:t>140,910.45</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Times New Roman" w:hAnsi="Times New Roman" w:cs="Times New Roman" w:eastAsia="Times New Roman" w:hint="default"/>
                <w:sz w:val="18"/>
                <w:szCs w:val="18"/>
              </w:rPr>
            </w:pPr>
            <w:r>
              <w:rPr>
                <w:rFonts w:ascii="Times New Roman"/>
                <w:spacing w:val="-1"/>
                <w:sz w:val="18"/>
              </w:rPr>
              <w:t>328,791.05</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56,100.00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0.26%</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28,050.00</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28,050.00</w:t>
            </w:r>
          </w:p>
        </w:tc>
      </w:tr>
      <w:tr>
        <w:trPr>
          <w:trHeight w:val="34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152,375.00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0.71%</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121,900.00</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30,475.00</w:t>
            </w:r>
          </w:p>
        </w:tc>
      </w:tr>
      <w:tr>
        <w:trPr>
          <w:trHeight w:val="360"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21,494,313.18</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288"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1,003,723.15</w:t>
            </w:r>
          </w:p>
        </w:tc>
        <w:tc>
          <w:tcPr>
            <w:tcW w:w="286"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20,490,590.03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04" w:lineRule="exact" w:before="0"/>
        <w:ind w:left="2178" w:right="0" w:firstLine="0"/>
        <w:jc w:val="center"/>
        <w:rPr>
          <w:rFonts w:ascii="宋体" w:hAnsi="宋体" w:cs="宋体" w:eastAsia="宋体" w:hint="default"/>
          <w:sz w:val="18"/>
          <w:szCs w:val="18"/>
        </w:rPr>
      </w:pPr>
      <w:r>
        <w:rPr>
          <w:rFonts w:ascii="宋体" w:hAnsi="宋体" w:cs="宋体" w:eastAsia="宋体" w:hint="default"/>
          <w:sz w:val="18"/>
          <w:szCs w:val="18"/>
        </w:rPr>
        <w:t>期初数</w:t>
      </w:r>
    </w:p>
    <w:p>
      <w:pPr>
        <w:spacing w:line="174" w:lineRule="exact" w:before="0"/>
        <w:ind w:left="811" w:right="1787" w:firstLine="0"/>
        <w:jc w:val="left"/>
        <w:rPr>
          <w:rFonts w:ascii="宋体" w:hAnsi="宋体" w:cs="宋体" w:eastAsia="宋体" w:hint="default"/>
          <w:sz w:val="18"/>
          <w:szCs w:val="18"/>
        </w:rPr>
      </w:pPr>
      <w:r>
        <w:rPr/>
        <w:pict>
          <v:group style="position:absolute;margin-left:170.759995pt;margin-top:5.703033pt;width:364.7pt;height:.1pt;mso-position-horizontal-relative:page;mso-position-vertical-relative:paragraph;z-index:9616" coordorigin="3415,114" coordsize="7294,2">
            <v:shape style="position:absolute;left:3415;top:114;width:7294;height:2" coordorigin="3415,114" coordsize="7294,0" path="m3415,114l10709,114e" filled="false" stroked="true" strokeweight=".48pt" strokecolor="#000000">
              <v:path arrowok="t"/>
            </v:shape>
            <w10:wrap type="none"/>
          </v:group>
        </w:pict>
      </w:r>
      <w:r>
        <w:rPr>
          <w:rFonts w:ascii="宋体" w:hAnsi="宋体" w:cs="宋体" w:eastAsia="宋体" w:hint="default"/>
          <w:sz w:val="18"/>
          <w:szCs w:val="18"/>
        </w:rPr>
        <w:t>账  龄</w:t>
      </w:r>
    </w:p>
    <w:p>
      <w:pPr>
        <w:tabs>
          <w:tab w:pos="4054" w:val="left" w:leader="none"/>
          <w:tab w:pos="5653" w:val="left" w:leader="none"/>
          <w:tab w:pos="7825" w:val="left" w:leader="none"/>
        </w:tabs>
        <w:spacing w:line="205" w:lineRule="exact" w:before="0"/>
        <w:ind w:left="2257" w:right="0" w:firstLine="0"/>
        <w:jc w:val="center"/>
        <w:rPr>
          <w:rFonts w:ascii="宋体" w:hAnsi="宋体" w:cs="宋体" w:eastAsia="宋体" w:hint="default"/>
          <w:sz w:val="18"/>
          <w:szCs w:val="18"/>
        </w:rPr>
      </w:pPr>
      <w:r>
        <w:rPr>
          <w:rFonts w:ascii="宋体" w:hAnsi="宋体" w:cs="宋体" w:eastAsia="宋体" w:hint="default"/>
          <w:sz w:val="18"/>
          <w:szCs w:val="18"/>
        </w:rPr>
        <w:t>金额</w:t>
        <w:tab/>
        <w:t>比例</w:t>
        <w:tab/>
        <w:t>坏账准备</w:t>
        <w:tab/>
        <w:t>净值</w:t>
      </w:r>
    </w:p>
    <w:p>
      <w:pPr>
        <w:spacing w:line="240" w:lineRule="auto" w:before="2"/>
        <w:rPr>
          <w:rFonts w:ascii="宋体" w:hAnsi="宋体" w:cs="宋体" w:eastAsia="宋体" w:hint="default"/>
          <w:sz w:val="6"/>
          <w:szCs w:val="6"/>
        </w:rPr>
      </w:pPr>
    </w:p>
    <w:p>
      <w:pPr>
        <w:tabs>
          <w:tab w:pos="2390" w:val="left" w:leader="none"/>
          <w:tab w:pos="4478" w:val="left" w:leader="none"/>
          <w:tab w:pos="5990" w:val="left" w:leader="none"/>
          <w:tab w:pos="8035" w:val="left" w:leader="none"/>
        </w:tabs>
        <w:spacing w:line="20" w:lineRule="exact"/>
        <w:ind w:left="108" w:right="0" w:firstLine="0"/>
        <w:rPr>
          <w:rFonts w:ascii="宋体" w:hAnsi="宋体" w:cs="宋体" w:eastAsia="宋体" w:hint="default"/>
          <w:sz w:val="2"/>
          <w:szCs w:val="2"/>
        </w:rPr>
      </w:pPr>
      <w:r>
        <w:rPr>
          <w:rFonts w:ascii="宋体"/>
          <w:sz w:val="2"/>
        </w:rPr>
        <w:pict>
          <v:group style="width:97.2pt;height:.5pt;mso-position-horizontal-relative:char;mso-position-vertical-relative:line" coordorigin="0,0" coordsize="1944,10">
            <v:group style="position:absolute;left:5;top:5;width:1935;height:2" coordorigin="5,5" coordsize="1935,2">
              <v:shape style="position:absolute;left:5;top:5;width:1935;height:2" coordorigin="5,5" coordsize="1935,0" path="m5,5l1939,5e" filled="false" stroked="true" strokeweight=".48pt" strokecolor="#000000">
                <v:path arrowok="t"/>
              </v:shape>
            </v:group>
          </v:group>
        </w:pict>
      </w:r>
      <w:r>
        <w:rPr>
          <w:rFonts w:ascii="宋体"/>
          <w:sz w:val="2"/>
        </w:rPr>
      </w:r>
      <w:r>
        <w:rPr>
          <w:rFonts w:ascii="宋体"/>
          <w:sz w:val="2"/>
        </w:rPr>
        <w:tab/>
      </w:r>
      <w:r>
        <w:rPr>
          <w:rFonts w:ascii="宋体"/>
          <w:sz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8pt" strokecolor="#000000">
                <v:path arrowok="t"/>
              </v:shape>
            </v:group>
          </v:group>
        </w:pict>
      </w:r>
      <w:r>
        <w:rPr>
          <w:rFonts w:ascii="宋体"/>
          <w:sz w:val="2"/>
        </w:rPr>
      </w:r>
      <w:r>
        <w:rPr>
          <w:rFonts w:ascii="宋体"/>
          <w:sz w:val="2"/>
        </w:rPr>
        <w:tab/>
      </w:r>
      <w:r>
        <w:rPr>
          <w:rFonts w:ascii="宋体"/>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pt" strokecolor="#000000">
                <v:path arrowok="t"/>
              </v:shape>
            </v:group>
          </v:group>
        </w:pict>
      </w:r>
      <w:r>
        <w:rPr>
          <w:rFonts w:ascii="宋体"/>
          <w:sz w:val="2"/>
        </w:rPr>
      </w:r>
      <w:r>
        <w:rPr>
          <w:rFonts w:ascii="宋体"/>
          <w:sz w:val="2"/>
        </w:rPr>
        <w:tab/>
      </w:r>
      <w:r>
        <w:rPr>
          <w:rFonts w:ascii="宋体"/>
          <w:sz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8pt" strokecolor="#000000">
                <v:path arrowok="t"/>
              </v:shape>
            </v:group>
          </v:group>
        </w:pict>
      </w:r>
      <w:r>
        <w:rPr>
          <w:rFonts w:ascii="宋体"/>
          <w:sz w:val="2"/>
        </w:rPr>
      </w:r>
      <w:r>
        <w:rPr>
          <w:rFonts w:ascii="宋体"/>
          <w:sz w:val="2"/>
        </w:rPr>
        <w:tab/>
      </w:r>
      <w:r>
        <w:rPr>
          <w:rFonts w:ascii="宋体"/>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z w:val="2"/>
        </w:rPr>
      </w:r>
    </w:p>
    <w:p>
      <w:pPr>
        <w:tabs>
          <w:tab w:pos="3148" w:val="left" w:leader="none"/>
          <w:tab w:pos="5047" w:val="left" w:leader="none"/>
          <w:tab w:pos="6835" w:val="left" w:leader="none"/>
          <w:tab w:pos="8637" w:val="left" w:leader="none"/>
        </w:tabs>
        <w:spacing w:before="14"/>
        <w:ind w:left="223" w:right="14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6,033,625.73</w:t>
        <w:tab/>
        <w:t>87.77%</w:t>
        <w:tab/>
        <w:t>267,726.81</w:t>
        <w:tab/>
        <w:t>5,765,898.92</w:t>
      </w:r>
    </w:p>
    <w:p>
      <w:pPr>
        <w:spacing w:after="0"/>
        <w:jc w:val="left"/>
        <w:rPr>
          <w:rFonts w:ascii="Times New Roman" w:hAnsi="Times New Roman" w:cs="Times New Roman" w:eastAsia="Times New Roman" w:hint="default"/>
          <w:sz w:val="18"/>
          <w:szCs w:val="18"/>
        </w:rPr>
        <w:sectPr>
          <w:type w:val="continuous"/>
          <w:pgSz w:w="11910" w:h="16840"/>
          <w:pgMar w:top="1580" w:bottom="280" w:left="1020" w:right="980"/>
        </w:sectPr>
      </w:pPr>
    </w:p>
    <w:p>
      <w:pPr>
        <w:spacing w:line="240" w:lineRule="auto" w:before="10"/>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696"/>
        <w:gridCol w:w="272"/>
        <w:gridCol w:w="966"/>
        <w:gridCol w:w="348"/>
        <w:gridCol w:w="1805"/>
        <w:gridCol w:w="283"/>
        <w:gridCol w:w="1224"/>
        <w:gridCol w:w="706"/>
        <w:gridCol w:w="1339"/>
        <w:gridCol w:w="288"/>
        <w:gridCol w:w="1711"/>
      </w:tblGrid>
      <w:tr>
        <w:trPr>
          <w:trHeight w:val="703" w:hRule="exact"/>
        </w:trPr>
        <w:tc>
          <w:tcPr>
            <w:tcW w:w="696" w:type="dxa"/>
            <w:tcBorders>
              <w:top w:val="single" w:sz="6" w:space="0" w:color="000000"/>
              <w:left w:val="nil" w:sz="6" w:space="0" w:color="auto"/>
              <w:bottom w:val="single" w:sz="4" w:space="0" w:color="000000"/>
              <w:right w:val="nil" w:sz="6" w:space="0" w:color="auto"/>
            </w:tcBorders>
          </w:tcPr>
          <w:p>
            <w:pPr/>
          </w:p>
        </w:tc>
        <w:tc>
          <w:tcPr>
            <w:tcW w:w="272"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账</w:t>
            </w:r>
          </w:p>
        </w:tc>
        <w:tc>
          <w:tcPr>
            <w:tcW w:w="966"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龄</w:t>
            </w:r>
          </w:p>
        </w:tc>
        <w:tc>
          <w:tcPr>
            <w:tcW w:w="348" w:type="dxa"/>
            <w:tcBorders>
              <w:top w:val="single" w:sz="6" w:space="0" w:color="000000"/>
              <w:left w:val="nil" w:sz="6" w:space="0" w:color="auto"/>
              <w:bottom w:val="nil" w:sz="6" w:space="0" w:color="auto"/>
              <w:right w:val="nil" w:sz="6" w:space="0" w:color="auto"/>
            </w:tcBorders>
          </w:tcPr>
          <w:p>
            <w:pPr/>
          </w:p>
        </w:tc>
        <w:tc>
          <w:tcPr>
            <w:tcW w:w="180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single" w:sz="6" w:space="0" w:color="000000"/>
              <w:left w:val="nil" w:sz="6" w:space="0" w:color="auto"/>
              <w:bottom w:val="nil" w:sz="6" w:space="0" w:color="auto"/>
              <w:right w:val="nil" w:sz="6" w:space="0" w:color="auto"/>
            </w:tcBorders>
          </w:tcPr>
          <w:p>
            <w:pPr/>
          </w:p>
        </w:tc>
        <w:tc>
          <w:tcPr>
            <w:tcW w:w="1224"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06"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6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8" w:type="dxa"/>
            <w:tcBorders>
              <w:top w:val="single" w:sz="6" w:space="0" w:color="000000"/>
              <w:left w:val="nil" w:sz="6" w:space="0" w:color="auto"/>
              <w:bottom w:val="nil" w:sz="6" w:space="0" w:color="auto"/>
              <w:right w:val="nil" w:sz="6" w:space="0" w:color="auto"/>
            </w:tcBorders>
          </w:tcPr>
          <w:p>
            <w:pPr/>
          </w:p>
        </w:tc>
        <w:tc>
          <w:tcPr>
            <w:tcW w:w="171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351" w:hRule="exact"/>
        </w:trPr>
        <w:tc>
          <w:tcPr>
            <w:tcW w:w="69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72" w:type="dxa"/>
            <w:tcBorders>
              <w:top w:val="single" w:sz="4" w:space="0" w:color="000000"/>
              <w:left w:val="nil" w:sz="6" w:space="0" w:color="auto"/>
              <w:bottom w:val="nil" w:sz="6" w:space="0" w:color="auto"/>
              <w:right w:val="nil" w:sz="6" w:space="0" w:color="auto"/>
            </w:tcBorders>
          </w:tcPr>
          <w:p>
            <w:pPr/>
          </w:p>
        </w:tc>
        <w:tc>
          <w:tcPr>
            <w:tcW w:w="966" w:type="dxa"/>
            <w:tcBorders>
              <w:top w:val="single" w:sz="4" w:space="0" w:color="000000"/>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601,701.50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z w:val="18"/>
              </w:rPr>
              <w:t>8.75%</w:t>
            </w:r>
          </w:p>
        </w:tc>
        <w:tc>
          <w:tcPr>
            <w:tcW w:w="706"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60,170.15</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67"/>
              <w:jc w:val="right"/>
              <w:rPr>
                <w:rFonts w:ascii="Times New Roman" w:hAnsi="Times New Roman" w:cs="Times New Roman" w:eastAsia="Times New Roman" w:hint="default"/>
                <w:sz w:val="18"/>
                <w:szCs w:val="18"/>
              </w:rPr>
            </w:pPr>
            <w:r>
              <w:rPr>
                <w:rFonts w:ascii="Times New Roman"/>
                <w:spacing w:val="-1"/>
                <w:sz w:val="18"/>
              </w:rPr>
              <w:t>541,531.35</w:t>
            </w:r>
          </w:p>
        </w:tc>
      </w:tr>
      <w:tr>
        <w:trPr>
          <w:trHeight w:val="338"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7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86,579.00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z w:val="18"/>
              </w:rPr>
              <w:t>1.26%</w:t>
            </w:r>
          </w:p>
        </w:tc>
        <w:tc>
          <w:tcPr>
            <w:tcW w:w="70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Times New Roman" w:hAnsi="Times New Roman" w:cs="Times New Roman" w:eastAsia="Times New Roman" w:hint="default"/>
                <w:sz w:val="18"/>
                <w:szCs w:val="18"/>
              </w:rPr>
            </w:pPr>
            <w:r>
              <w:rPr>
                <w:rFonts w:ascii="Times New Roman"/>
                <w:spacing w:val="-1"/>
                <w:sz w:val="18"/>
              </w:rPr>
              <w:t>25,973.70</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8"/>
                <w:szCs w:val="18"/>
              </w:rPr>
            </w:pPr>
            <w:r>
              <w:rPr>
                <w:rFonts w:ascii="Times New Roman"/>
                <w:spacing w:val="-1"/>
                <w:sz w:val="18"/>
              </w:rPr>
              <w:t>60,605.30</w:t>
            </w:r>
          </w:p>
        </w:tc>
      </w:tr>
      <w:tr>
        <w:trPr>
          <w:trHeight w:val="34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72"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152,375.00</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2.22%</w:t>
            </w:r>
          </w:p>
        </w:tc>
        <w:tc>
          <w:tcPr>
            <w:tcW w:w="706" w:type="dxa"/>
            <w:tcBorders>
              <w:top w:val="nil" w:sz="6" w:space="0" w:color="auto"/>
              <w:left w:val="nil" w:sz="6" w:space="0" w:color="auto"/>
              <w:bottom w:val="single" w:sz="4" w:space="0" w:color="000000"/>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76,187.50</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67"/>
              <w:jc w:val="right"/>
              <w:rPr>
                <w:rFonts w:ascii="Times New Roman" w:hAnsi="Times New Roman" w:cs="Times New Roman" w:eastAsia="Times New Roman" w:hint="default"/>
                <w:sz w:val="18"/>
                <w:szCs w:val="18"/>
              </w:rPr>
            </w:pPr>
            <w:r>
              <w:rPr>
                <w:rFonts w:ascii="Times New Roman"/>
                <w:spacing w:val="-1"/>
                <w:sz w:val="18"/>
              </w:rPr>
              <w:t>76,187.50</w:t>
            </w:r>
          </w:p>
        </w:tc>
      </w:tr>
      <w:tr>
        <w:trPr>
          <w:trHeight w:val="360" w:hRule="exact"/>
        </w:trPr>
        <w:tc>
          <w:tcPr>
            <w:tcW w:w="696"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4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6,874,281.23</w:t>
            </w:r>
          </w:p>
        </w:tc>
        <w:tc>
          <w:tcPr>
            <w:tcW w:w="283"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706" w:type="dxa"/>
            <w:tcBorders>
              <w:top w:val="single" w:sz="4" w:space="0" w:color="000000"/>
              <w:left w:val="nil" w:sz="6" w:space="0" w:color="auto"/>
              <w:bottom w:val="single" w:sz="12" w:space="0" w:color="000000"/>
              <w:right w:val="nil" w:sz="6" w:space="0" w:color="auto"/>
            </w:tcBorders>
          </w:tcPr>
          <w:p>
            <w:pPr/>
          </w:p>
        </w:tc>
        <w:tc>
          <w:tcPr>
            <w:tcW w:w="1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430,058.16</w:t>
            </w:r>
          </w:p>
        </w:tc>
        <w:tc>
          <w:tcPr>
            <w:tcW w:w="288"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67"/>
              <w:jc w:val="right"/>
              <w:rPr>
                <w:rFonts w:ascii="Times New Roman" w:hAnsi="Times New Roman" w:cs="Times New Roman" w:eastAsia="Times New Roman" w:hint="default"/>
                <w:sz w:val="18"/>
                <w:szCs w:val="18"/>
              </w:rPr>
            </w:pPr>
            <w:r>
              <w:rPr>
                <w:rFonts w:ascii="Times New Roman"/>
                <w:spacing w:val="-1"/>
                <w:sz w:val="18"/>
              </w:rPr>
              <w:t>6,444,223.07</w:t>
            </w:r>
          </w:p>
        </w:tc>
      </w:tr>
    </w:tbl>
    <w:p>
      <w:pPr>
        <w:spacing w:before="41"/>
        <w:ind w:left="564" w:right="733" w:firstLine="0"/>
        <w:jc w:val="left"/>
        <w:rPr>
          <w:rFonts w:ascii="宋体" w:hAnsi="宋体" w:cs="宋体" w:eastAsia="宋体" w:hint="default"/>
          <w:sz w:val="18"/>
          <w:szCs w:val="18"/>
        </w:rPr>
      </w:pPr>
      <w:r>
        <w:rPr/>
        <w:pict>
          <v:group style="position:absolute;margin-left:56.639999pt;margin-top:-107.062523pt;width:63.15pt;height:12.4pt;mso-position-horizontal-relative:page;mso-position-vertical-relative:paragraph;z-index:-625984" coordorigin="1133,-2141" coordsize="1263,248">
            <v:shape style="position:absolute;left:1135;top:-2141;width:797;height:144" type="#_x0000_t75" stroked="false">
              <v:imagedata r:id="rId8" o:title=""/>
            </v:shape>
            <v:shape style="position:absolute;left:1966;top:-2141;width:430;height:101" type="#_x0000_t75" stroked="false">
              <v:imagedata r:id="rId9" o:title=""/>
            </v:shape>
            <v:group style="position:absolute;left:1133;top:-1988;width:1251;height:94" coordorigin="1133,-1988" coordsize="1251,94">
              <v:shape style="position:absolute;left:1133;top:-1988;width:1251;height:94" coordorigin="1133,-1988" coordsize="1251,94" path="m1133,-1894l1227,-1909,1312,-1920,1407,-1932,1511,-1942,1646,-1953,1819,-1963,2383,-1988,1133,-1894xe" filled="true" fillcolor="#074278" stroked="false">
                <v:path arrowok="t"/>
                <v:fill type="solid"/>
              </v:shape>
            </v:group>
            <w10:wrap type="none"/>
          </v:group>
        </w:pict>
      </w:r>
      <w:r>
        <w:rPr/>
        <w:pict>
          <v:group style="position:absolute;margin-left:170.759995pt;margin-top:-88.462524pt;width:364.7pt;height:.1pt;mso-position-horizontal-relative:page;mso-position-vertical-relative:paragraph;z-index:-625960" coordorigin="3415,-1769" coordsize="7294,2">
            <v:shape style="position:absolute;left:3415;top:-1769;width:7294;height:2" coordorigin="3415,-1769" coordsize="7294,0" path="m3415,-1769l10709,-1769e" filled="false" stroked="true" strokeweight=".48pt" strokecolor="#000000">
              <v:path arrowok="t"/>
            </v:shape>
            <w10:wrap type="none"/>
          </v:group>
        </w:pic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32"/>
          <w:szCs w:val="32"/>
        </w:rPr>
        <w:t>：</w:t>
      </w:r>
      <w:r>
        <w:rPr>
          <w:rFonts w:ascii="宋体" w:hAnsi="宋体" w:cs="宋体" w:eastAsia="宋体" w:hint="default"/>
          <w:sz w:val="18"/>
          <w:szCs w:val="18"/>
        </w:rPr>
        <w:t>期末本账户余额中无持有本公司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以上股份的股东欠款。</w:t>
      </w:r>
    </w:p>
    <w:p>
      <w:pPr>
        <w:spacing w:line="374" w:lineRule="auto" w:before="200"/>
        <w:ind w:left="112" w:right="162" w:firstLine="45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：期末本账户余额中包括已获批准但尚未实际收到的软件产品增值税即征即退税款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6,850,597.81</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元，暂估增值税进</w:t>
      </w:r>
      <w:r>
        <w:rPr>
          <w:rFonts w:ascii="宋体" w:hAnsi="宋体" w:cs="宋体" w:eastAsia="宋体" w:hint="default"/>
          <w:sz w:val="18"/>
          <w:szCs w:val="18"/>
        </w:rPr>
        <w:t> 项税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3,443,632.18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元，期末不存在减值迹象，未计提坏账准备。</w:t>
      </w:r>
    </w:p>
    <w:p>
      <w:pPr>
        <w:spacing w:line="355" w:lineRule="auto" w:before="35"/>
        <w:ind w:left="112" w:right="161" w:firstLine="45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32"/>
          <w:szCs w:val="32"/>
        </w:rPr>
        <w:t>：</w:t>
      </w:r>
      <w:r>
        <w:rPr>
          <w:rFonts w:ascii="宋体" w:hAnsi="宋体" w:cs="宋体" w:eastAsia="宋体" w:hint="default"/>
          <w:spacing w:val="-2"/>
          <w:sz w:val="18"/>
          <w:szCs w:val="18"/>
        </w:rPr>
        <w:t>本账户期末余额中欠款金额前五名和占其他应收款账面余额比例如下（不含上述软件产品增值税即征即退税款</w:t>
      </w:r>
      <w:r>
        <w:rPr>
          <w:rFonts w:ascii="宋体" w:hAnsi="宋体" w:cs="宋体" w:eastAsia="宋体" w:hint="default"/>
          <w:sz w:val="18"/>
          <w:szCs w:val="18"/>
        </w:rPr>
        <w:t> </w:t>
      </w:r>
      <w:r>
        <w:rPr>
          <w:rFonts w:ascii="宋体" w:hAnsi="宋体" w:cs="宋体" w:eastAsia="宋体" w:hint="default"/>
          <w:spacing w:val="-9"/>
          <w:sz w:val="18"/>
          <w:szCs w:val="18"/>
        </w:rPr>
        <w:t>和暂估增值税进项税）：</w:t>
      </w:r>
    </w:p>
    <w:p>
      <w:pPr>
        <w:tabs>
          <w:tab w:pos="4598" w:val="left" w:leader="none"/>
          <w:tab w:pos="6496" w:val="left" w:leader="none"/>
          <w:tab w:pos="8234" w:val="left" w:leader="none"/>
        </w:tabs>
        <w:spacing w:line="346" w:lineRule="exact" w:before="0"/>
        <w:ind w:left="1715" w:right="0" w:firstLine="0"/>
        <w:jc w:val="left"/>
        <w:rPr>
          <w:rFonts w:ascii="宋体" w:hAnsi="宋体" w:cs="宋体" w:eastAsia="宋体" w:hint="default"/>
          <w:sz w:val="18"/>
          <w:szCs w:val="18"/>
        </w:rPr>
      </w:pPr>
      <w:r>
        <w:rPr/>
        <w:pict>
          <v:shape style="position:absolute;margin-left:56.639999pt;margin-top:13.919981pt;width:484.2pt;height:112.75pt;mso-position-horizontal-relative:page;mso-position-vertical-relative:paragraph;z-index:10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7"/>
                    <w:gridCol w:w="2437"/>
                    <w:gridCol w:w="319"/>
                    <w:gridCol w:w="1565"/>
                    <w:gridCol w:w="319"/>
                    <w:gridCol w:w="1951"/>
                    <w:gridCol w:w="283"/>
                    <w:gridCol w:w="1682"/>
                  </w:tblGrid>
                  <w:tr>
                    <w:trPr>
                      <w:trHeight w:val="210" w:hRule="exact"/>
                    </w:trPr>
                    <w:tc>
                      <w:tcPr>
                        <w:tcW w:w="8002" w:type="dxa"/>
                        <w:gridSpan w:val="7"/>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41" w:hRule="exact"/>
                    </w:trPr>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437" w:type="dxa"/>
                        <w:tcBorders>
                          <w:top w:val="single" w:sz="4" w:space="0" w:color="000000"/>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993,500.00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4.62%</w:t>
                        </w:r>
                      </w:p>
                    </w:tc>
                  </w:tr>
                  <w:tr>
                    <w:trPr>
                      <w:trHeight w:val="331"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4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838,000.00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3.90%</w:t>
                        </w:r>
                      </w:p>
                    </w:tc>
                  </w:tr>
                  <w:tr>
                    <w:trPr>
                      <w:trHeight w:val="331"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4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634,640.00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2.95%</w:t>
                        </w:r>
                      </w:p>
                    </w:tc>
                  </w:tr>
                  <w:tr>
                    <w:trPr>
                      <w:trHeight w:val="331"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4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580,000.00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2.70%</w:t>
                        </w:r>
                      </w:p>
                    </w:tc>
                  </w:tr>
                  <w:tr>
                    <w:trPr>
                      <w:trHeight w:val="331"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24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390,000.00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1.81%</w:t>
                        </w:r>
                      </w:p>
                    </w:tc>
                  </w:tr>
                  <w:tr>
                    <w:trPr>
                      <w:trHeight w:val="350" w:hRule="exact"/>
                    </w:trPr>
                    <w:tc>
                      <w:tcPr>
                        <w:tcW w:w="1127"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7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3,436,140.00</w:t>
                        </w:r>
                      </w:p>
                    </w:tc>
                    <w:tc>
                      <w:tcPr>
                        <w:tcW w:w="319"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15.98%</w:t>
                        </w:r>
                      </w:p>
                    </w:tc>
                  </w:tr>
                </w:tbl>
                <w:p>
                  <w:pPr/>
                </w:p>
              </w:txbxContent>
            </v:textbox>
            <w10:wrap type="none"/>
          </v:shape>
        </w:pict>
      </w:r>
      <w:r>
        <w:rPr>
          <w:rFonts w:ascii="宋体" w:hAnsi="宋体" w:cs="宋体" w:eastAsia="宋体" w:hint="default"/>
          <w:position w:val="-11"/>
          <w:sz w:val="18"/>
          <w:szCs w:val="18"/>
        </w:rPr>
        <w:t>单位</w:t>
        <w:tab/>
        <w:t>金额</w:t>
        <w:tab/>
        <w:t>欠款年限</w:t>
        <w:tab/>
      </w:r>
      <w:r>
        <w:rPr>
          <w:rFonts w:ascii="宋体" w:hAnsi="宋体" w:cs="宋体" w:eastAsia="宋体" w:hint="default"/>
          <w:sz w:val="18"/>
          <w:szCs w:val="18"/>
        </w:rPr>
        <w:t>占其他应收款总额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4"/>
        <w:ind w:left="535" w:right="733"/>
        <w:jc w:val="left"/>
      </w:pPr>
      <w:r>
        <w:rPr>
          <w:rFonts w:ascii="Times New Roman" w:hAnsi="Times New Roman" w:cs="Times New Roman" w:eastAsia="Times New Roman" w:hint="default"/>
        </w:rPr>
        <w:t>3</w:t>
      </w:r>
      <w:r>
        <w:rPr/>
        <w:t>、长期股权投资</w:t>
      </w:r>
    </w:p>
    <w:p>
      <w:pPr>
        <w:pStyle w:val="BodyText"/>
        <w:spacing w:line="240" w:lineRule="auto" w:before="100"/>
        <w:ind w:left="535" w:right="733"/>
        <w:jc w:val="left"/>
      </w:pPr>
      <w:r>
        <w:rPr/>
        <w:t>（</w:t>
      </w:r>
      <w:r>
        <w:rPr>
          <w:rFonts w:ascii="Times New Roman" w:hAnsi="Times New Roman" w:cs="Times New Roman" w:eastAsia="Times New Roman" w:hint="default"/>
        </w:rPr>
        <w:t>1</w:t>
      </w:r>
      <w:r>
        <w:rPr/>
        <w:t>）长期股权投资列示如下：</w:t>
      </w: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429"/>
        <w:gridCol w:w="509"/>
        <w:gridCol w:w="1936"/>
        <w:gridCol w:w="324"/>
        <w:gridCol w:w="2611"/>
        <w:gridCol w:w="281"/>
        <w:gridCol w:w="2609"/>
      </w:tblGrid>
      <w:tr>
        <w:trPr>
          <w:trHeight w:val="389" w:hRule="exact"/>
        </w:trPr>
        <w:tc>
          <w:tcPr>
            <w:tcW w:w="1429" w:type="dxa"/>
            <w:tcBorders>
              <w:top w:val="nil" w:sz="6" w:space="0" w:color="auto"/>
              <w:left w:val="nil" w:sz="6" w:space="0" w:color="auto"/>
              <w:bottom w:val="single" w:sz="4" w:space="0" w:color="000000"/>
              <w:right w:val="nil" w:sz="6" w:space="0" w:color="auto"/>
            </w:tcBorders>
          </w:tcPr>
          <w:p>
            <w:pPr/>
          </w:p>
        </w:tc>
        <w:tc>
          <w:tcPr>
            <w:tcW w:w="5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24" w:type="dxa"/>
            <w:tcBorders>
              <w:top w:val="nil" w:sz="6" w:space="0" w:color="auto"/>
              <w:left w:val="nil" w:sz="6" w:space="0" w:color="auto"/>
              <w:bottom w:val="nil" w:sz="6" w:space="0" w:color="auto"/>
              <w:right w:val="nil" w:sz="6" w:space="0" w:color="auto"/>
            </w:tcBorders>
          </w:tcPr>
          <w:p>
            <w:pPr/>
          </w:p>
        </w:tc>
        <w:tc>
          <w:tcPr>
            <w:tcW w:w="26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1"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85" w:hRule="exact"/>
        </w:trPr>
        <w:tc>
          <w:tcPr>
            <w:tcW w:w="1429" w:type="dxa"/>
            <w:tcBorders>
              <w:top w:val="single" w:sz="4" w:space="0" w:color="000000"/>
              <w:left w:val="nil" w:sz="6" w:space="0" w:color="auto"/>
              <w:bottom w:val="nil" w:sz="6" w:space="0" w:color="auto"/>
              <w:right w:val="nil" w:sz="6" w:space="0" w:color="auto"/>
            </w:tcBorders>
          </w:tcPr>
          <w:p>
            <w:pPr>
              <w:pStyle w:val="TableParagraph"/>
              <w:spacing w:line="393" w:lineRule="auto" w:before="49"/>
              <w:ind w:left="110" w:right="236"/>
              <w:jc w:val="left"/>
              <w:rPr>
                <w:rFonts w:ascii="宋体" w:hAnsi="宋体" w:cs="宋体" w:eastAsia="宋体" w:hint="default"/>
                <w:sz w:val="18"/>
                <w:szCs w:val="18"/>
              </w:rPr>
            </w:pPr>
            <w:r>
              <w:rPr>
                <w:rFonts w:ascii="宋体" w:hAnsi="宋体" w:cs="宋体" w:eastAsia="宋体" w:hint="default"/>
                <w:sz w:val="18"/>
                <w:szCs w:val="18"/>
              </w:rPr>
              <w:t>长期股权投资 减：减值准备</w:t>
            </w:r>
          </w:p>
        </w:tc>
        <w:tc>
          <w:tcPr>
            <w:tcW w:w="509" w:type="dxa"/>
            <w:tcBorders>
              <w:top w:val="single" w:sz="4" w:space="0" w:color="000000"/>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2611"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11,000,000.00</w:t>
            </w:r>
          </w:p>
        </w:tc>
        <w:tc>
          <w:tcPr>
            <w:tcW w:w="281" w:type="dxa"/>
            <w:tcBorders>
              <w:top w:val="nil" w:sz="6" w:space="0" w:color="auto"/>
              <w:left w:val="nil" w:sz="6" w:space="0" w:color="auto"/>
              <w:bottom w:val="nil" w:sz="6" w:space="0" w:color="auto"/>
              <w:right w:val="nil" w:sz="6" w:space="0" w:color="auto"/>
            </w:tcBorders>
          </w:tcPr>
          <w:p>
            <w:pPr/>
          </w:p>
        </w:tc>
        <w:tc>
          <w:tcPr>
            <w:tcW w:w="2609"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3" w:right="0"/>
              <w:jc w:val="center"/>
              <w:rPr>
                <w:rFonts w:ascii="Times New Roman" w:hAnsi="Times New Roman" w:cs="Times New Roman" w:eastAsia="Times New Roman" w:hint="default"/>
                <w:sz w:val="18"/>
                <w:szCs w:val="18"/>
              </w:rPr>
            </w:pPr>
            <w:r>
              <w:rPr>
                <w:rFonts w:ascii="Times New Roman"/>
                <w:sz w:val="18"/>
              </w:rPr>
              <w:t>11,000,000.00</w:t>
            </w:r>
          </w:p>
        </w:tc>
      </w:tr>
      <w:tr>
        <w:trPr>
          <w:trHeight w:val="415" w:hRule="exact"/>
        </w:trPr>
        <w:tc>
          <w:tcPr>
            <w:tcW w:w="1429"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24" w:type="dxa"/>
            <w:tcBorders>
              <w:top w:val="nil" w:sz="6" w:space="0" w:color="auto"/>
              <w:left w:val="nil" w:sz="6" w:space="0" w:color="auto"/>
              <w:bottom w:val="nil" w:sz="6" w:space="0" w:color="auto"/>
              <w:right w:val="nil" w:sz="6" w:space="0" w:color="auto"/>
            </w:tcBorders>
          </w:tcPr>
          <w:p>
            <w:pPr/>
          </w:p>
        </w:tc>
        <w:tc>
          <w:tcPr>
            <w:tcW w:w="2611"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11,000,000.00</w:t>
            </w:r>
          </w:p>
        </w:tc>
        <w:tc>
          <w:tcPr>
            <w:tcW w:w="281" w:type="dxa"/>
            <w:tcBorders>
              <w:top w:val="nil" w:sz="6" w:space="0" w:color="auto"/>
              <w:left w:val="nil" w:sz="6" w:space="0" w:color="auto"/>
              <w:bottom w:val="nil" w:sz="6" w:space="0" w:color="auto"/>
              <w:right w:val="nil" w:sz="6" w:space="0" w:color="auto"/>
            </w:tcBorders>
          </w:tcPr>
          <w:p>
            <w:pPr/>
          </w:p>
        </w:tc>
        <w:tc>
          <w:tcPr>
            <w:tcW w:w="2609"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11,000,000.00</w:t>
            </w:r>
          </w:p>
        </w:tc>
      </w:tr>
    </w:tbl>
    <w:p>
      <w:pPr>
        <w:pStyle w:val="BodyText"/>
        <w:spacing w:line="240" w:lineRule="auto" w:before="4"/>
        <w:ind w:left="535" w:right="733"/>
        <w:jc w:val="left"/>
      </w:pPr>
      <w:r>
        <w:rPr/>
        <w:t>（</w:t>
      </w:r>
      <w:r>
        <w:rPr>
          <w:rFonts w:ascii="Times New Roman" w:hAnsi="Times New Roman" w:cs="Times New Roman" w:eastAsia="Times New Roman" w:hint="default"/>
        </w:rPr>
        <w:t>2</w:t>
      </w:r>
      <w:r>
        <w:rPr/>
        <w:t>）成本法核算长期股权投资</w:t>
      </w:r>
    </w:p>
    <w:p>
      <w:pPr>
        <w:tabs>
          <w:tab w:pos="3242" w:val="left" w:leader="none"/>
          <w:tab w:pos="4535" w:val="left" w:leader="none"/>
          <w:tab w:pos="5975" w:val="left" w:leader="none"/>
          <w:tab w:pos="7370" w:val="left" w:leader="none"/>
        </w:tabs>
        <w:spacing w:line="310" w:lineRule="atLeast" w:before="46"/>
        <w:ind w:left="115" w:right="2013" w:firstLine="717"/>
        <w:jc w:val="left"/>
        <w:rPr>
          <w:rFonts w:ascii="宋体" w:hAnsi="宋体" w:cs="宋体" w:eastAsia="宋体" w:hint="default"/>
          <w:sz w:val="18"/>
          <w:szCs w:val="18"/>
        </w:rPr>
      </w:pPr>
      <w:r>
        <w:rPr/>
        <w:pict>
          <v:group style="position:absolute;margin-left:56.639999pt;margin-top:23.134367pt;width:135pt;height:.1pt;mso-position-horizontal-relative:page;mso-position-vertical-relative:paragraph;z-index:-625936" coordorigin="1133,463" coordsize="2700,2">
            <v:shape style="position:absolute;left:1133;top:463;width:2700;height:2" coordorigin="1133,463" coordsize="2700,0" path="m1133,463l3833,463e" filled="false" stroked="true" strokeweight=".48pt" strokecolor="#000000">
              <v:path arrowok="t"/>
            </v:shape>
            <w10:wrap type="none"/>
          </v:group>
        </w:pict>
      </w:r>
      <w:r>
        <w:rPr/>
        <w:pict>
          <v:group style="position:absolute;margin-left:202.919998pt;margin-top:23.134367pt;width:56.3pt;height:.1pt;mso-position-horizontal-relative:page;mso-position-vertical-relative:paragraph;z-index:-625912" coordorigin="4058,463" coordsize="1126,2">
            <v:shape style="position:absolute;left:4058;top:463;width:1126;height:2" coordorigin="4058,463" coordsize="1126,0" path="m4058,463l5184,463e" filled="false" stroked="true" strokeweight=".48pt" strokecolor="#000000">
              <v:path arrowok="t"/>
            </v:shape>
            <w10:wrap type="none"/>
          </v:group>
        </w:pict>
      </w:r>
      <w:r>
        <w:rPr/>
        <w:pict>
          <v:group style="position:absolute;margin-left:269.279999pt;margin-top:23.134367pt;width:53.05pt;height:.1pt;mso-position-horizontal-relative:page;mso-position-vertical-relative:paragraph;z-index:-625888" coordorigin="5386,463" coordsize="1061,2">
            <v:shape style="position:absolute;left:5386;top:463;width:1061;height:2" coordorigin="5386,463" coordsize="1061,0" path="m5386,463l6446,463e" filled="false" stroked="true" strokeweight=".48pt" strokecolor="#000000">
              <v:path arrowok="t"/>
            </v:shape>
            <w10:wrap type="none"/>
          </v:group>
        </w:pict>
      </w:r>
      <w:r>
        <w:rPr/>
        <w:pict>
          <v:group style="position:absolute;margin-left:332.399994pt;margin-top:23.134367pt;width:61.8pt;height:.1pt;mso-position-horizontal-relative:page;mso-position-vertical-relative:paragraph;z-index:-625864" coordorigin="6648,463" coordsize="1236,2">
            <v:shape style="position:absolute;left:6648;top:463;width:1236;height:2" coordorigin="6648,463" coordsize="1236,0" path="m6648,463l7884,463e" filled="false" stroked="true" strokeweight=".48pt" strokecolor="#000000">
              <v:path arrowok="t"/>
            </v:shape>
            <w10:wrap type="none"/>
          </v:group>
        </w:pict>
      </w:r>
      <w:r>
        <w:rPr/>
        <w:pict>
          <v:group style="position:absolute;margin-left:404.279999pt;margin-top:23.134367pt;width:57.5pt;height:.1pt;mso-position-horizontal-relative:page;mso-position-vertical-relative:paragraph;z-index:-625840" coordorigin="8086,463" coordsize="1150,2">
            <v:shape style="position:absolute;left:8086;top:463;width:1150;height:2" coordorigin="8086,463" coordsize="1150,0" path="m8086,463l9235,463e" filled="false" stroked="true" strokeweight=".48pt" strokecolor="#000000">
              <v:path arrowok="t"/>
            </v:shape>
            <w10:wrap type="none"/>
          </v:group>
        </w:pict>
      </w:r>
      <w:r>
        <w:rPr>
          <w:rFonts w:ascii="宋体" w:hAnsi="宋体" w:cs="宋体" w:eastAsia="宋体" w:hint="default"/>
          <w:sz w:val="18"/>
          <w:szCs w:val="18"/>
        </w:rPr>
        <w:t>被投资单位名称</w:t>
        <w:tab/>
        <w:t>初始投资</w:t>
        <w:tab/>
        <w:t>投资比例</w:t>
        <w:tab/>
        <w:t>期末数</w:t>
        <w:tab/>
        <w:t>期初数 上海金仕达卫宁信息技术有限公</w:t>
      </w:r>
    </w:p>
    <w:p>
      <w:pPr>
        <w:tabs>
          <w:tab w:pos="3218" w:val="left" w:leader="none"/>
          <w:tab w:pos="4574" w:val="left" w:leader="none"/>
          <w:tab w:pos="5918" w:val="left" w:leader="none"/>
          <w:tab w:pos="7269" w:val="left" w:leader="none"/>
        </w:tabs>
        <w:spacing w:line="235" w:lineRule="exact" w:before="0"/>
        <w:ind w:left="115" w:right="733"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pacing w:val="-1"/>
          <w:sz w:val="18"/>
          <w:szCs w:val="18"/>
        </w:rPr>
        <w:t>1,000,000.00</w:t>
        <w:tab/>
        <w:t>100.00%</w:t>
        <w:tab/>
        <w:t>1,000,000.00</w:t>
        <w:tab/>
        <w:t>1,000,000.00</w:t>
      </w:r>
    </w:p>
    <w:p>
      <w:pPr>
        <w:tabs>
          <w:tab w:pos="3129" w:val="left" w:leader="none"/>
          <w:tab w:pos="4574" w:val="left" w:leader="none"/>
          <w:tab w:pos="5829" w:val="left" w:leader="none"/>
          <w:tab w:pos="7178" w:val="left" w:leader="none"/>
        </w:tabs>
        <w:spacing w:before="71"/>
        <w:ind w:left="115" w:right="7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江苏金仕达卫宁软件有限公司</w:t>
        <w:tab/>
      </w:r>
      <w:r>
        <w:rPr>
          <w:rFonts w:ascii="Times New Roman" w:hAnsi="Times New Roman" w:cs="Times New Roman" w:eastAsia="Times New Roman" w:hint="default"/>
          <w:spacing w:val="-1"/>
          <w:sz w:val="18"/>
          <w:szCs w:val="18"/>
        </w:rPr>
        <w:t>10,000,000.00</w:t>
        <w:tab/>
        <w:t>100.00%</w:t>
        <w:tab/>
        <w:t>10,000,000.00</w:t>
        <w:tab/>
        <w:t>10,000,000.00</w:t>
      </w: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49" w:footer="976" w:top="1460" w:bottom="1160" w:left="1020" w:right="960"/>
        </w:sectPr>
      </w:pPr>
    </w:p>
    <w:p>
      <w:pPr>
        <w:spacing w:line="240" w:lineRule="auto" w:before="6"/>
        <w:rPr>
          <w:rFonts w:ascii="Times New Roman" w:hAnsi="Times New Roman" w:cs="Times New Roman" w:eastAsia="Times New Roman" w:hint="default"/>
          <w:sz w:val="18"/>
          <w:szCs w:val="18"/>
        </w:rPr>
      </w:pPr>
    </w:p>
    <w:p>
      <w:pPr>
        <w:pStyle w:val="BodyText"/>
        <w:spacing w:line="240" w:lineRule="auto"/>
        <w:ind w:left="535" w:right="0"/>
        <w:jc w:val="left"/>
      </w:pPr>
      <w:r>
        <w:rPr>
          <w:rFonts w:ascii="Times New Roman" w:hAnsi="Times New Roman" w:cs="Times New Roman" w:eastAsia="Times New Roman" w:hint="default"/>
        </w:rPr>
        <w:t>4</w:t>
      </w:r>
      <w:r>
        <w:rPr/>
        <w:t>、营业收入及成本</w:t>
      </w:r>
    </w:p>
    <w:p>
      <w:pPr>
        <w:pStyle w:val="BodyText"/>
        <w:spacing w:line="240" w:lineRule="auto" w:before="50"/>
        <w:ind w:left="638" w:right="0"/>
        <w:jc w:val="left"/>
      </w:pPr>
      <w:r>
        <w:rPr>
          <w:w w:val="95"/>
        </w:rPr>
        <w:t>（</w:t>
      </w:r>
      <w:r>
        <w:rPr>
          <w:rFonts w:ascii="Times New Roman" w:hAnsi="Times New Roman" w:cs="Times New Roman" w:eastAsia="Times New Roman" w:hint="default"/>
          <w:w w:val="95"/>
        </w:rPr>
        <w:t>1</w:t>
      </w:r>
      <w:r>
        <w:rPr>
          <w:w w:val="95"/>
        </w:rPr>
        <w:t>）营业收入和成本</w:t>
      </w:r>
      <w:r>
        <w:rPr/>
      </w:r>
    </w:p>
    <w:p>
      <w:pPr>
        <w:spacing w:line="240" w:lineRule="auto" w:before="7"/>
        <w:rPr>
          <w:rFonts w:ascii="宋体" w:hAnsi="宋体" w:cs="宋体" w:eastAsia="宋体" w:hint="default"/>
          <w:sz w:val="21"/>
          <w:szCs w:val="21"/>
        </w:rPr>
      </w:pPr>
    </w:p>
    <w:p>
      <w:pPr>
        <w:spacing w:line="231" w:lineRule="exact" w:before="0"/>
        <w:ind w:left="655" w:right="0" w:firstLine="0"/>
        <w:jc w:val="left"/>
        <w:rPr>
          <w:rFonts w:ascii="宋体" w:hAnsi="宋体" w:cs="宋体" w:eastAsia="宋体" w:hint="default"/>
          <w:sz w:val="18"/>
          <w:szCs w:val="18"/>
        </w:rPr>
      </w:pPr>
      <w:r>
        <w:rPr/>
        <w:pict>
          <v:group style="position:absolute;margin-left:149.87999pt;margin-top:7.271703pt;width:150.15pt;height:.1pt;mso-position-horizontal-relative:page;mso-position-vertical-relative:paragraph;z-index:10000" coordorigin="2998,145" coordsize="3003,2">
            <v:shape style="position:absolute;left:2998;top:145;width:3003;height:2" coordorigin="2998,145" coordsize="3003,0" path="m2998,145l6000,145e" filled="false" stroked="true" strokeweight=".48pt" strokecolor="#000000">
              <v:path arrowok="t"/>
            </v:shape>
            <w10:wrap type="none"/>
          </v:group>
        </w:pict>
      </w: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tabs>
          <w:tab w:pos="3687" w:val="left" w:leader="none"/>
        </w:tabs>
        <w:spacing w:before="0"/>
        <w:ind w:left="447" w:right="0" w:firstLine="0"/>
        <w:jc w:val="left"/>
        <w:rPr>
          <w:rFonts w:ascii="宋体" w:hAnsi="宋体" w:cs="宋体" w:eastAsia="宋体" w:hint="default"/>
          <w:sz w:val="18"/>
          <w:szCs w:val="18"/>
        </w:rPr>
      </w:pPr>
      <w:r>
        <w:rPr/>
        <w:pict>
          <v:group style="position:absolute;margin-left:311.759979pt;margin-top:15.911702pt;width:150.4pt;height:.1pt;mso-position-horizontal-relative:page;mso-position-vertical-relative:paragraph;z-index:10024" coordorigin="6235,318" coordsize="3008,2">
            <v:shape style="position:absolute;left:6235;top:318;width:3008;height:2" coordorigin="6235,318" coordsize="3008,0" path="m6235,318l9242,318e" filled="false" stroked="true" strokeweight=".48pt" strokecolor="#000000">
              <v:path arrowok="t"/>
            </v:shape>
            <w10:wrap type="none"/>
          </v:group>
        </w:pict>
      </w:r>
      <w:r>
        <w:rPr>
          <w:rFonts w:ascii="宋体" w:hAnsi="宋体" w:cs="宋体" w:eastAsia="宋体" w:hint="default"/>
          <w:sz w:val="18"/>
          <w:szCs w:val="18"/>
        </w:rPr>
        <w:t>营业收入</w:t>
        <w:tab/>
        <w:t>营业成本</w:t>
      </w:r>
    </w:p>
    <w:p>
      <w:pPr>
        <w:spacing w:after="0"/>
        <w:jc w:val="left"/>
        <w:rPr>
          <w:rFonts w:ascii="宋体" w:hAnsi="宋体" w:cs="宋体" w:eastAsia="宋体" w:hint="default"/>
          <w:sz w:val="18"/>
          <w:szCs w:val="18"/>
        </w:rPr>
        <w:sectPr>
          <w:type w:val="continuous"/>
          <w:pgSz w:w="11910" w:h="16840"/>
          <w:pgMar w:top="1580" w:bottom="280" w:left="1020" w:right="960"/>
          <w:cols w:num="2" w:equalWidth="0">
            <w:col w:w="2633" w:space="40"/>
            <w:col w:w="7257"/>
          </w:cols>
        </w:sectPr>
      </w:pPr>
    </w:p>
    <w:p>
      <w:pPr>
        <w:tabs>
          <w:tab w:pos="4019" w:val="left" w:leader="none"/>
          <w:tab w:pos="5683" w:val="left" w:leader="none"/>
          <w:tab w:pos="7262" w:val="left" w:leader="none"/>
        </w:tabs>
        <w:spacing w:line="180" w:lineRule="exact" w:before="0"/>
        <w:ind w:left="2445" w:right="733"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tab/>
        <w:t>本期数</w:t>
        <w:tab/>
        <w:t>上期数</w:t>
      </w:r>
    </w:p>
    <w:p>
      <w:pPr>
        <w:spacing w:line="240" w:lineRule="auto" w:before="2"/>
        <w:rPr>
          <w:rFonts w:ascii="宋体" w:hAnsi="宋体" w:cs="宋体" w:eastAsia="宋体" w:hint="default"/>
          <w:sz w:val="6"/>
          <w:szCs w:val="6"/>
        </w:rPr>
      </w:pPr>
    </w:p>
    <w:p>
      <w:pPr>
        <w:tabs>
          <w:tab w:pos="1972" w:val="left" w:leader="none"/>
          <w:tab w:pos="3592" w:val="left" w:leader="none"/>
          <w:tab w:pos="5210" w:val="left" w:leader="none"/>
          <w:tab w:pos="6835" w:val="left" w:leader="none"/>
        </w:tabs>
        <w:spacing w:line="20" w:lineRule="exact"/>
        <w:ind w:left="108"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sz w:val="2"/>
        </w:rPr>
      </w:r>
      <w:r>
        <w:rPr>
          <w:rFonts w:ascii="宋体"/>
          <w:sz w:val="2"/>
        </w:rPr>
        <w:tab/>
      </w:r>
      <w:r>
        <w:rPr>
          <w:rFonts w:ascii="宋体"/>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sz w:val="2"/>
        </w:rPr>
      </w:r>
      <w:r>
        <w:rPr>
          <w:rFonts w:ascii="宋体"/>
          <w:sz w:val="2"/>
        </w:rPr>
        <w:tab/>
      </w:r>
      <w:r>
        <w:rPr>
          <w:rFonts w:ascii="宋体"/>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z w:val="2"/>
        </w:rPr>
      </w:r>
    </w:p>
    <w:p>
      <w:pPr>
        <w:tabs>
          <w:tab w:pos="2128" w:val="left" w:leader="none"/>
          <w:tab w:pos="3755" w:val="left" w:leader="none"/>
          <w:tab w:pos="5457" w:val="left" w:leader="none"/>
          <w:tab w:pos="7079" w:val="left" w:leader="none"/>
        </w:tabs>
        <w:spacing w:before="14"/>
        <w:ind w:left="223" w:right="7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主营业务</w:t>
        <w:tab/>
      </w:r>
      <w:r>
        <w:rPr>
          <w:rFonts w:ascii="Times New Roman" w:hAnsi="Times New Roman" w:cs="Times New Roman" w:eastAsia="Times New Roman" w:hint="default"/>
          <w:spacing w:val="-1"/>
          <w:sz w:val="18"/>
          <w:szCs w:val="18"/>
        </w:rPr>
        <w:t>153,927,360.04</w:t>
        <w:tab/>
        <w:t>113,965,288.45</w:t>
        <w:tab/>
        <w:t>59,604,103.53</w:t>
        <w:tab/>
        <w:t>47,874,209.03</w:t>
      </w:r>
    </w:p>
    <w:p>
      <w:pPr>
        <w:spacing w:after="0"/>
        <w:jc w:val="left"/>
        <w:rPr>
          <w:rFonts w:ascii="Times New Roman" w:hAnsi="Times New Roman" w:cs="Times New Roman" w:eastAsia="Times New Roman" w:hint="default"/>
          <w:sz w:val="18"/>
          <w:szCs w:val="18"/>
        </w:rPr>
        <w:sectPr>
          <w:type w:val="continuous"/>
          <w:pgSz w:w="11910" w:h="16840"/>
          <w:pgMar w:top="1580" w:bottom="280" w:left="1020" w:right="960"/>
        </w:sectPr>
      </w:pPr>
    </w:p>
    <w:p>
      <w:pPr>
        <w:spacing w:line="526" w:lineRule="exact" w:before="41"/>
        <w:ind w:left="223" w:right="-20" w:firstLine="432"/>
        <w:jc w:val="left"/>
        <w:rPr>
          <w:rFonts w:ascii="宋体" w:hAnsi="宋体" w:cs="宋体" w:eastAsia="宋体" w:hint="default"/>
          <w:sz w:val="18"/>
          <w:szCs w:val="18"/>
        </w:rPr>
      </w:pPr>
      <w:r>
        <w:rPr/>
        <w:pict>
          <v:group style="position:absolute;margin-left:56.639999pt;margin-top:37.369999pt;width:81pt;height:.1pt;mso-position-horizontal-relative:page;mso-position-vertical-relative:paragraph;z-index:-624856" coordorigin="1133,747" coordsize="1620,2">
            <v:shape style="position:absolute;left:1133;top:747;width:1620;height:2" coordorigin="1133,747" coordsize="1620,0" path="m1133,747l2753,747e" filled="false" stroked="true" strokeweight=".48pt" strokecolor="#000000">
              <v:path arrowok="t"/>
            </v:shape>
            <w10:wrap type="none"/>
          </v:group>
        </w:pict>
      </w: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r>
        <w:rPr>
          <w:rFonts w:ascii="宋体" w:hAnsi="宋体" w:cs="宋体" w:eastAsia="宋体" w:hint="default"/>
          <w:sz w:val="18"/>
          <w:szCs w:val="18"/>
        </w:rPr>
        <w:t> 其他业务</w:t>
      </w:r>
    </w:p>
    <w:p>
      <w:pPr>
        <w:tabs>
          <w:tab w:pos="3239" w:val="left" w:leader="none"/>
        </w:tabs>
        <w:spacing w:before="76"/>
        <w:ind w:left="0" w:right="1946" w:firstLine="0"/>
        <w:jc w:val="center"/>
        <w:rPr>
          <w:rFonts w:ascii="宋体" w:hAnsi="宋体" w:cs="宋体" w:eastAsia="宋体" w:hint="default"/>
          <w:sz w:val="18"/>
          <w:szCs w:val="18"/>
        </w:rPr>
      </w:pPr>
      <w:r>
        <w:rPr/>
        <w:br w:type="column"/>
      </w:r>
      <w:r>
        <w:rPr>
          <w:rFonts w:ascii="宋体" w:hAnsi="宋体" w:cs="宋体" w:eastAsia="宋体" w:hint="default"/>
          <w:sz w:val="18"/>
          <w:szCs w:val="18"/>
        </w:rPr>
        <w:t>营业收入</w:t>
        <w:tab/>
        <w:t>营业成本</w:t>
      </w:r>
    </w:p>
    <w:p>
      <w:pPr>
        <w:spacing w:line="240" w:lineRule="auto" w:before="2"/>
        <w:rPr>
          <w:rFonts w:ascii="宋体" w:hAnsi="宋体" w:cs="宋体" w:eastAsia="宋体" w:hint="default"/>
          <w:sz w:val="6"/>
          <w:szCs w:val="6"/>
        </w:rPr>
      </w:pPr>
    </w:p>
    <w:p>
      <w:pPr>
        <w:tabs>
          <w:tab w:pos="2988" w:val="left" w:leader="none"/>
        </w:tabs>
        <w:spacing w:line="20" w:lineRule="exact"/>
        <w:ind w:left="-250" w:right="0" w:firstLine="0"/>
        <w:rPr>
          <w:rFonts w:ascii="宋体" w:hAnsi="宋体" w:cs="宋体" w:eastAsia="宋体" w:hint="default"/>
          <w:sz w:val="2"/>
          <w:szCs w:val="2"/>
        </w:rPr>
      </w:pPr>
      <w:r>
        <w:rPr>
          <w:rFonts w:ascii="宋体"/>
          <w:sz w:val="2"/>
        </w:rPr>
        <w:pict>
          <v:group style="width:150.6pt;height:.5pt;mso-position-horizontal-relative:char;mso-position-vertical-relative:line" coordorigin="0,0" coordsize="3012,10">
            <v:group style="position:absolute;left:5;top:5;width:3003;height:2" coordorigin="5,5" coordsize="3003,2">
              <v:shape style="position:absolute;left:5;top:5;width:3003;height:2" coordorigin="5,5" coordsize="3003,0" path="m5,5l3007,5e" filled="false" stroked="true" strokeweight=".48pt" strokecolor="#000000">
                <v:path arrowok="t"/>
              </v:shape>
            </v:group>
          </v:group>
        </w:pict>
      </w:r>
      <w:r>
        <w:rPr>
          <w:rFonts w:ascii="宋体"/>
          <w:sz w:val="2"/>
        </w:rPr>
      </w:r>
      <w:r>
        <w:rPr>
          <w:rFonts w:ascii="宋体"/>
          <w:sz w:val="2"/>
        </w:rPr>
        <w:tab/>
      </w:r>
      <w:r>
        <w:rPr>
          <w:rFonts w:ascii="宋体"/>
          <w:sz w:val="2"/>
        </w:rPr>
        <w:pict>
          <v:group style="width:150.85pt;height:.5pt;mso-position-horizontal-relative:char;mso-position-vertical-relative:line" coordorigin="0,0" coordsize="3017,10">
            <v:group style="position:absolute;left:5;top:5;width:3008;height:2" coordorigin="5,5" coordsize="3008,2">
              <v:shape style="position:absolute;left:5;top:5;width:3008;height:2" coordorigin="5,5" coordsize="3008,0" path="m5,5l3012,5e" filled="false" stroked="true" strokeweight=".48pt" strokecolor="#000000">
                <v:path arrowok="t"/>
              </v:shape>
            </v:group>
          </v:group>
        </w:pict>
      </w:r>
      <w:r>
        <w:rPr>
          <w:rFonts w:ascii="宋体"/>
          <w:sz w:val="2"/>
        </w:rPr>
      </w:r>
    </w:p>
    <w:p>
      <w:pPr>
        <w:tabs>
          <w:tab w:pos="1574" w:val="left" w:leader="none"/>
          <w:tab w:pos="3237" w:val="left" w:leader="none"/>
          <w:tab w:pos="4816" w:val="left" w:leader="none"/>
        </w:tabs>
        <w:spacing w:before="14"/>
        <w:ind w:left="0" w:right="1898" w:firstLine="0"/>
        <w:jc w:val="center"/>
        <w:rPr>
          <w:rFonts w:ascii="宋体" w:hAnsi="宋体" w:cs="宋体" w:eastAsia="宋体" w:hint="default"/>
          <w:sz w:val="18"/>
          <w:szCs w:val="18"/>
        </w:rPr>
      </w:pPr>
      <w:r>
        <w:rPr/>
        <w:pict>
          <v:group style="position:absolute;margin-left:56.279999pt;margin-top:-19.388290pt;width:482.65pt;height:12.4pt;mso-position-horizontal-relative:page;mso-position-vertical-relative:paragraph;z-index:-624880" coordorigin="1126,-388" coordsize="9653,248">
            <v:shape style="position:absolute;left:1135;top:-388;width:797;height:144" type="#_x0000_t75" stroked="false">
              <v:imagedata r:id="rId8" o:title=""/>
            </v:shape>
            <v:shape style="position:absolute;left:1966;top:-388;width:430;height:101" type="#_x0000_t75" stroked="false">
              <v:imagedata r:id="rId9" o:title=""/>
            </v:shape>
            <v:group style="position:absolute;left:1133;top:-234;width:1251;height:94" coordorigin="1133,-234" coordsize="1251,94">
              <v:shape style="position:absolute;left:1133;top:-234;width:1251;height:94" coordorigin="1133,-234" coordsize="1251,94" path="m1133,-141l1227,-155,1312,-167,1407,-178,1511,-188,1646,-199,1819,-210,2383,-234,1133,-141xe" filled="true" fillcolor="#074278" stroked="false">
                <v:path arrowok="t"/>
                <v:fill type="solid"/>
              </v:shape>
            </v:group>
            <v:group style="position:absolute;left:1133;top:-369;width:9639;height:2" coordorigin="1133,-369" coordsize="9639,2">
              <v:shape style="position:absolute;left:1133;top:-369;width:9639;height:2" coordorigin="1133,-369" coordsize="9639,0" path="m1133,-369l10771,-369e" filled="false" stroked="true" strokeweight=".72pt" strokecolor="#000000">
                <v:path arrowok="t"/>
              </v:shape>
            </v:group>
            <w10:wrap type="none"/>
          </v:group>
        </w:pict>
      </w:r>
      <w:r>
        <w:rPr/>
        <w:pict>
          <v:group style="position:absolute;margin-left:149.87999pt;margin-top:16.731709pt;width:69.150pt;height:.1pt;mso-position-horizontal-relative:page;mso-position-vertical-relative:paragraph;z-index:10984" coordorigin="2998,335" coordsize="1383,2">
            <v:shape style="position:absolute;left:2998;top:335;width:1383;height:2" coordorigin="2998,335" coordsize="1383,0" path="m2998,335l4380,335e" filled="false" stroked="true" strokeweight=".48pt" strokecolor="#000000">
              <v:path arrowok="t"/>
            </v:shape>
            <w10:wrap type="none"/>
          </v:group>
        </w:pict>
      </w:r>
      <w:r>
        <w:rPr/>
        <w:pict>
          <v:group style="position:absolute;margin-left:230.87999pt;margin-top:16.731709pt;width:69.150pt;height:.1pt;mso-position-horizontal-relative:page;mso-position-vertical-relative:paragraph;z-index:11008" coordorigin="4618,335" coordsize="1383,2">
            <v:shape style="position:absolute;left:4618;top:335;width:1383;height:2" coordorigin="4618,335" coordsize="1383,0" path="m4618,335l6000,335e" filled="false" stroked="true" strokeweight=".48pt" strokecolor="#000000">
              <v:path arrowok="t"/>
            </v:shape>
            <w10:wrap type="none"/>
          </v:group>
        </w:pict>
      </w:r>
      <w:r>
        <w:rPr/>
        <w:pict>
          <v:group style="position:absolute;margin-left:311.759979pt;margin-top:16.731709pt;width:69.25pt;height:.1pt;mso-position-horizontal-relative:page;mso-position-vertical-relative:paragraph;z-index:11032" coordorigin="6235,335" coordsize="1385,2">
            <v:shape style="position:absolute;left:6235;top:335;width:1385;height:2" coordorigin="6235,335" coordsize="1385,0" path="m6235,335l7620,335e" filled="false" stroked="true" strokeweight=".48pt" strokecolor="#000000">
              <v:path arrowok="t"/>
            </v:shape>
            <w10:wrap type="none"/>
          </v:group>
        </w:pict>
      </w:r>
      <w:r>
        <w:rPr/>
        <w:pict>
          <v:group style="position:absolute;margin-left:393pt;margin-top:16.731709pt;width:69.150pt;height:.1pt;mso-position-horizontal-relative:page;mso-position-vertical-relative:paragraph;z-index:11056" coordorigin="7860,335" coordsize="1383,2">
            <v:shape style="position:absolute;left:7860;top:335;width:1383;height:2" coordorigin="7860,335" coordsize="1383,0" path="m7860,335l9242,335e" filled="false" stroked="true" strokeweight=".48pt" strokecolor="#000000">
              <v:path arrowok="t"/>
            </v:shape>
            <w10:wrap type="none"/>
          </v:group>
        </w:pict>
      </w:r>
      <w:r>
        <w:rPr>
          <w:rFonts w:ascii="宋体" w:hAnsi="宋体" w:cs="宋体" w:eastAsia="宋体" w:hint="default"/>
          <w:sz w:val="18"/>
          <w:szCs w:val="18"/>
        </w:rPr>
        <w:t>本期数</w:t>
        <w:tab/>
        <w:t>上期数</w:t>
        <w:tab/>
        <w:t>本期数</w:t>
        <w:tab/>
        <w:t>上期数</w:t>
      </w:r>
    </w:p>
    <w:p>
      <w:pPr>
        <w:spacing w:after="0"/>
        <w:jc w:val="center"/>
        <w:rPr>
          <w:rFonts w:ascii="宋体" w:hAnsi="宋体" w:cs="宋体" w:eastAsia="宋体" w:hint="default"/>
          <w:sz w:val="18"/>
          <w:szCs w:val="18"/>
        </w:rPr>
        <w:sectPr>
          <w:pgSz w:w="11910" w:h="16840"/>
          <w:pgMar w:header="849" w:footer="976" w:top="1460" w:bottom="1160" w:left="1020" w:right="960"/>
          <w:cols w:num="2" w:equalWidth="0">
            <w:col w:w="1193" w:space="1029"/>
            <w:col w:w="7708"/>
          </w:cols>
        </w:sectPr>
      </w:pPr>
    </w:p>
    <w:p>
      <w:pPr>
        <w:tabs>
          <w:tab w:pos="3592" w:val="left" w:leader="none"/>
          <w:tab w:pos="5210" w:val="left" w:leader="none"/>
          <w:tab w:pos="6835" w:val="left" w:leader="none"/>
        </w:tabs>
        <w:spacing w:line="20" w:lineRule="exact"/>
        <w:ind w:left="1972" w:right="0" w:firstLine="0"/>
        <w:rPr>
          <w:rFonts w:ascii="宋体" w:hAnsi="宋体" w:cs="宋体" w:eastAsia="宋体" w:hint="default"/>
          <w:sz w:val="2"/>
          <w:szCs w:val="2"/>
        </w:rPr>
      </w:pPr>
      <w:r>
        <w:rPr>
          <w:rFonts w:ascii="宋体"/>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z w:val="2"/>
        </w:rPr>
      </w:r>
      <w:r>
        <w:rPr>
          <w:rFonts w:ascii="宋体"/>
          <w:sz w:val="2"/>
        </w:rPr>
        <w:tab/>
      </w:r>
      <w:r>
        <w:rPr>
          <w:rFonts w:ascii="宋体"/>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sz w:val="2"/>
        </w:rPr>
      </w:r>
      <w:r>
        <w:rPr>
          <w:rFonts w:ascii="宋体"/>
          <w:sz w:val="2"/>
        </w:rPr>
        <w:tab/>
      </w:r>
      <w:r>
        <w:rPr>
          <w:rFonts w:ascii="宋体"/>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z w:val="2"/>
        </w:rPr>
      </w:r>
    </w:p>
    <w:p>
      <w:pPr>
        <w:tabs>
          <w:tab w:pos="2128" w:val="left" w:leader="none"/>
          <w:tab w:pos="3755" w:val="left" w:leader="none"/>
          <w:tab w:pos="5457" w:val="left" w:leader="none"/>
          <w:tab w:pos="7079" w:val="left" w:leader="none"/>
        </w:tabs>
        <w:spacing w:before="14"/>
        <w:ind w:left="655" w:right="7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pacing w:val="-1"/>
          <w:sz w:val="18"/>
          <w:szCs w:val="18"/>
        </w:rPr>
        <w:t>153,927,360.04</w:t>
        <w:tab/>
        <w:t>113,965,288.45</w:t>
        <w:tab/>
        <w:t>59,604,103.53</w:t>
        <w:tab/>
        <w:t>47,874,209.03</w:t>
      </w:r>
    </w:p>
    <w:p>
      <w:pPr>
        <w:spacing w:line="240" w:lineRule="auto" w:before="9"/>
        <w:rPr>
          <w:rFonts w:ascii="Times New Roman" w:hAnsi="Times New Roman" w:cs="Times New Roman" w:eastAsia="Times New Roman" w:hint="default"/>
          <w:sz w:val="5"/>
          <w:szCs w:val="5"/>
        </w:rPr>
      </w:pPr>
    </w:p>
    <w:p>
      <w:pPr>
        <w:tabs>
          <w:tab w:pos="3592" w:val="left" w:leader="none"/>
          <w:tab w:pos="5210" w:val="left" w:leader="none"/>
          <w:tab w:pos="6835" w:val="left" w:leader="none"/>
        </w:tabs>
        <w:spacing w:line="28" w:lineRule="exact"/>
        <w:ind w:left="1972" w:right="0" w:firstLine="0"/>
        <w:rPr>
          <w:rFonts w:ascii="Times New Roman" w:hAnsi="Times New Roman" w:cs="Times New Roman" w:eastAsia="Times New Roman" w:hint="default"/>
          <w:sz w:val="2"/>
          <w:szCs w:val="2"/>
        </w:rPr>
      </w:pPr>
      <w:r>
        <w:rPr>
          <w:rFonts w:ascii="Times New Roman"/>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8pt" strokecolor="#000000">
                <v:path arrowok="t"/>
              </v:shape>
            </v:group>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8pt" strokecolor="#000000">
                <v:path arrowok="t"/>
              </v:shape>
            </v:group>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0">
                <v:path arrowok="t"/>
              </v:shape>
            </v:group>
            <v:group style="position:absolute;left:5;top:24;width:1385;height:2" coordorigin="5,24" coordsize="1385,2">
              <v:shape style="position:absolute;left:5;top:24;width:1385;height:2" coordorigin="5,24" coordsize="1385,0" path="m5,24l139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8pt" strokecolor="#000000">
                <v:path arrowok="t"/>
              </v:shape>
            </v:group>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w:pict>
      </w:r>
      <w:r>
        <w:rPr>
          <w:rFonts w:ascii="Times New Roman"/>
          <w:position w:val="0"/>
          <w:sz w:val="2"/>
        </w:rPr>
      </w:r>
    </w:p>
    <w:p>
      <w:pPr>
        <w:pStyle w:val="BodyText"/>
        <w:spacing w:line="240" w:lineRule="auto" w:before="26"/>
        <w:ind w:left="638" w:right="733"/>
        <w:jc w:val="left"/>
      </w:pPr>
      <w:r>
        <w:rPr/>
        <w:t>（</w:t>
      </w:r>
      <w:r>
        <w:rPr>
          <w:rFonts w:ascii="Times New Roman" w:hAnsi="Times New Roman" w:cs="Times New Roman" w:eastAsia="Times New Roman" w:hint="default"/>
        </w:rPr>
        <w:t>2</w:t>
      </w:r>
      <w:r>
        <w:rPr/>
        <w:t>）主营业务（分行业）</w:t>
      </w:r>
    </w:p>
    <w:p>
      <w:pPr>
        <w:tabs>
          <w:tab w:pos="6359" w:val="left" w:leader="none"/>
        </w:tabs>
        <w:spacing w:line="228" w:lineRule="exact" w:before="99"/>
        <w:ind w:left="3035" w:right="733"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spacing w:after="0" w:line="228" w:lineRule="exact"/>
        <w:jc w:val="left"/>
        <w:rPr>
          <w:rFonts w:ascii="宋体" w:hAnsi="宋体" w:cs="宋体" w:eastAsia="宋体" w:hint="default"/>
          <w:sz w:val="18"/>
          <w:szCs w:val="18"/>
        </w:rPr>
        <w:sectPr>
          <w:type w:val="continuous"/>
          <w:pgSz w:w="11910" w:h="16840"/>
          <w:pgMar w:top="1580" w:bottom="280" w:left="1020" w:right="960"/>
        </w:sectPr>
      </w:pPr>
    </w:p>
    <w:p>
      <w:pPr>
        <w:spacing w:line="180" w:lineRule="exact" w:before="0"/>
        <w:ind w:left="223" w:right="0" w:firstLine="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p>
      <w:pPr>
        <w:spacing w:line="240" w:lineRule="auto" w:before="7"/>
        <w:rPr>
          <w:rFonts w:ascii="宋体" w:hAnsi="宋体" w:cs="宋体" w:eastAsia="宋体" w:hint="default"/>
          <w:sz w:val="19"/>
          <w:szCs w:val="19"/>
        </w:rPr>
      </w:pPr>
    </w:p>
    <w:p>
      <w:pPr>
        <w:spacing w:line="20" w:lineRule="exact"/>
        <w:ind w:left="108" w:right="-166" w:firstLine="0"/>
        <w:rPr>
          <w:rFonts w:ascii="宋体" w:hAnsi="宋体" w:cs="宋体" w:eastAsia="宋体" w:hint="default"/>
          <w:sz w:val="2"/>
          <w:szCs w:val="2"/>
        </w:rPr>
      </w:pPr>
      <w:r>
        <w:rPr>
          <w:rFonts w:ascii="宋体" w:hAnsi="宋体" w:cs="宋体" w:eastAsia="宋体" w:hint="default"/>
          <w:sz w:val="2"/>
          <w:szCs w:val="2"/>
        </w:rPr>
        <w:pict>
          <v:group style="width:73.350pt;height:.5pt;mso-position-horizontal-relative:char;mso-position-vertical-relative:line" coordorigin="0,0" coordsize="1467,10">
            <v:group style="position:absolute;left:5;top:5;width:1457;height:2" coordorigin="5,5" coordsize="1457,2">
              <v:shape style="position:absolute;left:5;top:5;width:1457;height:2" coordorigin="5,5" coordsize="1457,0" path="m5,5l1462,5e" filled="false" stroked="true" strokeweight=".48pt" strokecolor="#000000">
                <v:path arrowok="t"/>
              </v:shape>
            </v:group>
          </v:group>
        </w:pict>
      </w:r>
      <w:r>
        <w:rPr>
          <w:rFonts w:ascii="宋体" w:hAnsi="宋体" w:cs="宋体" w:eastAsia="宋体" w:hint="default"/>
          <w:sz w:val="2"/>
          <w:szCs w:val="2"/>
        </w:rPr>
      </w:r>
    </w:p>
    <w:p>
      <w:pPr>
        <w:spacing w:line="142" w:lineRule="exact" w:before="0"/>
        <w:ind w:left="223" w:right="0" w:firstLine="0"/>
        <w:jc w:val="center"/>
        <w:rPr>
          <w:rFonts w:ascii="宋体" w:hAnsi="宋体" w:cs="宋体" w:eastAsia="宋体" w:hint="default"/>
          <w:sz w:val="18"/>
          <w:szCs w:val="18"/>
        </w:rPr>
      </w:pPr>
      <w:r>
        <w:rPr>
          <w:rFonts w:ascii="宋体" w:hAnsi="宋体" w:cs="宋体" w:eastAsia="宋体" w:hint="default"/>
          <w:sz w:val="18"/>
          <w:szCs w:val="18"/>
        </w:rPr>
        <w:t>医</w:t>
      </w:r>
      <w:r>
        <w:rPr>
          <w:rFonts w:ascii="宋体" w:hAnsi="宋体" w:cs="宋体" w:eastAsia="宋体" w:hint="default"/>
          <w:spacing w:val="-59"/>
          <w:sz w:val="18"/>
          <w:szCs w:val="18"/>
        </w:rPr>
        <w:t> </w:t>
      </w:r>
      <w:r>
        <w:rPr>
          <w:rFonts w:ascii="宋体" w:hAnsi="宋体" w:cs="宋体" w:eastAsia="宋体" w:hint="default"/>
          <w:sz w:val="18"/>
          <w:szCs w:val="18"/>
        </w:rPr>
        <w:t>疗</w:t>
      </w:r>
      <w:r>
        <w:rPr>
          <w:rFonts w:ascii="宋体" w:hAnsi="宋体" w:cs="宋体" w:eastAsia="宋体" w:hint="default"/>
          <w:spacing w:val="-59"/>
          <w:sz w:val="18"/>
          <w:szCs w:val="18"/>
        </w:rPr>
        <w:t> </w:t>
      </w:r>
      <w:r>
        <w:rPr>
          <w:rFonts w:ascii="宋体" w:hAnsi="宋体" w:cs="宋体" w:eastAsia="宋体" w:hint="default"/>
          <w:sz w:val="18"/>
          <w:szCs w:val="18"/>
        </w:rPr>
        <w:t>卫</w:t>
      </w:r>
      <w:r>
        <w:rPr>
          <w:rFonts w:ascii="宋体" w:hAnsi="宋体" w:cs="宋体" w:eastAsia="宋体" w:hint="default"/>
          <w:spacing w:val="-59"/>
          <w:sz w:val="18"/>
          <w:szCs w:val="18"/>
        </w:rPr>
        <w:t> </w:t>
      </w:r>
      <w:r>
        <w:rPr>
          <w:rFonts w:ascii="宋体" w:hAnsi="宋体" w:cs="宋体" w:eastAsia="宋体" w:hint="default"/>
          <w:sz w:val="18"/>
          <w:szCs w:val="18"/>
        </w:rPr>
        <w:t>生</w:t>
      </w:r>
      <w:r>
        <w:rPr>
          <w:rFonts w:ascii="宋体" w:hAnsi="宋体" w:cs="宋体" w:eastAsia="宋体" w:hint="default"/>
          <w:spacing w:val="-59"/>
          <w:sz w:val="18"/>
          <w:szCs w:val="18"/>
        </w:rPr>
        <w:t> </w:t>
      </w:r>
      <w:r>
        <w:rPr>
          <w:rFonts w:ascii="宋体" w:hAnsi="宋体" w:cs="宋体" w:eastAsia="宋体" w:hint="default"/>
          <w:sz w:val="18"/>
          <w:szCs w:val="18"/>
        </w:rPr>
        <w:t>信</w:t>
      </w:r>
      <w:r>
        <w:rPr>
          <w:rFonts w:ascii="宋体" w:hAnsi="宋体" w:cs="宋体" w:eastAsia="宋体" w:hint="default"/>
          <w:spacing w:val="-59"/>
          <w:sz w:val="18"/>
          <w:szCs w:val="18"/>
        </w:rPr>
        <w:t> </w:t>
      </w:r>
      <w:r>
        <w:rPr>
          <w:rFonts w:ascii="宋体" w:hAnsi="宋体" w:cs="宋体" w:eastAsia="宋体" w:hint="default"/>
          <w:sz w:val="18"/>
          <w:szCs w:val="18"/>
        </w:rPr>
        <w:t>息</w:t>
      </w:r>
    </w:p>
    <w:p>
      <w:pPr>
        <w:spacing w:line="240" w:lineRule="auto" w:before="7"/>
        <w:rPr>
          <w:rFonts w:ascii="宋体" w:hAnsi="宋体" w:cs="宋体" w:eastAsia="宋体" w:hint="default"/>
          <w:sz w:val="6"/>
          <w:szCs w:val="6"/>
        </w:rPr>
      </w:pPr>
      <w:r>
        <w:rPr/>
        <w:br w:type="column"/>
      </w:r>
      <w:r>
        <w:rPr>
          <w:rFonts w:ascii="宋体"/>
          <w:sz w:val="6"/>
        </w:rPr>
      </w:r>
    </w:p>
    <w:p>
      <w:pPr>
        <w:tabs>
          <w:tab w:pos="3112" w:val="left" w:leader="none"/>
        </w:tabs>
        <w:spacing w:line="20" w:lineRule="exact"/>
        <w:ind w:left="-291" w:right="0" w:firstLine="0"/>
        <w:rPr>
          <w:rFonts w:ascii="宋体" w:hAnsi="宋体" w:cs="宋体" w:eastAsia="宋体" w:hint="default"/>
          <w:sz w:val="2"/>
          <w:szCs w:val="2"/>
        </w:rPr>
      </w:pPr>
      <w:r>
        <w:rPr>
          <w:rFonts w:ascii="宋体"/>
          <w:sz w:val="2"/>
        </w:rPr>
        <w:pict>
          <v:group style="width:158.9pt;height:.5pt;mso-position-horizontal-relative:char;mso-position-vertical-relative:line" coordorigin="0,0" coordsize="3178,10">
            <v:group style="position:absolute;left:5;top:5;width:3168;height:2" coordorigin="5,5" coordsize="3168,2">
              <v:shape style="position:absolute;left:5;top:5;width:3168;height:2" coordorigin="5,5" coordsize="3168,0" path="m5,5l3173,5e" filled="false" stroked="true" strokeweight=".48pt" strokecolor="#000000">
                <v:path arrowok="t"/>
              </v:shape>
            </v:group>
          </v:group>
        </w:pict>
      </w:r>
      <w:r>
        <w:rPr>
          <w:rFonts w:ascii="宋体"/>
          <w:sz w:val="2"/>
        </w:rPr>
      </w:r>
      <w:r>
        <w:rPr>
          <w:rFonts w:ascii="宋体"/>
          <w:sz w:val="2"/>
        </w:rPr>
        <w:tab/>
      </w:r>
      <w:r>
        <w:rPr>
          <w:rFonts w:ascii="宋体"/>
          <w:sz w:val="2"/>
        </w:rPr>
        <w:pict>
          <v:group style="width:150.85pt;height:.5pt;mso-position-horizontal-relative:char;mso-position-vertical-relative:line" coordorigin="0,0" coordsize="3017,10">
            <v:group style="position:absolute;left:5;top:5;width:3008;height:2" coordorigin="5,5" coordsize="3008,2">
              <v:shape style="position:absolute;left:5;top:5;width:3008;height:2" coordorigin="5,5" coordsize="3008,0" path="m5,5l3012,5e" filled="false" stroked="true" strokeweight=".48pt" strokecolor="#000000">
                <v:path arrowok="t"/>
              </v:shape>
            </v:group>
          </v:group>
        </w:pict>
      </w:r>
      <w:r>
        <w:rPr>
          <w:rFonts w:ascii="宋体"/>
          <w:sz w:val="2"/>
        </w:rPr>
      </w:r>
    </w:p>
    <w:p>
      <w:pPr>
        <w:tabs>
          <w:tab w:pos="1881" w:val="left" w:leader="none"/>
          <w:tab w:pos="3585" w:val="left" w:leader="none"/>
          <w:tab w:pos="5164" w:val="left" w:leader="none"/>
        </w:tabs>
        <w:spacing w:before="14"/>
        <w:ind w:left="223" w:right="0" w:firstLine="0"/>
        <w:jc w:val="left"/>
        <w:rPr>
          <w:rFonts w:ascii="宋体" w:hAnsi="宋体" w:cs="宋体" w:eastAsia="宋体" w:hint="default"/>
          <w:sz w:val="18"/>
          <w:szCs w:val="18"/>
        </w:rPr>
      </w:pPr>
      <w:r>
        <w:rPr/>
        <w:pict>
          <v:group style="position:absolute;margin-left:141.599991pt;margin-top:16.731726pt;width:73.350pt;height:.1pt;mso-position-horizontal-relative:page;mso-position-vertical-relative:paragraph;z-index:11080" coordorigin="2832,335" coordsize="1467,2">
            <v:shape style="position:absolute;left:2832;top:335;width:1467;height:2" coordorigin="2832,335" coordsize="1467,0" path="m2832,335l4298,335e" filled="false" stroked="true" strokeweight=".48pt" strokecolor="#000000">
              <v:path arrowok="t"/>
            </v:shape>
            <w10:wrap type="none"/>
          </v:group>
        </w:pict>
      </w:r>
      <w:r>
        <w:rPr/>
        <w:pict>
          <v:group style="position:absolute;margin-left:226.679993pt;margin-top:16.731726pt;width:73.350pt;height:.1pt;mso-position-horizontal-relative:page;mso-position-vertical-relative:paragraph;z-index:11104" coordorigin="4534,335" coordsize="1467,2">
            <v:shape style="position:absolute;left:4534;top:335;width:1467;height:2" coordorigin="4534,335" coordsize="1467,0" path="m4534,335l6000,335e" filled="false" stroked="true" strokeweight=".48pt" strokecolor="#000000">
              <v:path arrowok="t"/>
            </v:shape>
            <w10:wrap type="none"/>
          </v:group>
        </w:pict>
      </w:r>
      <w:r>
        <w:rPr/>
        <w:pict>
          <v:group style="position:absolute;margin-left:311.759979pt;margin-top:16.731726pt;width:69.25pt;height:.1pt;mso-position-horizontal-relative:page;mso-position-vertical-relative:paragraph;z-index:11128" coordorigin="6235,335" coordsize="1385,2">
            <v:shape style="position:absolute;left:6235;top:335;width:1385;height:2" coordorigin="6235,335" coordsize="1385,0" path="m6235,335l7620,335e" filled="false" stroked="true" strokeweight=".48pt" strokecolor="#000000">
              <v:path arrowok="t"/>
            </v:shape>
            <w10:wrap type="none"/>
          </v:group>
        </w:pict>
      </w:r>
      <w:r>
        <w:rPr/>
        <w:pict>
          <v:group style="position:absolute;margin-left:393pt;margin-top:16.731726pt;width:69.150pt;height:.1pt;mso-position-horizontal-relative:page;mso-position-vertical-relative:paragraph;z-index:11152" coordorigin="7860,335" coordsize="1383,2">
            <v:shape style="position:absolute;left:7860;top:335;width:1383;height:2" coordorigin="7860,335" coordsize="1383,0" path="m7860,335l9242,335e" filled="false" stroked="true" strokeweight=".48pt" strokecolor="#000000">
              <v:path arrowok="t"/>
            </v:shape>
            <w10:wrap type="none"/>
          </v:group>
        </w:pict>
      </w:r>
      <w:r>
        <w:rPr>
          <w:rFonts w:ascii="宋体" w:hAnsi="宋体" w:cs="宋体" w:eastAsia="宋体" w:hint="default"/>
          <w:sz w:val="18"/>
          <w:szCs w:val="18"/>
        </w:rPr>
        <w:t>本期数</w:t>
        <w:tab/>
        <w:t>上期数</w:t>
        <w:tab/>
        <w:t>本期数</w:t>
        <w:tab/>
        <w:t>上期数</w:t>
      </w:r>
    </w:p>
    <w:p>
      <w:pPr>
        <w:spacing w:after="0"/>
        <w:jc w:val="left"/>
        <w:rPr>
          <w:rFonts w:ascii="宋体" w:hAnsi="宋体" w:cs="宋体" w:eastAsia="宋体" w:hint="default"/>
          <w:sz w:val="18"/>
          <w:szCs w:val="18"/>
        </w:rPr>
        <w:sectPr>
          <w:type w:val="continuous"/>
          <w:pgSz w:w="11910" w:h="16840"/>
          <w:pgMar w:top="1580" w:bottom="280" w:left="1020" w:right="960"/>
          <w:cols w:num="2" w:equalWidth="0">
            <w:col w:w="1460" w:space="638"/>
            <w:col w:w="7832"/>
          </w:cols>
        </w:sectPr>
      </w:pPr>
    </w:p>
    <w:p>
      <w:pPr>
        <w:tabs>
          <w:tab w:pos="2047" w:val="left" w:leader="none"/>
          <w:tab w:pos="3755" w:val="left" w:leader="none"/>
          <w:tab w:pos="5457" w:val="left" w:leader="none"/>
          <w:tab w:pos="7079" w:val="left" w:leader="none"/>
        </w:tabs>
        <w:spacing w:line="290" w:lineRule="exact" w:before="0"/>
        <w:ind w:left="223" w:right="733"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化行业</w:t>
        <w:tab/>
      </w:r>
      <w:r>
        <w:rPr>
          <w:rFonts w:ascii="Times New Roman" w:hAnsi="Times New Roman" w:cs="Times New Roman" w:eastAsia="Times New Roman" w:hint="default"/>
          <w:spacing w:val="-1"/>
          <w:sz w:val="18"/>
          <w:szCs w:val="18"/>
        </w:rPr>
        <w:t>153,927,360.04</w:t>
        <w:tab/>
        <w:t>113,965,288.45</w:t>
        <w:tab/>
        <w:t>59,604,103.53</w:t>
        <w:tab/>
        <w:t>47,874,209.03</w:t>
      </w:r>
    </w:p>
    <w:p>
      <w:pPr>
        <w:tabs>
          <w:tab w:pos="3508" w:val="left" w:leader="none"/>
          <w:tab w:pos="5210" w:val="left" w:leader="none"/>
          <w:tab w:pos="6835" w:val="left" w:leader="none"/>
        </w:tabs>
        <w:spacing w:line="20" w:lineRule="exact"/>
        <w:ind w:left="1807" w:right="0" w:firstLine="0"/>
        <w:rPr>
          <w:rFonts w:ascii="Times New Roman" w:hAnsi="Times New Roman" w:cs="Times New Roman" w:eastAsia="Times New Roman" w:hint="default"/>
          <w:sz w:val="2"/>
          <w:szCs w:val="2"/>
        </w:rPr>
      </w:pPr>
      <w:r>
        <w:rPr>
          <w:rFonts w:ascii="Times New Roman"/>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Times New Roman"/>
          <w:sz w:val="2"/>
        </w:rPr>
      </w:r>
    </w:p>
    <w:p>
      <w:pPr>
        <w:tabs>
          <w:tab w:pos="2047" w:val="left" w:leader="none"/>
          <w:tab w:pos="3755" w:val="left" w:leader="none"/>
          <w:tab w:pos="5457" w:val="left" w:leader="none"/>
          <w:tab w:pos="7079" w:val="left" w:leader="none"/>
        </w:tabs>
        <w:spacing w:before="39"/>
        <w:ind w:left="571" w:right="7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sz w:val="18"/>
          <w:szCs w:val="18"/>
        </w:rPr>
        <w:t>153,927,360.04</w:t>
        <w:tab/>
        <w:t>113,965,288.45</w:t>
        <w:tab/>
        <w:t>59,604,103.53</w:t>
        <w:tab/>
        <w:t>47,874,209.03</w:t>
      </w:r>
    </w:p>
    <w:p>
      <w:pPr>
        <w:spacing w:line="240" w:lineRule="auto" w:before="7"/>
        <w:rPr>
          <w:rFonts w:ascii="Times New Roman" w:hAnsi="Times New Roman" w:cs="Times New Roman" w:eastAsia="Times New Roman" w:hint="default"/>
          <w:sz w:val="5"/>
          <w:szCs w:val="5"/>
        </w:rPr>
      </w:pPr>
    </w:p>
    <w:p>
      <w:pPr>
        <w:tabs>
          <w:tab w:pos="3508" w:val="left" w:leader="none"/>
          <w:tab w:pos="5210" w:val="left" w:leader="none"/>
          <w:tab w:pos="6835" w:val="left" w:leader="none"/>
        </w:tabs>
        <w:spacing w:line="28" w:lineRule="exact"/>
        <w:ind w:left="1807" w:right="0" w:firstLine="0"/>
        <w:rPr>
          <w:rFonts w:ascii="Times New Roman" w:hAnsi="Times New Roman" w:cs="Times New Roman" w:eastAsia="Times New Roman" w:hint="default"/>
          <w:sz w:val="2"/>
          <w:szCs w:val="2"/>
        </w:rPr>
      </w:pPr>
      <w:r>
        <w:rPr>
          <w:rFonts w:ascii="Times New Roman"/>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0">
                <v:path arrowok="t"/>
              </v:shape>
            </v:group>
            <v:group style="position:absolute;left:5;top:24;width:1385;height:2" coordorigin="5,24" coordsize="1385,2">
              <v:shape style="position:absolute;left:5;top:24;width:1385;height:2" coordorigin="5,24" coordsize="1385,0" path="m5,24l139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6pt;height:1.45pt;mso-position-horizontal-relative:char;mso-position-vertical-relative:line" coordorigin="0,0" coordsize="1392,29">
            <v:group style="position:absolute;left:5;top:5;width:1383;height:2" coordorigin="5,5" coordsize="1383,2">
              <v:shape style="position:absolute;left:5;top:5;width:1383;height:2" coordorigin="5,5" coordsize="1383,0" path="m5,5l1387,5e" filled="false" stroked="true" strokeweight=".48pt" strokecolor="#000000">
                <v:path arrowok="t"/>
              </v:shape>
            </v:group>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w:pict>
      </w:r>
      <w:r>
        <w:rPr>
          <w:rFonts w:ascii="Times New Roman"/>
          <w:position w:val="0"/>
          <w:sz w:val="2"/>
        </w:rPr>
      </w:r>
    </w:p>
    <w:p>
      <w:pPr>
        <w:pStyle w:val="BodyText"/>
        <w:spacing w:line="240" w:lineRule="auto" w:before="26"/>
        <w:ind w:left="638" w:right="733"/>
        <w:jc w:val="left"/>
      </w:pPr>
      <w:r>
        <w:rPr/>
        <w:pict>
          <v:shape style="position:absolute;margin-left:56.639999pt;margin-top:18.589312pt;width:405.5pt;height:125.35pt;mso-position-horizontal-relative:page;mso-position-vertical-relative:paragraph;z-index:11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4"/>
                    <w:gridCol w:w="242"/>
                    <w:gridCol w:w="1937"/>
                    <w:gridCol w:w="1224"/>
                    <w:gridCol w:w="235"/>
                    <w:gridCol w:w="1865"/>
                    <w:gridCol w:w="1142"/>
                  </w:tblGrid>
                  <w:tr>
                    <w:trPr>
                      <w:trHeight w:val="715" w:hRule="exact"/>
                    </w:trPr>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21" w:right="-5"/>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15"/>
                          <w:ind w:left="50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5"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44" w:right="-1"/>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before="115"/>
                          <w:ind w:left="46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82"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51" w:hRule="exact"/>
                    </w:trPr>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575"/>
                          <w:jc w:val="right"/>
                          <w:rPr>
                            <w:rFonts w:ascii="Times New Roman" w:hAnsi="Times New Roman" w:cs="Times New Roman" w:eastAsia="Times New Roman" w:hint="default"/>
                            <w:sz w:val="18"/>
                            <w:szCs w:val="18"/>
                          </w:rPr>
                        </w:pPr>
                        <w:r>
                          <w:rPr>
                            <w:rFonts w:ascii="Times New Roman"/>
                            <w:spacing w:val="-1"/>
                            <w:sz w:val="18"/>
                          </w:rPr>
                          <w:t>85,198,832.93</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67,887,369.68</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584"/>
                          <w:jc w:val="right"/>
                          <w:rPr>
                            <w:rFonts w:ascii="Times New Roman" w:hAnsi="Times New Roman" w:cs="Times New Roman" w:eastAsia="Times New Roman" w:hint="default"/>
                            <w:sz w:val="18"/>
                            <w:szCs w:val="18"/>
                          </w:rPr>
                        </w:pPr>
                        <w:r>
                          <w:rPr>
                            <w:rFonts w:ascii="Times New Roman"/>
                            <w:spacing w:val="-1"/>
                            <w:sz w:val="18"/>
                          </w:rPr>
                          <w:t>20,772,326.12</w:t>
                        </w: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15,558,106.87</w:t>
                        </w:r>
                      </w:p>
                    </w:tc>
                  </w:tr>
                  <w:tr>
                    <w:trPr>
                      <w:trHeight w:val="338"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5"/>
                          <w:jc w:val="right"/>
                          <w:rPr>
                            <w:rFonts w:ascii="Times New Roman" w:hAnsi="Times New Roman" w:cs="Times New Roman" w:eastAsia="Times New Roman" w:hint="default"/>
                            <w:sz w:val="18"/>
                            <w:szCs w:val="18"/>
                          </w:rPr>
                        </w:pPr>
                        <w:r>
                          <w:rPr>
                            <w:rFonts w:ascii="Times New Roman"/>
                            <w:spacing w:val="-1"/>
                            <w:sz w:val="18"/>
                          </w:rPr>
                          <w:t>42,032,321.87</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31,538,331.87</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84"/>
                          <w:jc w:val="right"/>
                          <w:rPr>
                            <w:rFonts w:ascii="Times New Roman" w:hAnsi="Times New Roman" w:cs="Times New Roman" w:eastAsia="Times New Roman" w:hint="default"/>
                            <w:sz w:val="18"/>
                            <w:szCs w:val="18"/>
                          </w:rPr>
                        </w:pPr>
                        <w:r>
                          <w:rPr>
                            <w:rFonts w:ascii="Times New Roman"/>
                            <w:spacing w:val="-1"/>
                            <w:sz w:val="18"/>
                          </w:rPr>
                          <w:t>32,919,806.67</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28,583,126.88</w:t>
                        </w:r>
                      </w:p>
                    </w:tc>
                  </w:tr>
                  <w:tr>
                    <w:trPr>
                      <w:trHeight w:val="341"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575"/>
                          <w:jc w:val="right"/>
                          <w:rPr>
                            <w:rFonts w:ascii="Times New Roman" w:hAnsi="Times New Roman" w:cs="Times New Roman" w:eastAsia="Times New Roman" w:hint="default"/>
                            <w:sz w:val="18"/>
                            <w:szCs w:val="18"/>
                          </w:rPr>
                        </w:pPr>
                        <w:r>
                          <w:rPr>
                            <w:rFonts w:ascii="Times New Roman"/>
                            <w:spacing w:val="-1"/>
                            <w:sz w:val="18"/>
                          </w:rPr>
                          <w:t>26,696,205.24</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14,539,586.90</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584"/>
                          <w:jc w:val="right"/>
                          <w:rPr>
                            <w:rFonts w:ascii="Times New Roman" w:hAnsi="Times New Roman" w:cs="Times New Roman" w:eastAsia="Times New Roman" w:hint="default"/>
                            <w:sz w:val="18"/>
                            <w:szCs w:val="18"/>
                          </w:rPr>
                        </w:pPr>
                        <w:r>
                          <w:rPr>
                            <w:rFonts w:ascii="Times New Roman"/>
                            <w:spacing w:val="-1"/>
                            <w:sz w:val="18"/>
                          </w:rPr>
                          <w:t>5,911,970.74</w:t>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3,732,975.28</w:t>
                        </w:r>
                      </w:p>
                    </w:tc>
                  </w:tr>
                  <w:tr>
                    <w:trPr>
                      <w:trHeight w:val="360"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575"/>
                          <w:jc w:val="right"/>
                          <w:rPr>
                            <w:rFonts w:ascii="Times New Roman" w:hAnsi="Times New Roman" w:cs="Times New Roman" w:eastAsia="Times New Roman" w:hint="default"/>
                            <w:sz w:val="18"/>
                            <w:szCs w:val="18"/>
                          </w:rPr>
                        </w:pPr>
                        <w:r>
                          <w:rPr>
                            <w:rFonts w:ascii="Times New Roman"/>
                            <w:spacing w:val="-1"/>
                            <w:sz w:val="18"/>
                          </w:rPr>
                          <w:t>153,927,360.04</w:t>
                        </w: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113,965,288.45</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584"/>
                          <w:jc w:val="right"/>
                          <w:rPr>
                            <w:rFonts w:ascii="Times New Roman" w:hAnsi="Times New Roman" w:cs="Times New Roman" w:eastAsia="Times New Roman" w:hint="default"/>
                            <w:sz w:val="18"/>
                            <w:szCs w:val="18"/>
                          </w:rPr>
                        </w:pPr>
                        <w:r>
                          <w:rPr>
                            <w:rFonts w:ascii="Times New Roman"/>
                            <w:spacing w:val="-1"/>
                            <w:sz w:val="18"/>
                          </w:rPr>
                          <w:t>59,604,103.53</w:t>
                        </w:r>
                      </w:p>
                    </w:tc>
                    <w:tc>
                      <w:tcPr>
                        <w:tcW w:w="114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47,874,209.03</w:t>
                        </w:r>
                      </w:p>
                    </w:tc>
                  </w:tr>
                  <w:tr>
                    <w:trPr>
                      <w:trHeight w:val="401" w:hRule="exact"/>
                    </w:trPr>
                    <w:tc>
                      <w:tcPr>
                        <w:tcW w:w="811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5"/>
                          <w:ind w:left="362" w:right="0"/>
                          <w:jc w:val="left"/>
                          <w:rPr>
                            <w:rFonts w:ascii="宋体" w:hAnsi="宋体" w:cs="宋体" w:eastAsia="宋体" w:hint="default"/>
                            <w:sz w:val="18"/>
                            <w:szCs w:val="18"/>
                          </w:rPr>
                        </w:pPr>
                        <w:r>
                          <w:rPr>
                            <w:rFonts w:ascii="宋体" w:hAnsi="宋体" w:cs="宋体" w:eastAsia="宋体" w:hint="default"/>
                            <w:sz w:val="18"/>
                            <w:szCs w:val="18"/>
                          </w:rPr>
                          <w:t>注：公司前五名客户的营业收入情况：</w:t>
                        </w:r>
                      </w:p>
                    </w:tc>
                  </w:tr>
                </w:tbl>
                <w:p>
                  <w:pPr/>
                </w:p>
              </w:txbxContent>
            </v:textbox>
            <w10:wrap type="none"/>
          </v:shape>
        </w:pict>
      </w:r>
      <w:r>
        <w:rPr/>
        <w:t>（</w:t>
      </w:r>
      <w:r>
        <w:rPr>
          <w:rFonts w:ascii="Times New Roman" w:hAnsi="Times New Roman" w:cs="Times New Roman" w:eastAsia="Times New Roman" w:hint="default"/>
        </w:rPr>
        <w:t>3</w:t>
      </w:r>
      <w:r>
        <w:rPr/>
        <w:t>）主营业务（分产品）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p>
      <w:pPr>
        <w:tabs>
          <w:tab w:pos="5210" w:val="left" w:leader="none"/>
        </w:tabs>
        <w:spacing w:line="20" w:lineRule="exact"/>
        <w:ind w:left="1814" w:right="0" w:firstLine="0"/>
        <w:rPr>
          <w:rFonts w:ascii="宋体" w:hAnsi="宋体" w:cs="宋体" w:eastAsia="宋体" w:hint="default"/>
          <w:sz w:val="2"/>
          <w:szCs w:val="2"/>
        </w:rPr>
      </w:pPr>
      <w:r>
        <w:rPr>
          <w:rFonts w:ascii="宋体"/>
          <w:sz w:val="2"/>
        </w:rPr>
        <w:pict>
          <v:group style="width:158.550pt;height:.5pt;mso-position-horizontal-relative:char;mso-position-vertical-relative:line" coordorigin="0,0" coordsize="3171,10">
            <v:group style="position:absolute;left:5;top:5;width:3161;height:2" coordorigin="5,5" coordsize="3161,2">
              <v:shape style="position:absolute;left:5;top:5;width:3161;height:2" coordorigin="5,5" coordsize="3161,0" path="m5,5l3166,5e" filled="false" stroked="true" strokeweight=".48pt" strokecolor="#000000">
                <v:path arrowok="t"/>
              </v:shape>
            </v:group>
          </v:group>
        </w:pict>
      </w:r>
      <w:r>
        <w:rPr>
          <w:rFonts w:ascii="宋体"/>
          <w:sz w:val="2"/>
        </w:rPr>
      </w:r>
      <w:r>
        <w:rPr>
          <w:rFonts w:ascii="宋体"/>
          <w:sz w:val="2"/>
        </w:rPr>
        <w:tab/>
      </w:r>
      <w:r>
        <w:rPr>
          <w:rFonts w:ascii="宋体"/>
          <w:sz w:val="2"/>
        </w:rPr>
        <w:pict>
          <v:group style="width:150.85pt;height:.5pt;mso-position-horizontal-relative:char;mso-position-vertical-relative:line" coordorigin="0,0" coordsize="3017,10">
            <v:group style="position:absolute;left:5;top:5;width:3008;height:2" coordorigin="5,5" coordsize="3008,2">
              <v:shape style="position:absolute;left:5;top:5;width:3008;height:2" coordorigin="5,5" coordsize="3008,0" path="m5,5l3012,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25"/>
          <w:szCs w:val="25"/>
        </w:rPr>
      </w:pPr>
    </w:p>
    <w:p>
      <w:pPr>
        <w:tabs>
          <w:tab w:pos="5210" w:val="left" w:leader="none"/>
        </w:tabs>
        <w:spacing w:line="20" w:lineRule="exact"/>
        <w:ind w:left="1814" w:right="0" w:firstLine="0"/>
        <w:rPr>
          <w:rFonts w:ascii="宋体" w:hAnsi="宋体" w:cs="宋体" w:eastAsia="宋体" w:hint="default"/>
          <w:sz w:val="2"/>
          <w:szCs w:val="2"/>
        </w:rPr>
      </w:pPr>
      <w:r>
        <w:rPr>
          <w:rFonts w:ascii="宋体"/>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5210" w:val="left" w:leader="none"/>
        </w:tabs>
        <w:spacing w:line="20" w:lineRule="exact"/>
        <w:ind w:left="1814" w:right="0" w:firstLine="0"/>
        <w:rPr>
          <w:rFonts w:ascii="宋体" w:hAnsi="宋体" w:cs="宋体" w:eastAsia="宋体" w:hint="default"/>
          <w:sz w:val="2"/>
          <w:szCs w:val="2"/>
        </w:rPr>
      </w:pPr>
      <w:r>
        <w:rPr>
          <w:rFonts w:ascii="宋体"/>
          <w:sz w:val="2"/>
        </w:rPr>
        <w:pict>
          <v:group style="width:73.8pt;height:.5pt;mso-position-horizontal-relative:char;mso-position-vertical-relative:line" coordorigin="0,0" coordsize="1476,10">
            <v:group style="position:absolute;left:5;top:5;width:1467;height:2" coordorigin="5,5" coordsize="1467,2">
              <v:shape style="position:absolute;left:5;top:5;width:1467;height:2" coordorigin="5,5" coordsize="1467,0" path="m5,5l1471,5e" filled="false" stroked="true" strokeweight=".48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25"/>
          <w:szCs w:val="25"/>
        </w:rPr>
      </w:pPr>
    </w:p>
    <w:p>
      <w:pPr>
        <w:tabs>
          <w:tab w:pos="5210" w:val="left" w:leader="none"/>
        </w:tabs>
        <w:spacing w:line="28" w:lineRule="exact"/>
        <w:ind w:left="1814" w:right="0" w:firstLine="0"/>
        <w:rPr>
          <w:rFonts w:ascii="宋体" w:hAnsi="宋体" w:cs="宋体" w:eastAsia="宋体" w:hint="default"/>
          <w:sz w:val="2"/>
          <w:szCs w:val="2"/>
        </w:rPr>
      </w:pPr>
      <w:r>
        <w:rPr>
          <w:rFonts w:ascii="宋体"/>
          <w:position w:val="0"/>
          <w:sz w:val="2"/>
        </w:rPr>
        <w:pict>
          <v:group style="width:73.8pt;height:1.45pt;mso-position-horizontal-relative:char;mso-position-vertical-relative:line" coordorigin="0,0" coordsize="1476,29">
            <v:group style="position:absolute;left:5;top:5;width:1467;height:2" coordorigin="5,5" coordsize="1467,2">
              <v:shape style="position:absolute;left:5;top:5;width:1467;height:2" coordorigin="5,5" coordsize="1467,0" path="m5,5l1471,5e" filled="false" stroked="true" strokeweight=".48pt" strokecolor="#000000">
                <v:path arrowok="t"/>
              </v:shape>
            </v:group>
            <v:group style="position:absolute;left:5;top:24;width:1467;height:2" coordorigin="5,24" coordsize="1467,2">
              <v:shape style="position:absolute;left:5;top:24;width:1467;height:2" coordorigin="5,24" coordsize="1467,0" path="m5,24l14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0">
                <v:path arrowok="t"/>
              </v:shape>
            </v:group>
            <v:group style="position:absolute;left:5;top:24;width:1385;height:2" coordorigin="5,24" coordsize="1385,2">
              <v:shape style="position:absolute;left:5;top:24;width:1385;height:2" coordorigin="5,24" coordsize="1385,0" path="m5,24l1390,24e" filled="false" stroked="true" strokeweight=".48pt" strokecolor="#000000">
                <v:path arrowok="t"/>
              </v:shape>
            </v:group>
          </v:group>
        </w:pict>
      </w:r>
      <w:r>
        <w:rPr>
          <w:rFonts w:ascii="宋体"/>
          <w:position w:val="0"/>
          <w:sz w:val="2"/>
        </w:rPr>
      </w:r>
    </w:p>
    <w:p>
      <w:pPr>
        <w:spacing w:line="240" w:lineRule="auto" w:before="12"/>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1330"/>
        <w:gridCol w:w="3406"/>
        <w:gridCol w:w="331"/>
        <w:gridCol w:w="2033"/>
        <w:gridCol w:w="326"/>
        <w:gridCol w:w="2256"/>
      </w:tblGrid>
      <w:tr>
        <w:trPr>
          <w:trHeight w:val="394" w:hRule="exact"/>
        </w:trPr>
        <w:tc>
          <w:tcPr>
            <w:tcW w:w="1330" w:type="dxa"/>
            <w:tcBorders>
              <w:top w:val="nil" w:sz="6" w:space="0" w:color="auto"/>
              <w:left w:val="nil" w:sz="6" w:space="0" w:color="auto"/>
              <w:bottom w:val="single" w:sz="4" w:space="0" w:color="000000"/>
              <w:right w:val="nil" w:sz="6" w:space="0" w:color="auto"/>
            </w:tcBorders>
          </w:tcPr>
          <w:p>
            <w:pPr/>
          </w:p>
        </w:tc>
        <w:tc>
          <w:tcPr>
            <w:tcW w:w="340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325"/>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57"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占本期销售收入比例</w:t>
            </w:r>
          </w:p>
        </w:tc>
      </w:tr>
      <w:tr>
        <w:trPr>
          <w:trHeight w:val="343" w:hRule="exact"/>
        </w:trPr>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single" w:sz="4" w:space="0" w:color="000000"/>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486"/>
              <w:jc w:val="right"/>
              <w:rPr>
                <w:rFonts w:ascii="Times New Roman" w:hAnsi="Times New Roman" w:cs="Times New Roman" w:eastAsia="Times New Roman" w:hint="default"/>
                <w:sz w:val="18"/>
                <w:szCs w:val="18"/>
              </w:rPr>
            </w:pPr>
            <w:r>
              <w:rPr>
                <w:rFonts w:ascii="Times New Roman"/>
                <w:spacing w:val="-1"/>
                <w:sz w:val="18"/>
              </w:rPr>
              <w:t>10,340,935.90</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6.72%</w:t>
            </w:r>
          </w:p>
        </w:tc>
      </w:tr>
      <w:tr>
        <w:trPr>
          <w:trHeight w:val="335"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6"/>
              <w:jc w:val="right"/>
              <w:rPr>
                <w:rFonts w:ascii="Times New Roman" w:hAnsi="Times New Roman" w:cs="Times New Roman" w:eastAsia="Times New Roman" w:hint="default"/>
                <w:sz w:val="18"/>
                <w:szCs w:val="18"/>
              </w:rPr>
            </w:pPr>
            <w:r>
              <w:rPr>
                <w:rFonts w:ascii="Times New Roman"/>
                <w:spacing w:val="-1"/>
                <w:sz w:val="18"/>
              </w:rPr>
              <w:t>8,812,861.53</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Times New Roman"/>
                <w:sz w:val="18"/>
              </w:rPr>
              <w:t>5.73%</w:t>
            </w:r>
          </w:p>
        </w:tc>
      </w:tr>
      <w:tr>
        <w:trPr>
          <w:trHeight w:val="335"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86"/>
              <w:jc w:val="right"/>
              <w:rPr>
                <w:rFonts w:ascii="Times New Roman" w:hAnsi="Times New Roman" w:cs="Times New Roman" w:eastAsia="Times New Roman" w:hint="default"/>
                <w:sz w:val="18"/>
                <w:szCs w:val="18"/>
              </w:rPr>
            </w:pPr>
            <w:r>
              <w:rPr>
                <w:rFonts w:ascii="Times New Roman"/>
                <w:spacing w:val="-1"/>
                <w:sz w:val="18"/>
              </w:rPr>
              <w:t>5,704,275.83</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 w:right="0"/>
              <w:jc w:val="center"/>
              <w:rPr>
                <w:rFonts w:ascii="Times New Roman" w:hAnsi="Times New Roman" w:cs="Times New Roman" w:eastAsia="Times New Roman" w:hint="default"/>
                <w:sz w:val="18"/>
                <w:szCs w:val="18"/>
              </w:rPr>
            </w:pPr>
            <w:r>
              <w:rPr>
                <w:rFonts w:ascii="Times New Roman"/>
                <w:sz w:val="18"/>
              </w:rPr>
              <w:t>3.71%</w:t>
            </w:r>
          </w:p>
        </w:tc>
      </w:tr>
      <w:tr>
        <w:trPr>
          <w:trHeight w:val="336"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6"/>
              <w:jc w:val="right"/>
              <w:rPr>
                <w:rFonts w:ascii="Times New Roman" w:hAnsi="Times New Roman" w:cs="Times New Roman" w:eastAsia="Times New Roman" w:hint="default"/>
                <w:sz w:val="18"/>
                <w:szCs w:val="18"/>
              </w:rPr>
            </w:pPr>
            <w:r>
              <w:rPr>
                <w:rFonts w:ascii="Times New Roman"/>
                <w:spacing w:val="-1"/>
                <w:sz w:val="18"/>
              </w:rPr>
              <w:t>4,537,042.75</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Times New Roman"/>
                <w:sz w:val="18"/>
              </w:rPr>
              <w:t>2.95%</w:t>
            </w:r>
          </w:p>
        </w:tc>
      </w:tr>
      <w:tr>
        <w:trPr>
          <w:trHeight w:val="336"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406"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86"/>
              <w:jc w:val="right"/>
              <w:rPr>
                <w:rFonts w:ascii="Times New Roman" w:hAnsi="Times New Roman" w:cs="Times New Roman" w:eastAsia="Times New Roman" w:hint="default"/>
                <w:sz w:val="18"/>
                <w:szCs w:val="18"/>
              </w:rPr>
            </w:pPr>
            <w:r>
              <w:rPr>
                <w:rFonts w:ascii="Times New Roman"/>
                <w:spacing w:val="-1"/>
                <w:sz w:val="18"/>
              </w:rPr>
              <w:t>4,205,982.91</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Times New Roman"/>
                <w:sz w:val="18"/>
              </w:rPr>
              <w:t>2.73%</w:t>
            </w:r>
          </w:p>
        </w:tc>
      </w:tr>
      <w:tr>
        <w:trPr>
          <w:trHeight w:val="353" w:hRule="exact"/>
        </w:trPr>
        <w:tc>
          <w:tcPr>
            <w:tcW w:w="1330"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32" w:lineRule="exact"/>
              <w:ind w:right="1325"/>
              <w:jc w:val="center"/>
              <w:rPr>
                <w:rFonts w:ascii="宋体" w:hAnsi="宋体" w:cs="宋体" w:eastAsia="宋体" w:hint="default"/>
                <w:sz w:val="18"/>
                <w:szCs w:val="18"/>
              </w:rPr>
            </w:pPr>
            <w:r>
              <w:rPr>
                <w:rFonts w:ascii="宋体" w:hAnsi="宋体" w:cs="宋体" w:eastAsia="宋体" w:hint="default"/>
                <w:sz w:val="18"/>
                <w:szCs w:val="18"/>
              </w:rPr>
              <w:t>小计</w:t>
            </w:r>
          </w:p>
        </w:tc>
        <w:tc>
          <w:tcPr>
            <w:tcW w:w="331" w:type="dxa"/>
            <w:tcBorders>
              <w:top w:val="nil" w:sz="6" w:space="0" w:color="auto"/>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486"/>
              <w:jc w:val="right"/>
              <w:rPr>
                <w:rFonts w:ascii="Times New Roman" w:hAnsi="Times New Roman" w:cs="Times New Roman" w:eastAsia="Times New Roman" w:hint="default"/>
                <w:sz w:val="18"/>
                <w:szCs w:val="18"/>
              </w:rPr>
            </w:pPr>
            <w:r>
              <w:rPr>
                <w:rFonts w:ascii="Times New Roman"/>
                <w:spacing w:val="-1"/>
                <w:sz w:val="18"/>
              </w:rPr>
              <w:t>33,601,098.92</w:t>
            </w:r>
          </w:p>
        </w:tc>
        <w:tc>
          <w:tcPr>
            <w:tcW w:w="326" w:type="dxa"/>
            <w:tcBorders>
              <w:top w:val="nil" w:sz="6" w:space="0" w:color="auto"/>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21.84%</w:t>
            </w:r>
          </w:p>
        </w:tc>
      </w:tr>
    </w:tbl>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020" w:right="960"/>
        </w:sectPr>
      </w:pPr>
    </w:p>
    <w:p>
      <w:pPr>
        <w:pStyle w:val="BodyText"/>
        <w:spacing w:line="240" w:lineRule="auto" w:before="34"/>
        <w:ind w:left="535" w:right="0"/>
        <w:jc w:val="left"/>
      </w:pPr>
      <w:r>
        <w:rPr>
          <w:rFonts w:ascii="Times New Roman" w:hAnsi="Times New Roman" w:cs="Times New Roman" w:eastAsia="Times New Roman" w:hint="default"/>
          <w:w w:val="95"/>
        </w:rPr>
        <w:t>5</w:t>
      </w:r>
      <w:r>
        <w:rPr>
          <w:w w:val="95"/>
        </w:rPr>
        <w:t>、投资收益</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tabs>
          <w:tab w:pos="3701" w:val="left" w:leader="none"/>
          <w:tab w:pos="6581" w:val="left" w:leader="none"/>
        </w:tabs>
        <w:spacing w:before="0"/>
        <w:ind w:left="46" w:right="0" w:firstLine="0"/>
        <w:jc w:val="left"/>
        <w:rPr>
          <w:rFonts w:ascii="宋体" w:hAnsi="宋体" w:cs="宋体" w:eastAsia="宋体" w:hint="default"/>
          <w:sz w:val="18"/>
          <w:szCs w:val="18"/>
        </w:rPr>
      </w:pPr>
      <w:r>
        <w:rPr>
          <w:rFonts w:ascii="宋体" w:hAnsi="宋体" w:cs="宋体" w:eastAsia="宋体" w:hint="default"/>
          <w:sz w:val="18"/>
          <w:szCs w:val="18"/>
        </w:rPr>
        <w:t>项  目</w:t>
        <w:tab/>
        <w:t>本期数</w:t>
        <w:tab/>
        <w:t>上期数</w:t>
      </w:r>
    </w:p>
    <w:p>
      <w:pPr>
        <w:spacing w:after="0"/>
        <w:jc w:val="left"/>
        <w:rPr>
          <w:rFonts w:ascii="宋体" w:hAnsi="宋体" w:cs="宋体" w:eastAsia="宋体" w:hint="default"/>
          <w:sz w:val="18"/>
          <w:szCs w:val="18"/>
        </w:rPr>
        <w:sectPr>
          <w:type w:val="continuous"/>
          <w:pgSz w:w="11910" w:h="16840"/>
          <w:pgMar w:top="1580" w:bottom="280" w:left="1020" w:right="960"/>
          <w:cols w:num="2" w:equalWidth="0">
            <w:col w:w="1690" w:space="40"/>
            <w:col w:w="8200"/>
          </w:cols>
        </w:sectPr>
      </w:pPr>
    </w:p>
    <w:p>
      <w:pPr>
        <w:spacing w:line="240" w:lineRule="auto" w:before="10"/>
        <w:rPr>
          <w:rFonts w:ascii="宋体" w:hAnsi="宋体" w:cs="宋体" w:eastAsia="宋体" w:hint="default"/>
          <w:sz w:val="5"/>
          <w:szCs w:val="5"/>
        </w:rPr>
      </w:pPr>
    </w:p>
    <w:p>
      <w:pPr>
        <w:tabs>
          <w:tab w:pos="4420" w:val="left" w:leader="none"/>
          <w:tab w:pos="7346" w:val="left" w:leader="none"/>
        </w:tabs>
        <w:spacing w:line="20" w:lineRule="exact"/>
        <w:ind w:left="108" w:right="0" w:firstLine="0"/>
        <w:rPr>
          <w:rFonts w:ascii="宋体" w:hAnsi="宋体" w:cs="宋体" w:eastAsia="宋体" w:hint="default"/>
          <w:sz w:val="2"/>
          <w:szCs w:val="2"/>
        </w:rPr>
      </w:pPr>
      <w:r>
        <w:rPr>
          <w:rFonts w:ascii="宋体"/>
          <w:sz w:val="2"/>
        </w:rPr>
        <w:pict>
          <v:group style="width:193.8pt;height:.5pt;mso-position-horizontal-relative:char;mso-position-vertical-relative:line" coordorigin="0,0" coordsize="3876,10">
            <v:group style="position:absolute;left:5;top:5;width:3867;height:2" coordorigin="5,5" coordsize="3867,2">
              <v:shape style="position:absolute;left:5;top:5;width:3867;height:2" coordorigin="5,5" coordsize="3867,0" path="m5,5l3871,5e" filled="false" stroked="true" strokeweight=".48pt" strokecolor="#000000">
                <v:path arrowok="t"/>
              </v:shape>
            </v:group>
          </v:group>
        </w:pict>
      </w:r>
      <w:r>
        <w:rPr>
          <w:rFonts w:ascii="宋体"/>
          <w:sz w:val="2"/>
        </w:rPr>
      </w:r>
      <w:r>
        <w:rPr>
          <w:rFonts w:ascii="宋体"/>
          <w:sz w:val="2"/>
        </w:rPr>
        <w:tab/>
      </w:r>
      <w:r>
        <w:rPr>
          <w:rFonts w:ascii="宋体"/>
          <w:sz w:val="2"/>
        </w:rPr>
        <w:pict>
          <v:group style="width:123.5pt;height:.5pt;mso-position-horizontal-relative:char;mso-position-vertical-relative:line" coordorigin="0,0" coordsize="2470,10">
            <v:group style="position:absolute;left:5;top:5;width:2460;height:2" coordorigin="5,5" coordsize="2460,2">
              <v:shape style="position:absolute;left:5;top:5;width:2460;height:2" coordorigin="5,5" coordsize="2460,0" path="m5,5l2465,5e" filled="false" stroked="true" strokeweight=".48pt" strokecolor="#000000">
                <v:path arrowok="t"/>
              </v:shape>
            </v:group>
          </v:group>
        </w:pict>
      </w:r>
      <w:r>
        <w:rPr>
          <w:rFonts w:ascii="宋体"/>
          <w:sz w:val="2"/>
        </w:rPr>
      </w:r>
      <w:r>
        <w:rPr>
          <w:rFonts w:ascii="宋体"/>
          <w:sz w:val="2"/>
        </w:rPr>
        <w:tab/>
      </w:r>
      <w:r>
        <w:rPr>
          <w:rFonts w:ascii="宋体"/>
          <w:sz w:val="2"/>
        </w:rPr>
        <w:pict>
          <v:group style="width:123.5pt;height:.5pt;mso-position-horizontal-relative:char;mso-position-vertical-relative:line" coordorigin="0,0" coordsize="2470,10">
            <v:group style="position:absolute;left:5;top:5;width:2460;height:2" coordorigin="5,5" coordsize="2460,2">
              <v:shape style="position:absolute;left:5;top:5;width:2460;height:2" coordorigin="5,5" coordsize="2460,0" path="m5,5l2465,5e" filled="false" stroked="true" strokeweight=".48pt" strokecolor="#000000">
                <v:path arrowok="t"/>
              </v:shape>
            </v:group>
          </v:group>
        </w:pict>
      </w:r>
      <w:r>
        <w:rPr>
          <w:rFonts w:ascii="宋体"/>
          <w:sz w:val="2"/>
        </w:rPr>
      </w:r>
    </w:p>
    <w:p>
      <w:pPr>
        <w:tabs>
          <w:tab w:pos="5296" w:val="left" w:leader="none"/>
        </w:tabs>
        <w:spacing w:before="9"/>
        <w:ind w:left="223" w:right="7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z w:val="18"/>
          <w:szCs w:val="18"/>
        </w:rPr>
        <w:t>38,356.16</w:t>
      </w:r>
    </w:p>
    <w:p>
      <w:pPr>
        <w:spacing w:line="240" w:lineRule="auto" w:before="2"/>
        <w:rPr>
          <w:rFonts w:ascii="Times New Roman" w:hAnsi="Times New Roman" w:cs="Times New Roman" w:eastAsia="Times New Roman" w:hint="default"/>
          <w:sz w:val="5"/>
          <w:szCs w:val="5"/>
        </w:rPr>
      </w:pPr>
    </w:p>
    <w:p>
      <w:pPr>
        <w:tabs>
          <w:tab w:pos="7346" w:val="left" w:leader="none"/>
        </w:tabs>
        <w:spacing w:line="20" w:lineRule="exact"/>
        <w:ind w:left="4420" w:right="0" w:firstLine="0"/>
        <w:rPr>
          <w:rFonts w:ascii="Times New Roman" w:hAnsi="Times New Roman" w:cs="Times New Roman" w:eastAsia="Times New Roman" w:hint="default"/>
          <w:sz w:val="2"/>
          <w:szCs w:val="2"/>
        </w:rPr>
      </w:pPr>
      <w:r>
        <w:rPr>
          <w:rFonts w:ascii="Times New Roman"/>
          <w:sz w:val="2"/>
        </w:rPr>
        <w:pict>
          <v:group style="width:123.5pt;height:.5pt;mso-position-horizontal-relative:char;mso-position-vertical-relative:line" coordorigin="0,0" coordsize="2470,10">
            <v:group style="position:absolute;left:5;top:5;width:2460;height:2" coordorigin="5,5" coordsize="2460,2">
              <v:shape style="position:absolute;left:5;top:5;width:2460;height:2" coordorigin="5,5" coordsize="2460,0" path="m5,5l246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23.5pt;height:.5pt;mso-position-horizontal-relative:char;mso-position-vertical-relative:line" coordorigin="0,0" coordsize="2470,10">
            <v:group style="position:absolute;left:5;top:5;width:2460;height:2" coordorigin="5,5" coordsize="2460,2">
              <v:shape style="position:absolute;left:5;top:5;width:2460;height:2" coordorigin="5,5" coordsize="2460,0" path="m5,5l2465,5e" filled="false" stroked="true" strokeweight=".48pt" strokecolor="#000000">
                <v:path arrowok="t"/>
              </v:shape>
            </v:group>
          </v:group>
        </w:pict>
      </w:r>
      <w:r>
        <w:rPr>
          <w:rFonts w:ascii="Times New Roman"/>
          <w:sz w:val="2"/>
        </w:rPr>
      </w:r>
    </w:p>
    <w:p>
      <w:pPr>
        <w:tabs>
          <w:tab w:pos="5296" w:val="left" w:leader="none"/>
        </w:tabs>
        <w:spacing w:before="9"/>
        <w:ind w:left="1775" w:right="7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t>38,356.16</w:t>
      </w:r>
    </w:p>
    <w:p>
      <w:pPr>
        <w:spacing w:line="240" w:lineRule="auto" w:before="4"/>
        <w:rPr>
          <w:rFonts w:ascii="Times New Roman" w:hAnsi="Times New Roman" w:cs="Times New Roman" w:eastAsia="Times New Roman" w:hint="default"/>
          <w:sz w:val="5"/>
          <w:szCs w:val="5"/>
        </w:rPr>
      </w:pPr>
    </w:p>
    <w:p>
      <w:pPr>
        <w:tabs>
          <w:tab w:pos="7344" w:val="left" w:leader="none"/>
        </w:tabs>
        <w:spacing w:line="43" w:lineRule="exact"/>
        <w:ind w:left="4418" w:right="0" w:firstLine="0"/>
        <w:rPr>
          <w:rFonts w:ascii="Times New Roman" w:hAnsi="Times New Roman" w:cs="Times New Roman" w:eastAsia="Times New Roman" w:hint="default"/>
          <w:sz w:val="4"/>
          <w:szCs w:val="4"/>
        </w:rPr>
      </w:pPr>
      <w:r>
        <w:rPr>
          <w:rFonts w:ascii="Times New Roman"/>
          <w:position w:val="0"/>
          <w:sz w:val="4"/>
        </w:rPr>
        <w:pict>
          <v:group style="width:123.75pt;height:2.2pt;mso-position-horizontal-relative:char;mso-position-vertical-relative:line" coordorigin="0,0" coordsize="2475,44">
            <v:group style="position:absolute;left:7;top:7;width:2460;height:2" coordorigin="7,7" coordsize="2460,2">
              <v:shape style="position:absolute;left:7;top:7;width:2460;height:2" coordorigin="7,7" coordsize="2460,0" path="m7,7l2467,7e" filled="false" stroked="true" strokeweight=".72pt" strokecolor="#000000">
                <v:path arrowok="t"/>
              </v:shape>
            </v:group>
            <v:group style="position:absolute;left:7;top:36;width:2460;height:2" coordorigin="7,36" coordsize="2460,2">
              <v:shape style="position:absolute;left:7;top:36;width:2460;height:2" coordorigin="7,36" coordsize="2460,0" path="m7,36l2467,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23.75pt;height:2.2pt;mso-position-horizontal-relative:char;mso-position-vertical-relative:line" coordorigin="0,0" coordsize="2475,44">
            <v:group style="position:absolute;left:7;top:7;width:2460;height:2" coordorigin="7,7" coordsize="2460,2">
              <v:shape style="position:absolute;left:7;top:7;width:2460;height:2" coordorigin="7,7" coordsize="2460,0" path="m7,7l2467,7e" filled="false" stroked="true" strokeweight=".72pt" strokecolor="#000000">
                <v:path arrowok="t"/>
              </v:shape>
            </v:group>
            <v:group style="position:absolute;left:7;top:36;width:2460;height:2" coordorigin="7,36" coordsize="2460,2">
              <v:shape style="position:absolute;left:7;top:36;width:2460;height:2" coordorigin="7,36" coordsize="2460,0" path="m7,36l2467,36e" filled="false" stroked="true" strokeweight=".72pt" strokecolor="#000000">
                <v:path arrowok="t"/>
              </v:shape>
            </v:group>
          </v:group>
        </w:pict>
      </w:r>
      <w:r>
        <w:rPr>
          <w:rFonts w:ascii="Times New Roman"/>
          <w:position w:val="0"/>
          <w:sz w:val="4"/>
        </w:rPr>
      </w:r>
    </w:p>
    <w:p>
      <w:pPr>
        <w:spacing w:line="240" w:lineRule="auto" w:before="5"/>
        <w:rPr>
          <w:rFonts w:ascii="Times New Roman" w:hAnsi="Times New Roman" w:cs="Times New Roman" w:eastAsia="Times New Roman" w:hint="default"/>
          <w:sz w:val="26"/>
          <w:szCs w:val="26"/>
        </w:rPr>
      </w:pPr>
    </w:p>
    <w:p>
      <w:pPr>
        <w:pStyle w:val="BodyText"/>
        <w:spacing w:line="240" w:lineRule="auto" w:before="34"/>
        <w:ind w:left="535" w:right="733"/>
        <w:jc w:val="left"/>
      </w:pPr>
      <w:r>
        <w:rPr>
          <w:rFonts w:ascii="Times New Roman" w:hAnsi="Times New Roman" w:cs="Times New Roman" w:eastAsia="Times New Roman" w:hint="default"/>
        </w:rPr>
        <w:t>6</w:t>
      </w:r>
      <w:r>
        <w:rPr/>
        <w:t>、现金流量表补充资料</w:t>
      </w:r>
    </w:p>
    <w:p>
      <w:pPr>
        <w:spacing w:line="240" w:lineRule="auto" w:before="3"/>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5594"/>
        <w:gridCol w:w="336"/>
        <w:gridCol w:w="1690"/>
        <w:gridCol w:w="336"/>
        <w:gridCol w:w="1666"/>
      </w:tblGrid>
      <w:tr>
        <w:trPr>
          <w:trHeight w:val="365" w:hRule="exact"/>
        </w:trPr>
        <w:tc>
          <w:tcPr>
            <w:tcW w:w="55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691" w:hRule="exact"/>
        </w:trPr>
        <w:tc>
          <w:tcPr>
            <w:tcW w:w="5594" w:type="dxa"/>
            <w:tcBorders>
              <w:top w:val="single" w:sz="4" w:space="0" w:color="000000"/>
              <w:left w:val="nil" w:sz="6" w:space="0" w:color="auto"/>
              <w:bottom w:val="nil" w:sz="6" w:space="0" w:color="auto"/>
              <w:right w:val="nil" w:sz="6" w:space="0" w:color="auto"/>
            </w:tcBorders>
          </w:tcPr>
          <w:p>
            <w:pPr>
              <w:pStyle w:val="TableParagraph"/>
              <w:spacing w:line="328" w:lineRule="auto" w:before="25"/>
              <w:ind w:left="110" w:right="23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 净利润</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46,510,932.48</w:t>
            </w:r>
          </w:p>
        </w:tc>
        <w:tc>
          <w:tcPr>
            <w:tcW w:w="336"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35,985,154.18</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加：计提的资产损失准备</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3,187,261.42</w:t>
            </w:r>
          </w:p>
        </w:tc>
        <w:tc>
          <w:tcPr>
            <w:tcW w:w="3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82,340.49</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固定资产折旧、油气资产折耗、生物性生物资产折旧</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771,987.83</w:t>
            </w:r>
          </w:p>
        </w:tc>
        <w:tc>
          <w:tcPr>
            <w:tcW w:w="3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559,650.70</w:t>
            </w:r>
          </w:p>
        </w:tc>
      </w:tr>
      <w:tr>
        <w:trPr>
          <w:trHeight w:val="67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48" w:lineRule="auto" w:before="20"/>
              <w:ind w:left="590" w:right="3563"/>
              <w:jc w:val="left"/>
              <w:rPr>
                <w:rFonts w:ascii="宋体" w:hAnsi="宋体" w:cs="宋体" w:eastAsia="宋体" w:hint="default"/>
                <w:sz w:val="18"/>
                <w:szCs w:val="18"/>
              </w:rPr>
            </w:pPr>
            <w:r>
              <w:rPr>
                <w:rFonts w:ascii="宋体" w:hAnsi="宋体" w:cs="宋体" w:eastAsia="宋体" w:hint="default"/>
                <w:sz w:val="18"/>
                <w:szCs w:val="18"/>
              </w:rPr>
              <w:t>无形资产摊销 长期待摊费用摊销</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37,596.00</w:t>
            </w:r>
          </w:p>
        </w:tc>
        <w:tc>
          <w:tcPr>
            <w:tcW w:w="3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27,572.53</w:t>
            </w:r>
          </w:p>
        </w:tc>
      </w:tr>
      <w:tr>
        <w:trPr>
          <w:trHeight w:val="370"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9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-71,287.80</w:t>
            </w:r>
          </w:p>
        </w:tc>
        <w:tc>
          <w:tcPr>
            <w:tcW w:w="33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15,434.60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020" w:right="960"/>
        </w:sectPr>
      </w:pPr>
    </w:p>
    <w:p>
      <w:pPr>
        <w:spacing w:line="240" w:lineRule="auto" w:before="5"/>
        <w:rPr>
          <w:rFonts w:ascii="宋体" w:hAnsi="宋体" w:cs="宋体" w:eastAsia="宋体" w:hint="default"/>
          <w:sz w:val="3"/>
          <w:szCs w:val="3"/>
        </w:rPr>
      </w:pPr>
    </w:p>
    <w:tbl>
      <w:tblPr>
        <w:tblW w:w="0" w:type="auto"/>
        <w:jc w:val="left"/>
        <w:tblInd w:w="472" w:type="dxa"/>
        <w:tblLayout w:type="fixed"/>
        <w:tblCellMar>
          <w:top w:w="0" w:type="dxa"/>
          <w:left w:w="0" w:type="dxa"/>
          <w:bottom w:w="0" w:type="dxa"/>
          <w:right w:w="0" w:type="dxa"/>
        </w:tblCellMar>
        <w:tblLook w:val="01E0"/>
      </w:tblPr>
      <w:tblGrid>
        <w:gridCol w:w="5594"/>
        <w:gridCol w:w="336"/>
        <w:gridCol w:w="1690"/>
        <w:gridCol w:w="336"/>
        <w:gridCol w:w="1682"/>
      </w:tblGrid>
      <w:tr>
        <w:trPr>
          <w:trHeight w:val="355" w:hRule="exact"/>
        </w:trPr>
        <w:tc>
          <w:tcPr>
            <w:tcW w:w="5594"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36" w:type="dxa"/>
            <w:tcBorders>
              <w:top w:val="single" w:sz="6" w:space="0" w:color="000000"/>
              <w:left w:val="nil" w:sz="6" w:space="0" w:color="auto"/>
              <w:bottom w:val="nil" w:sz="6" w:space="0" w:color="auto"/>
              <w:right w:val="nil" w:sz="6" w:space="0" w:color="auto"/>
            </w:tcBorders>
          </w:tcPr>
          <w:p>
            <w:pPr/>
          </w:p>
        </w:tc>
        <w:tc>
          <w:tcPr>
            <w:tcW w:w="1690"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62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6" w:type="dxa"/>
            <w:tcBorders>
              <w:top w:val="single" w:sz="6" w:space="0" w:color="000000"/>
              <w:left w:val="nil" w:sz="6" w:space="0" w:color="auto"/>
              <w:bottom w:val="nil" w:sz="6" w:space="0" w:color="auto"/>
              <w:right w:val="nil" w:sz="6" w:space="0" w:color="auto"/>
            </w:tcBorders>
          </w:tcPr>
          <w:p>
            <w:pPr/>
          </w:p>
        </w:tc>
        <w:tc>
          <w:tcPr>
            <w:tcW w:w="1682"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6" w:hRule="exact"/>
        </w:trPr>
        <w:tc>
          <w:tcPr>
            <w:tcW w:w="559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590"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
        </w:tc>
      </w:tr>
      <w:tr>
        <w:trPr>
          <w:trHeight w:val="682"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25"/>
              <w:ind w:left="590" w:right="1783"/>
              <w:jc w:val="left"/>
              <w:rPr>
                <w:rFonts w:ascii="宋体" w:hAnsi="宋体" w:cs="宋体" w:eastAsia="宋体" w:hint="default"/>
                <w:sz w:val="18"/>
                <w:szCs w:val="18"/>
              </w:rPr>
            </w:pPr>
            <w:r>
              <w:rPr>
                <w:rFonts w:ascii="宋体" w:hAnsi="宋体" w:cs="宋体" w:eastAsia="宋体" w:hint="default"/>
                <w:spacing w:val="-1"/>
                <w:sz w:val="18"/>
                <w:szCs w:val="18"/>
              </w:rPr>
              <w:t>公允价值变动损失（收益以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pacing w:val="-74"/>
                <w:sz w:val="18"/>
                <w:szCs w:val="18"/>
              </w:rPr>
              <w:t> </w:t>
            </w:r>
            <w:r>
              <w:rPr>
                <w:rFonts w:ascii="宋体" w:hAnsi="宋体" w:cs="宋体" w:eastAsia="宋体" w:hint="default"/>
                <w:sz w:val="18"/>
                <w:szCs w:val="18"/>
              </w:rPr>
              <w:t>财务费用</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r>
        <w:trPr>
          <w:trHeight w:val="346"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90"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-38,356.16</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r>
        <w:trPr>
          <w:trHeight w:val="1022"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20"/>
              <w:ind w:left="590" w:right="1603"/>
              <w:jc w:val="both"/>
              <w:rPr>
                <w:rFonts w:ascii="宋体" w:hAnsi="宋体" w:cs="宋体" w:eastAsia="宋体" w:hint="default"/>
                <w:sz w:val="18"/>
                <w:szCs w:val="18"/>
              </w:rPr>
            </w:pPr>
            <w:r>
              <w:rPr>
                <w:rFonts w:ascii="宋体" w:hAnsi="宋体" w:cs="宋体" w:eastAsia="宋体" w:hint="default"/>
                <w:spacing w:val="-1"/>
                <w:sz w:val="18"/>
                <w:szCs w:val="18"/>
              </w:rPr>
              <w:t>递延所得税资产减少（增加以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pacing w:val="-73"/>
                <w:sz w:val="18"/>
                <w:szCs w:val="18"/>
              </w:rPr>
              <w:t> </w:t>
            </w: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宋体" w:hAnsi="宋体" w:cs="宋体" w:eastAsia="宋体" w:hint="default"/>
                <w:spacing w:val="-73"/>
                <w:sz w:val="18"/>
                <w:szCs w:val="18"/>
              </w:rPr>
              <w:t> </w:t>
            </w:r>
            <w:r>
              <w:rPr>
                <w:rFonts w:ascii="宋体" w:hAnsi="宋体" w:cs="宋体" w:eastAsia="宋体" w:hint="default"/>
                <w:sz w:val="18"/>
                <w:szCs w:val="18"/>
              </w:rPr>
              <w:t>存货的减少（减：增加）</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05" w:right="0"/>
              <w:jc w:val="center"/>
              <w:rPr>
                <w:rFonts w:ascii="Times New Roman" w:hAnsi="Times New Roman" w:cs="Times New Roman" w:eastAsia="Times New Roman" w:hint="default"/>
                <w:sz w:val="18"/>
                <w:szCs w:val="18"/>
              </w:rPr>
            </w:pPr>
            <w:r>
              <w:rPr>
                <w:rFonts w:ascii="Times New Roman"/>
                <w:sz w:val="18"/>
              </w:rPr>
              <w:t>-746,894.58</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1" w:right="0"/>
              <w:jc w:val="center"/>
              <w:rPr>
                <w:rFonts w:ascii="Times New Roman" w:hAnsi="Times New Roman" w:cs="Times New Roman" w:eastAsia="Times New Roman" w:hint="default"/>
                <w:sz w:val="18"/>
                <w:szCs w:val="18"/>
              </w:rPr>
            </w:pPr>
            <w:r>
              <w:rPr>
                <w:rFonts w:ascii="Times New Roman"/>
                <w:sz w:val="18"/>
              </w:rPr>
              <w:t>-8,150,978.06</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88" w:right="0"/>
              <w:jc w:val="left"/>
              <w:rPr>
                <w:rFonts w:ascii="Times New Roman" w:hAnsi="Times New Roman" w:cs="Times New Roman" w:eastAsia="Times New Roman" w:hint="default"/>
                <w:sz w:val="18"/>
                <w:szCs w:val="18"/>
              </w:rPr>
            </w:pPr>
            <w:r>
              <w:rPr>
                <w:rFonts w:ascii="Times New Roman"/>
                <w:sz w:val="18"/>
              </w:rPr>
              <w:t>-121,556.21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1,949,269.48</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23"/>
              <w:jc w:val="righ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-50,282,617.59</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9"/>
              <w:jc w:val="right"/>
              <w:rPr>
                <w:rFonts w:ascii="Times New Roman" w:hAnsi="Times New Roman" w:cs="Times New Roman" w:eastAsia="Times New Roman" w:hint="default"/>
                <w:sz w:val="18"/>
                <w:szCs w:val="18"/>
              </w:rPr>
            </w:pPr>
            <w:r>
              <w:rPr>
                <w:rFonts w:ascii="Times New Roman"/>
                <w:spacing w:val="-1"/>
                <w:sz w:val="18"/>
              </w:rPr>
              <w:t>-7,472,219.91</w:t>
            </w:r>
          </w:p>
        </w:tc>
      </w:tr>
      <w:tr>
        <w:trPr>
          <w:trHeight w:val="341"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23"/>
              <w:jc w:val="righ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18,447,960.42</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1"/>
              <w:jc w:val="right"/>
              <w:rPr>
                <w:rFonts w:ascii="Times New Roman" w:hAnsi="Times New Roman" w:cs="Times New Roman" w:eastAsia="Times New Roman" w:hint="default"/>
                <w:sz w:val="18"/>
                <w:szCs w:val="18"/>
              </w:rPr>
            </w:pPr>
            <w:r>
              <w:rPr>
                <w:rFonts w:ascii="Times New Roman"/>
                <w:spacing w:val="-1"/>
                <w:sz w:val="18"/>
              </w:rPr>
              <w:t>10,593,367.71</w:t>
            </w:r>
          </w:p>
        </w:tc>
      </w:tr>
      <w:tr>
        <w:trPr>
          <w:trHeight w:val="343"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223,865.00</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21"/>
              <w:jc w:val="right"/>
              <w:rPr>
                <w:rFonts w:ascii="Times New Roman" w:hAnsi="Times New Roman" w:cs="Times New Roman" w:eastAsia="Times New Roman" w:hint="default"/>
                <w:sz w:val="18"/>
                <w:szCs w:val="18"/>
              </w:rPr>
            </w:pPr>
            <w:r>
              <w:rPr>
                <w:rFonts w:ascii="Times New Roman"/>
                <w:spacing w:val="-1"/>
                <w:sz w:val="18"/>
              </w:rPr>
              <w:t>-554,845.29</w:t>
            </w:r>
          </w:p>
        </w:tc>
      </w:tr>
      <w:tr>
        <w:trPr>
          <w:trHeight w:val="360"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9,889,468.96</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21"/>
              <w:jc w:val="right"/>
              <w:rPr>
                <w:rFonts w:ascii="Times New Roman" w:hAnsi="Times New Roman" w:cs="Times New Roman" w:eastAsia="Times New Roman" w:hint="default"/>
                <w:sz w:val="18"/>
                <w:szCs w:val="18"/>
              </w:rPr>
            </w:pPr>
            <w:r>
              <w:rPr>
                <w:rFonts w:ascii="Times New Roman"/>
                <w:spacing w:val="-1"/>
                <w:sz w:val="18"/>
              </w:rPr>
              <w:t>41,064,168.28</w:t>
            </w:r>
          </w:p>
        </w:tc>
      </w:tr>
      <w:tr>
        <w:trPr>
          <w:trHeight w:val="696"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39"/>
              <w:ind w:left="110" w:right="23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 债务转为资本</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12" w:space="0" w:color="000000"/>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single" w:sz="12" w:space="0" w:color="000000"/>
              <w:left w:val="nil" w:sz="6" w:space="0" w:color="auto"/>
              <w:bottom w:val="nil" w:sz="6" w:space="0" w:color="auto"/>
              <w:right w:val="nil" w:sz="6" w:space="0" w:color="auto"/>
            </w:tcBorders>
          </w:tcPr>
          <w:p>
            <w:pPr/>
          </w:p>
        </w:tc>
      </w:tr>
      <w:tr>
        <w:trPr>
          <w:trHeight w:val="342"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r>
        <w:trPr>
          <w:trHeight w:val="342"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r>
        <w:trPr>
          <w:trHeight w:val="68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28" w:lineRule="auto" w:before="25"/>
              <w:ind w:left="110" w:right="269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、现金及现金等价物净增加情况： 现金的期末余额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401,623,514.36</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64,772,448.15</w:t>
            </w:r>
          </w:p>
        </w:tc>
      </w:tr>
      <w:tr>
        <w:trPr>
          <w:trHeight w:val="677"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348" w:lineRule="auto" w:before="20"/>
              <w:ind w:left="110" w:right="3323"/>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加：现金等价物的期末余额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64,772,448.15</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1"/>
              <w:jc w:val="right"/>
              <w:rPr>
                <w:rFonts w:ascii="Times New Roman" w:hAnsi="Times New Roman" w:cs="Times New Roman" w:eastAsia="Times New Roman" w:hint="default"/>
                <w:sz w:val="18"/>
                <w:szCs w:val="18"/>
              </w:rPr>
            </w:pPr>
            <w:r>
              <w:rPr>
                <w:rFonts w:ascii="Times New Roman"/>
                <w:spacing w:val="-1"/>
                <w:sz w:val="18"/>
              </w:rPr>
              <w:t>55,576,093.28</w:t>
            </w:r>
          </w:p>
        </w:tc>
      </w:tr>
      <w:tr>
        <w:trPr>
          <w:trHeight w:val="345"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
        </w:tc>
      </w:tr>
      <w:tr>
        <w:trPr>
          <w:trHeight w:val="360" w:hRule="exact"/>
        </w:trPr>
        <w:tc>
          <w:tcPr>
            <w:tcW w:w="55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336,851,066.21</w:t>
            </w:r>
          </w:p>
        </w:tc>
        <w:tc>
          <w:tcPr>
            <w:tcW w:w="336"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21"/>
              <w:jc w:val="right"/>
              <w:rPr>
                <w:rFonts w:ascii="Times New Roman" w:hAnsi="Times New Roman" w:cs="Times New Roman" w:eastAsia="Times New Roman" w:hint="default"/>
                <w:sz w:val="18"/>
                <w:szCs w:val="18"/>
              </w:rPr>
            </w:pPr>
            <w:r>
              <w:rPr>
                <w:rFonts w:ascii="Times New Roman"/>
                <w:spacing w:val="-1"/>
                <w:sz w:val="18"/>
              </w:rPr>
              <w:t>9,196,354.87</w:t>
            </w:r>
          </w:p>
        </w:tc>
      </w:tr>
    </w:tbl>
    <w:p>
      <w:pPr>
        <w:spacing w:line="240" w:lineRule="auto" w:before="2"/>
        <w:rPr>
          <w:rFonts w:ascii="宋体" w:hAnsi="宋体" w:cs="宋体" w:eastAsia="宋体" w:hint="default"/>
          <w:sz w:val="28"/>
          <w:szCs w:val="28"/>
        </w:rPr>
      </w:pPr>
    </w:p>
    <w:p>
      <w:pPr>
        <w:pStyle w:val="BodyText"/>
        <w:spacing w:line="240" w:lineRule="auto" w:before="34"/>
        <w:ind w:left="895" w:right="0"/>
        <w:jc w:val="left"/>
      </w:pPr>
      <w:r>
        <w:rPr/>
        <w:t>十一、关联方关系及其交易</w:t>
      </w:r>
    </w:p>
    <w:p>
      <w:pPr>
        <w:pStyle w:val="BodyText"/>
        <w:spacing w:line="340" w:lineRule="auto" w:before="114"/>
        <w:ind w:left="895" w:right="0"/>
        <w:jc w:val="left"/>
      </w:pPr>
      <w:r>
        <w:rPr/>
        <w:t>（一）关联方关系的认定</w:t>
      </w:r>
      <w:r>
        <w:rPr>
          <w:w w:val="99"/>
        </w:rPr>
        <w:t> </w:t>
      </w:r>
      <w:r>
        <w:rPr>
          <w:w w:val="95"/>
        </w:rPr>
        <w:t>一方控制、共同控制另一方或对另一方施加重大影响，以及两方或两方以上同受一方控制、共同控制</w:t>
      </w:r>
      <w:r>
        <w:rPr/>
      </w:r>
    </w:p>
    <w:p>
      <w:pPr>
        <w:pStyle w:val="BodyText"/>
        <w:spacing w:line="340" w:lineRule="auto" w:before="25"/>
        <w:ind w:left="895" w:right="0" w:hanging="423"/>
        <w:jc w:val="left"/>
      </w:pPr>
      <w:r>
        <w:rPr/>
        <w:t>或重大影响的，构成关联方。</w:t>
      </w:r>
      <w:r>
        <w:rPr>
          <w:w w:val="99"/>
        </w:rPr>
        <w:t> </w:t>
      </w:r>
      <w:r>
        <w:rPr/>
        <w:t>同时，本公司将《上市公司信息披露管理办法》（中国证券监督管理委员会令第 </w:t>
      </w:r>
      <w:r>
        <w:rPr>
          <w:rFonts w:ascii="Times New Roman" w:hAnsi="Times New Roman" w:cs="Times New Roman" w:eastAsia="Times New Roman" w:hint="default"/>
        </w:rPr>
        <w:t>40</w:t>
      </w:r>
      <w:r>
        <w:rPr>
          <w:rFonts w:ascii="Times New Roman" w:hAnsi="Times New Roman" w:cs="Times New Roman" w:eastAsia="Times New Roman" w:hint="default"/>
          <w:spacing w:val="6"/>
        </w:rPr>
        <w:t> </w:t>
      </w:r>
      <w:r>
        <w:rPr/>
        <w:t>号）列举的特定</w:t>
      </w:r>
    </w:p>
    <w:p>
      <w:pPr>
        <w:pStyle w:val="BodyText"/>
        <w:spacing w:line="240" w:lineRule="auto"/>
        <w:ind w:left="472" w:right="0"/>
        <w:jc w:val="left"/>
      </w:pPr>
      <w:r>
        <w:rPr/>
        <w:t>情形下的法人和自然人认定为关联法人和关联自然人。</w:t>
      </w:r>
    </w:p>
    <w:p>
      <w:pPr>
        <w:pStyle w:val="BodyText"/>
        <w:spacing w:line="240" w:lineRule="auto" w:before="116"/>
        <w:ind w:left="895" w:right="0"/>
        <w:jc w:val="left"/>
      </w:pPr>
      <w:r>
        <w:rPr/>
        <w:t>（二）关联方关系</w:t>
      </w:r>
    </w:p>
    <w:p>
      <w:pPr>
        <w:pStyle w:val="BodyText"/>
        <w:spacing w:line="240" w:lineRule="auto" w:before="114"/>
        <w:ind w:left="895" w:right="0"/>
        <w:jc w:val="left"/>
      </w:pPr>
      <w:r>
        <w:rPr>
          <w:rFonts w:ascii="Times New Roman" w:hAnsi="Times New Roman" w:cs="Times New Roman" w:eastAsia="Times New Roman" w:hint="default"/>
        </w:rPr>
        <w:t>1</w:t>
      </w:r>
      <w:r>
        <w:rPr/>
        <w:t>、存在控制关系的关联方</w:t>
      </w:r>
    </w:p>
    <w:p>
      <w:pPr>
        <w:spacing w:after="0" w:line="240" w:lineRule="auto"/>
        <w:jc w:val="left"/>
        <w:sectPr>
          <w:pgSz w:w="11910" w:h="16840"/>
          <w:pgMar w:header="849" w:footer="976" w:top="1460" w:bottom="1160" w:left="660" w:right="1020"/>
        </w:sectPr>
      </w:pPr>
    </w:p>
    <w:p>
      <w:pPr>
        <w:tabs>
          <w:tab w:pos="1816" w:val="left" w:leader="none"/>
          <w:tab w:pos="2927" w:val="left" w:leader="none"/>
          <w:tab w:pos="4339" w:val="left" w:leader="none"/>
          <w:tab w:pos="5407" w:val="left" w:leader="none"/>
        </w:tabs>
        <w:spacing w:before="49"/>
        <w:ind w:left="369" w:right="0" w:firstLine="0"/>
        <w:jc w:val="left"/>
        <w:rPr>
          <w:rFonts w:ascii="宋体" w:hAnsi="宋体" w:cs="宋体" w:eastAsia="宋体" w:hint="default"/>
          <w:sz w:val="15"/>
          <w:szCs w:val="15"/>
        </w:rPr>
      </w:pPr>
      <w:r>
        <w:rPr/>
        <w:pict>
          <v:shape style="position:absolute;margin-left:38.639999pt;margin-top:14.616016pt;width:441pt;height:86.75pt;mso-position-horizontal-relative:page;mso-position-vertical-relative:paragraph;z-index:11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257"/>
                    <w:gridCol w:w="972"/>
                    <w:gridCol w:w="257"/>
                    <w:gridCol w:w="1034"/>
                    <w:gridCol w:w="257"/>
                    <w:gridCol w:w="979"/>
                    <w:gridCol w:w="257"/>
                    <w:gridCol w:w="643"/>
                    <w:gridCol w:w="235"/>
                    <w:gridCol w:w="2669"/>
                  </w:tblGrid>
                  <w:tr>
                    <w:trPr>
                      <w:trHeight w:val="178" w:hRule="exact"/>
                    </w:trPr>
                    <w:tc>
                      <w:tcPr>
                        <w:tcW w:w="5273" w:type="dxa"/>
                        <w:gridSpan w:val="8"/>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single" w:sz="4" w:space="0" w:color="000000"/>
                          <w:right w:val="nil" w:sz="6" w:space="0" w:color="auto"/>
                        </w:tcBorders>
                      </w:tcPr>
                      <w:p>
                        <w:pPr>
                          <w:pStyle w:val="TableParagraph"/>
                          <w:spacing w:line="149" w:lineRule="exact"/>
                          <w:ind w:right="245"/>
                          <w:jc w:val="right"/>
                          <w:rPr>
                            <w:rFonts w:ascii="宋体" w:hAnsi="宋体" w:cs="宋体" w:eastAsia="宋体" w:hint="default"/>
                            <w:sz w:val="15"/>
                            <w:szCs w:val="15"/>
                          </w:rPr>
                        </w:pPr>
                        <w:r>
                          <w:rPr>
                            <w:rFonts w:ascii="宋体" w:hAnsi="宋体" w:cs="宋体" w:eastAsia="宋体" w:hint="default"/>
                            <w:w w:val="99"/>
                            <w:sz w:val="15"/>
                            <w:szCs w:val="15"/>
                          </w:rPr>
                          <w:t>人</w:t>
                        </w:r>
                        <w:r>
                          <w:rPr>
                            <w:rFonts w:ascii="宋体" w:hAnsi="宋体" w:cs="宋体" w:eastAsia="宋体" w:hint="default"/>
                            <w:sz w:val="15"/>
                            <w:szCs w:val="15"/>
                          </w:rPr>
                        </w:r>
                      </w:p>
                    </w:tc>
                    <w:tc>
                      <w:tcPr>
                        <w:tcW w:w="2904" w:type="dxa"/>
                        <w:gridSpan w:val="2"/>
                        <w:vMerge w:val="restart"/>
                        <w:tcBorders>
                          <w:top w:val="nil" w:sz="6" w:space="0" w:color="auto"/>
                          <w:left w:val="nil" w:sz="6" w:space="0" w:color="auto"/>
                          <w:right w:val="nil" w:sz="6" w:space="0" w:color="auto"/>
                        </w:tcBorders>
                      </w:tcPr>
                      <w:p>
                        <w:pPr/>
                      </w:p>
                    </w:tc>
                  </w:tr>
                  <w:tr>
                    <w:trPr>
                      <w:trHeight w:val="277" w:hRule="exact"/>
                    </w:trPr>
                    <w:tc>
                      <w:tcPr>
                        <w:tcW w:w="1260" w:type="dxa"/>
                        <w:tcBorders>
                          <w:top w:val="single" w:sz="4" w:space="0" w:color="000000"/>
                          <w:left w:val="nil" w:sz="6" w:space="0" w:color="auto"/>
                          <w:bottom w:val="nil" w:sz="6" w:space="0" w:color="auto"/>
                          <w:right w:val="nil" w:sz="6" w:space="0" w:color="auto"/>
                        </w:tcBorders>
                      </w:tcPr>
                      <w:p>
                        <w:pPr>
                          <w:pStyle w:val="TableParagraph"/>
                          <w:spacing w:line="172" w:lineRule="exact"/>
                          <w:ind w:left="110" w:right="0"/>
                          <w:jc w:val="left"/>
                          <w:rPr>
                            <w:rFonts w:ascii="宋体" w:hAnsi="宋体" w:cs="宋体" w:eastAsia="宋体" w:hint="default"/>
                            <w:sz w:val="15"/>
                            <w:szCs w:val="15"/>
                          </w:rPr>
                        </w:pPr>
                        <w:r>
                          <w:rPr>
                            <w:rFonts w:ascii="宋体" w:hAnsi="宋体" w:cs="宋体" w:eastAsia="宋体" w:hint="default"/>
                            <w:sz w:val="15"/>
                            <w:szCs w:val="15"/>
                          </w:rPr>
                          <w:t>周炜</w:t>
                        </w:r>
                      </w:p>
                    </w:tc>
                    <w:tc>
                      <w:tcPr>
                        <w:tcW w:w="257" w:type="dxa"/>
                        <w:tcBorders>
                          <w:top w:val="nil" w:sz="6" w:space="0" w:color="auto"/>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Style w:val="TableParagraph"/>
                          <w:spacing w:line="172" w:lineRule="exact"/>
                          <w:ind w:left="110" w:right="0"/>
                          <w:jc w:val="left"/>
                          <w:rPr>
                            <w:rFonts w:ascii="宋体" w:hAnsi="宋体" w:cs="宋体" w:eastAsia="宋体" w:hint="default"/>
                            <w:sz w:val="15"/>
                            <w:szCs w:val="15"/>
                          </w:rPr>
                        </w:pPr>
                        <w:r>
                          <w:rPr>
                            <w:rFonts w:ascii="宋体" w:hAnsi="宋体" w:cs="宋体" w:eastAsia="宋体" w:hint="default"/>
                            <w:sz w:val="15"/>
                            <w:szCs w:val="15"/>
                          </w:rPr>
                          <w:t>自然人</w:t>
                        </w:r>
                      </w:p>
                    </w:tc>
                    <w:tc>
                      <w:tcPr>
                        <w:tcW w:w="257"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实际控制人</w:t>
                        </w:r>
                      </w:p>
                    </w:tc>
                    <w:tc>
                      <w:tcPr>
                        <w:tcW w:w="257" w:type="dxa"/>
                        <w:tcBorders>
                          <w:top w:val="nil" w:sz="6" w:space="0" w:color="auto"/>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single" w:sz="4" w:space="0" w:color="000000"/>
                          <w:left w:val="nil" w:sz="6" w:space="0" w:color="auto"/>
                          <w:bottom w:val="nil" w:sz="6" w:space="0" w:color="auto"/>
                          <w:right w:val="nil" w:sz="6" w:space="0" w:color="auto"/>
                        </w:tcBorders>
                      </w:tcPr>
                      <w:p>
                        <w:pPr/>
                      </w:p>
                    </w:tc>
                    <w:tc>
                      <w:tcPr>
                        <w:tcW w:w="2904" w:type="dxa"/>
                        <w:gridSpan w:val="2"/>
                        <w:vMerge/>
                        <w:tcBorders>
                          <w:left w:val="nil" w:sz="6" w:space="0" w:color="auto"/>
                          <w:right w:val="nil" w:sz="6" w:space="0" w:color="auto"/>
                        </w:tcBorders>
                      </w:tcPr>
                      <w:p>
                        <w:pPr/>
                      </w:p>
                    </w:tc>
                  </w:tr>
                  <w:tr>
                    <w:trPr>
                      <w:trHeight w:val="347"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5"/>
                            <w:szCs w:val="15"/>
                          </w:rPr>
                        </w:pPr>
                        <w:r>
                          <w:rPr>
                            <w:rFonts w:ascii="宋体" w:hAnsi="宋体" w:cs="宋体" w:eastAsia="宋体" w:hint="default"/>
                            <w:sz w:val="15"/>
                            <w:szCs w:val="15"/>
                          </w:rPr>
                          <w:t>王英（注）</w:t>
                        </w:r>
                      </w:p>
                    </w:tc>
                    <w:tc>
                      <w:tcPr>
                        <w:tcW w:w="257"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5"/>
                            <w:szCs w:val="15"/>
                          </w:rPr>
                        </w:pPr>
                        <w:r>
                          <w:rPr>
                            <w:rFonts w:ascii="宋体" w:hAnsi="宋体" w:cs="宋体" w:eastAsia="宋体" w:hint="default"/>
                            <w:sz w:val="15"/>
                            <w:szCs w:val="15"/>
                          </w:rPr>
                          <w:t>自然人</w:t>
                        </w:r>
                      </w:p>
                    </w:tc>
                    <w:tc>
                      <w:tcPr>
                        <w:tcW w:w="25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5"/>
                            <w:szCs w:val="15"/>
                          </w:rPr>
                        </w:pPr>
                        <w:r>
                          <w:rPr>
                            <w:rFonts w:ascii="宋体" w:hAnsi="宋体" w:cs="宋体" w:eastAsia="宋体" w:hint="default"/>
                            <w:sz w:val="15"/>
                            <w:szCs w:val="15"/>
                          </w:rPr>
                          <w:t>实际控制人</w:t>
                        </w:r>
                      </w:p>
                    </w:tc>
                    <w:tc>
                      <w:tcPr>
                        <w:tcW w:w="257"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2904" w:type="dxa"/>
                        <w:gridSpan w:val="2"/>
                        <w:vMerge/>
                        <w:tcBorders>
                          <w:left w:val="nil" w:sz="6" w:space="0" w:color="auto"/>
                          <w:bottom w:val="nil" w:sz="6" w:space="0" w:color="auto"/>
                          <w:right w:val="nil" w:sz="6" w:space="0" w:color="auto"/>
                        </w:tcBorders>
                      </w:tcPr>
                      <w:p>
                        <w:pPr/>
                      </w:p>
                    </w:tc>
                  </w:tr>
                  <w:tr>
                    <w:trPr>
                      <w:trHeight w:val="272"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5"/>
                            <w:szCs w:val="15"/>
                          </w:rPr>
                        </w:pPr>
                        <w:r>
                          <w:rPr>
                            <w:rFonts w:ascii="宋体" w:hAnsi="宋体" w:cs="宋体" w:eastAsia="宋体" w:hint="default"/>
                            <w:sz w:val="15"/>
                            <w:szCs w:val="15"/>
                          </w:rPr>
                          <w:t>上海金仕达卫</w:t>
                        </w:r>
                      </w:p>
                    </w:tc>
                    <w:tc>
                      <w:tcPr>
                        <w:tcW w:w="257"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25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257"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5"/>
                            <w:szCs w:val="15"/>
                          </w:rPr>
                        </w:pPr>
                        <w:r>
                          <w:rPr>
                            <w:rFonts w:ascii="宋体" w:hAnsi="宋体" w:cs="宋体" w:eastAsia="宋体" w:hint="default"/>
                            <w:sz w:val="15"/>
                            <w:szCs w:val="15"/>
                          </w:rPr>
                          <w:t>上海虹口区</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3"/>
                          <w:jc w:val="right"/>
                          <w:rPr>
                            <w:rFonts w:ascii="宋体" w:hAnsi="宋体" w:cs="宋体" w:eastAsia="宋体" w:hint="default"/>
                            <w:sz w:val="15"/>
                            <w:szCs w:val="15"/>
                          </w:rPr>
                        </w:pPr>
                        <w:r>
                          <w:rPr>
                            <w:rFonts w:ascii="宋体" w:hAnsi="宋体" w:cs="宋体" w:eastAsia="宋体" w:hint="default"/>
                            <w:w w:val="95"/>
                            <w:sz w:val="15"/>
                            <w:szCs w:val="15"/>
                          </w:rPr>
                          <w:t>熊海</w:t>
                        </w:r>
                        <w:r>
                          <w:rPr>
                            <w:rFonts w:ascii="宋体" w:hAnsi="宋体" w:cs="宋体" w:eastAsia="宋体" w:hint="default"/>
                            <w:sz w:val="15"/>
                            <w:szCs w:val="15"/>
                          </w:rPr>
                        </w:r>
                      </w:p>
                    </w:tc>
                    <w:tc>
                      <w:tcPr>
                        <w:tcW w:w="235"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tabs>
                            <w:tab w:pos="2476" w:val="right" w:leader="none"/>
                          </w:tabs>
                          <w:spacing w:line="240" w:lineRule="auto" w:before="53"/>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计算机软硬件技</w:t>
                        </w:r>
                        <w:r>
                          <w:rPr>
                            <w:rFonts w:ascii="Times New Roman" w:hAnsi="Times New Roman" w:cs="Times New Roman" w:eastAsia="Times New Roman" w:hint="default"/>
                            <w:position w:val="1"/>
                            <w:sz w:val="15"/>
                            <w:szCs w:val="15"/>
                          </w:rPr>
                          <w:tab/>
                        </w:r>
                        <w:r>
                          <w:rPr>
                            <w:rFonts w:ascii="Times New Roman" w:hAnsi="Times New Roman" w:cs="Times New Roman" w:eastAsia="Times New Roman" w:hint="default"/>
                            <w:position w:val="1"/>
                            <w:sz w:val="15"/>
                            <w:szCs w:val="15"/>
                          </w:rPr>
                          <w:t>66778346-1</w:t>
                        </w:r>
                        <w:r>
                          <w:rPr>
                            <w:rFonts w:ascii="Times New Roman" w:hAnsi="Times New Roman" w:cs="Times New Roman" w:eastAsia="Times New Roman" w:hint="default"/>
                            <w:sz w:val="15"/>
                            <w:szCs w:val="15"/>
                          </w:rPr>
                        </w:r>
                      </w:p>
                    </w:tc>
                  </w:tr>
                  <w:tr>
                    <w:trPr>
                      <w:trHeight w:val="660"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171" w:lineRule="exact"/>
                          <w:ind w:left="110" w:right="0"/>
                          <w:jc w:val="left"/>
                          <w:rPr>
                            <w:rFonts w:ascii="宋体" w:hAnsi="宋体" w:cs="宋体" w:eastAsia="宋体" w:hint="default"/>
                            <w:sz w:val="15"/>
                            <w:szCs w:val="15"/>
                          </w:rPr>
                        </w:pPr>
                        <w:r>
                          <w:rPr>
                            <w:rFonts w:ascii="宋体" w:hAnsi="宋体" w:cs="宋体" w:eastAsia="宋体" w:hint="default"/>
                            <w:sz w:val="15"/>
                            <w:szCs w:val="15"/>
                          </w:rPr>
                          <w:t>宁信息技术有</w:t>
                        </w:r>
                      </w:p>
                      <w:p>
                        <w:pPr>
                          <w:pStyle w:val="TableParagraph"/>
                          <w:spacing w:line="195" w:lineRule="exact"/>
                          <w:ind w:left="11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257"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171" w:lineRule="exact"/>
                          <w:ind w:left="110" w:right="0"/>
                          <w:jc w:val="left"/>
                          <w:rPr>
                            <w:rFonts w:ascii="宋体" w:hAnsi="宋体" w:cs="宋体" w:eastAsia="宋体" w:hint="default"/>
                            <w:sz w:val="15"/>
                            <w:szCs w:val="15"/>
                          </w:rPr>
                        </w:pPr>
                        <w:r>
                          <w:rPr>
                            <w:rFonts w:ascii="宋体" w:hAnsi="宋体" w:cs="宋体" w:eastAsia="宋体" w:hint="default"/>
                            <w:sz w:val="15"/>
                            <w:szCs w:val="15"/>
                          </w:rPr>
                          <w:t>（法人独</w:t>
                        </w:r>
                      </w:p>
                      <w:p>
                        <w:pPr>
                          <w:pStyle w:val="TableParagraph"/>
                          <w:spacing w:line="195" w:lineRule="exact"/>
                          <w:ind w:left="110" w:right="0"/>
                          <w:jc w:val="left"/>
                          <w:rPr>
                            <w:rFonts w:ascii="宋体" w:hAnsi="宋体" w:cs="宋体" w:eastAsia="宋体" w:hint="default"/>
                            <w:sz w:val="15"/>
                            <w:szCs w:val="15"/>
                          </w:rPr>
                        </w:pPr>
                        <w:r>
                          <w:rPr>
                            <w:rFonts w:ascii="宋体" w:hAnsi="宋体" w:cs="宋体" w:eastAsia="宋体" w:hint="default"/>
                            <w:sz w:val="15"/>
                            <w:szCs w:val="15"/>
                          </w:rPr>
                          <w:t>资）</w:t>
                        </w:r>
                      </w:p>
                    </w:tc>
                    <w:tc>
                      <w:tcPr>
                        <w:tcW w:w="25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177" w:lineRule="exact"/>
                          <w:ind w:left="11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武进路</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289</w:t>
                        </w:r>
                      </w:p>
                      <w:p>
                        <w:pPr>
                          <w:pStyle w:val="TableParagraph"/>
                          <w:spacing w:line="201" w:lineRule="exact"/>
                          <w:ind w:left="110" w:right="0"/>
                          <w:jc w:val="left"/>
                          <w:rPr>
                            <w:rFonts w:ascii="宋体" w:hAnsi="宋体" w:cs="宋体" w:eastAsia="宋体" w:hint="default"/>
                            <w:sz w:val="15"/>
                            <w:szCs w:val="15"/>
                          </w:rPr>
                        </w:pPr>
                        <w:r>
                          <w:rPr>
                            <w:rFonts w:ascii="宋体" w:hAnsi="宋体" w:cs="宋体" w:eastAsia="宋体" w:hint="default"/>
                            <w:sz w:val="15"/>
                            <w:szCs w:val="15"/>
                          </w:rPr>
                          <w:t>号</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室</w:t>
                        </w:r>
                      </w:p>
                    </w:tc>
                    <w:tc>
                      <w:tcPr>
                        <w:tcW w:w="25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172" w:lineRule="exact"/>
                          <w:ind w:right="245"/>
                          <w:jc w:val="right"/>
                          <w:rPr>
                            <w:rFonts w:ascii="宋体" w:hAnsi="宋体" w:cs="宋体" w:eastAsia="宋体" w:hint="default"/>
                            <w:sz w:val="15"/>
                            <w:szCs w:val="15"/>
                          </w:rPr>
                        </w:pPr>
                        <w:r>
                          <w:rPr>
                            <w:rFonts w:ascii="宋体" w:hAnsi="宋体" w:cs="宋体" w:eastAsia="宋体" w:hint="default"/>
                            <w:w w:val="99"/>
                            <w:sz w:val="15"/>
                            <w:szCs w:val="15"/>
                          </w:rPr>
                          <w:t>浪</w:t>
                        </w:r>
                        <w:r>
                          <w:rPr>
                            <w:rFonts w:ascii="宋体" w:hAnsi="宋体" w:cs="宋体" w:eastAsia="宋体" w:hint="default"/>
                            <w:sz w:val="15"/>
                            <w:szCs w:val="15"/>
                          </w:rPr>
                        </w:r>
                      </w:p>
                    </w:tc>
                    <w:tc>
                      <w:tcPr>
                        <w:tcW w:w="235"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z w:val="15"/>
                            <w:szCs w:val="15"/>
                          </w:rPr>
                          <w:t>术专业领域内的</w:t>
                        </w:r>
                      </w:p>
                      <w:p>
                        <w:pPr>
                          <w:pStyle w:val="TableParagraph"/>
                          <w:spacing w:line="194" w:lineRule="exact" w:before="19"/>
                          <w:ind w:left="108" w:right="1375"/>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四技</w:t>
                        </w:r>
                        <w:r>
                          <w:rPr>
                            <w:rFonts w:ascii="Times New Roman" w:hAnsi="Times New Roman" w:cs="Times New Roman" w:eastAsia="Times New Roman" w:hint="default"/>
                            <w:sz w:val="15"/>
                            <w:szCs w:val="15"/>
                          </w:rPr>
                          <w:t>”</w:t>
                        </w:r>
                        <w:r>
                          <w:rPr>
                            <w:rFonts w:ascii="宋体" w:hAnsi="宋体" w:cs="宋体" w:eastAsia="宋体" w:hint="default"/>
                            <w:sz w:val="15"/>
                            <w:szCs w:val="15"/>
                          </w:rPr>
                          <w:t>服务，销售</w:t>
                        </w:r>
                        <w:r>
                          <w:rPr>
                            <w:rFonts w:ascii="宋体" w:hAnsi="宋体" w:cs="宋体" w:eastAsia="宋体" w:hint="default"/>
                            <w:w w:val="99"/>
                            <w:sz w:val="15"/>
                            <w:szCs w:val="15"/>
                          </w:rPr>
                          <w:t> </w:t>
                        </w:r>
                        <w:r>
                          <w:rPr>
                            <w:rFonts w:ascii="宋体" w:hAnsi="宋体" w:cs="宋体" w:eastAsia="宋体" w:hint="default"/>
                            <w:sz w:val="15"/>
                            <w:szCs w:val="15"/>
                          </w:rPr>
                          <w:t>计算机及配件</w:t>
                        </w:r>
                      </w:p>
                    </w:tc>
                  </w:tr>
                </w:tbl>
                <w:p>
                  <w:pPr/>
                </w:p>
              </w:txbxContent>
            </v:textbox>
            <w10:wrap type="none"/>
          </v:shape>
        </w:pict>
      </w:r>
      <w:r>
        <w:rPr>
          <w:rFonts w:ascii="宋体" w:hAnsi="宋体" w:cs="宋体" w:eastAsia="宋体" w:hint="default"/>
          <w:w w:val="95"/>
          <w:sz w:val="15"/>
          <w:szCs w:val="15"/>
        </w:rPr>
        <w:t>关联方名称</w:t>
        <w:tab/>
        <w:t>经济性质</w:t>
        <w:tab/>
        <w:t>与本公司关系</w:t>
        <w:tab/>
        <w:t>注册地址</w:t>
        <w:tab/>
      </w:r>
      <w:r>
        <w:rPr>
          <w:rFonts w:ascii="宋体" w:hAnsi="宋体" w:cs="宋体" w:eastAsia="宋体" w:hint="default"/>
          <w:w w:val="95"/>
          <w:position w:val="10"/>
          <w:sz w:val="15"/>
          <w:szCs w:val="15"/>
        </w:rPr>
        <w:t>法定代表</w:t>
      </w:r>
      <w:r>
        <w:rPr>
          <w:rFonts w:ascii="宋体" w:hAnsi="宋体" w:cs="宋体" w:eastAsia="宋体" w:hint="default"/>
          <w:sz w:val="15"/>
          <w:szCs w:val="15"/>
        </w:rPr>
      </w:r>
    </w:p>
    <w:p>
      <w:pPr>
        <w:spacing w:line="240" w:lineRule="auto" w:before="5"/>
        <w:rPr>
          <w:rFonts w:ascii="宋体" w:hAnsi="宋体" w:cs="宋体" w:eastAsia="宋体" w:hint="default"/>
          <w:sz w:val="11"/>
          <w:szCs w:val="11"/>
        </w:rPr>
      </w:pPr>
      <w:r>
        <w:rPr/>
        <w:br w:type="column"/>
      </w:r>
      <w:r>
        <w:rPr>
          <w:rFonts w:ascii="宋体"/>
          <w:sz w:val="11"/>
        </w:rPr>
      </w:r>
    </w:p>
    <w:p>
      <w:pPr>
        <w:tabs>
          <w:tab w:pos="1672" w:val="left" w:leader="none"/>
        </w:tabs>
        <w:spacing w:before="0"/>
        <w:ind w:left="369" w:right="0" w:firstLine="0"/>
        <w:jc w:val="left"/>
        <w:rPr>
          <w:rFonts w:ascii="宋体" w:hAnsi="宋体" w:cs="宋体" w:eastAsia="宋体" w:hint="default"/>
          <w:sz w:val="15"/>
          <w:szCs w:val="15"/>
        </w:rPr>
      </w:pPr>
      <w:r>
        <w:rPr>
          <w:rFonts w:ascii="宋体" w:hAnsi="宋体" w:cs="宋体" w:eastAsia="宋体" w:hint="default"/>
          <w:w w:val="95"/>
          <w:sz w:val="15"/>
          <w:szCs w:val="15"/>
        </w:rPr>
        <w:t>主营业务</w:t>
        <w:tab/>
      </w:r>
      <w:r>
        <w:rPr>
          <w:rFonts w:ascii="宋体" w:hAnsi="宋体" w:cs="宋体" w:eastAsia="宋体" w:hint="default"/>
          <w:sz w:val="15"/>
          <w:szCs w:val="15"/>
        </w:rPr>
        <w:t>组织机构代码</w:t>
      </w:r>
    </w:p>
    <w:p>
      <w:pPr>
        <w:spacing w:after="0"/>
        <w:jc w:val="left"/>
        <w:rPr>
          <w:rFonts w:ascii="宋体" w:hAnsi="宋体" w:cs="宋体" w:eastAsia="宋体" w:hint="default"/>
          <w:sz w:val="15"/>
          <w:szCs w:val="15"/>
        </w:rPr>
        <w:sectPr>
          <w:type w:val="continuous"/>
          <w:pgSz w:w="11910" w:h="16840"/>
          <w:pgMar w:top="1580" w:bottom="280" w:left="660" w:right="1020"/>
          <w:cols w:num="2" w:equalWidth="0">
            <w:col w:w="6005" w:space="295"/>
            <w:col w:w="3930"/>
          </w:cols>
        </w:sectPr>
      </w:pPr>
    </w:p>
    <w:p>
      <w:pPr>
        <w:spacing w:line="240" w:lineRule="auto" w:before="3"/>
        <w:rPr>
          <w:rFonts w:ascii="宋体" w:hAnsi="宋体" w:cs="宋体" w:eastAsia="宋体" w:hint="default"/>
          <w:sz w:val="9"/>
          <w:szCs w:val="9"/>
        </w:rPr>
      </w:pPr>
      <w:r>
        <w:rPr/>
        <w:pict>
          <v:group style="position:absolute;margin-left:56.639999pt;margin-top:75.120026pt;width:63.15pt;height:12.4pt;mso-position-horizontal-relative:page;mso-position-vertical-relative:page;z-index:-624592" coordorigin="1133,1502" coordsize="126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w10:wrap type="none"/>
          </v:group>
        </w:pict>
      </w:r>
    </w:p>
    <w:p>
      <w:pPr>
        <w:spacing w:line="20" w:lineRule="exact"/>
        <w:ind w:left="6259" w:right="0" w:firstLine="0"/>
        <w:rPr>
          <w:rFonts w:ascii="宋体" w:hAnsi="宋体" w:cs="宋体" w:eastAsia="宋体" w:hint="default"/>
          <w:sz w:val="2"/>
          <w:szCs w:val="2"/>
        </w:rPr>
      </w:pPr>
      <w:r>
        <w:rPr>
          <w:rFonts w:ascii="宋体" w:hAnsi="宋体" w:cs="宋体" w:eastAsia="宋体" w:hint="default"/>
          <w:sz w:val="2"/>
          <w:szCs w:val="2"/>
        </w:rPr>
        <w:pict>
          <v:group style="width:70.95pt;height:.5pt;mso-position-horizontal-relative:char;mso-position-vertical-relative:line" coordorigin="0,0" coordsize="1419,10">
            <v:group style="position:absolute;left:5;top:5;width:1409;height:2" coordorigin="5,5" coordsize="1409,2">
              <v:shape style="position:absolute;left:5;top:5;width:1409;height:2" coordorigin="5,5" coordsize="1409,0" path="m5,5l141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80" w:bottom="280" w:left="660" w:right="1020"/>
        </w:sectPr>
      </w:pPr>
    </w:p>
    <w:p>
      <w:pPr>
        <w:tabs>
          <w:tab w:pos="1816" w:val="left" w:leader="none"/>
          <w:tab w:pos="2927" w:val="left" w:leader="none"/>
          <w:tab w:pos="4339" w:val="left" w:leader="none"/>
          <w:tab w:pos="5407" w:val="left" w:leader="none"/>
        </w:tabs>
        <w:spacing w:line="246" w:lineRule="exact" w:before="25"/>
        <w:ind w:left="369" w:right="0" w:firstLine="0"/>
        <w:jc w:val="left"/>
        <w:rPr>
          <w:rFonts w:ascii="宋体" w:hAnsi="宋体" w:cs="宋体" w:eastAsia="宋体" w:hint="default"/>
          <w:sz w:val="15"/>
          <w:szCs w:val="15"/>
        </w:rPr>
      </w:pPr>
      <w:r>
        <w:rPr/>
        <w:pict>
          <v:group style="position:absolute;margin-left:56.279999pt;margin-top:1.209744pt;width:482.65pt;height:12.4pt;mso-position-horizontal-relative:page;mso-position-vertical-relative:paragraph;z-index:-624424" coordorigin="1126,24" coordsize="9653,248">
            <v:shape style="position:absolute;left:1135;top:24;width:797;height:144" type="#_x0000_t75" stroked="false">
              <v:imagedata r:id="rId8" o:title=""/>
            </v:shape>
            <v:shape style="position:absolute;left:1966;top:24;width:430;height:101" type="#_x0000_t75" stroked="false">
              <v:imagedata r:id="rId9" o:title=""/>
            </v:shape>
            <v:group style="position:absolute;left:1133;top:178;width:1251;height:94" coordorigin="1133,178" coordsize="1251,94">
              <v:shape style="position:absolute;left:1133;top:178;width:1251;height:94" coordorigin="1133,178" coordsize="1251,94" path="m1133,271l1227,257,1312,245,1407,234,1511,224,1646,213,1819,202,2383,178,1133,271xe" filled="true" fillcolor="#074278" stroked="false">
                <v:path arrowok="t"/>
                <v:fill type="solid"/>
              </v:shape>
            </v:group>
            <v:group style="position:absolute;left:1133;top:43;width:9639;height:2" coordorigin="1133,43" coordsize="9639,2">
              <v:shape style="position:absolute;left:1133;top:43;width:9639;height:2" coordorigin="1133,43" coordsize="9639,0" path="m1133,43l10771,43e" filled="false" stroked="true" strokeweight=".72pt" strokecolor="#000000">
                <v:path arrowok="t"/>
              </v:shape>
            </v:group>
            <w10:wrap type="none"/>
          </v:group>
        </w:pict>
      </w:r>
      <w:r>
        <w:rPr>
          <w:rFonts w:ascii="宋体" w:hAnsi="宋体" w:cs="宋体" w:eastAsia="宋体" w:hint="default"/>
          <w:w w:val="95"/>
          <w:sz w:val="15"/>
          <w:szCs w:val="15"/>
        </w:rPr>
        <w:t>关联方名称</w:t>
        <w:tab/>
        <w:t>经济性质</w:t>
        <w:tab/>
        <w:t>与本公司关系</w:t>
        <w:tab/>
        <w:t>注册地址</w:t>
        <w:tab/>
      </w:r>
      <w:r>
        <w:rPr>
          <w:rFonts w:ascii="宋体" w:hAnsi="宋体" w:cs="宋体" w:eastAsia="宋体" w:hint="default"/>
          <w:w w:val="95"/>
          <w:position w:val="10"/>
          <w:sz w:val="15"/>
          <w:szCs w:val="15"/>
        </w:rPr>
        <w:t>法定代表</w:t>
      </w:r>
      <w:r>
        <w:rPr>
          <w:rFonts w:ascii="宋体" w:hAnsi="宋体" w:cs="宋体" w:eastAsia="宋体" w:hint="default"/>
          <w:sz w:val="15"/>
          <w:szCs w:val="15"/>
        </w:rPr>
      </w:r>
    </w:p>
    <w:p>
      <w:pPr>
        <w:spacing w:line="146" w:lineRule="exact" w:before="0"/>
        <w:ind w:left="0" w:right="221" w:firstLine="0"/>
        <w:jc w:val="right"/>
        <w:rPr>
          <w:rFonts w:ascii="宋体" w:hAnsi="宋体" w:cs="宋体" w:eastAsia="宋体" w:hint="default"/>
          <w:sz w:val="15"/>
          <w:szCs w:val="15"/>
        </w:rPr>
      </w:pPr>
      <w:r>
        <w:rPr/>
        <w:pict>
          <v:group style="position:absolute;margin-left:38.639999pt;margin-top:8.772524pt;width:63pt;height:.1pt;mso-position-horizontal-relative:page;mso-position-vertical-relative:paragraph;z-index:-624400" coordorigin="773,175" coordsize="1260,2">
            <v:shape style="position:absolute;left:773;top:175;width:1260;height:2" coordorigin="773,175" coordsize="1260,0" path="m773,175l2033,175e" filled="false" stroked="true" strokeweight=".48pt" strokecolor="#000000">
              <v:path arrowok="t"/>
            </v:shape>
            <w10:wrap type="none"/>
          </v:group>
        </w:pict>
      </w:r>
      <w:r>
        <w:rPr/>
        <w:pict>
          <v:group style="position:absolute;margin-left:175.919998pt;margin-top:8.772524pt;width:51.75pt;height:.1pt;mso-position-horizontal-relative:page;mso-position-vertical-relative:paragraph;z-index:-624376" coordorigin="3518,175" coordsize="1035,2">
            <v:shape style="position:absolute;left:3518;top:175;width:1035;height:2" coordorigin="3518,175" coordsize="1035,0" path="m3518,175l4553,175e" filled="false" stroked="true" strokeweight=".48pt" strokecolor="#000000">
              <v:path arrowok="t"/>
            </v:shape>
            <w10:wrap type="none"/>
          </v:group>
        </w:pict>
      </w:r>
      <w:r>
        <w:rPr/>
        <w:pict>
          <v:group style="position:absolute;margin-left:240.479996pt;margin-top:8.772524pt;width:49pt;height:.1pt;mso-position-horizontal-relative:page;mso-position-vertical-relative:paragraph;z-index:-624352" coordorigin="4810,175" coordsize="980,2">
            <v:shape style="position:absolute;left:4810;top:175;width:980;height:2" coordorigin="4810,175" coordsize="980,0" path="m4810,175l5789,175e" filled="false" stroked="true" strokeweight=".48pt" strokecolor="#000000">
              <v:path arrowok="t"/>
            </v:shape>
            <w10:wrap type="none"/>
          </v:group>
        </w:pict>
      </w:r>
      <w:r>
        <w:rPr/>
        <w:pict>
          <v:group style="position:absolute;margin-left:302.279999pt;margin-top:8.772524pt;width:32.2pt;height:.1pt;mso-position-horizontal-relative:page;mso-position-vertical-relative:paragraph;z-index:-624328" coordorigin="6046,175" coordsize="644,2">
            <v:shape style="position:absolute;left:6046;top:175;width:644;height:2" coordorigin="6046,175" coordsize="644,0" path="m6046,175l6689,175e" filled="false" stroked="true" strokeweight=".48pt" strokecolor="#000000">
              <v:path arrowok="t"/>
            </v:shape>
            <w10:wrap type="none"/>
          </v:group>
        </w:pict>
      </w:r>
      <w:r>
        <w:rPr/>
        <w:pict>
          <v:group style="position:absolute;margin-left:346.199982pt;margin-top:8.772524pt;width:70.45pt;height:.1pt;mso-position-horizontal-relative:page;mso-position-vertical-relative:paragraph;z-index:-624304" coordorigin="6924,175" coordsize="1409,2">
            <v:shape style="position:absolute;left:6924;top:175;width:1409;height:2" coordorigin="6924,175" coordsize="1409,0" path="m6924,175l8333,175e" filled="false" stroked="true" strokeweight=".48pt" strokecolor="#000000">
              <v:path arrowok="t"/>
            </v:shape>
            <w10:wrap type="none"/>
          </v:group>
        </w:pict>
      </w:r>
      <w:r>
        <w:rPr>
          <w:rFonts w:ascii="宋体" w:hAnsi="宋体" w:cs="宋体" w:eastAsia="宋体" w:hint="default"/>
          <w:w w:val="99"/>
          <w:sz w:val="15"/>
          <w:szCs w:val="15"/>
        </w:rPr>
        <w:t>人</w:t>
      </w:r>
      <w:r>
        <w:rPr>
          <w:rFonts w:ascii="宋体" w:hAnsi="宋体" w:cs="宋体" w:eastAsia="宋体" w:hint="default"/>
          <w:sz w:val="15"/>
          <w:szCs w:val="15"/>
        </w:rPr>
      </w:r>
    </w:p>
    <w:p>
      <w:pPr>
        <w:tabs>
          <w:tab w:pos="1672" w:val="left" w:leader="none"/>
        </w:tabs>
        <w:spacing w:before="125"/>
        <w:ind w:left="369" w:right="0" w:firstLine="0"/>
        <w:jc w:val="left"/>
        <w:rPr>
          <w:rFonts w:ascii="宋体" w:hAnsi="宋体" w:cs="宋体" w:eastAsia="宋体" w:hint="default"/>
          <w:sz w:val="15"/>
          <w:szCs w:val="15"/>
        </w:rPr>
      </w:pPr>
      <w:r>
        <w:rPr>
          <w:w w:val="95"/>
        </w:rPr>
        <w:br w:type="column"/>
      </w:r>
      <w:r>
        <w:rPr>
          <w:rFonts w:ascii="宋体" w:hAnsi="宋体" w:cs="宋体" w:eastAsia="宋体" w:hint="default"/>
          <w:w w:val="95"/>
          <w:sz w:val="15"/>
          <w:szCs w:val="15"/>
        </w:rPr>
        <w:t>主营业务</w:t>
        <w:tab/>
      </w:r>
      <w:r>
        <w:rPr>
          <w:rFonts w:ascii="宋体" w:hAnsi="宋体" w:cs="宋体" w:eastAsia="宋体" w:hint="default"/>
          <w:sz w:val="15"/>
          <w:szCs w:val="15"/>
        </w:rPr>
        <w:t>组织机构代码</w:t>
      </w:r>
    </w:p>
    <w:p>
      <w:pPr>
        <w:spacing w:after="0"/>
        <w:jc w:val="left"/>
        <w:rPr>
          <w:rFonts w:ascii="宋体" w:hAnsi="宋体" w:cs="宋体" w:eastAsia="宋体" w:hint="default"/>
          <w:sz w:val="15"/>
          <w:szCs w:val="15"/>
        </w:rPr>
        <w:sectPr>
          <w:pgSz w:w="11910" w:h="16840"/>
          <w:pgMar w:header="849" w:footer="976" w:top="1460" w:bottom="1160" w:left="660" w:right="960"/>
          <w:cols w:num="2" w:equalWidth="0">
            <w:col w:w="6005" w:space="295"/>
            <w:col w:w="3990"/>
          </w:cols>
        </w:sectPr>
      </w:pPr>
    </w:p>
    <w:p>
      <w:pPr>
        <w:spacing w:line="237" w:lineRule="auto" w:before="12"/>
        <w:ind w:left="223" w:right="0" w:firstLine="0"/>
        <w:jc w:val="both"/>
        <w:rPr>
          <w:rFonts w:ascii="宋体" w:hAnsi="宋体" w:cs="宋体" w:eastAsia="宋体" w:hint="default"/>
          <w:sz w:val="15"/>
          <w:szCs w:val="15"/>
        </w:rPr>
      </w:pPr>
      <w:r>
        <w:rPr>
          <w:rFonts w:ascii="宋体" w:hAnsi="宋体" w:cs="宋体" w:eastAsia="宋体" w:hint="default"/>
          <w:w w:val="95"/>
          <w:sz w:val="15"/>
          <w:szCs w:val="15"/>
        </w:rPr>
        <w:t>江苏金仕达卫</w:t>
      </w:r>
      <w:r>
        <w:rPr>
          <w:rFonts w:ascii="宋体" w:hAnsi="宋体" w:cs="宋体" w:eastAsia="宋体" w:hint="default"/>
          <w:spacing w:val="-30"/>
          <w:w w:val="95"/>
          <w:sz w:val="15"/>
          <w:szCs w:val="15"/>
        </w:rPr>
        <w:t> </w:t>
      </w:r>
      <w:r>
        <w:rPr>
          <w:rFonts w:ascii="宋体" w:hAnsi="宋体" w:cs="宋体" w:eastAsia="宋体" w:hint="default"/>
          <w:spacing w:val="-30"/>
          <w:w w:val="95"/>
          <w:sz w:val="15"/>
          <w:szCs w:val="15"/>
        </w:rPr>
      </w:r>
      <w:r>
        <w:rPr>
          <w:rFonts w:ascii="宋体" w:hAnsi="宋体" w:cs="宋体" w:eastAsia="宋体" w:hint="default"/>
          <w:w w:val="95"/>
          <w:sz w:val="15"/>
          <w:szCs w:val="15"/>
        </w:rPr>
        <w:t>宁软件有限公</w:t>
      </w:r>
      <w:r>
        <w:rPr>
          <w:rFonts w:ascii="宋体" w:hAnsi="宋体" w:cs="宋体" w:eastAsia="宋体" w:hint="default"/>
          <w:spacing w:val="-30"/>
          <w:w w:val="95"/>
          <w:sz w:val="15"/>
          <w:szCs w:val="15"/>
        </w:rPr>
        <w:t> </w:t>
      </w:r>
      <w:r>
        <w:rPr>
          <w:rFonts w:ascii="宋体" w:hAnsi="宋体" w:cs="宋体" w:eastAsia="宋体" w:hint="default"/>
          <w:spacing w:val="-30"/>
          <w:w w:val="95"/>
          <w:sz w:val="15"/>
          <w:szCs w:val="15"/>
        </w:rPr>
      </w:r>
      <w:r>
        <w:rPr>
          <w:rFonts w:ascii="宋体" w:hAnsi="宋体" w:cs="宋体" w:eastAsia="宋体" w:hint="default"/>
          <w:sz w:val="15"/>
          <w:szCs w:val="15"/>
        </w:rPr>
        <w:t>司</w:t>
      </w:r>
    </w:p>
    <w:p>
      <w:pPr>
        <w:spacing w:line="240" w:lineRule="auto" w:before="0"/>
        <w:rPr>
          <w:rFonts w:ascii="宋体" w:hAnsi="宋体" w:cs="宋体" w:eastAsia="宋体" w:hint="default"/>
          <w:sz w:val="2"/>
          <w:szCs w:val="2"/>
        </w:rPr>
      </w:pPr>
      <w:r>
        <w:rPr/>
        <w:br w:type="column"/>
      </w:r>
      <w:r>
        <w:rPr>
          <w:rFonts w:ascii="宋体"/>
          <w:sz w:val="2"/>
        </w:rPr>
      </w:r>
    </w:p>
    <w:p>
      <w:pPr>
        <w:spacing w:line="20" w:lineRule="exact"/>
        <w:ind w:left="108" w:right="-320" w:firstLine="0"/>
        <w:rPr>
          <w:rFonts w:ascii="宋体" w:hAnsi="宋体" w:cs="宋体" w:eastAsia="宋体" w:hint="default"/>
          <w:sz w:val="2"/>
          <w:szCs w:val="2"/>
        </w:rPr>
      </w:pPr>
      <w:r>
        <w:rPr>
          <w:rFonts w:ascii="宋体" w:hAnsi="宋体" w:cs="宋体" w:eastAsia="宋体" w:hint="default"/>
          <w:sz w:val="2"/>
          <w:szCs w:val="2"/>
        </w:rPr>
        <w:pict>
          <v:group style="width:49.1pt;height:.5pt;mso-position-horizontal-relative:char;mso-position-vertical-relative:line" coordorigin="0,0" coordsize="982,10">
            <v:group style="position:absolute;left:5;top:5;width:972;height:2" coordorigin="5,5" coordsize="972,2">
              <v:shape style="position:absolute;left:5;top:5;width:972;height:2" coordorigin="5,5" coordsize="972,0" path="m5,5l977,5e" filled="false" stroked="true" strokeweight=".48pt" strokecolor="#000000">
                <v:path arrowok="t"/>
              </v:shape>
            </v:group>
          </v:group>
        </w:pict>
      </w:r>
      <w:r>
        <w:rPr>
          <w:rFonts w:ascii="宋体" w:hAnsi="宋体" w:cs="宋体" w:eastAsia="宋体" w:hint="default"/>
          <w:sz w:val="2"/>
          <w:szCs w:val="2"/>
        </w:rPr>
      </w:r>
    </w:p>
    <w:p>
      <w:pPr>
        <w:spacing w:line="157" w:lineRule="exact" w:before="0"/>
        <w:ind w:left="223" w:right="0" w:firstLine="0"/>
        <w:jc w:val="left"/>
        <w:rPr>
          <w:rFonts w:ascii="宋体" w:hAnsi="宋体" w:cs="宋体" w:eastAsia="宋体" w:hint="default"/>
          <w:sz w:val="15"/>
          <w:szCs w:val="15"/>
        </w:rPr>
      </w:pPr>
      <w:r>
        <w:rPr>
          <w:rFonts w:ascii="宋体" w:hAnsi="宋体" w:cs="宋体" w:eastAsia="宋体" w:hint="default"/>
          <w:w w:val="95"/>
          <w:sz w:val="15"/>
          <w:szCs w:val="15"/>
        </w:rPr>
        <w:t>有限公司</w:t>
      </w:r>
      <w:r>
        <w:rPr>
          <w:rFonts w:ascii="宋体" w:hAnsi="宋体" w:cs="宋体" w:eastAsia="宋体" w:hint="default"/>
          <w:sz w:val="15"/>
          <w:szCs w:val="15"/>
        </w:rPr>
      </w:r>
    </w:p>
    <w:p>
      <w:pPr>
        <w:spacing w:line="240" w:lineRule="auto" w:before="0"/>
        <w:ind w:left="223" w:right="0" w:firstLine="0"/>
        <w:jc w:val="left"/>
        <w:rPr>
          <w:rFonts w:ascii="宋体" w:hAnsi="宋体" w:cs="宋体" w:eastAsia="宋体" w:hint="default"/>
          <w:sz w:val="15"/>
          <w:szCs w:val="15"/>
        </w:rPr>
      </w:pPr>
      <w:r>
        <w:rPr>
          <w:rFonts w:ascii="宋体" w:hAnsi="宋体" w:cs="宋体" w:eastAsia="宋体" w:hint="default"/>
          <w:w w:val="95"/>
          <w:sz w:val="15"/>
          <w:szCs w:val="15"/>
        </w:rPr>
        <w:t>（法人独</w:t>
      </w:r>
      <w:r>
        <w:rPr>
          <w:rFonts w:ascii="宋体" w:hAnsi="宋体" w:cs="宋体" w:eastAsia="宋体" w:hint="default"/>
          <w:spacing w:val="-45"/>
          <w:w w:val="95"/>
          <w:sz w:val="15"/>
          <w:szCs w:val="15"/>
        </w:rPr>
        <w:t> </w:t>
      </w:r>
      <w:r>
        <w:rPr>
          <w:rFonts w:ascii="宋体" w:hAnsi="宋体" w:cs="宋体" w:eastAsia="宋体" w:hint="default"/>
          <w:spacing w:val="-45"/>
          <w:w w:val="95"/>
          <w:sz w:val="15"/>
          <w:szCs w:val="15"/>
        </w:rPr>
      </w:r>
      <w:r>
        <w:rPr>
          <w:rFonts w:ascii="宋体" w:hAnsi="宋体" w:cs="宋体" w:eastAsia="宋体" w:hint="default"/>
          <w:sz w:val="15"/>
          <w:szCs w:val="15"/>
        </w:rPr>
        <w:t>资）</w:t>
      </w:r>
    </w:p>
    <w:p>
      <w:pPr>
        <w:spacing w:line="237" w:lineRule="auto" w:before="12"/>
        <w:ind w:left="1332" w:right="0" w:hanging="1109"/>
        <w:jc w:val="both"/>
        <w:rPr>
          <w:rFonts w:ascii="宋体" w:hAnsi="宋体" w:cs="宋体" w:eastAsia="宋体" w:hint="default"/>
          <w:sz w:val="15"/>
          <w:szCs w:val="15"/>
        </w:rPr>
      </w:pPr>
      <w:r>
        <w:rPr/>
        <w:br w:type="column"/>
      </w:r>
      <w:r>
        <w:rPr>
          <w:rFonts w:ascii="宋体" w:hAnsi="宋体" w:cs="宋体" w:eastAsia="宋体" w:hint="default"/>
          <w:sz w:val="15"/>
          <w:szCs w:val="15"/>
        </w:rPr>
        <w:t>子公司</w:t>
      </w:r>
      <w:r>
        <w:rPr>
          <w:rFonts w:ascii="宋体" w:hAnsi="宋体" w:cs="宋体" w:eastAsia="宋体" w:hint="default"/>
          <w:spacing w:val="56"/>
          <w:sz w:val="15"/>
          <w:szCs w:val="15"/>
        </w:rPr>
        <w:t> </w:t>
      </w:r>
      <w:r>
        <w:rPr>
          <w:rFonts w:ascii="宋体" w:hAnsi="宋体" w:cs="宋体" w:eastAsia="宋体" w:hint="default"/>
          <w:sz w:val="15"/>
          <w:szCs w:val="15"/>
        </w:rPr>
        <w:t>常州市新北</w:t>
      </w:r>
      <w:r>
        <w:rPr>
          <w:rFonts w:ascii="宋体" w:hAnsi="宋体" w:cs="宋体" w:eastAsia="宋体" w:hint="default"/>
          <w:w w:val="99"/>
          <w:sz w:val="15"/>
          <w:szCs w:val="15"/>
        </w:rPr>
        <w:t> </w:t>
      </w:r>
      <w:r>
        <w:rPr>
          <w:rFonts w:ascii="宋体" w:hAnsi="宋体" w:cs="宋体" w:eastAsia="宋体" w:hint="default"/>
          <w:sz w:val="15"/>
          <w:szCs w:val="15"/>
        </w:rPr>
        <w:t>区太湖东路</w:t>
      </w:r>
      <w:r>
        <w:rPr>
          <w:rFonts w:ascii="宋体" w:hAnsi="宋体" w:cs="宋体" w:eastAsia="宋体" w:hint="default"/>
          <w:w w:val="99"/>
          <w:sz w:val="15"/>
          <w:szCs w:val="15"/>
        </w:rPr>
        <w:t> </w:t>
      </w:r>
      <w:r>
        <w:rPr>
          <w:rFonts w:ascii="Times New Roman" w:hAnsi="Times New Roman" w:cs="Times New Roman" w:eastAsia="Times New Roman" w:hint="default"/>
          <w:sz w:val="15"/>
          <w:szCs w:val="15"/>
        </w:rPr>
        <w:t>9-2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楼</w:t>
      </w:r>
    </w:p>
    <w:p>
      <w:pPr>
        <w:tabs>
          <w:tab w:pos="1039" w:val="left" w:leader="none"/>
        </w:tabs>
        <w:spacing w:line="237" w:lineRule="auto" w:before="12"/>
        <w:ind w:left="1039" w:right="0" w:hanging="816"/>
        <w:jc w:val="left"/>
        <w:rPr>
          <w:rFonts w:ascii="宋体" w:hAnsi="宋体" w:cs="宋体" w:eastAsia="宋体" w:hint="default"/>
          <w:sz w:val="15"/>
          <w:szCs w:val="15"/>
        </w:rPr>
      </w:pPr>
      <w:r>
        <w:rPr>
          <w:w w:val="95"/>
        </w:rPr>
        <w:br w:type="column"/>
      </w:r>
      <w:r>
        <w:rPr>
          <w:rFonts w:ascii="宋体" w:hAnsi="宋体" w:cs="宋体" w:eastAsia="宋体" w:hint="default"/>
          <w:w w:val="95"/>
          <w:sz w:val="15"/>
          <w:szCs w:val="15"/>
        </w:rPr>
        <w:t>孙凯</w:t>
        <w:tab/>
        <w:t>计算机软件的技术</w:t>
      </w:r>
      <w:r>
        <w:rPr>
          <w:rFonts w:ascii="宋体" w:hAnsi="宋体" w:cs="宋体" w:eastAsia="宋体" w:hint="default"/>
          <w:w w:val="89"/>
          <w:sz w:val="15"/>
          <w:szCs w:val="15"/>
        </w:rPr>
        <w:t> </w:t>
      </w:r>
      <w:r>
        <w:rPr>
          <w:rFonts w:ascii="宋体" w:hAnsi="宋体" w:cs="宋体" w:eastAsia="宋体" w:hint="default"/>
          <w:w w:val="85"/>
          <w:sz w:val="15"/>
          <w:szCs w:val="15"/>
        </w:rPr>
        <w:t>开发、设计和制作、</w:t>
      </w:r>
      <w:r>
        <w:rPr>
          <w:rFonts w:ascii="宋体" w:hAnsi="宋体" w:cs="宋体" w:eastAsia="宋体" w:hint="default"/>
          <w:w w:val="79"/>
          <w:sz w:val="15"/>
          <w:szCs w:val="15"/>
        </w:rPr>
        <w:t> </w:t>
      </w:r>
      <w:r>
        <w:rPr>
          <w:rFonts w:ascii="宋体" w:hAnsi="宋体" w:cs="宋体" w:eastAsia="宋体" w:hint="default"/>
          <w:w w:val="95"/>
          <w:sz w:val="15"/>
          <w:szCs w:val="15"/>
        </w:rPr>
        <w:t>技术咨询和技术服</w:t>
      </w:r>
      <w:r>
        <w:rPr>
          <w:rFonts w:ascii="宋体" w:hAnsi="宋体" w:cs="宋体" w:eastAsia="宋体" w:hint="default"/>
          <w:w w:val="89"/>
          <w:sz w:val="15"/>
          <w:szCs w:val="15"/>
        </w:rPr>
        <w:t> </w:t>
      </w:r>
      <w:r>
        <w:rPr>
          <w:rFonts w:ascii="宋体" w:hAnsi="宋体" w:cs="宋体" w:eastAsia="宋体" w:hint="default"/>
          <w:w w:val="95"/>
          <w:sz w:val="15"/>
          <w:szCs w:val="15"/>
        </w:rPr>
        <w:t>务及计算机配件的</w:t>
      </w:r>
      <w:r>
        <w:rPr>
          <w:rFonts w:ascii="宋体" w:hAnsi="宋体" w:cs="宋体" w:eastAsia="宋体" w:hint="default"/>
          <w:w w:val="89"/>
          <w:sz w:val="15"/>
          <w:szCs w:val="15"/>
        </w:rPr>
        <w:t> </w:t>
      </w:r>
      <w:r>
        <w:rPr>
          <w:rFonts w:ascii="宋体" w:hAnsi="宋体" w:cs="宋体" w:eastAsia="宋体" w:hint="default"/>
          <w:spacing w:val="-4"/>
          <w:w w:val="90"/>
          <w:sz w:val="15"/>
          <w:szCs w:val="15"/>
        </w:rPr>
        <w:t>销售；计算机网络信</w:t>
      </w:r>
      <w:r>
        <w:rPr>
          <w:rFonts w:ascii="宋体" w:hAnsi="宋体" w:cs="宋体" w:eastAsia="宋体" w:hint="default"/>
          <w:w w:val="89"/>
          <w:sz w:val="15"/>
          <w:szCs w:val="15"/>
        </w:rPr>
        <w:t> </w:t>
      </w:r>
      <w:r>
        <w:rPr>
          <w:rFonts w:ascii="宋体" w:hAnsi="宋体" w:cs="宋体" w:eastAsia="宋体" w:hint="default"/>
          <w:w w:val="95"/>
          <w:sz w:val="15"/>
          <w:szCs w:val="15"/>
        </w:rPr>
        <w:t>息系统集成的维护</w:t>
      </w:r>
      <w:r>
        <w:rPr>
          <w:rFonts w:ascii="宋体" w:hAnsi="宋体" w:cs="宋体" w:eastAsia="宋体" w:hint="default"/>
          <w:sz w:val="15"/>
          <w:szCs w:val="15"/>
        </w:rPr>
      </w:r>
    </w:p>
    <w:p>
      <w:pPr>
        <w:spacing w:line="240" w:lineRule="auto" w:before="0"/>
        <w:rPr>
          <w:rFonts w:ascii="宋体" w:hAnsi="宋体" w:cs="宋体" w:eastAsia="宋体" w:hint="default"/>
          <w:sz w:val="2"/>
          <w:szCs w:val="2"/>
        </w:rPr>
      </w:pPr>
      <w:r>
        <w:rPr/>
        <w:br w:type="column"/>
      </w:r>
      <w:r>
        <w:rPr>
          <w:rFonts w:ascii="宋体"/>
          <w:sz w:val="2"/>
        </w:rPr>
      </w: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0">
                <v:path arrowok="t"/>
              </v:shape>
            </v:group>
          </v:group>
        </w:pict>
      </w:r>
      <w:r>
        <w:rPr>
          <w:rFonts w:ascii="宋体" w:hAnsi="宋体" w:cs="宋体" w:eastAsia="宋体" w:hint="default"/>
          <w:sz w:val="2"/>
          <w:szCs w:val="2"/>
        </w:rPr>
      </w:r>
    </w:p>
    <w:p>
      <w:pPr>
        <w:spacing w:before="0"/>
        <w:ind w:left="223" w:right="0" w:firstLine="0"/>
        <w:jc w:val="left"/>
        <w:rPr>
          <w:rFonts w:ascii="Times New Roman" w:hAnsi="Times New Roman" w:cs="Times New Roman" w:eastAsia="Times New Roman" w:hint="default"/>
          <w:sz w:val="15"/>
          <w:szCs w:val="15"/>
        </w:rPr>
      </w:pPr>
      <w:r>
        <w:rPr>
          <w:rFonts w:ascii="Times New Roman"/>
          <w:sz w:val="15"/>
        </w:rPr>
        <w:t>55804351-X</w:t>
      </w:r>
    </w:p>
    <w:p>
      <w:pPr>
        <w:spacing w:after="0"/>
        <w:jc w:val="left"/>
        <w:rPr>
          <w:rFonts w:ascii="Times New Roman" w:hAnsi="Times New Roman" w:cs="Times New Roman" w:eastAsia="Times New Roman" w:hint="default"/>
          <w:sz w:val="15"/>
          <w:szCs w:val="15"/>
        </w:rPr>
        <w:sectPr>
          <w:type w:val="continuous"/>
          <w:pgSz w:w="11910" w:h="16840"/>
          <w:pgMar w:top="1580" w:bottom="280" w:left="660" w:right="960"/>
          <w:cols w:num="5" w:equalWidth="0">
            <w:col w:w="1121" w:space="396"/>
            <w:col w:w="821" w:space="590"/>
            <w:col w:w="2093" w:space="311"/>
            <w:col w:w="2232" w:space="230"/>
            <w:col w:w="2496"/>
          </w:cols>
        </w:sectPr>
      </w:pPr>
    </w:p>
    <w:p>
      <w:pPr>
        <w:pStyle w:val="BodyText"/>
        <w:spacing w:line="240" w:lineRule="auto" w:before="48"/>
        <w:ind w:left="895" w:right="0"/>
        <w:jc w:val="left"/>
      </w:pPr>
      <w:r>
        <w:rPr/>
        <w:t>注：王英与周炜系夫妇关系，为本公司实际控制人。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895" w:right="0"/>
        <w:jc w:val="left"/>
      </w:pPr>
      <w:r>
        <w:rPr>
          <w:rFonts w:ascii="Times New Roman" w:hAnsi="Times New Roman" w:cs="Times New Roman" w:eastAsia="Times New Roman" w:hint="default"/>
        </w:rPr>
        <w:t>2</w:t>
      </w:r>
      <w:r>
        <w:rPr/>
        <w:t>、存在控制和共同控制关系的关联方注册资本及变化</w:t>
      </w:r>
    </w:p>
    <w:p>
      <w:pPr>
        <w:tabs>
          <w:tab w:pos="3119" w:val="left" w:leader="none"/>
          <w:tab w:pos="4648" w:val="left" w:leader="none"/>
          <w:tab w:pos="6268" w:val="left" w:leader="none"/>
          <w:tab w:pos="7982" w:val="left" w:leader="none"/>
        </w:tabs>
        <w:spacing w:line="290" w:lineRule="atLeast" w:before="45"/>
        <w:ind w:left="223" w:right="1761" w:firstLine="612"/>
        <w:jc w:val="left"/>
        <w:rPr>
          <w:rFonts w:ascii="宋体" w:hAnsi="宋体" w:cs="宋体" w:eastAsia="宋体" w:hint="default"/>
          <w:sz w:val="18"/>
          <w:szCs w:val="18"/>
        </w:rPr>
      </w:pPr>
      <w:r>
        <w:rPr/>
        <w:pict>
          <v:group style="position:absolute;margin-left:38.639999pt;margin-top:21.004395pt;width:117pt;height:.1pt;mso-position-horizontal-relative:page;mso-position-vertical-relative:paragraph;z-index:-624280" coordorigin="773,420" coordsize="2340,2">
            <v:shape style="position:absolute;left:773;top:420;width:2340;height:2" coordorigin="773,420" coordsize="2340,0" path="m773,420l3113,420e" filled="false" stroked="true" strokeweight=".48pt" strokecolor="#000000">
              <v:path arrowok="t"/>
            </v:shape>
            <w10:wrap type="none"/>
          </v:group>
        </w:pict>
      </w:r>
      <w:r>
        <w:rPr/>
        <w:pict>
          <v:group style="position:absolute;margin-left:167.87999pt;margin-top:21.004395pt;width:69.150pt;height:.1pt;mso-position-horizontal-relative:page;mso-position-vertical-relative:paragraph;z-index:-624256" coordorigin="3358,420" coordsize="1383,2">
            <v:shape style="position:absolute;left:3358;top:420;width:1383;height:2" coordorigin="3358,420" coordsize="1383,0" path="m3358,420l4740,420e" filled="false" stroked="true" strokeweight=".48pt" strokecolor="#000000">
              <v:path arrowok="t"/>
            </v:shape>
            <w10:wrap type="none"/>
          </v:group>
        </w:pict>
      </w:r>
      <w:r>
        <w:rPr/>
        <w:pict>
          <v:group style="position:absolute;margin-left:248.87999pt;margin-top:21.004395pt;width:69.150pt;height:.1pt;mso-position-horizontal-relative:page;mso-position-vertical-relative:paragraph;z-index:-624232" coordorigin="4978,420" coordsize="1383,2">
            <v:shape style="position:absolute;left:4978;top:420;width:1383;height:2" coordorigin="4978,420" coordsize="1383,0" path="m4978,420l6360,420e" filled="false" stroked="true" strokeweight=".48pt" strokecolor="#000000">
              <v:path arrowok="t"/>
            </v:shape>
            <w10:wrap type="none"/>
          </v:group>
        </w:pict>
      </w:r>
      <w:r>
        <w:rPr/>
        <w:pict>
          <v:group style="position:absolute;margin-left:329.759979pt;margin-top:21.004395pt;width:69.25pt;height:.1pt;mso-position-horizontal-relative:page;mso-position-vertical-relative:paragraph;z-index:-624208" coordorigin="6595,420" coordsize="1385,2">
            <v:shape style="position:absolute;left:6595;top:420;width:1385;height:2" coordorigin="6595,420" coordsize="1385,0" path="m6595,420l7980,420e" filled="false" stroked="true" strokeweight=".48pt" strokecolor="#000000">
              <v:path arrowok="t"/>
            </v:shape>
            <w10:wrap type="none"/>
          </v:group>
        </w:pict>
      </w:r>
      <w:r>
        <w:rPr/>
        <w:pict>
          <v:group style="position:absolute;margin-left:411pt;margin-top:21.004395pt;width:69.150pt;height:.1pt;mso-position-horizontal-relative:page;mso-position-vertical-relative:paragraph;z-index:-624184" coordorigin="8220,420" coordsize="1383,2">
            <v:shape style="position:absolute;left:8220;top:420;width:1383;height:2" coordorigin="8220,420" coordsize="1383,0" path="m8220,420l9602,420e" filled="false" stroked="true" strokeweight=".48pt" strokecolor="#000000">
              <v:path arrowok="t"/>
            </v:shape>
            <w10:wrap type="none"/>
          </v:group>
        </w:pict>
      </w:r>
      <w:r>
        <w:rPr>
          <w:rFonts w:ascii="宋体" w:hAnsi="宋体" w:cs="宋体" w:eastAsia="宋体" w:hint="default"/>
          <w:sz w:val="18"/>
          <w:szCs w:val="18"/>
        </w:rPr>
        <w:t>关联方名称</w:t>
        <w:tab/>
        <w:t>期初数</w:t>
        <w:tab/>
        <w:t>本期增加</w:t>
        <w:tab/>
        <w:t>本期减少</w:t>
        <w:tab/>
        <w:t>期末数 上海金仕达卫宁信息技术</w:t>
      </w:r>
    </w:p>
    <w:p>
      <w:pPr>
        <w:tabs>
          <w:tab w:pos="3028" w:val="left" w:leader="none"/>
          <w:tab w:pos="7891" w:val="left" w:leader="none"/>
        </w:tabs>
        <w:spacing w:line="234" w:lineRule="exact" w:before="0"/>
        <w:ind w:left="22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pacing w:val="-1"/>
          <w:sz w:val="18"/>
          <w:szCs w:val="18"/>
        </w:rPr>
        <w:t>1,000,000.00</w:t>
        <w:tab/>
        <w:t>1,000,000.00</w:t>
      </w:r>
    </w:p>
    <w:p>
      <w:pPr>
        <w:spacing w:line="195" w:lineRule="exact" w:before="0"/>
        <w:ind w:left="223" w:right="0" w:firstLine="0"/>
        <w:jc w:val="left"/>
        <w:rPr>
          <w:rFonts w:ascii="宋体" w:hAnsi="宋体" w:cs="宋体" w:eastAsia="宋体" w:hint="default"/>
          <w:sz w:val="18"/>
          <w:szCs w:val="18"/>
        </w:rPr>
      </w:pPr>
      <w:r>
        <w:rPr>
          <w:rFonts w:ascii="宋体" w:hAnsi="宋体" w:cs="宋体" w:eastAsia="宋体" w:hint="default"/>
          <w:sz w:val="18"/>
          <w:szCs w:val="18"/>
        </w:rPr>
        <w:t>江苏金仕达卫宁软件有限</w:t>
      </w:r>
    </w:p>
    <w:p>
      <w:pPr>
        <w:tabs>
          <w:tab w:pos="2939" w:val="left" w:leader="none"/>
          <w:tab w:pos="7799" w:val="left" w:leader="none"/>
        </w:tabs>
        <w:spacing w:line="274" w:lineRule="exact" w:before="0"/>
        <w:ind w:left="22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公司</w:t>
        <w:tab/>
      </w:r>
      <w:r>
        <w:rPr>
          <w:rFonts w:ascii="Times New Roman" w:hAnsi="Times New Roman" w:cs="Times New Roman" w:eastAsia="Times New Roman" w:hint="default"/>
          <w:spacing w:val="-1"/>
          <w:sz w:val="18"/>
          <w:szCs w:val="18"/>
        </w:rPr>
        <w:t>10,000,000.00</w:t>
        <w:tab/>
        <w:t>10,000,000.00</w:t>
      </w:r>
    </w:p>
    <w:p>
      <w:pPr>
        <w:spacing w:line="240" w:lineRule="auto" w:before="4"/>
        <w:rPr>
          <w:rFonts w:ascii="Times New Roman" w:hAnsi="Times New Roman" w:cs="Times New Roman" w:eastAsia="Times New Roman" w:hint="default"/>
          <w:sz w:val="27"/>
          <w:szCs w:val="27"/>
        </w:rPr>
      </w:pPr>
    </w:p>
    <w:p>
      <w:pPr>
        <w:pStyle w:val="BodyText"/>
        <w:spacing w:line="240" w:lineRule="auto" w:before="34"/>
        <w:ind w:left="895" w:right="0"/>
        <w:jc w:val="left"/>
      </w:pPr>
      <w:r>
        <w:rPr>
          <w:rFonts w:ascii="Times New Roman" w:hAnsi="Times New Roman" w:cs="Times New Roman" w:eastAsia="Times New Roman" w:hint="default"/>
        </w:rPr>
        <w:t>3</w:t>
      </w:r>
      <w:r>
        <w:rPr/>
        <w:t>、存在控制关系的关联方所持股份或权益及其变化</w:t>
      </w:r>
    </w:p>
    <w:p>
      <w:pPr>
        <w:tabs>
          <w:tab w:pos="7079" w:val="left" w:leader="none"/>
        </w:tabs>
        <w:spacing w:line="231" w:lineRule="exact" w:before="99"/>
        <w:ind w:left="3840" w:right="0" w:firstLine="0"/>
        <w:jc w:val="left"/>
        <w:rPr>
          <w:rFonts w:ascii="宋体" w:hAnsi="宋体" w:cs="宋体" w:eastAsia="宋体" w:hint="default"/>
          <w:sz w:val="18"/>
          <w:szCs w:val="18"/>
        </w:rPr>
      </w:pPr>
      <w:r>
        <w:rPr>
          <w:rFonts w:ascii="宋体" w:hAnsi="宋体" w:cs="宋体" w:eastAsia="宋体" w:hint="default"/>
          <w:sz w:val="18"/>
          <w:szCs w:val="18"/>
        </w:rPr>
        <w:t>持股金额</w:t>
        <w:tab/>
        <w:t>持股比例</w:t>
      </w:r>
    </w:p>
    <w:p>
      <w:pPr>
        <w:spacing w:after="0" w:line="231" w:lineRule="exact"/>
        <w:jc w:val="left"/>
        <w:rPr>
          <w:rFonts w:ascii="宋体" w:hAnsi="宋体" w:cs="宋体" w:eastAsia="宋体" w:hint="default"/>
          <w:sz w:val="18"/>
          <w:szCs w:val="18"/>
        </w:rPr>
        <w:sectPr>
          <w:type w:val="continuous"/>
          <w:pgSz w:w="11910" w:h="16840"/>
          <w:pgMar w:top="1580" w:bottom="280" w:left="660" w:right="960"/>
        </w:sectPr>
      </w:pPr>
    </w:p>
    <w:p>
      <w:pPr>
        <w:spacing w:line="180" w:lineRule="exact" w:before="0"/>
        <w:ind w:left="835" w:right="-20" w:firstLine="0"/>
        <w:jc w:val="left"/>
        <w:rPr>
          <w:rFonts w:ascii="宋体" w:hAnsi="宋体" w:cs="宋体" w:eastAsia="宋体" w:hint="default"/>
          <w:sz w:val="18"/>
          <w:szCs w:val="18"/>
        </w:rPr>
      </w:pPr>
      <w:r>
        <w:rPr>
          <w:rFonts w:ascii="宋体" w:hAnsi="宋体" w:cs="宋体" w:eastAsia="宋体" w:hint="default"/>
          <w:sz w:val="18"/>
          <w:szCs w:val="18"/>
        </w:rPr>
        <w:t>关联方名称</w:t>
      </w:r>
    </w:p>
    <w:p>
      <w:pPr>
        <w:spacing w:line="240" w:lineRule="auto" w:before="7"/>
        <w:rPr>
          <w:rFonts w:ascii="宋体" w:hAnsi="宋体" w:cs="宋体" w:eastAsia="宋体" w:hint="default"/>
          <w:sz w:val="19"/>
          <w:szCs w:val="19"/>
        </w:rPr>
      </w:pPr>
    </w:p>
    <w:p>
      <w:pPr>
        <w:spacing w:line="20" w:lineRule="exact"/>
        <w:ind w:left="108" w:right="-305" w:firstLine="0"/>
        <w:rPr>
          <w:rFonts w:ascii="宋体" w:hAnsi="宋体" w:cs="宋体" w:eastAsia="宋体" w:hint="default"/>
          <w:sz w:val="2"/>
          <w:szCs w:val="2"/>
        </w:rPr>
      </w:pPr>
      <w:r>
        <w:rPr>
          <w:rFonts w:ascii="宋体" w:hAnsi="宋体" w:cs="宋体" w:eastAsia="宋体" w:hint="default"/>
          <w:sz w:val="2"/>
          <w:szCs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hAnsi="宋体" w:cs="宋体" w:eastAsia="宋体" w:hint="default"/>
          <w:sz w:val="2"/>
          <w:szCs w:val="2"/>
        </w:rPr>
      </w:r>
    </w:p>
    <w:p>
      <w:pPr>
        <w:spacing w:before="14"/>
        <w:ind w:left="223" w:right="-20" w:firstLine="0"/>
        <w:jc w:val="left"/>
        <w:rPr>
          <w:rFonts w:ascii="宋体" w:hAnsi="宋体" w:cs="宋体" w:eastAsia="宋体" w:hint="default"/>
          <w:sz w:val="18"/>
          <w:szCs w:val="18"/>
        </w:rPr>
      </w:pPr>
      <w:r>
        <w:rPr>
          <w:rFonts w:ascii="宋体" w:hAnsi="宋体" w:cs="宋体" w:eastAsia="宋体" w:hint="default"/>
          <w:sz w:val="18"/>
          <w:szCs w:val="18"/>
        </w:rPr>
        <w:t>周炜—本公司</w:t>
      </w:r>
    </w:p>
    <w:p>
      <w:pPr>
        <w:spacing w:before="105"/>
        <w:ind w:left="223" w:right="-20" w:firstLine="0"/>
        <w:jc w:val="left"/>
        <w:rPr>
          <w:rFonts w:ascii="宋体" w:hAnsi="宋体" w:cs="宋体" w:eastAsia="宋体" w:hint="default"/>
          <w:sz w:val="18"/>
          <w:szCs w:val="18"/>
        </w:rPr>
      </w:pPr>
      <w:r>
        <w:rPr>
          <w:rFonts w:ascii="宋体" w:hAnsi="宋体" w:cs="宋体" w:eastAsia="宋体" w:hint="default"/>
          <w:sz w:val="18"/>
          <w:szCs w:val="18"/>
        </w:rPr>
        <w:t>王英—本公司</w:t>
      </w:r>
    </w:p>
    <w:p>
      <w:pPr>
        <w:spacing w:line="237" w:lineRule="auto" w:before="52"/>
        <w:ind w:left="223" w:right="-20" w:firstLine="0"/>
        <w:jc w:val="left"/>
        <w:rPr>
          <w:rFonts w:ascii="宋体" w:hAnsi="宋体" w:cs="宋体" w:eastAsia="宋体" w:hint="default"/>
          <w:sz w:val="18"/>
          <w:szCs w:val="18"/>
        </w:rPr>
      </w:pPr>
      <w:r>
        <w:rPr>
          <w:rFonts w:ascii="宋体" w:hAnsi="宋体" w:cs="宋体" w:eastAsia="宋体" w:hint="default"/>
          <w:sz w:val="18"/>
          <w:szCs w:val="18"/>
        </w:rPr>
        <w:t>上海金仕达卫宁信息技术 有限公司 江苏金仕达卫宁软件有限 公司</w:t>
      </w:r>
    </w:p>
    <w:p>
      <w:pPr>
        <w:spacing w:line="240" w:lineRule="auto" w:before="7"/>
        <w:rPr>
          <w:rFonts w:ascii="宋体" w:hAnsi="宋体" w:cs="宋体" w:eastAsia="宋体" w:hint="default"/>
          <w:sz w:val="6"/>
          <w:szCs w:val="6"/>
        </w:rPr>
      </w:pPr>
      <w:r>
        <w:rPr/>
        <w:br w:type="column"/>
      </w:r>
      <w:r>
        <w:rPr>
          <w:rFonts w:ascii="宋体"/>
          <w:sz w:val="6"/>
        </w:rPr>
      </w:r>
    </w:p>
    <w:p>
      <w:pPr>
        <w:tabs>
          <w:tab w:pos="3033" w:val="left" w:leader="none"/>
        </w:tabs>
        <w:spacing w:line="20" w:lineRule="exact"/>
        <w:ind w:left="-204" w:right="0" w:firstLine="0"/>
        <w:rPr>
          <w:rFonts w:ascii="宋体" w:hAnsi="宋体" w:cs="宋体" w:eastAsia="宋体" w:hint="default"/>
          <w:sz w:val="2"/>
          <w:szCs w:val="2"/>
        </w:rPr>
      </w:pPr>
      <w:r>
        <w:rPr>
          <w:rFonts w:ascii="宋体"/>
          <w:sz w:val="2"/>
        </w:rPr>
        <w:pict>
          <v:group style="width:150.6pt;height:.5pt;mso-position-horizontal-relative:char;mso-position-vertical-relative:line" coordorigin="0,0" coordsize="3012,10">
            <v:group style="position:absolute;left:5;top:5;width:3003;height:2" coordorigin="5,5" coordsize="3003,2">
              <v:shape style="position:absolute;left:5;top:5;width:3003;height:2" coordorigin="5,5" coordsize="3003,0" path="m5,5l3007,5e" filled="false" stroked="true" strokeweight=".48pt" strokecolor="#000000">
                <v:path arrowok="t"/>
              </v:shape>
            </v:group>
          </v:group>
        </w:pict>
      </w:r>
      <w:r>
        <w:rPr>
          <w:rFonts w:ascii="宋体"/>
          <w:sz w:val="2"/>
        </w:rPr>
      </w:r>
      <w:r>
        <w:rPr>
          <w:rFonts w:ascii="宋体"/>
          <w:sz w:val="2"/>
        </w:rPr>
        <w:tab/>
      </w:r>
      <w:r>
        <w:rPr>
          <w:rFonts w:ascii="宋体"/>
          <w:sz w:val="2"/>
        </w:rPr>
        <w:pict>
          <v:group style="width:150.85pt;height:.5pt;mso-position-horizontal-relative:char;mso-position-vertical-relative:line" coordorigin="0,0" coordsize="3017,10">
            <v:group style="position:absolute;left:5;top:5;width:3008;height:2" coordorigin="5,5" coordsize="3008,2">
              <v:shape style="position:absolute;left:5;top:5;width:3008;height:2" coordorigin="5,5" coordsize="3008,0" path="m5,5l3012,5e" filled="false" stroked="true" strokeweight=".48pt" strokecolor="#000000">
                <v:path arrowok="t"/>
              </v:shape>
            </v:group>
          </v:group>
        </w:pict>
      </w:r>
      <w:r>
        <w:rPr>
          <w:rFonts w:ascii="宋体"/>
          <w:sz w:val="2"/>
        </w:rPr>
      </w:r>
    </w:p>
    <w:p>
      <w:pPr>
        <w:tabs>
          <w:tab w:pos="1843" w:val="left" w:leader="none"/>
          <w:tab w:pos="3460" w:val="left" w:leader="none"/>
          <w:tab w:pos="5085" w:val="left" w:leader="none"/>
        </w:tabs>
        <w:spacing w:before="14"/>
        <w:ind w:left="223" w:right="0" w:firstLine="0"/>
        <w:jc w:val="left"/>
        <w:rPr>
          <w:rFonts w:ascii="宋体" w:hAnsi="宋体" w:cs="宋体" w:eastAsia="宋体" w:hint="default"/>
          <w:sz w:val="18"/>
          <w:szCs w:val="18"/>
        </w:rPr>
      </w:pPr>
      <w:r>
        <w:rPr/>
        <w:pict>
          <v:group style="position:absolute;margin-left:167.87999pt;margin-top:16.731707pt;width:69.150pt;height:.1pt;mso-position-horizontal-relative:page;mso-position-vertical-relative:paragraph;z-index:11656" coordorigin="3358,335" coordsize="1383,2">
            <v:shape style="position:absolute;left:3358;top:335;width:1383;height:2" coordorigin="3358,335" coordsize="1383,0" path="m3358,335l4740,335e" filled="false" stroked="true" strokeweight=".48pt" strokecolor="#000000">
              <v:path arrowok="t"/>
            </v:shape>
            <w10:wrap type="none"/>
          </v:group>
        </w:pict>
      </w:r>
      <w:r>
        <w:rPr/>
        <w:pict>
          <v:group style="position:absolute;margin-left:411pt;margin-top:16.731707pt;width:69.150pt;height:.1pt;mso-position-horizontal-relative:page;mso-position-vertical-relative:paragraph;z-index:11680" coordorigin="8220,335" coordsize="1383,2">
            <v:shape style="position:absolute;left:8220;top:335;width:1383;height:2" coordorigin="8220,335" coordsize="1383,0" path="m8220,335l9602,335e" filled="false" stroked="true" strokeweight=".48pt" strokecolor="#000000">
              <v:path arrowok="t"/>
            </v:shape>
            <w10:wrap type="none"/>
          </v:group>
        </w:pict>
      </w:r>
      <w:r>
        <w:rPr/>
        <w:pict>
          <v:shape style="position:absolute;margin-left:178.25pt;margin-top:16.731707pt;width:283.05pt;height:74.25pt;mso-position-horizontal-relative:page;mso-position-vertical-relative:paragraph;z-index:11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5"/>
                    <w:gridCol w:w="238"/>
                    <w:gridCol w:w="1382"/>
                    <w:gridCol w:w="235"/>
                    <w:gridCol w:w="1385"/>
                    <w:gridCol w:w="240"/>
                    <w:gridCol w:w="1006"/>
                  </w:tblGrid>
                  <w:tr>
                    <w:trPr>
                      <w:trHeight w:val="354"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8,857,047.00</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8,857,047.00</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16.56%</w:t>
                        </w:r>
                      </w:p>
                    </w:tc>
                    <w:tc>
                      <w:tcPr>
                        <w:tcW w:w="24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8"/>
                            <w:szCs w:val="18"/>
                          </w:rPr>
                        </w:pPr>
                        <w:r>
                          <w:rPr>
                            <w:rFonts w:ascii="Times New Roman"/>
                            <w:spacing w:val="-1"/>
                            <w:sz w:val="18"/>
                          </w:rPr>
                          <w:t>22.14%</w:t>
                        </w:r>
                      </w:p>
                    </w:tc>
                  </w:tr>
                  <w:tr>
                    <w:trPr>
                      <w:trHeight w:val="371"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pacing w:val="-1"/>
                            <w:sz w:val="18"/>
                          </w:rPr>
                          <w:t>6,642,785.00</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18"/>
                            <w:szCs w:val="18"/>
                          </w:rPr>
                        </w:pPr>
                        <w:r>
                          <w:rPr>
                            <w:rFonts w:ascii="Times New Roman"/>
                            <w:spacing w:val="-1"/>
                            <w:sz w:val="18"/>
                          </w:rPr>
                          <w:t>6,642,785.00</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Times New Roman"/>
                            <w:sz w:val="18"/>
                          </w:rPr>
                          <w:t>12.42%</w:t>
                        </w:r>
                      </w:p>
                    </w:tc>
                    <w:tc>
                      <w:tcPr>
                        <w:tcW w:w="24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pacing w:val="-1"/>
                            <w:sz w:val="18"/>
                          </w:rPr>
                          <w:t>16.61%</w:t>
                        </w:r>
                      </w:p>
                    </w:tc>
                  </w:tr>
                  <w:tr>
                    <w:trPr>
                      <w:trHeight w:val="436"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1,000,000.00</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1,000,000.00</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 w:right="0"/>
                          <w:jc w:val="center"/>
                          <w:rPr>
                            <w:rFonts w:ascii="Times New Roman" w:hAnsi="Times New Roman" w:cs="Times New Roman" w:eastAsia="Times New Roman" w:hint="default"/>
                            <w:sz w:val="18"/>
                            <w:szCs w:val="18"/>
                          </w:rPr>
                        </w:pPr>
                        <w:r>
                          <w:rPr>
                            <w:rFonts w:ascii="Times New Roman"/>
                            <w:sz w:val="18"/>
                          </w:rPr>
                          <w:t>100%</w:t>
                        </w:r>
                      </w:p>
                    </w:tc>
                    <w:tc>
                      <w:tcPr>
                        <w:tcW w:w="24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100%</w:t>
                        </w:r>
                      </w:p>
                    </w:tc>
                  </w:tr>
                  <w:tr>
                    <w:trPr>
                      <w:trHeight w:val="324"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100%</w:t>
                        </w:r>
                      </w:p>
                    </w:tc>
                    <w:tc>
                      <w:tcPr>
                        <w:tcW w:w="24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宋体" w:hAnsi="宋体" w:cs="宋体" w:eastAsia="宋体" w:hint="default"/>
          <w:sz w:val="18"/>
          <w:szCs w:val="18"/>
        </w:rPr>
        <w:t>期末数</w:t>
        <w:tab/>
        <w:t>期初数</w:t>
        <w:tab/>
        <w:t>期末数</w:t>
        <w:tab/>
        <w:t>期初数</w:t>
      </w:r>
    </w:p>
    <w:p>
      <w:pPr>
        <w:spacing w:after="0"/>
        <w:jc w:val="left"/>
        <w:rPr>
          <w:rFonts w:ascii="宋体" w:hAnsi="宋体" w:cs="宋体" w:eastAsia="宋体" w:hint="default"/>
          <w:sz w:val="18"/>
          <w:szCs w:val="18"/>
        </w:rPr>
        <w:sectPr>
          <w:type w:val="continuous"/>
          <w:pgSz w:w="11910" w:h="16840"/>
          <w:pgMar w:top="1580" w:bottom="280" w:left="660" w:right="960"/>
          <w:cols w:num="2" w:equalWidth="0">
            <w:col w:w="2204" w:space="693"/>
            <w:col w:w="7393"/>
          </w:cols>
        </w:sectPr>
      </w:pPr>
    </w:p>
    <w:p>
      <w:pPr>
        <w:spacing w:line="240" w:lineRule="auto" w:before="5"/>
        <w:rPr>
          <w:rFonts w:ascii="宋体" w:hAnsi="宋体" w:cs="宋体" w:eastAsia="宋体" w:hint="default"/>
          <w:sz w:val="24"/>
          <w:szCs w:val="24"/>
        </w:rPr>
      </w:pPr>
    </w:p>
    <w:p>
      <w:pPr>
        <w:pStyle w:val="BodyText"/>
        <w:spacing w:line="321" w:lineRule="auto" w:before="34"/>
        <w:ind w:left="895" w:right="7796"/>
        <w:jc w:val="left"/>
      </w:pPr>
      <w:r>
        <w:rPr>
          <w:rFonts w:ascii="Times New Roman" w:hAnsi="Times New Roman" w:cs="Times New Roman" w:eastAsia="Times New Roman" w:hint="default"/>
        </w:rPr>
        <w:t>4</w:t>
      </w:r>
      <w:r>
        <w:rPr/>
        <w:t>、关联交易情况</w:t>
      </w:r>
      <w:r>
        <w:rPr>
          <w:w w:val="99"/>
        </w:rPr>
        <w:t> </w:t>
      </w:r>
      <w:r>
        <w:rPr/>
        <w:t>无</w:t>
      </w:r>
    </w:p>
    <w:p>
      <w:pPr>
        <w:spacing w:line="240" w:lineRule="auto" w:before="8"/>
        <w:rPr>
          <w:rFonts w:ascii="宋体" w:hAnsi="宋体" w:cs="宋体" w:eastAsia="宋体" w:hint="default"/>
          <w:sz w:val="23"/>
          <w:szCs w:val="23"/>
        </w:rPr>
      </w:pPr>
    </w:p>
    <w:p>
      <w:pPr>
        <w:pStyle w:val="Heading4"/>
        <w:spacing w:line="240" w:lineRule="auto"/>
        <w:ind w:left="895" w:right="0"/>
        <w:jc w:val="left"/>
        <w:rPr>
          <w:b w:val="0"/>
          <w:bCs w:val="0"/>
        </w:rPr>
      </w:pPr>
      <w:r>
        <w:rPr/>
        <w:t>十二、或有事项</w:t>
      </w:r>
      <w:r>
        <w:rPr>
          <w:b w:val="0"/>
          <w:bCs w:val="0"/>
        </w:rPr>
      </w:r>
    </w:p>
    <w:p>
      <w:pPr>
        <w:pStyle w:val="BodyText"/>
        <w:spacing w:line="240" w:lineRule="auto" w:before="42"/>
        <w:ind w:left="895" w:right="0"/>
        <w:jc w:val="left"/>
      </w:pPr>
      <w:r>
        <w:rPr/>
        <w:t>截至</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日，本公司无需要披露的或有事项</w:t>
      </w:r>
    </w:p>
    <w:p>
      <w:pPr>
        <w:spacing w:line="240" w:lineRule="auto" w:before="6"/>
        <w:rPr>
          <w:rFonts w:ascii="宋体" w:hAnsi="宋体" w:cs="宋体" w:eastAsia="宋体" w:hint="default"/>
          <w:sz w:val="28"/>
          <w:szCs w:val="28"/>
        </w:rPr>
      </w:pPr>
    </w:p>
    <w:p>
      <w:pPr>
        <w:pStyle w:val="Heading4"/>
        <w:spacing w:line="240" w:lineRule="auto"/>
        <w:ind w:left="895" w:right="0"/>
        <w:jc w:val="left"/>
        <w:rPr>
          <w:b w:val="0"/>
          <w:bCs w:val="0"/>
        </w:rPr>
      </w:pPr>
      <w:r>
        <w:rPr/>
        <w:t>十三、承诺事项</w:t>
      </w:r>
      <w:r>
        <w:rPr>
          <w:b w:val="0"/>
          <w:bCs w:val="0"/>
        </w:rPr>
      </w:r>
    </w:p>
    <w:p>
      <w:pPr>
        <w:pStyle w:val="BodyText"/>
        <w:spacing w:line="240" w:lineRule="auto" w:before="42"/>
        <w:ind w:left="895" w:right="0"/>
        <w:jc w:val="left"/>
      </w:pPr>
      <w:r>
        <w:rPr/>
        <w:t>截至</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日，本公司无需要披露的重大承诺事项。</w:t>
      </w:r>
    </w:p>
    <w:p>
      <w:pPr>
        <w:spacing w:line="240" w:lineRule="auto" w:before="11"/>
        <w:rPr>
          <w:rFonts w:ascii="宋体" w:hAnsi="宋体" w:cs="宋体" w:eastAsia="宋体" w:hint="default"/>
          <w:sz w:val="21"/>
          <w:szCs w:val="21"/>
        </w:rPr>
      </w:pPr>
    </w:p>
    <w:p>
      <w:pPr>
        <w:pStyle w:val="Heading4"/>
        <w:spacing w:line="240" w:lineRule="auto"/>
        <w:ind w:left="895" w:right="0"/>
        <w:jc w:val="left"/>
        <w:rPr>
          <w:b w:val="0"/>
          <w:bCs w:val="0"/>
        </w:rPr>
      </w:pPr>
      <w:r>
        <w:rPr/>
        <w:t>十四、资产负债表日后事项</w:t>
      </w:r>
      <w:r>
        <w:rPr>
          <w:b w:val="0"/>
          <w:bCs w:val="0"/>
        </w:rPr>
      </w:r>
    </w:p>
    <w:p>
      <w:pPr>
        <w:pStyle w:val="BodyText"/>
        <w:spacing w:line="240" w:lineRule="auto" w:before="39"/>
        <w:ind w:left="895"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日公司第一届董事会第二十一次会议同意公司与自然人赵蒙海均以货币资金方式共同</w:t>
      </w:r>
    </w:p>
    <w:p>
      <w:pPr>
        <w:pStyle w:val="BodyText"/>
        <w:spacing w:line="280" w:lineRule="auto" w:before="50"/>
        <w:ind w:left="472" w:right="169"/>
        <w:jc w:val="both"/>
      </w:pPr>
      <w:r>
        <w:rPr/>
        <w:t>出资</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万元成立合资公司，其中公司使用超募资金出资</w:t>
      </w:r>
      <w:r>
        <w:rPr>
          <w:spacing w:val="-36"/>
        </w:rPr>
        <w:t> </w:t>
      </w:r>
      <w:r>
        <w:rPr>
          <w:rFonts w:ascii="Times New Roman" w:hAnsi="Times New Roman" w:cs="Times New Roman" w:eastAsia="Times New Roman" w:hint="default"/>
        </w:rPr>
        <w:t>650</w:t>
      </w:r>
      <w:r>
        <w:rPr>
          <w:rFonts w:ascii="Times New Roman" w:hAnsi="Times New Roman" w:cs="Times New Roman" w:eastAsia="Times New Roman" w:hint="default"/>
          <w:spacing w:val="5"/>
        </w:rPr>
        <w:t> </w:t>
      </w:r>
      <w:r>
        <w:rPr/>
        <w:t>万元占合资公司注册资本的</w:t>
      </w:r>
      <w:r>
        <w:rPr>
          <w:spacing w:val="-40"/>
        </w:rPr>
        <w:t> </w:t>
      </w:r>
      <w:r>
        <w:rPr>
          <w:rFonts w:ascii="Times New Roman" w:hAnsi="Times New Roman" w:cs="Times New Roman" w:eastAsia="Times New Roman" w:hint="default"/>
        </w:rPr>
        <w:t>65%</w:t>
      </w:r>
      <w:r>
        <w:rPr/>
        <w:t>，赵蒙海</w:t>
      </w:r>
      <w:r>
        <w:rPr>
          <w:spacing w:val="-103"/>
        </w:rPr>
        <w:t> </w:t>
      </w:r>
      <w:r>
        <w:rPr>
          <w:spacing w:val="-103"/>
        </w:rPr>
      </w:r>
      <w:r>
        <w:rPr/>
        <w:t>出资</w:t>
      </w:r>
      <w:r>
        <w:rPr>
          <w:spacing w:val="-67"/>
        </w:rPr>
        <w:t> </w:t>
      </w:r>
      <w:r>
        <w:rPr>
          <w:rFonts w:ascii="Times New Roman" w:hAnsi="Times New Roman" w:cs="Times New Roman" w:eastAsia="Times New Roman" w:hint="default"/>
        </w:rPr>
        <w:t>350</w:t>
      </w:r>
      <w:r>
        <w:rPr>
          <w:rFonts w:ascii="Times New Roman" w:hAnsi="Times New Roman" w:cs="Times New Roman" w:eastAsia="Times New Roman" w:hint="default"/>
          <w:spacing w:val="-15"/>
        </w:rPr>
        <w:t> </w:t>
      </w:r>
      <w:r>
        <w:rPr/>
        <w:t>万元占合资公司注册资本的</w:t>
      </w:r>
      <w:r>
        <w:rPr>
          <w:spacing w:val="-65"/>
        </w:rPr>
        <w:t> </w:t>
      </w:r>
      <w:r>
        <w:rPr>
          <w:rFonts w:ascii="Times New Roman" w:hAnsi="Times New Roman" w:cs="Times New Roman" w:eastAsia="Times New Roman" w:hint="default"/>
        </w:rPr>
        <w:t>35%</w:t>
      </w:r>
      <w:r>
        <w:rPr/>
        <w:t>。合资公司主要从事临床知识库应用软件的开发、销售、服务业</w:t>
      </w:r>
      <w:r>
        <w:rPr>
          <w:w w:val="99"/>
        </w:rPr>
        <w:t> </w:t>
      </w:r>
      <w:r>
        <w:rPr/>
        <w:t>务。</w:t>
      </w:r>
    </w:p>
    <w:p>
      <w:pPr>
        <w:pStyle w:val="BodyText"/>
        <w:spacing w:line="240" w:lineRule="auto" w:before="30"/>
        <w:ind w:left="895" w:right="0"/>
        <w:jc w:val="left"/>
      </w:pPr>
      <w:r>
        <w:rPr/>
        <w:t>合资公司上海金仕达卫宁软件科技有限公司已于</w:t>
      </w:r>
      <w:r>
        <w:rPr>
          <w:spacing w:val="-3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日成立，取得上海市工商行政管理局</w:t>
      </w:r>
    </w:p>
    <w:p>
      <w:pPr>
        <w:pStyle w:val="BodyText"/>
        <w:spacing w:line="472" w:lineRule="auto" w:before="50"/>
        <w:ind w:left="895" w:right="0" w:hanging="423"/>
        <w:jc w:val="left"/>
        <w:rPr>
          <w:rFonts w:ascii="Microsoft JhengHei" w:hAnsi="Microsoft JhengHei" w:cs="Microsoft JhengHei" w:eastAsia="Microsoft JhengHei" w:hint="default"/>
        </w:rPr>
      </w:pPr>
      <w:r>
        <w:rPr/>
        <w:t>浦东新区分局</w:t>
      </w:r>
      <w:r>
        <w:rPr>
          <w:spacing w:val="-56"/>
        </w:rPr>
        <w:t> </w:t>
      </w:r>
      <w:r>
        <w:rPr>
          <w:rFonts w:ascii="Times New Roman" w:hAnsi="Times New Roman" w:cs="Times New Roman" w:eastAsia="Times New Roman" w:hint="default"/>
        </w:rPr>
        <w:t>310115001952887</w:t>
      </w:r>
      <w:r>
        <w:rPr>
          <w:rFonts w:ascii="Times New Roman" w:hAnsi="Times New Roman" w:cs="Times New Roman" w:eastAsia="Times New Roman" w:hint="default"/>
          <w:spacing w:val="-4"/>
        </w:rPr>
        <w:t> </w:t>
      </w:r>
      <w:r>
        <w:rPr/>
        <w:t>号企业法人营业执照，注册资本</w:t>
      </w:r>
      <w:r>
        <w:rPr>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万元，组织机构代码</w:t>
      </w:r>
      <w:r>
        <w:rPr>
          <w:spacing w:val="-56"/>
        </w:rPr>
        <w:t> </w:t>
      </w:r>
      <w:r>
        <w:rPr>
          <w:rFonts w:ascii="Times New Roman" w:hAnsi="Times New Roman" w:cs="Times New Roman" w:eastAsia="Times New Roman" w:hint="default"/>
        </w:rPr>
        <w:t>59316104</w:t>
      </w:r>
      <w:r>
        <w:rPr/>
        <w:t>－</w:t>
      </w:r>
      <w:r>
        <w:rPr>
          <w:rFonts w:ascii="Times New Roman" w:hAnsi="Times New Roman" w:cs="Times New Roman" w:eastAsia="Times New Roman" w:hint="default"/>
        </w:rPr>
        <w:t>4</w:t>
      </w:r>
      <w:r>
        <w:rPr/>
        <w:t>。</w:t>
      </w:r>
      <w:r>
        <w:rPr>
          <w:w w:val="99"/>
        </w:rPr>
        <w:t> </w:t>
      </w:r>
      <w:r>
        <w:rPr>
          <w:rFonts w:ascii="Microsoft JhengHei" w:hAnsi="Microsoft JhengHei" w:cs="Microsoft JhengHei" w:eastAsia="Microsoft JhengHei" w:hint="default"/>
          <w:b/>
          <w:bCs/>
        </w:rPr>
        <w:t>十五、其他重要事项</w:t>
      </w:r>
      <w:r>
        <w:rPr>
          <w:rFonts w:ascii="Microsoft JhengHei" w:hAnsi="Microsoft JhengHei" w:cs="Microsoft JhengHei" w:eastAsia="Microsoft JhengHei" w:hint="default"/>
        </w:rPr>
      </w:r>
    </w:p>
    <w:p>
      <w:pPr>
        <w:spacing w:after="0" w:line="472" w:lineRule="auto"/>
        <w:jc w:val="left"/>
        <w:rPr>
          <w:rFonts w:ascii="Microsoft JhengHei" w:hAnsi="Microsoft JhengHei" w:cs="Microsoft JhengHei" w:eastAsia="Microsoft JhengHei" w:hint="default"/>
        </w:rPr>
        <w:sectPr>
          <w:type w:val="continuous"/>
          <w:pgSz w:w="11910" w:h="16840"/>
          <w:pgMar w:top="1580" w:bottom="280" w:left="660" w:right="960"/>
        </w:sectPr>
      </w:pPr>
    </w:p>
    <w:p>
      <w:pPr>
        <w:spacing w:line="240" w:lineRule="auto" w:before="0"/>
        <w:rPr>
          <w:rFonts w:ascii="Microsoft JhengHei" w:hAnsi="Microsoft JhengHei" w:cs="Microsoft JhengHei" w:eastAsia="Microsoft JhengHei" w:hint="default"/>
          <w:b/>
          <w:bCs/>
          <w:sz w:val="2"/>
          <w:szCs w:val="2"/>
        </w:rPr>
      </w:pPr>
    </w:p>
    <w:p>
      <w:pPr>
        <w:spacing w:line="338"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pict>
          <v:group style="width:482.65pt;height:16.95pt;mso-position-horizontal-relative:char;mso-position-vertical-relative:line" coordorigin="0,0" coordsize="9653,339">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shape style="position:absolute;left:0;top:0;width:9653;height:339" type="#_x0000_t202" filled="false" stroked="false">
                <v:textbox inset="0,0,0,0">
                  <w:txbxContent>
                    <w:p>
                      <w:pPr>
                        <w:spacing w:line="286" w:lineRule="exact" w:before="52"/>
                        <w:ind w:left="429"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日，本公司无需要披露的其他重要事项。</w:t>
                      </w:r>
                    </w:p>
                  </w:txbxContent>
                </v:textbox>
                <w10:wrap type="none"/>
              </v:shape>
            </v:group>
          </v:group>
        </w:pict>
      </w:r>
      <w:r>
        <w:rPr>
          <w:rFonts w:ascii="Microsoft JhengHei" w:hAnsi="Microsoft JhengHei" w:cs="Microsoft JhengHei" w:eastAsia="Microsoft JhengHei" w:hint="default"/>
          <w:position w:val="-6"/>
          <w:sz w:val="20"/>
          <w:szCs w:val="20"/>
        </w:rPr>
      </w:r>
    </w:p>
    <w:p>
      <w:pPr>
        <w:spacing w:line="240" w:lineRule="auto" w:before="7"/>
        <w:rPr>
          <w:rFonts w:ascii="Microsoft JhengHei" w:hAnsi="Microsoft JhengHei" w:cs="Microsoft JhengHei" w:eastAsia="Microsoft JhengHei" w:hint="default"/>
          <w:b/>
          <w:bCs/>
          <w:sz w:val="22"/>
          <w:szCs w:val="22"/>
        </w:rPr>
      </w:pPr>
    </w:p>
    <w:p>
      <w:pPr>
        <w:pStyle w:val="Heading4"/>
        <w:spacing w:line="333" w:lineRule="exact"/>
        <w:ind w:right="0"/>
        <w:jc w:val="left"/>
        <w:rPr>
          <w:b w:val="0"/>
          <w:bCs w:val="0"/>
        </w:rPr>
      </w:pPr>
      <w:r>
        <w:rPr/>
        <w:t>十六、补充资料</w:t>
      </w:r>
      <w:r>
        <w:rPr>
          <w:b w:val="0"/>
          <w:bCs w:val="0"/>
        </w:rPr>
      </w:r>
    </w:p>
    <w:p>
      <w:pPr>
        <w:pStyle w:val="BodyText"/>
        <w:spacing w:line="321" w:lineRule="auto" w:before="102"/>
        <w:ind w:left="535" w:right="386"/>
        <w:jc w:val="left"/>
      </w:pPr>
      <w:r>
        <w:rPr>
          <w:rFonts w:ascii="Times New Roman" w:hAnsi="Times New Roman" w:cs="Times New Roman" w:eastAsia="Times New Roman" w:hint="default"/>
        </w:rPr>
        <w:t>1</w:t>
      </w:r>
      <w:r>
        <w:rPr/>
        <w:t>、非经常性损益</w:t>
      </w:r>
      <w:r>
        <w:rPr>
          <w:w w:val="99"/>
        </w:rPr>
        <w:t> </w:t>
      </w:r>
      <w:r>
        <w:rPr/>
        <w:t>根据中国证券监督管理委员会《公开发行证券的公司信息披露解释性公告第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w:t>
      </w:r>
    </w:p>
    <w:p>
      <w:pPr>
        <w:pStyle w:val="BodyText"/>
        <w:spacing w:line="240" w:lineRule="auto" w:before="21"/>
        <w:ind w:right="0"/>
        <w:jc w:val="left"/>
      </w:pPr>
      <w:r>
        <w:rPr/>
        <w:t>（</w:t>
      </w:r>
      <w:r>
        <w:rPr>
          <w:rFonts w:ascii="Times New Roman" w:hAnsi="Times New Roman" w:cs="Times New Roman" w:eastAsia="Times New Roman" w:hint="default"/>
        </w:rPr>
        <w:t>2008</w:t>
      </w:r>
      <w:r>
        <w:rPr/>
        <w:t>年修订）》的规定，公司扣除非经常性损益后的净利润如下：</w:t>
      </w:r>
    </w:p>
    <w:p>
      <w:pPr>
        <w:spacing w:line="240" w:lineRule="auto" w:before="3"/>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5040"/>
        <w:gridCol w:w="276"/>
        <w:gridCol w:w="1303"/>
        <w:gridCol w:w="276"/>
        <w:gridCol w:w="1260"/>
      </w:tblGrid>
      <w:tr>
        <w:trPr>
          <w:trHeight w:val="365" w:hRule="exact"/>
        </w:trPr>
        <w:tc>
          <w:tcPr>
            <w:tcW w:w="50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51" w:hRule="exact"/>
        </w:trPr>
        <w:tc>
          <w:tcPr>
            <w:tcW w:w="504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44,292,891.86</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35,346,503.46</w:t>
            </w:r>
          </w:p>
        </w:tc>
      </w:tr>
      <w:tr>
        <w:trPr>
          <w:trHeight w:val="341"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减：非流动性资产处置损益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Times New Roman"/>
                <w:spacing w:val="-1"/>
                <w:sz w:val="18"/>
              </w:rPr>
              <w:t>71,287.80</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-15,434.60</w:t>
            </w:r>
          </w:p>
        </w:tc>
      </w:tr>
      <w:tr>
        <w:trPr>
          <w:trHeight w:val="336"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46"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计入当期损益的政府补助（注）</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3,515,972.00</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1,134,184.73</w:t>
            </w:r>
          </w:p>
        </w:tc>
      </w:tr>
      <w:tr>
        <w:trPr>
          <w:trHeight w:val="309"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521"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2" w:lineRule="exact" w:before="23"/>
              <w:ind w:left="110" w:right="103"/>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资时应享有被投资单位可辨认净资产公允价值产生的收益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14"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46"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38,356.16</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36"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41"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41"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14"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521"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2" w:lineRule="exact" w:before="23"/>
              <w:ind w:left="110" w:right="24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 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88"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727"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2" w:lineRule="exact" w:before="23"/>
              <w:ind w:left="110" w:right="103"/>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性金融资产、交易性金融负债产生的公允价值变动损益，以及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处置交易性金融资产、交易性金融负债和可供出售金融资产取</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60"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得的投资收益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18"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3" w:lineRule="exact"/>
              <w:ind w:left="110"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18"/>
                <w:szCs w:val="18"/>
              </w:rPr>
            </w:pPr>
            <w:r>
              <w:rPr>
                <w:rFonts w:ascii="Times New Roman"/>
                <w:spacing w:val="-1"/>
                <w:sz w:val="18"/>
              </w:rPr>
              <w:t>567,077.97</w:t>
            </w:r>
          </w:p>
        </w:tc>
      </w:tr>
      <w:tr>
        <w:trPr>
          <w:trHeight w:val="309"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727"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2" w:lineRule="exact" w:before="23"/>
              <w:ind w:left="110" w:right="10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 动产生的损益 </w:t>
            </w:r>
            <w:r>
              <w:rPr>
                <w:rFonts w:ascii="宋体" w:hAnsi="宋体" w:cs="宋体" w:eastAsia="宋体" w:hint="default"/>
                <w:spacing w:val="-2"/>
                <w:sz w:val="18"/>
                <w:szCs w:val="18"/>
              </w:rPr>
              <w:t>根据税收、会计等法律、法规的要求对当期损益进行一次性调</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60"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整对当期损益的影响</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13"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33" w:lineRule="exact"/>
              <w:ind w:left="110"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46"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231,580.45</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104,454.57</w:t>
            </w:r>
          </w:p>
        </w:tc>
      </w:tr>
      <w:tr>
        <w:trPr>
          <w:trHeight w:val="336"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46"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加：企业所得税的影响数</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590,249.46</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272,741.40</w:t>
            </w:r>
          </w:p>
        </w:tc>
      </w:tr>
      <w:tr>
        <w:trPr>
          <w:trHeight w:val="343"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减：归属于少数股东的非经常性损益</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r>
      <w:tr>
        <w:trPr>
          <w:trHeight w:val="367" w:hRule="exact"/>
        </w:trPr>
        <w:tc>
          <w:tcPr>
            <w:tcW w:w="50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sz w:val="18"/>
                <w:szCs w:val="18"/>
              </w:rPr>
              <w:t>扣除非经常性损益后的净利润</w:t>
            </w:r>
          </w:p>
        </w:tc>
        <w:tc>
          <w:tcPr>
            <w:tcW w:w="276"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41,025,944.91</w:t>
            </w:r>
          </w:p>
        </w:tc>
        <w:tc>
          <w:tcPr>
            <w:tcW w:w="27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33,828,962.19</w:t>
            </w:r>
          </w:p>
        </w:tc>
      </w:tr>
    </w:tbl>
    <w:p>
      <w:pPr>
        <w:spacing w:line="241" w:lineRule="exact" w:before="0"/>
        <w:ind w:left="475" w:right="0" w:firstLine="0"/>
        <w:jc w:val="left"/>
        <w:rPr>
          <w:rFonts w:ascii="宋体" w:hAnsi="宋体" w:cs="宋体" w:eastAsia="宋体" w:hint="default"/>
          <w:sz w:val="18"/>
          <w:szCs w:val="18"/>
        </w:rPr>
      </w:pPr>
      <w:r>
        <w:rPr>
          <w:rFonts w:ascii="宋体" w:hAnsi="宋体" w:cs="宋体" w:eastAsia="宋体" w:hint="default"/>
          <w:sz w:val="18"/>
          <w:szCs w:val="18"/>
        </w:rPr>
        <w:t>注：计入当期损益的政府补助详见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附注九、</w:t>
      </w:r>
      <w:r>
        <w:rPr>
          <w:rFonts w:ascii="Times New Roman" w:hAnsi="Times New Roman" w:cs="Times New Roman" w:eastAsia="Times New Roman" w:hint="default"/>
          <w:sz w:val="18"/>
          <w:szCs w:val="18"/>
        </w:rPr>
        <w:t>32</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的相关内容（不含软件产品增值税即征即退）。</w:t>
      </w:r>
    </w:p>
    <w:p>
      <w:pPr>
        <w:spacing w:line="240" w:lineRule="auto" w:before="0"/>
        <w:rPr>
          <w:rFonts w:ascii="宋体" w:hAnsi="宋体" w:cs="宋体" w:eastAsia="宋体" w:hint="default"/>
          <w:sz w:val="18"/>
          <w:szCs w:val="18"/>
        </w:rPr>
      </w:pPr>
    </w:p>
    <w:p>
      <w:pPr>
        <w:pStyle w:val="BodyText"/>
        <w:spacing w:line="240" w:lineRule="auto" w:before="152"/>
        <w:ind w:left="535" w:right="0"/>
        <w:jc w:val="left"/>
      </w:pPr>
      <w:r>
        <w:rPr>
          <w:rFonts w:ascii="Times New Roman" w:hAnsi="Times New Roman" w:cs="Times New Roman" w:eastAsia="Times New Roman" w:hint="default"/>
        </w:rPr>
        <w:t>2</w:t>
      </w:r>
      <w:r>
        <w:rPr/>
        <w:t>、公司主要财务报表项目的异常情况及原因说明（万元）</w:t>
      </w:r>
    </w:p>
    <w:p>
      <w:pPr>
        <w:pStyle w:val="BodyText"/>
        <w:spacing w:line="240" w:lineRule="auto" w:before="100"/>
        <w:ind w:left="535" w:right="0"/>
        <w:jc w:val="left"/>
      </w:pPr>
      <w:r>
        <w:rPr/>
        <w:t>（</w:t>
      </w:r>
      <w:r>
        <w:rPr>
          <w:rFonts w:ascii="Times New Roman" w:hAnsi="Times New Roman" w:cs="Times New Roman" w:eastAsia="Times New Roman" w:hint="default"/>
        </w:rPr>
        <w:t>1</w:t>
      </w:r>
      <w:r>
        <w:rPr/>
        <w:t>）资产负债表项目</w:t>
      </w:r>
    </w:p>
    <w:p>
      <w:pPr>
        <w:spacing w:after="0" w:line="240" w:lineRule="auto"/>
        <w:jc w:val="left"/>
        <w:sectPr>
          <w:pgSz w:w="11910" w:h="16840"/>
          <w:pgMar w:header="849" w:footer="976" w:top="1460" w:bottom="1160" w:left="1020" w:right="1020"/>
        </w:sectPr>
      </w:pPr>
    </w:p>
    <w:p>
      <w:pPr>
        <w:spacing w:line="240" w:lineRule="auto" w:before="5"/>
        <w:rPr>
          <w:rFonts w:ascii="宋体" w:hAnsi="宋体" w:cs="宋体" w:eastAsia="宋体" w:hint="default"/>
          <w:sz w:val="3"/>
          <w:szCs w:val="3"/>
        </w:rPr>
      </w:pPr>
      <w:r>
        <w:rPr/>
        <w:pict>
          <v:group style="position:absolute;margin-left:56.279999pt;margin-top:75.120026pt;width:482.65pt;height:12.4pt;mso-position-horizontal-relative:page;mso-position-vertical-relative:page;z-index:-624040" coordorigin="1126,1502" coordsize="9653,248">
            <v:shape style="position:absolute;left:1135;top:1502;width:797;height:144" type="#_x0000_t75" stroked="false">
              <v:imagedata r:id="rId8" o:title=""/>
            </v:shape>
            <v:shape style="position:absolute;left:1966;top:1502;width:430;height:101" type="#_x0000_t75" stroked="false">
              <v:imagedata r:id="rId9"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group>
            <v:group style="position:absolute;left:1133;top:1522;width:9639;height:2" coordorigin="1133,1522" coordsize="9639,2">
              <v:shape style="position:absolute;left:1133;top:1522;width:9639;height:2" coordorigin="1133,1522" coordsize="9639,0" path="m1133,1522l10771,1522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1578"/>
        <w:gridCol w:w="1196"/>
        <w:gridCol w:w="1045"/>
        <w:gridCol w:w="1044"/>
        <w:gridCol w:w="3237"/>
      </w:tblGrid>
      <w:tr>
        <w:trPr>
          <w:trHeight w:val="353" w:hRule="exact"/>
        </w:trPr>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4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31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4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4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43"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23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808" w:right="0"/>
              <w:jc w:val="left"/>
              <w:rPr>
                <w:rFonts w:ascii="宋体" w:hAnsi="宋体" w:cs="宋体" w:eastAsia="宋体" w:hint="default"/>
                <w:sz w:val="18"/>
                <w:szCs w:val="18"/>
              </w:rPr>
            </w:pPr>
            <w:r>
              <w:rPr>
                <w:rFonts w:ascii="宋体" w:hAnsi="宋体" w:cs="宋体" w:eastAsia="宋体" w:hint="default"/>
                <w:sz w:val="18"/>
                <w:szCs w:val="18"/>
              </w:rPr>
              <w:t>具体情况及变动原因</w:t>
            </w:r>
          </w:p>
        </w:tc>
      </w:tr>
      <w:tr>
        <w:trPr>
          <w:trHeight w:val="239" w:hRule="exact"/>
        </w:trPr>
        <w:tc>
          <w:tcPr>
            <w:tcW w:w="1578" w:type="dxa"/>
            <w:tcBorders>
              <w:top w:val="single" w:sz="4" w:space="0" w:color="000000"/>
              <w:left w:val="nil" w:sz="6" w:space="0" w:color="auto"/>
              <w:bottom w:val="nil" w:sz="6" w:space="0" w:color="auto"/>
              <w:right w:val="nil" w:sz="6" w:space="0" w:color="auto"/>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pacing w:val="-1"/>
                <w:sz w:val="18"/>
              </w:rPr>
              <w:t>40,592.88</w:t>
            </w:r>
          </w:p>
        </w:tc>
        <w:tc>
          <w:tcPr>
            <w:tcW w:w="1045" w:type="dxa"/>
            <w:tcBorders>
              <w:top w:val="single" w:sz="4" w:space="0" w:color="000000"/>
              <w:left w:val="nil" w:sz="6" w:space="0" w:color="auto"/>
              <w:bottom w:val="nil" w:sz="6" w:space="0" w:color="auto"/>
              <w:right w:val="nil" w:sz="6" w:space="0" w:color="auto"/>
            </w:tcBorders>
          </w:tcPr>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7,468.08</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single" w:sz="4" w:space="0" w:color="000000"/>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pacing w:val="8"/>
                <w:sz w:val="18"/>
                <w:szCs w:val="18"/>
              </w:rPr>
              <w:t>报告期内发行新股及经营积累带来资</w:t>
            </w:r>
          </w:p>
        </w:tc>
      </w:tr>
      <w:tr>
        <w:trPr>
          <w:trHeight w:val="232"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金增长</w:t>
            </w:r>
          </w:p>
        </w:tc>
      </w:tr>
      <w:tr>
        <w:trPr>
          <w:trHeight w:val="286"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07" w:lineRule="exact"/>
              <w:ind w:left="11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18"/>
                <w:szCs w:val="18"/>
              </w:rPr>
            </w:pPr>
            <w:r>
              <w:rPr>
                <w:rFonts w:ascii="Times New Roman"/>
                <w:spacing w:val="-1"/>
                <w:sz w:val="18"/>
              </w:rPr>
              <w:t>123.14</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Times New Roman" w:hAnsi="Times New Roman" w:cs="Times New Roman" w:eastAsia="Times New Roman" w:hint="default"/>
                <w:sz w:val="18"/>
                <w:szCs w:val="18"/>
              </w:rPr>
            </w:pPr>
            <w:r>
              <w:rPr>
                <w:rFonts w:ascii="Times New Roman"/>
                <w:spacing w:val="-1"/>
                <w:sz w:val="18"/>
              </w:rPr>
              <w:t>85.19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44.55%</w:t>
            </w:r>
          </w:p>
        </w:tc>
        <w:tc>
          <w:tcPr>
            <w:tcW w:w="3237"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收入规模增长</w:t>
            </w:r>
          </w:p>
        </w:tc>
      </w:tr>
      <w:tr>
        <w:trPr>
          <w:trHeight w:val="289"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6"/>
              <w:jc w:val="right"/>
              <w:rPr>
                <w:rFonts w:ascii="Times New Roman" w:hAnsi="Times New Roman" w:cs="Times New Roman" w:eastAsia="Times New Roman" w:hint="default"/>
                <w:sz w:val="18"/>
                <w:szCs w:val="18"/>
              </w:rPr>
            </w:pPr>
            <w:r>
              <w:rPr>
                <w:rFonts w:ascii="Times New Roman"/>
                <w:spacing w:val="-1"/>
                <w:w w:val="95"/>
                <w:sz w:val="18"/>
              </w:rPr>
              <w:t>6,118.62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2,736.43</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123.60%</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pacing w:val="8"/>
                <w:sz w:val="18"/>
                <w:szCs w:val="18"/>
              </w:rPr>
              <w:t>收入规模增长及部分医疗卫生管理机</w:t>
            </w:r>
          </w:p>
        </w:tc>
      </w:tr>
      <w:tr>
        <w:trPr>
          <w:trHeight w:val="232"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构资金预算及付款手续更为严格</w:t>
            </w:r>
          </w:p>
        </w:tc>
      </w:tr>
      <w:tr>
        <w:trPr>
          <w:trHeight w:val="287"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10" w:lineRule="exact"/>
              <w:ind w:left="11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18"/>
                <w:szCs w:val="18"/>
              </w:rPr>
            </w:pPr>
            <w:r>
              <w:rPr>
                <w:rFonts w:ascii="Times New Roman"/>
                <w:spacing w:val="-1"/>
                <w:sz w:val="18"/>
              </w:rPr>
              <w:t>237.20</w:t>
            </w: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Times New Roman" w:hAnsi="Times New Roman" w:cs="Times New Roman" w:eastAsia="Times New Roman" w:hint="default"/>
                <w:sz w:val="18"/>
                <w:szCs w:val="18"/>
              </w:rPr>
            </w:pPr>
            <w:r>
              <w:rPr>
                <w:rFonts w:ascii="Times New Roman"/>
                <w:spacing w:val="-1"/>
                <w:sz w:val="18"/>
              </w:rPr>
              <w:t>&gt;100%</w:t>
            </w:r>
          </w:p>
        </w:tc>
        <w:tc>
          <w:tcPr>
            <w:tcW w:w="3237"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募集资金定期存款利息</w:t>
            </w:r>
          </w:p>
        </w:tc>
      </w:tr>
      <w:tr>
        <w:trPr>
          <w:trHeight w:val="521"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8"/>
              <w:jc w:val="right"/>
              <w:rPr>
                <w:rFonts w:ascii="Times New Roman" w:hAnsi="Times New Roman" w:cs="Times New Roman" w:eastAsia="Times New Roman" w:hint="default"/>
                <w:sz w:val="18"/>
                <w:szCs w:val="18"/>
              </w:rPr>
            </w:pPr>
            <w:r>
              <w:rPr>
                <w:rFonts w:ascii="Times New Roman"/>
                <w:spacing w:val="-1"/>
                <w:sz w:val="18"/>
              </w:rPr>
              <w:t>2,146.44</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Times New Roman" w:hAnsi="Times New Roman" w:cs="Times New Roman" w:eastAsia="Times New Roman" w:hint="default"/>
                <w:sz w:val="18"/>
                <w:szCs w:val="18"/>
              </w:rPr>
            </w:pPr>
            <w:r>
              <w:rPr>
                <w:rFonts w:ascii="Times New Roman"/>
                <w:spacing w:val="-1"/>
                <w:sz w:val="18"/>
              </w:rPr>
              <w:t>690.45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32" w:lineRule="exact" w:before="50"/>
              <w:ind w:left="107" w:right="103"/>
              <w:jc w:val="left"/>
              <w:rPr>
                <w:rFonts w:ascii="宋体" w:hAnsi="宋体" w:cs="宋体" w:eastAsia="宋体" w:hint="default"/>
                <w:sz w:val="18"/>
                <w:szCs w:val="18"/>
              </w:rPr>
            </w:pPr>
            <w:r>
              <w:rPr>
                <w:rFonts w:ascii="宋体" w:hAnsi="宋体" w:cs="宋体" w:eastAsia="宋体" w:hint="default"/>
                <w:spacing w:val="3"/>
                <w:sz w:val="18"/>
                <w:szCs w:val="18"/>
              </w:rPr>
              <w:t>部分增值税即征即退税款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年末尚</w:t>
            </w:r>
            <w:r>
              <w:rPr>
                <w:rFonts w:ascii="宋体" w:hAnsi="宋体" w:cs="宋体" w:eastAsia="宋体" w:hint="default"/>
                <w:sz w:val="18"/>
                <w:szCs w:val="18"/>
              </w:rPr>
              <w:t> </w:t>
            </w:r>
            <w:r>
              <w:rPr>
                <w:rFonts w:ascii="宋体" w:hAnsi="宋体" w:cs="宋体" w:eastAsia="宋体" w:hint="default"/>
                <w:spacing w:val="-3"/>
                <w:sz w:val="18"/>
                <w:szCs w:val="18"/>
              </w:rPr>
              <w:t>未实际收到；部分采购未及时取得增值</w:t>
            </w:r>
          </w:p>
        </w:tc>
      </w:tr>
      <w:tr>
        <w:trPr>
          <w:trHeight w:val="234"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3"/>
                <w:sz w:val="18"/>
                <w:szCs w:val="18"/>
              </w:rPr>
              <w:t>税发票而暂估了进项税；业务扩展带来</w:t>
            </w:r>
          </w:p>
        </w:tc>
      </w:tr>
      <w:tr>
        <w:trPr>
          <w:trHeight w:val="233"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履约及投标保证金增加</w:t>
            </w:r>
          </w:p>
        </w:tc>
      </w:tr>
      <w:tr>
        <w:trPr>
          <w:trHeight w:val="234"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07" w:lineRule="exact"/>
              <w:ind w:left="11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18"/>
                <w:szCs w:val="18"/>
              </w:rPr>
            </w:pPr>
            <w:r>
              <w:rPr>
                <w:rFonts w:ascii="Times New Roman"/>
                <w:spacing w:val="-1"/>
                <w:sz w:val="18"/>
              </w:rPr>
              <w:t>851.04</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Times New Roman" w:hAnsi="Times New Roman" w:cs="Times New Roman" w:eastAsia="Times New Roman" w:hint="default"/>
                <w:sz w:val="18"/>
                <w:szCs w:val="18"/>
              </w:rPr>
            </w:pPr>
            <w:r>
              <w:rPr>
                <w:rFonts w:ascii="Times New Roman"/>
                <w:spacing w:val="-1"/>
                <w:sz w:val="18"/>
              </w:rPr>
              <w:t>35.94</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3"/>
                <w:sz w:val="18"/>
                <w:szCs w:val="18"/>
              </w:rPr>
              <w:t>一笔硬件销售合同未履行完毕，形成发</w:t>
            </w:r>
          </w:p>
        </w:tc>
      </w:tr>
      <w:tr>
        <w:trPr>
          <w:trHeight w:val="232"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出存货</w:t>
            </w:r>
          </w:p>
        </w:tc>
      </w:tr>
      <w:tr>
        <w:trPr>
          <w:trHeight w:val="288"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10" w:lineRule="exact"/>
              <w:ind w:left="11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18"/>
                <w:szCs w:val="18"/>
              </w:rPr>
            </w:pPr>
            <w:r>
              <w:rPr>
                <w:rFonts w:ascii="Times New Roman"/>
                <w:spacing w:val="-1"/>
                <w:sz w:val="18"/>
              </w:rPr>
              <w:t>1,441.47</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1"/>
              <w:jc w:val="right"/>
              <w:rPr>
                <w:rFonts w:ascii="Times New Roman" w:hAnsi="Times New Roman" w:cs="Times New Roman" w:eastAsia="Times New Roman" w:hint="default"/>
                <w:sz w:val="18"/>
                <w:szCs w:val="18"/>
              </w:rPr>
            </w:pPr>
            <w:r>
              <w:rPr>
                <w:rFonts w:ascii="Times New Roman"/>
                <w:spacing w:val="-1"/>
                <w:w w:val="95"/>
                <w:sz w:val="18"/>
              </w:rPr>
              <w:t>346.11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募投项目投入及业务增长</w:t>
            </w:r>
          </w:p>
        </w:tc>
      </w:tr>
      <w:tr>
        <w:trPr>
          <w:trHeight w:val="289"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290.32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129.77</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123.72%</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pacing w:val="-3"/>
                <w:sz w:val="18"/>
                <w:szCs w:val="18"/>
              </w:rPr>
              <w:t>应收款项计提坏账准备、预计质保金及</w:t>
            </w:r>
          </w:p>
        </w:tc>
      </w:tr>
      <w:tr>
        <w:trPr>
          <w:trHeight w:val="231"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应付职工薪酬余额增加</w:t>
            </w:r>
          </w:p>
        </w:tc>
      </w:tr>
      <w:tr>
        <w:trPr>
          <w:trHeight w:val="287"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09" w:lineRule="exact"/>
              <w:ind w:left="11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8"/>
              <w:jc w:val="right"/>
              <w:rPr>
                <w:rFonts w:ascii="Times New Roman" w:hAnsi="Times New Roman" w:cs="Times New Roman" w:eastAsia="Times New Roman" w:hint="default"/>
                <w:sz w:val="18"/>
                <w:szCs w:val="18"/>
              </w:rPr>
            </w:pPr>
            <w:r>
              <w:rPr>
                <w:rFonts w:ascii="Times New Roman"/>
                <w:spacing w:val="-1"/>
                <w:sz w:val="18"/>
              </w:rPr>
              <w:t>532.22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3"/>
              <w:jc w:val="right"/>
              <w:rPr>
                <w:rFonts w:ascii="Times New Roman" w:hAnsi="Times New Roman" w:cs="Times New Roman" w:eastAsia="Times New Roman" w:hint="default"/>
                <w:sz w:val="18"/>
                <w:szCs w:val="18"/>
              </w:rPr>
            </w:pPr>
            <w:r>
              <w:rPr>
                <w:rFonts w:ascii="Times New Roman"/>
                <w:spacing w:val="-1"/>
                <w:sz w:val="18"/>
              </w:rPr>
              <w:t>79.00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09" w:lineRule="exact"/>
              <w:ind w:left="107"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1"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986.95</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269.54</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0"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1,429.85</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1,073.19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33.23%</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0"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8"/>
              <w:jc w:val="right"/>
              <w:rPr>
                <w:rFonts w:ascii="Times New Roman" w:hAnsi="Times New Roman" w:cs="Times New Roman" w:eastAsia="Times New Roman" w:hint="default"/>
                <w:sz w:val="18"/>
                <w:szCs w:val="18"/>
              </w:rPr>
            </w:pPr>
            <w:r>
              <w:rPr>
                <w:rFonts w:ascii="Times New Roman"/>
                <w:spacing w:val="-1"/>
                <w:sz w:val="18"/>
              </w:rPr>
              <w:t>441.72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Times New Roman" w:hAnsi="Times New Roman" w:cs="Times New Roman" w:eastAsia="Times New Roman" w:hint="default"/>
                <w:sz w:val="18"/>
                <w:szCs w:val="18"/>
              </w:rPr>
            </w:pPr>
            <w:r>
              <w:rPr>
                <w:rFonts w:ascii="Times New Roman"/>
                <w:spacing w:val="-1"/>
                <w:w w:val="95"/>
                <w:sz w:val="18"/>
              </w:rPr>
              <w:t>171.11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18"/>
                <w:szCs w:val="18"/>
              </w:rPr>
            </w:pPr>
            <w:r>
              <w:rPr>
                <w:rFonts w:ascii="Times New Roman"/>
                <w:spacing w:val="-1"/>
                <w:sz w:val="18"/>
              </w:rPr>
              <w:t>158.15%</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18"/>
                <w:szCs w:val="18"/>
              </w:rPr>
            </w:pPr>
            <w:r>
              <w:rPr>
                <w:rFonts w:ascii="宋体" w:hAnsi="宋体" w:cs="宋体" w:eastAsia="宋体" w:hint="default"/>
                <w:sz w:val="18"/>
                <w:szCs w:val="18"/>
              </w:rPr>
              <w:t>业务规模扩大及工资水平提高</w:t>
            </w:r>
          </w:p>
        </w:tc>
      </w:tr>
      <w:tr>
        <w:trPr>
          <w:trHeight w:val="289"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187.60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385.21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-51.30%</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pacing w:val="8"/>
                <w:sz w:val="18"/>
                <w:szCs w:val="18"/>
              </w:rPr>
              <w:t>上期末应交税费余额较大且于报告期</w:t>
            </w:r>
          </w:p>
        </w:tc>
      </w:tr>
      <w:tr>
        <w:trPr>
          <w:trHeight w:val="232"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内支付所致</w:t>
            </w:r>
          </w:p>
        </w:tc>
      </w:tr>
      <w:tr>
        <w:trPr>
          <w:trHeight w:val="286"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07"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18"/>
                <w:szCs w:val="18"/>
              </w:rPr>
            </w:pPr>
            <w:r>
              <w:rPr>
                <w:rFonts w:ascii="Times New Roman"/>
                <w:spacing w:val="-1"/>
                <w:sz w:val="18"/>
              </w:rPr>
              <w:t>538.56</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Times New Roman" w:hAnsi="Times New Roman" w:cs="Times New Roman" w:eastAsia="Times New Roman" w:hint="default"/>
                <w:sz w:val="18"/>
                <w:szCs w:val="18"/>
              </w:rPr>
            </w:pPr>
            <w:r>
              <w:rPr>
                <w:rFonts w:ascii="Times New Roman"/>
                <w:spacing w:val="-1"/>
                <w:sz w:val="18"/>
              </w:rPr>
              <w:t>134.69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部分销售代理费用未到付款条件</w:t>
            </w:r>
          </w:p>
        </w:tc>
      </w:tr>
      <w:tr>
        <w:trPr>
          <w:trHeight w:val="341"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5,350.00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4,000.00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33.75%</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报告期发行新股</w:t>
            </w:r>
          </w:p>
        </w:tc>
      </w:tr>
      <w:tr>
        <w:trPr>
          <w:trHeight w:val="341"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33,839.23</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1,291.25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报告期发行新股</w:t>
            </w:r>
          </w:p>
        </w:tc>
      </w:tr>
      <w:tr>
        <w:trPr>
          <w:trHeight w:val="338"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1,085.86</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620.75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74.93%</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盈利增加影响</w:t>
            </w:r>
          </w:p>
        </w:tc>
      </w:tr>
      <w:tr>
        <w:trPr>
          <w:trHeight w:val="263"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7,532.99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3,568.81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3"/>
                <w:sz w:val="18"/>
              </w:rPr>
              <w:t>111.08%</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盈利增加影响</w:t>
            </w:r>
          </w:p>
        </w:tc>
      </w:tr>
      <w:tr>
        <w:trPr>
          <w:trHeight w:val="523" w:hRule="exact"/>
        </w:trPr>
        <w:tc>
          <w:tcPr>
            <w:tcW w:w="810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56"/>
              <w:ind w:left="4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）利润表项目</w:t>
            </w:r>
          </w:p>
        </w:tc>
      </w:tr>
      <w:tr>
        <w:trPr>
          <w:trHeight w:val="345" w:hRule="exact"/>
        </w:trPr>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4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31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045"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97"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04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43"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23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808" w:right="0"/>
              <w:jc w:val="left"/>
              <w:rPr>
                <w:rFonts w:ascii="宋体" w:hAnsi="宋体" w:cs="宋体" w:eastAsia="宋体" w:hint="default"/>
                <w:sz w:val="18"/>
                <w:szCs w:val="18"/>
              </w:rPr>
            </w:pPr>
            <w:r>
              <w:rPr>
                <w:rFonts w:ascii="宋体" w:hAnsi="宋体" w:cs="宋体" w:eastAsia="宋体" w:hint="default"/>
                <w:sz w:val="18"/>
                <w:szCs w:val="18"/>
              </w:rPr>
              <w:t>具体情况及变动原因</w:t>
            </w:r>
          </w:p>
        </w:tc>
      </w:tr>
      <w:tr>
        <w:trPr>
          <w:trHeight w:val="291" w:hRule="exact"/>
        </w:trPr>
        <w:tc>
          <w:tcPr>
            <w:tcW w:w="1578" w:type="dxa"/>
            <w:tcBorders>
              <w:top w:val="single" w:sz="4" w:space="0" w:color="000000"/>
              <w:left w:val="nil" w:sz="6" w:space="0" w:color="auto"/>
              <w:bottom w:val="nil" w:sz="6" w:space="0" w:color="auto"/>
              <w:right w:val="nil" w:sz="6" w:space="0" w:color="auto"/>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ind w:right="178"/>
              <w:jc w:val="right"/>
              <w:rPr>
                <w:rFonts w:ascii="Times New Roman" w:hAnsi="Times New Roman" w:cs="Times New Roman" w:eastAsia="Times New Roman" w:hint="default"/>
                <w:sz w:val="18"/>
                <w:szCs w:val="18"/>
              </w:rPr>
            </w:pPr>
            <w:r>
              <w:rPr>
                <w:rFonts w:ascii="Times New Roman"/>
                <w:spacing w:val="-1"/>
                <w:sz w:val="18"/>
              </w:rPr>
              <w:t>16,991.90</w:t>
            </w:r>
          </w:p>
        </w:tc>
        <w:tc>
          <w:tcPr>
            <w:tcW w:w="1045" w:type="dxa"/>
            <w:tcBorders>
              <w:top w:val="single" w:sz="4" w:space="0" w:color="000000"/>
              <w:left w:val="nil" w:sz="6" w:space="0" w:color="auto"/>
              <w:bottom w:val="nil" w:sz="6" w:space="0" w:color="auto"/>
              <w:right w:val="nil" w:sz="6" w:space="0" w:color="auto"/>
            </w:tcBorders>
          </w:tcPr>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12,022.96</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41.33%</w:t>
            </w:r>
          </w:p>
        </w:tc>
        <w:tc>
          <w:tcPr>
            <w:tcW w:w="3237" w:type="dxa"/>
            <w:tcBorders>
              <w:top w:val="single" w:sz="4" w:space="0" w:color="000000"/>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1"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6,789.02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5,032.68</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34.90%</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340"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358.56</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242.69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47.74%</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业务增长影响</w:t>
            </w:r>
          </w:p>
        </w:tc>
      </w:tr>
      <w:tr>
        <w:trPr>
          <w:trHeight w:val="288"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8"/>
              <w:jc w:val="right"/>
              <w:rPr>
                <w:rFonts w:ascii="Times New Roman" w:hAnsi="Times New Roman" w:cs="Times New Roman" w:eastAsia="Times New Roman" w:hint="default"/>
                <w:sz w:val="18"/>
                <w:szCs w:val="18"/>
              </w:rPr>
            </w:pPr>
            <w:r>
              <w:rPr>
                <w:rFonts w:ascii="Times New Roman"/>
                <w:spacing w:val="-1"/>
                <w:sz w:val="18"/>
              </w:rPr>
              <w:t>3,244.91</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Times New Roman" w:hAnsi="Times New Roman" w:cs="Times New Roman" w:eastAsia="Times New Roman" w:hint="default"/>
                <w:sz w:val="18"/>
                <w:szCs w:val="18"/>
              </w:rPr>
            </w:pPr>
            <w:r>
              <w:rPr>
                <w:rFonts w:ascii="Times New Roman"/>
                <w:spacing w:val="-1"/>
                <w:sz w:val="18"/>
              </w:rPr>
              <w:t>1,849.01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18"/>
                <w:szCs w:val="18"/>
              </w:rPr>
            </w:pPr>
            <w:r>
              <w:rPr>
                <w:rFonts w:ascii="Times New Roman"/>
                <w:spacing w:val="-1"/>
                <w:sz w:val="18"/>
              </w:rPr>
              <w:t>75.49%</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18"/>
                <w:szCs w:val="18"/>
              </w:rPr>
            </w:pPr>
            <w:r>
              <w:rPr>
                <w:rFonts w:ascii="宋体" w:hAnsi="宋体" w:cs="宋体" w:eastAsia="宋体" w:hint="default"/>
                <w:spacing w:val="-3"/>
                <w:sz w:val="18"/>
                <w:szCs w:val="18"/>
              </w:rPr>
              <w:t>业务增长带来人工成本、差旅费等费用</w:t>
            </w:r>
          </w:p>
        </w:tc>
      </w:tr>
      <w:tr>
        <w:trPr>
          <w:trHeight w:val="232"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的增长</w:t>
            </w:r>
          </w:p>
        </w:tc>
      </w:tr>
      <w:tr>
        <w:trPr>
          <w:trHeight w:val="288"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10" w:lineRule="exact"/>
              <w:ind w:left="1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18"/>
                <w:szCs w:val="18"/>
              </w:rPr>
            </w:pPr>
            <w:r>
              <w:rPr>
                <w:rFonts w:ascii="Times New Roman"/>
                <w:spacing w:val="-1"/>
                <w:sz w:val="18"/>
              </w:rPr>
              <w:t>3,309.68</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Times New Roman" w:hAnsi="Times New Roman" w:cs="Times New Roman" w:eastAsia="Times New Roman" w:hint="default"/>
                <w:sz w:val="18"/>
                <w:szCs w:val="18"/>
              </w:rPr>
            </w:pPr>
            <w:r>
              <w:rPr>
                <w:rFonts w:ascii="Times New Roman"/>
                <w:spacing w:val="-1"/>
                <w:sz w:val="18"/>
              </w:rPr>
              <w:t>2,064.35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60.33%</w:t>
            </w:r>
          </w:p>
        </w:tc>
        <w:tc>
          <w:tcPr>
            <w:tcW w:w="3237"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研发投入增长，上市费用影响</w:t>
            </w:r>
          </w:p>
        </w:tc>
      </w:tr>
      <w:tr>
        <w:trPr>
          <w:trHeight w:val="338"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6"/>
              <w:jc w:val="right"/>
              <w:rPr>
                <w:rFonts w:ascii="Times New Roman" w:hAnsi="Times New Roman" w:cs="Times New Roman" w:eastAsia="Times New Roman" w:hint="default"/>
                <w:sz w:val="18"/>
                <w:szCs w:val="18"/>
              </w:rPr>
            </w:pPr>
            <w:r>
              <w:rPr>
                <w:rFonts w:ascii="Times New Roman"/>
                <w:spacing w:val="-1"/>
                <w:sz w:val="18"/>
              </w:rPr>
              <w:t>-391.31</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1"/>
              <w:jc w:val="right"/>
              <w:rPr>
                <w:rFonts w:ascii="Times New Roman" w:hAnsi="Times New Roman" w:cs="Times New Roman" w:eastAsia="Times New Roman" w:hint="default"/>
                <w:sz w:val="18"/>
                <w:szCs w:val="18"/>
              </w:rPr>
            </w:pPr>
            <w:r>
              <w:rPr>
                <w:rFonts w:ascii="Times New Roman"/>
                <w:sz w:val="18"/>
              </w:rPr>
              <w:t>-45.34</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8"/>
                <w:szCs w:val="18"/>
              </w:rPr>
            </w:pPr>
            <w:r>
              <w:rPr>
                <w:rFonts w:ascii="宋体" w:hAnsi="宋体" w:cs="宋体" w:eastAsia="宋体" w:hint="default"/>
                <w:sz w:val="18"/>
                <w:szCs w:val="18"/>
              </w:rPr>
              <w:t>发行新股募集资金存款利息增加</w:t>
            </w:r>
          </w:p>
        </w:tc>
      </w:tr>
      <w:tr>
        <w:trPr>
          <w:trHeight w:val="341"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345.67</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1"/>
              <w:jc w:val="right"/>
              <w:rPr>
                <w:rFonts w:ascii="Times New Roman" w:hAnsi="Times New Roman" w:cs="Times New Roman" w:eastAsia="Times New Roman" w:hint="default"/>
                <w:sz w:val="18"/>
                <w:szCs w:val="18"/>
              </w:rPr>
            </w:pPr>
            <w:r>
              <w:rPr>
                <w:rFonts w:ascii="Times New Roman"/>
                <w:spacing w:val="-2"/>
                <w:sz w:val="18"/>
              </w:rPr>
              <w:t>11.30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&gt;200%</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应收款项增长影响</w:t>
            </w:r>
          </w:p>
        </w:tc>
      </w:tr>
      <w:tr>
        <w:trPr>
          <w:trHeight w:val="289"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Times New Roman" w:hAnsi="Times New Roman" w:cs="Times New Roman" w:eastAsia="Times New Roman" w:hint="default"/>
                <w:sz w:val="18"/>
                <w:szCs w:val="18"/>
              </w:rPr>
            </w:pPr>
            <w:r>
              <w:rPr>
                <w:rFonts w:ascii="Times New Roman"/>
                <w:spacing w:val="-1"/>
                <w:sz w:val="18"/>
              </w:rPr>
              <w:t>1,566.70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Times New Roman" w:hAnsi="Times New Roman" w:cs="Times New Roman" w:eastAsia="Times New Roman" w:hint="default"/>
                <w:sz w:val="18"/>
                <w:szCs w:val="18"/>
              </w:rPr>
            </w:pPr>
            <w:r>
              <w:rPr>
                <w:rFonts w:ascii="Times New Roman"/>
                <w:spacing w:val="-1"/>
                <w:sz w:val="18"/>
              </w:rPr>
              <w:t>1,030.12</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52.09%</w:t>
            </w:r>
          </w:p>
        </w:tc>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pacing w:val="8"/>
                <w:sz w:val="18"/>
                <w:szCs w:val="18"/>
              </w:rPr>
              <w:t>政府补助收入及软件产品增值税即征</w:t>
            </w:r>
          </w:p>
        </w:tc>
      </w:tr>
      <w:tr>
        <w:trPr>
          <w:trHeight w:val="231" w:hRule="exact"/>
        </w:trPr>
        <w:tc>
          <w:tcPr>
            <w:tcW w:w="157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323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即退影响</w:t>
            </w:r>
          </w:p>
        </w:tc>
      </w:tr>
      <w:tr>
        <w:trPr>
          <w:trHeight w:val="309" w:hRule="exact"/>
        </w:trPr>
        <w:tc>
          <w:tcPr>
            <w:tcW w:w="1578" w:type="dxa"/>
            <w:tcBorders>
              <w:top w:val="nil" w:sz="6" w:space="0" w:color="auto"/>
              <w:left w:val="nil" w:sz="6" w:space="0" w:color="auto"/>
              <w:bottom w:val="nil" w:sz="6" w:space="0" w:color="auto"/>
              <w:right w:val="nil" w:sz="6" w:space="0" w:color="auto"/>
            </w:tcBorders>
          </w:tcPr>
          <w:p>
            <w:pPr>
              <w:pStyle w:val="TableParagraph"/>
              <w:spacing w:line="209" w:lineRule="exact"/>
              <w:ind w:left="110"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8"/>
              <w:jc w:val="right"/>
              <w:rPr>
                <w:rFonts w:ascii="Times New Roman" w:hAnsi="Times New Roman" w:cs="Times New Roman" w:eastAsia="Times New Roman" w:hint="default"/>
                <w:sz w:val="18"/>
                <w:szCs w:val="18"/>
              </w:rPr>
            </w:pPr>
            <w:r>
              <w:rPr>
                <w:rFonts w:ascii="Times New Roman"/>
                <w:spacing w:val="-1"/>
                <w:sz w:val="18"/>
              </w:rPr>
              <w:t>475.62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3"/>
              <w:jc w:val="right"/>
              <w:rPr>
                <w:rFonts w:ascii="Times New Roman" w:hAnsi="Times New Roman" w:cs="Times New Roman" w:eastAsia="Times New Roman" w:hint="default"/>
                <w:sz w:val="18"/>
                <w:szCs w:val="18"/>
              </w:rPr>
            </w:pPr>
            <w:r>
              <w:rPr>
                <w:rFonts w:ascii="Times New Roman"/>
                <w:spacing w:val="-1"/>
                <w:sz w:val="18"/>
              </w:rPr>
              <w:t>361.20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Times New Roman" w:hAnsi="Times New Roman" w:cs="Times New Roman" w:eastAsia="Times New Roman" w:hint="default"/>
                <w:sz w:val="18"/>
                <w:szCs w:val="18"/>
              </w:rPr>
            </w:pPr>
            <w:r>
              <w:rPr>
                <w:rFonts w:ascii="Times New Roman"/>
                <w:spacing w:val="-1"/>
                <w:sz w:val="18"/>
              </w:rPr>
              <w:t>31.68%</w:t>
            </w:r>
          </w:p>
        </w:tc>
        <w:tc>
          <w:tcPr>
            <w:tcW w:w="3237" w:type="dxa"/>
            <w:tcBorders>
              <w:top w:val="nil" w:sz="6" w:space="0" w:color="auto"/>
              <w:left w:val="nil" w:sz="6" w:space="0" w:color="auto"/>
              <w:bottom w:val="nil" w:sz="6" w:space="0" w:color="auto"/>
              <w:right w:val="nil" w:sz="6" w:space="0" w:color="auto"/>
            </w:tcBorders>
          </w:tcPr>
          <w:p>
            <w:pPr>
              <w:pStyle w:val="TableParagraph"/>
              <w:spacing w:line="209" w:lineRule="exact"/>
              <w:ind w:left="107" w:right="0"/>
              <w:jc w:val="left"/>
              <w:rPr>
                <w:rFonts w:ascii="宋体" w:hAnsi="宋体" w:cs="宋体" w:eastAsia="宋体" w:hint="default"/>
                <w:sz w:val="18"/>
                <w:szCs w:val="18"/>
              </w:rPr>
            </w:pPr>
            <w:r>
              <w:rPr>
                <w:rFonts w:ascii="宋体" w:hAnsi="宋体" w:cs="宋体" w:eastAsia="宋体" w:hint="default"/>
                <w:sz w:val="18"/>
                <w:szCs w:val="18"/>
              </w:rPr>
              <w:t>盈利增长影响</w:t>
            </w:r>
          </w:p>
        </w:tc>
      </w:tr>
    </w:tbl>
    <w:p>
      <w:pPr>
        <w:spacing w:line="240" w:lineRule="auto" w:before="0"/>
        <w:rPr>
          <w:rFonts w:ascii="宋体" w:hAnsi="宋体" w:cs="宋体" w:eastAsia="宋体" w:hint="default"/>
          <w:sz w:val="20"/>
          <w:szCs w:val="20"/>
        </w:rPr>
      </w:pPr>
    </w:p>
    <w:p>
      <w:pPr>
        <w:spacing w:line="300" w:lineRule="auto" w:before="119"/>
        <w:ind w:left="535" w:right="10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十七、净资产收益率及每股收益</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根据中国证券监督管理委员会《公开发行证券的公司信息披露编报规则第</w:t>
      </w:r>
      <w:r>
        <w:rPr>
          <w:rFonts w:ascii="Times New Roman" w:hAnsi="Times New Roman" w:cs="Times New Roman" w:eastAsia="Times New Roman" w:hint="default"/>
          <w:w w:val="95"/>
          <w:sz w:val="21"/>
          <w:szCs w:val="21"/>
        </w:rPr>
        <w:t>9</w:t>
      </w:r>
      <w:r>
        <w:rPr>
          <w:rFonts w:ascii="宋体" w:hAnsi="宋体" w:cs="宋体" w:eastAsia="宋体" w:hint="default"/>
          <w:w w:val="95"/>
          <w:sz w:val="21"/>
          <w:szCs w:val="21"/>
        </w:rPr>
        <w:t>号</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净资产收益率和每股</w:t>
      </w:r>
      <w:r>
        <w:rPr>
          <w:rFonts w:ascii="宋体" w:hAnsi="宋体" w:cs="宋体" w:eastAsia="宋体" w:hint="default"/>
          <w:sz w:val="21"/>
          <w:szCs w:val="21"/>
        </w:rPr>
      </w:r>
    </w:p>
    <w:p>
      <w:pPr>
        <w:pStyle w:val="BodyText"/>
        <w:spacing w:line="240" w:lineRule="auto" w:before="42"/>
        <w:ind w:right="103"/>
        <w:jc w:val="left"/>
      </w:pPr>
      <w:r>
        <w:rPr>
          <w:w w:val="95"/>
        </w:rPr>
        <w:t>收益的计算及披露》（</w:t>
      </w:r>
      <w:r>
        <w:rPr>
          <w:rFonts w:ascii="Times New Roman" w:hAnsi="Times New Roman" w:cs="Times New Roman" w:eastAsia="Times New Roman" w:hint="default"/>
          <w:w w:val="95"/>
        </w:rPr>
        <w:t>2010</w:t>
      </w:r>
      <w:r>
        <w:rPr>
          <w:w w:val="95"/>
        </w:rPr>
        <w:t>年修订），公司加权平均净资产收益率以及基本每股收益和稀释每股收益如下：</w:t>
      </w:r>
      <w:r>
        <w:rPr/>
      </w:r>
    </w:p>
    <w:p>
      <w:pPr>
        <w:pStyle w:val="BodyText"/>
        <w:spacing w:line="240" w:lineRule="auto" w:before="98"/>
        <w:ind w:left="535" w:right="103"/>
        <w:jc w:val="left"/>
      </w:pPr>
      <w:r>
        <w:rPr>
          <w:rFonts w:ascii="Times New Roman" w:hAnsi="Times New Roman" w:cs="Times New Roman" w:eastAsia="Times New Roman" w:hint="default"/>
        </w:rPr>
        <w:t>1</w:t>
      </w:r>
      <w:r>
        <w:rPr/>
        <w:t>、净资产收益率</w:t>
      </w:r>
    </w:p>
    <w:p>
      <w:pPr>
        <w:spacing w:after="0" w:line="240" w:lineRule="auto"/>
        <w:jc w:val="left"/>
        <w:sectPr>
          <w:pgSz w:w="11910" w:h="16840"/>
          <w:pgMar w:header="849" w:footer="976" w:top="1460" w:bottom="1160" w:left="1020" w:right="920"/>
        </w:sectPr>
      </w:pPr>
    </w:p>
    <w:p>
      <w:pPr>
        <w:spacing w:line="240" w:lineRule="auto" w:before="11"/>
        <w:rPr>
          <w:rFonts w:ascii="宋体" w:hAnsi="宋体" w:cs="宋体" w:eastAsia="宋体" w:hint="default"/>
          <w:sz w:val="18"/>
          <w:szCs w:val="18"/>
        </w:rPr>
      </w:pPr>
    </w:p>
    <w:p>
      <w:pPr>
        <w:spacing w:before="0"/>
        <w:ind w:left="0" w:right="0" w:firstLine="0"/>
        <w:jc w:val="right"/>
        <w:rPr>
          <w:rFonts w:ascii="宋体" w:hAnsi="宋体" w:cs="宋体" w:eastAsia="宋体" w:hint="default"/>
          <w:sz w:val="18"/>
          <w:szCs w:val="18"/>
        </w:rPr>
      </w:pPr>
      <w:r>
        <w:rPr/>
        <w:pict>
          <v:group style="position:absolute;margin-left:56.279999pt;margin-top:-11.08829pt;width:482.65pt;height:12.4pt;mso-position-horizontal-relative:page;mso-position-vertical-relative:paragraph;z-index:-623944" coordorigin="1126,-222" coordsize="9653,248">
            <v:shape style="position:absolute;left:1135;top:-222;width:797;height:144" type="#_x0000_t75" stroked="false">
              <v:imagedata r:id="rId8" o:title=""/>
            </v:shape>
            <v:shape style="position:absolute;left:1966;top:-222;width:430;height:101" type="#_x0000_t75" stroked="false">
              <v:imagedata r:id="rId9" o:title=""/>
            </v:shape>
            <v:group style="position:absolute;left:1133;top:-68;width:1251;height:94" coordorigin="1133,-68" coordsize="1251,94">
              <v:shape style="position:absolute;left:1133;top:-68;width:1251;height:94" coordorigin="1133,-68" coordsize="1251,94" path="m1133,25l1227,11,1312,-1,1407,-12,1511,-22,1646,-33,1819,-44,2383,-68,1133,25xe" filled="true" fillcolor="#074278" stroked="false">
                <v:path arrowok="t"/>
                <v:fill type="solid"/>
              </v:shape>
            </v:group>
            <v:group style="position:absolute;left:1133;top:-203;width:9639;height:2" coordorigin="1133,-203" coordsize="9639,2">
              <v:shape style="position:absolute;left:1133;top:-203;width:9639;height:2" coordorigin="1133,-203" coordsize="9639,0" path="m1133,-203l10771,-203e" filled="false" stroked="true" strokeweight=".72pt" strokecolor="#000000">
                <v:path arrowok="t"/>
              </v:shape>
            </v:group>
            <w10:wrap type="none"/>
          </v:group>
        </w:pict>
      </w:r>
      <w:r>
        <w:rPr>
          <w:rFonts w:ascii="宋体" w:hAnsi="宋体" w:cs="宋体" w:eastAsia="宋体" w:hint="default"/>
          <w:sz w:val="18"/>
          <w:szCs w:val="18"/>
        </w:rPr>
        <w:t>报告期利润</w:t>
      </w:r>
    </w:p>
    <w:p>
      <w:pPr>
        <w:tabs>
          <w:tab w:pos="4487" w:val="left" w:leader="none"/>
        </w:tabs>
        <w:spacing w:line="352" w:lineRule="auto" w:before="74"/>
        <w:ind w:left="2351" w:right="753" w:firstLine="439"/>
        <w:jc w:val="left"/>
        <w:rPr>
          <w:rFonts w:ascii="宋体" w:hAnsi="宋体" w:cs="宋体" w:eastAsia="宋体" w:hint="default"/>
          <w:sz w:val="18"/>
          <w:szCs w:val="18"/>
        </w:rPr>
      </w:pPr>
      <w:r>
        <w:rPr/>
        <w:br w:type="column"/>
      </w:r>
      <w:r>
        <w:rPr>
          <w:rFonts w:ascii="宋体" w:hAnsi="宋体" w:cs="宋体" w:eastAsia="宋体" w:hint="default"/>
          <w:sz w:val="18"/>
          <w:szCs w:val="18"/>
        </w:rPr>
        <w:t>加权平均净资产收益率 本期数</w:t>
        <w:tab/>
        <w:t>上期数</w:t>
      </w:r>
    </w:p>
    <w:p>
      <w:pPr>
        <w:spacing w:after="0" w:line="352" w:lineRule="auto"/>
        <w:jc w:val="left"/>
        <w:rPr>
          <w:rFonts w:ascii="宋体" w:hAnsi="宋体" w:cs="宋体" w:eastAsia="宋体" w:hint="default"/>
          <w:sz w:val="18"/>
          <w:szCs w:val="18"/>
        </w:rPr>
        <w:sectPr>
          <w:pgSz w:w="11910" w:h="16840"/>
          <w:pgMar w:header="849" w:footer="976" w:top="1460" w:bottom="1160" w:left="1020" w:right="1000"/>
          <w:cols w:num="2" w:equalWidth="0">
            <w:col w:w="3253" w:space="851"/>
            <w:col w:w="5786"/>
          </w:cols>
        </w:sectPr>
      </w:pPr>
    </w:p>
    <w:p>
      <w:pPr>
        <w:tabs>
          <w:tab w:pos="5815" w:val="left" w:leader="none"/>
          <w:tab w:pos="7946" w:val="left" w:leader="none"/>
        </w:tabs>
        <w:spacing w:line="20" w:lineRule="exact"/>
        <w:ind w:left="108" w:right="0" w:firstLine="0"/>
        <w:rPr>
          <w:rFonts w:ascii="宋体" w:hAnsi="宋体" w:cs="宋体" w:eastAsia="宋体" w:hint="default"/>
          <w:sz w:val="2"/>
          <w:szCs w:val="2"/>
        </w:rPr>
      </w:pPr>
      <w:r>
        <w:rPr>
          <w:rFonts w:ascii="宋体"/>
          <w:sz w:val="2"/>
        </w:rPr>
        <w:pict>
          <v:group style="width:269.4pt;height:.5pt;mso-position-horizontal-relative:char;mso-position-vertical-relative:line" coordorigin="0,0" coordsize="5388,10">
            <v:group style="position:absolute;left:5;top:5;width:5379;height:2" coordorigin="5,5" coordsize="5379,2">
              <v:shape style="position:absolute;left:5;top:5;width:5379;height:2" coordorigin="5,5" coordsize="5379,0" path="m5,5l5383,5e" filled="false" stroked="true" strokeweight=".48pt" strokecolor="#000000">
                <v:path arrowok="t"/>
              </v:shape>
            </v:group>
          </v:group>
        </w:pict>
      </w:r>
      <w:r>
        <w:rPr>
          <w:rFonts w:ascii="宋体"/>
          <w:sz w:val="2"/>
        </w:rPr>
      </w:r>
      <w:r>
        <w:rPr>
          <w:rFonts w:ascii="宋体"/>
          <w:sz w:val="2"/>
        </w:rPr>
        <w:tab/>
      </w:r>
      <w:r>
        <w:rPr>
          <w:rFonts w:ascii="宋体"/>
          <w:sz w:val="2"/>
        </w:rPr>
        <w:pict>
          <v:group style="width:91pt;height:.5pt;mso-position-horizontal-relative:char;mso-position-vertical-relative:line" coordorigin="0,0" coordsize="1820,10">
            <v:group style="position:absolute;left:5;top:5;width:1810;height:2" coordorigin="5,5" coordsize="1810,2">
              <v:shape style="position:absolute;left:5;top:5;width:1810;height:2" coordorigin="5,5" coordsize="1810,0" path="m5,5l1814,5e" filled="false" stroked="true" strokeweight=".48pt" strokecolor="#000000">
                <v:path arrowok="t"/>
              </v:shape>
            </v:group>
          </v:group>
        </w:pict>
      </w:r>
      <w:r>
        <w:rPr>
          <w:rFonts w:ascii="宋体"/>
          <w:sz w:val="2"/>
        </w:rPr>
      </w:r>
      <w:r>
        <w:rPr>
          <w:rFonts w:ascii="宋体"/>
          <w:sz w:val="2"/>
        </w:rPr>
        <w:tab/>
      </w:r>
      <w:r>
        <w:rPr>
          <w:rFonts w:ascii="宋体"/>
          <w:sz w:val="2"/>
        </w:rPr>
        <w:pict>
          <v:group style="width:91.6pt;height:.5pt;mso-position-horizontal-relative:char;mso-position-vertical-relative:line" coordorigin="0,0" coordsize="1832,10">
            <v:group style="position:absolute;left:5;top:5;width:1822;height:2" coordorigin="5,5" coordsize="1822,2">
              <v:shape style="position:absolute;left:5;top:5;width:1822;height:2" coordorigin="5,5" coordsize="1822,0" path="m5,5l1826,5e" filled="false" stroked="true" strokeweight=".48pt" strokecolor="#000000">
                <v:path arrowok="t"/>
              </v:shape>
            </v:group>
          </v:group>
        </w:pict>
      </w:r>
      <w:r>
        <w:rPr>
          <w:rFonts w:ascii="宋体"/>
          <w:sz w:val="2"/>
        </w:rPr>
      </w:r>
    </w:p>
    <w:p>
      <w:pPr>
        <w:tabs>
          <w:tab w:pos="6448" w:val="left" w:leader="none"/>
          <w:tab w:pos="8584" w:val="left" w:leader="none"/>
        </w:tabs>
        <w:spacing w:before="12"/>
        <w:ind w:left="223" w:right="0" w:firstLine="0"/>
        <w:jc w:val="left"/>
        <w:rPr>
          <w:rFonts w:ascii="Times New Roman" w:hAnsi="Times New Roman" w:cs="Times New Roman" w:eastAsia="Times New Roman" w:hint="default"/>
          <w:sz w:val="18"/>
          <w:szCs w:val="18"/>
        </w:rPr>
      </w:pPr>
      <w:r>
        <w:rPr/>
        <w:pict>
          <v:group style="position:absolute;margin-left:342pt;margin-top:-18.048273pt;width:197.65pt;height:.1pt;mso-position-horizontal-relative:page;mso-position-vertical-relative:paragraph;z-index:-623920" coordorigin="6840,-361" coordsize="3953,2">
            <v:shape style="position:absolute;left:6840;top:-361;width:3953;height:2" coordorigin="6840,-361" coordsize="3953,0" path="m6840,-361l10793,-361e" filled="false" stroked="true" strokeweight=".48pt" strokecolor="#000000">
              <v:path arrowok="t"/>
            </v:shape>
            <w10:wrap type="none"/>
          </v:group>
        </w:pict>
      </w:r>
      <w:r>
        <w:rPr>
          <w:rFonts w:ascii="宋体" w:hAnsi="宋体" w:cs="宋体" w:eastAsia="宋体" w:hint="default"/>
          <w:sz w:val="18"/>
          <w:szCs w:val="18"/>
        </w:rPr>
        <w:t>归属于公司普通股股东的净利润</w:t>
        <w:tab/>
      </w:r>
      <w:r>
        <w:rPr>
          <w:rFonts w:ascii="Times New Roman" w:hAnsi="Times New Roman" w:cs="Times New Roman" w:eastAsia="Times New Roman" w:hint="default"/>
          <w:spacing w:val="-1"/>
          <w:sz w:val="18"/>
          <w:szCs w:val="18"/>
        </w:rPr>
        <w:t>19.26%</w:t>
        <w:tab/>
        <w:t>37.02%</w:t>
      </w:r>
    </w:p>
    <w:p>
      <w:pPr>
        <w:tabs>
          <w:tab w:pos="6448" w:val="left" w:leader="none"/>
          <w:tab w:pos="8584" w:val="left" w:leader="none"/>
        </w:tabs>
        <w:spacing w:before="84"/>
        <w:ind w:left="2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扣除非经常性损益后归属于公司普通股股东的净利润</w:t>
        <w:tab/>
      </w:r>
      <w:r>
        <w:rPr>
          <w:rFonts w:ascii="Times New Roman" w:hAnsi="Times New Roman" w:cs="Times New Roman" w:eastAsia="Times New Roman" w:hint="default"/>
          <w:spacing w:val="-1"/>
          <w:sz w:val="18"/>
          <w:szCs w:val="18"/>
        </w:rPr>
        <w:t>17.84%</w:t>
        <w:tab/>
        <w:t>35.43%</w:t>
      </w:r>
    </w:p>
    <w:p>
      <w:pPr>
        <w:spacing w:before="115"/>
        <w:ind w:left="475" w:right="0" w:firstLine="0"/>
        <w:jc w:val="left"/>
        <w:rPr>
          <w:rFonts w:ascii="宋体" w:hAnsi="宋体" w:cs="宋体" w:eastAsia="宋体" w:hint="default"/>
          <w:sz w:val="18"/>
          <w:szCs w:val="18"/>
        </w:rPr>
      </w:pPr>
      <w:r>
        <w:rPr>
          <w:rFonts w:ascii="宋体" w:hAnsi="宋体" w:cs="宋体" w:eastAsia="宋体" w:hint="default"/>
          <w:sz w:val="18"/>
          <w:szCs w:val="18"/>
        </w:rPr>
        <w:t>计算过程为：</w:t>
      </w:r>
    </w:p>
    <w:p>
      <w:pPr>
        <w:spacing w:before="155"/>
        <w:ind w:left="475"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加权平均净资产收益率</w:t>
      </w:r>
      <w:r>
        <w:rPr>
          <w:rFonts w:ascii="Times New Roman" w:hAnsi="Times New Roman" w:cs="Times New Roman" w:eastAsia="Times New Roman" w:hint="default"/>
          <w:spacing w:val="-1"/>
          <w:position w:val="1"/>
          <w:sz w:val="18"/>
          <w:szCs w:val="18"/>
        </w:rPr>
        <w:t>=P</w:t>
      </w:r>
      <w:r>
        <w:rPr>
          <w:rFonts w:ascii="Times New Roman" w:hAnsi="Times New Roman" w:cs="Times New Roman" w:eastAsia="Times New Roman" w:hint="default"/>
          <w:spacing w:val="-1"/>
          <w:sz w:val="11"/>
          <w:szCs w:val="11"/>
        </w:rPr>
        <w:t>0</w:t>
      </w:r>
      <w:r>
        <w:rPr>
          <w:rFonts w:ascii="Times New Roman" w:hAnsi="Times New Roman" w:cs="Times New Roman" w:eastAsia="Times New Roman" w:hint="default"/>
          <w:spacing w:val="-1"/>
          <w:position w:val="1"/>
          <w:sz w:val="18"/>
          <w:szCs w:val="18"/>
        </w:rPr>
        <w:t>/(E</w:t>
      </w:r>
      <w:r>
        <w:rPr>
          <w:rFonts w:ascii="Times New Roman" w:hAnsi="Times New Roman" w:cs="Times New Roman" w:eastAsia="Times New Roman" w:hint="default"/>
          <w:spacing w:val="-1"/>
          <w:sz w:val="11"/>
          <w:szCs w:val="11"/>
        </w:rPr>
        <w:t>0</w:t>
      </w:r>
      <w:r>
        <w:rPr>
          <w:rFonts w:ascii="宋体" w:hAnsi="宋体" w:cs="宋体" w:eastAsia="宋体" w:hint="default"/>
          <w:spacing w:val="-1"/>
          <w:position w:val="1"/>
          <w:sz w:val="18"/>
          <w:szCs w:val="18"/>
        </w:rPr>
        <w:t>＋</w:t>
      </w:r>
      <w:r>
        <w:rPr>
          <w:rFonts w:ascii="Times New Roman" w:hAnsi="Times New Roman" w:cs="Times New Roman" w:eastAsia="Times New Roman" w:hint="default"/>
          <w:spacing w:val="-1"/>
          <w:position w:val="1"/>
          <w:sz w:val="18"/>
          <w:szCs w:val="18"/>
        </w:rPr>
        <w:t>NP÷2</w:t>
      </w:r>
      <w:r>
        <w:rPr>
          <w:rFonts w:ascii="宋体" w:hAnsi="宋体" w:cs="宋体" w:eastAsia="宋体" w:hint="default"/>
          <w:spacing w:val="-1"/>
          <w:position w:val="1"/>
          <w:sz w:val="18"/>
          <w:szCs w:val="18"/>
        </w:rPr>
        <w:t>＋</w:t>
      </w:r>
      <w:r>
        <w:rPr>
          <w:rFonts w:ascii="Times New Roman" w:hAnsi="Times New Roman" w:cs="Times New Roman" w:eastAsia="Times New Roman" w:hint="default"/>
          <w:spacing w:val="-1"/>
          <w:position w:val="1"/>
          <w:sz w:val="18"/>
          <w:szCs w:val="18"/>
        </w:rPr>
        <w:t>E</w:t>
      </w:r>
      <w:r>
        <w:rPr>
          <w:rFonts w:ascii="Times New Roman" w:hAnsi="Times New Roman" w:cs="Times New Roman" w:eastAsia="Times New Roman" w:hint="default"/>
          <w:spacing w:val="-1"/>
          <w:sz w:val="11"/>
          <w:szCs w:val="11"/>
        </w:rPr>
        <w:t>i</w:t>
      </w:r>
      <w:r>
        <w:rPr>
          <w:rFonts w:ascii="Times New Roman" w:hAnsi="Times New Roman" w:cs="Times New Roman" w:eastAsia="Times New Roman" w:hint="default"/>
          <w:spacing w:val="-1"/>
          <w:position w:val="1"/>
          <w:sz w:val="18"/>
          <w:szCs w:val="18"/>
        </w:rPr>
        <w:t>×M</w:t>
      </w:r>
      <w:r>
        <w:rPr>
          <w:rFonts w:ascii="Times New Roman" w:hAnsi="Times New Roman" w:cs="Times New Roman" w:eastAsia="Times New Roman" w:hint="default"/>
          <w:spacing w:val="-1"/>
          <w:sz w:val="11"/>
          <w:szCs w:val="11"/>
        </w:rPr>
        <w:t>i</w:t>
      </w:r>
      <w:r>
        <w:rPr>
          <w:rFonts w:ascii="Times New Roman" w:hAnsi="Times New Roman" w:cs="Times New Roman" w:eastAsia="Times New Roman" w:hint="default"/>
          <w:spacing w:val="-1"/>
          <w:position w:val="1"/>
          <w:sz w:val="18"/>
          <w:szCs w:val="18"/>
        </w:rPr>
        <w:t>÷M</w:t>
      </w:r>
      <w:r>
        <w:rPr>
          <w:rFonts w:ascii="Times New Roman" w:hAnsi="Times New Roman" w:cs="Times New Roman" w:eastAsia="Times New Roman" w:hint="default"/>
          <w:spacing w:val="-1"/>
          <w:sz w:val="11"/>
          <w:szCs w:val="11"/>
        </w:rPr>
        <w:t>0</w:t>
      </w:r>
      <w:r>
        <w:rPr>
          <w:rFonts w:ascii="Times New Roman" w:hAnsi="Times New Roman" w:cs="Times New Roman" w:eastAsia="Times New Roman" w:hint="default"/>
          <w:spacing w:val="-1"/>
          <w:position w:val="1"/>
          <w:sz w:val="18"/>
          <w:szCs w:val="18"/>
        </w:rPr>
        <w:t>–</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17"/>
          <w:position w:val="1"/>
          <w:sz w:val="18"/>
          <w:szCs w:val="18"/>
        </w:rPr>
        <w:t> </w:t>
      </w:r>
      <w:r>
        <w:rPr>
          <w:rFonts w:ascii="Times New Roman" w:hAnsi="Times New Roman" w:cs="Times New Roman" w:eastAsia="Times New Roman" w:hint="default"/>
          <w:spacing w:val="-1"/>
          <w:position w:val="1"/>
          <w:sz w:val="18"/>
          <w:szCs w:val="18"/>
        </w:rPr>
        <w:t>E</w:t>
      </w:r>
      <w:r>
        <w:rPr>
          <w:rFonts w:ascii="Times New Roman" w:hAnsi="Times New Roman" w:cs="Times New Roman" w:eastAsia="Times New Roman" w:hint="default"/>
          <w:spacing w:val="-1"/>
          <w:sz w:val="11"/>
          <w:szCs w:val="11"/>
        </w:rPr>
        <w:t>j</w:t>
      </w:r>
      <w:r>
        <w:rPr>
          <w:rFonts w:ascii="Times New Roman" w:hAnsi="Times New Roman" w:cs="Times New Roman" w:eastAsia="Times New Roman" w:hint="default"/>
          <w:spacing w:val="-1"/>
          <w:position w:val="1"/>
          <w:sz w:val="18"/>
          <w:szCs w:val="18"/>
        </w:rPr>
        <w:t>×M</w:t>
      </w:r>
      <w:r>
        <w:rPr>
          <w:rFonts w:ascii="Times New Roman" w:hAnsi="Times New Roman" w:cs="Times New Roman" w:eastAsia="Times New Roman" w:hint="default"/>
          <w:spacing w:val="-1"/>
          <w:sz w:val="11"/>
          <w:szCs w:val="11"/>
        </w:rPr>
        <w:t>j</w:t>
      </w:r>
      <w:r>
        <w:rPr>
          <w:rFonts w:ascii="Times New Roman" w:hAnsi="Times New Roman" w:cs="Times New Roman" w:eastAsia="Times New Roman" w:hint="default"/>
          <w:spacing w:val="-1"/>
          <w:position w:val="1"/>
          <w:sz w:val="18"/>
          <w:szCs w:val="18"/>
        </w:rPr>
        <w:t>÷M</w:t>
      </w:r>
      <w:r>
        <w:rPr>
          <w:rFonts w:ascii="Times New Roman" w:hAnsi="Times New Roman" w:cs="Times New Roman" w:eastAsia="Times New Roman" w:hint="default"/>
          <w:spacing w:val="-1"/>
          <w:sz w:val="11"/>
          <w:szCs w:val="11"/>
        </w:rPr>
        <w:t>0</w:t>
      </w:r>
      <w:r>
        <w:rPr>
          <w:rFonts w:ascii="Times New Roman" w:hAnsi="Times New Roman" w:cs="Times New Roman" w:eastAsia="Times New Roman" w:hint="default"/>
          <w:spacing w:val="-1"/>
          <w:position w:val="1"/>
          <w:sz w:val="18"/>
          <w:szCs w:val="18"/>
        </w:rPr>
        <w:t>±E</w:t>
      </w:r>
      <w:r>
        <w:rPr>
          <w:rFonts w:ascii="Times New Roman" w:hAnsi="Times New Roman" w:cs="Times New Roman" w:eastAsia="Times New Roman" w:hint="default"/>
          <w:spacing w:val="-1"/>
          <w:sz w:val="11"/>
          <w:szCs w:val="11"/>
        </w:rPr>
        <w:t>k</w:t>
      </w:r>
      <w:r>
        <w:rPr>
          <w:rFonts w:ascii="Times New Roman" w:hAnsi="Times New Roman" w:cs="Times New Roman" w:eastAsia="Times New Roman" w:hint="default"/>
          <w:spacing w:val="-1"/>
          <w:position w:val="1"/>
          <w:sz w:val="18"/>
          <w:szCs w:val="18"/>
        </w:rPr>
        <w:t>×M</w:t>
      </w:r>
      <w:r>
        <w:rPr>
          <w:rFonts w:ascii="Times New Roman" w:hAnsi="Times New Roman" w:cs="Times New Roman" w:eastAsia="Times New Roman" w:hint="default"/>
          <w:spacing w:val="-1"/>
          <w:sz w:val="11"/>
          <w:szCs w:val="11"/>
        </w:rPr>
        <w:t>k</w:t>
      </w:r>
      <w:r>
        <w:rPr>
          <w:rFonts w:ascii="Times New Roman" w:hAnsi="Times New Roman" w:cs="Times New Roman" w:eastAsia="Times New Roman" w:hint="default"/>
          <w:spacing w:val="-1"/>
          <w:position w:val="1"/>
          <w:sz w:val="18"/>
          <w:szCs w:val="18"/>
        </w:rPr>
        <w:t>÷M</w:t>
      </w:r>
      <w:r>
        <w:rPr>
          <w:rFonts w:ascii="Times New Roman" w:hAnsi="Times New Roman" w:cs="Times New Roman" w:eastAsia="Times New Roman" w:hint="default"/>
          <w:spacing w:val="-1"/>
          <w:sz w:val="11"/>
          <w:szCs w:val="11"/>
        </w:rPr>
        <w:t>0</w:t>
      </w:r>
      <w:r>
        <w:rPr>
          <w:rFonts w:ascii="Times New Roman" w:hAnsi="Times New Roman" w:cs="Times New Roman" w:eastAsia="Times New Roman" w:hint="default"/>
          <w:spacing w:val="-1"/>
          <w:position w:val="1"/>
          <w:sz w:val="18"/>
          <w:szCs w:val="18"/>
        </w:rPr>
        <w:t>)</w:t>
      </w:r>
      <w:r>
        <w:rPr>
          <w:rFonts w:ascii="Times New Roman" w:hAnsi="Times New Roman" w:cs="Times New Roman" w:eastAsia="Times New Roman" w:hint="default"/>
          <w:spacing w:val="-1"/>
          <w:sz w:val="18"/>
          <w:szCs w:val="18"/>
        </w:rPr>
      </w:r>
    </w:p>
    <w:p>
      <w:pPr>
        <w:spacing w:line="376" w:lineRule="auto" w:before="142"/>
        <w:ind w:left="112" w:right="132" w:firstLine="362"/>
        <w:jc w:val="both"/>
        <w:rPr>
          <w:rFonts w:ascii="宋体" w:hAnsi="宋体" w:cs="宋体" w:eastAsia="宋体" w:hint="default"/>
          <w:sz w:val="18"/>
          <w:szCs w:val="18"/>
        </w:rPr>
      </w:pPr>
      <w:r>
        <w:rPr>
          <w:rFonts w:ascii="宋体" w:hAnsi="宋体" w:cs="宋体" w:eastAsia="宋体" w:hint="default"/>
          <w:position w:val="1"/>
          <w:sz w:val="18"/>
          <w:szCs w:val="18"/>
        </w:rPr>
        <w:t>其中：</w:t>
      </w:r>
      <w:r>
        <w:rPr>
          <w:rFonts w:ascii="Times New Roman" w:hAnsi="Times New Roman" w:cs="Times New Roman" w:eastAsia="Times New Roman" w:hint="default"/>
          <w:position w:val="1"/>
          <w:sz w:val="18"/>
          <w:szCs w:val="18"/>
        </w:rPr>
        <w:t>P</w:t>
      </w:r>
      <w:r>
        <w:rPr>
          <w:rFonts w:ascii="Times New Roman" w:hAnsi="Times New Roman" w:cs="Times New Roman" w:eastAsia="Times New Roman" w:hint="default"/>
          <w:sz w:val="11"/>
          <w:szCs w:val="11"/>
        </w:rPr>
        <w:t>0 </w:t>
      </w:r>
      <w:r>
        <w:rPr>
          <w:rFonts w:ascii="宋体" w:hAnsi="宋体" w:cs="宋体" w:eastAsia="宋体" w:hint="default"/>
          <w:position w:val="1"/>
          <w:sz w:val="18"/>
          <w:szCs w:val="18"/>
        </w:rPr>
        <w:t>分别对应于归属于公司普通股股东的净利润、扣除非经常性损益后归属于公司普通股股东的净利润；</w:t>
      </w:r>
      <w:r>
        <w:rPr>
          <w:rFonts w:ascii="Times New Roman" w:hAnsi="Times New Roman" w:cs="Times New Roman" w:eastAsia="Times New Roman" w:hint="default"/>
          <w:position w:val="1"/>
          <w:sz w:val="18"/>
          <w:szCs w:val="18"/>
        </w:rPr>
        <w:t>NP</w:t>
      </w:r>
      <w:r>
        <w:rPr>
          <w:rFonts w:ascii="Times New Roman" w:hAnsi="Times New Roman" w:cs="Times New Roman" w:eastAsia="Times New Roman" w:hint="default"/>
          <w:spacing w:val="-5"/>
          <w:position w:val="1"/>
          <w:sz w:val="18"/>
          <w:szCs w:val="18"/>
        </w:rPr>
        <w:t> </w:t>
      </w:r>
      <w:r>
        <w:rPr>
          <w:rFonts w:ascii="宋体" w:hAnsi="宋体" w:cs="宋体" w:eastAsia="宋体" w:hint="default"/>
          <w:position w:val="1"/>
          <w:sz w:val="18"/>
          <w:szCs w:val="18"/>
        </w:rPr>
        <w:t>为归 </w:t>
      </w:r>
      <w:r>
        <w:rPr>
          <w:rFonts w:ascii="宋体" w:hAnsi="宋体" w:cs="宋体" w:eastAsia="宋体" w:hint="default"/>
          <w:spacing w:val="-2"/>
          <w:position w:val="1"/>
          <w:sz w:val="18"/>
          <w:szCs w:val="18"/>
        </w:rPr>
        <w:t>属于公司普通股股东的净利润；</w:t>
      </w:r>
      <w:r>
        <w:rPr>
          <w:rFonts w:ascii="Times New Roman" w:hAnsi="Times New Roman" w:cs="Times New Roman" w:eastAsia="Times New Roman" w:hint="default"/>
          <w:spacing w:val="-2"/>
          <w:position w:val="1"/>
          <w:sz w:val="18"/>
          <w:szCs w:val="18"/>
        </w:rPr>
        <w:t>E</w:t>
      </w:r>
      <w:r>
        <w:rPr>
          <w:rFonts w:ascii="Times New Roman" w:hAnsi="Times New Roman" w:cs="Times New Roman" w:eastAsia="Times New Roman" w:hint="default"/>
          <w:spacing w:val="-2"/>
          <w:sz w:val="11"/>
          <w:szCs w:val="11"/>
        </w:rPr>
        <w:t>0</w:t>
      </w:r>
      <w:r>
        <w:rPr>
          <w:rFonts w:ascii="Times New Roman" w:hAnsi="Times New Roman" w:cs="Times New Roman" w:eastAsia="Times New Roman" w:hint="default"/>
          <w:spacing w:val="11"/>
          <w:sz w:val="11"/>
          <w:szCs w:val="11"/>
        </w:rPr>
        <w:t> </w:t>
      </w:r>
      <w:r>
        <w:rPr>
          <w:rFonts w:ascii="宋体" w:hAnsi="宋体" w:cs="宋体" w:eastAsia="宋体" w:hint="default"/>
          <w:spacing w:val="-2"/>
          <w:position w:val="1"/>
          <w:sz w:val="18"/>
          <w:szCs w:val="18"/>
        </w:rPr>
        <w:t>为归属于公司普通股股东的期初净资产；</w:t>
      </w:r>
      <w:r>
        <w:rPr>
          <w:rFonts w:ascii="Times New Roman" w:hAnsi="Times New Roman" w:cs="Times New Roman" w:eastAsia="Times New Roman" w:hint="default"/>
          <w:spacing w:val="-2"/>
          <w:position w:val="1"/>
          <w:sz w:val="18"/>
          <w:szCs w:val="18"/>
        </w:rPr>
        <w:t>E</w:t>
      </w:r>
      <w:r>
        <w:rPr>
          <w:rFonts w:ascii="Times New Roman" w:hAnsi="Times New Roman" w:cs="Times New Roman" w:eastAsia="Times New Roman" w:hint="default"/>
          <w:spacing w:val="-2"/>
          <w:sz w:val="11"/>
          <w:szCs w:val="11"/>
        </w:rPr>
        <w:t>i</w:t>
      </w:r>
      <w:r>
        <w:rPr>
          <w:rFonts w:ascii="Times New Roman" w:hAnsi="Times New Roman" w:cs="Times New Roman" w:eastAsia="Times New Roman" w:hint="default"/>
          <w:spacing w:val="10"/>
          <w:sz w:val="11"/>
          <w:szCs w:val="11"/>
        </w:rPr>
        <w:t> </w:t>
      </w:r>
      <w:r>
        <w:rPr>
          <w:rFonts w:ascii="宋体" w:hAnsi="宋体" w:cs="宋体" w:eastAsia="宋体" w:hint="default"/>
          <w:spacing w:val="-2"/>
          <w:position w:val="1"/>
          <w:sz w:val="18"/>
          <w:szCs w:val="18"/>
        </w:rPr>
        <w:t>为报告期发行新股或债转股等新增的、归属于</w:t>
      </w:r>
      <w:r>
        <w:rPr>
          <w:rFonts w:ascii="宋体" w:hAnsi="宋体" w:cs="宋体" w:eastAsia="宋体" w:hint="default"/>
          <w:spacing w:val="-87"/>
          <w:position w:val="1"/>
          <w:sz w:val="18"/>
          <w:szCs w:val="18"/>
        </w:rPr>
        <w:t> </w:t>
      </w:r>
      <w:r>
        <w:rPr>
          <w:rFonts w:ascii="宋体" w:hAnsi="宋体" w:cs="宋体" w:eastAsia="宋体" w:hint="default"/>
          <w:spacing w:val="-87"/>
          <w:position w:val="1"/>
          <w:sz w:val="18"/>
          <w:szCs w:val="18"/>
        </w:rPr>
      </w:r>
      <w:r>
        <w:rPr>
          <w:rFonts w:ascii="宋体" w:hAnsi="宋体" w:cs="宋体" w:eastAsia="宋体" w:hint="default"/>
          <w:position w:val="1"/>
          <w:sz w:val="18"/>
          <w:szCs w:val="18"/>
        </w:rPr>
        <w:t>公司普通股股东的净资产；</w:t>
      </w:r>
      <w:r>
        <w:rPr>
          <w:rFonts w:ascii="Times New Roman" w:hAnsi="Times New Roman" w:cs="Times New Roman" w:eastAsia="Times New Roman" w:hint="default"/>
          <w:position w:val="1"/>
          <w:sz w:val="18"/>
          <w:szCs w:val="18"/>
        </w:rPr>
        <w:t>E</w:t>
      </w:r>
      <w:r>
        <w:rPr>
          <w:rFonts w:ascii="Times New Roman" w:hAnsi="Times New Roman" w:cs="Times New Roman" w:eastAsia="Times New Roman" w:hint="default"/>
          <w:sz w:val="11"/>
          <w:szCs w:val="11"/>
        </w:rPr>
        <w:t>j </w:t>
      </w:r>
      <w:r>
        <w:rPr>
          <w:rFonts w:ascii="宋体" w:hAnsi="宋体" w:cs="宋体" w:eastAsia="宋体" w:hint="default"/>
          <w:position w:val="1"/>
          <w:sz w:val="18"/>
          <w:szCs w:val="18"/>
        </w:rPr>
        <w:t>为报告期回购或现金分红等减少的、归属于公司普通股股东的净资产；</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0</w:t>
      </w:r>
      <w:r>
        <w:rPr>
          <w:rFonts w:ascii="Times New Roman" w:hAnsi="Times New Roman" w:cs="Times New Roman" w:eastAsia="Times New Roman" w:hint="default"/>
          <w:spacing w:val="6"/>
          <w:sz w:val="11"/>
          <w:szCs w:val="11"/>
        </w:rPr>
        <w:t> </w:t>
      </w:r>
      <w:r>
        <w:rPr>
          <w:rFonts w:ascii="宋体" w:hAnsi="宋体" w:cs="宋体" w:eastAsia="宋体" w:hint="default"/>
          <w:position w:val="1"/>
          <w:sz w:val="18"/>
          <w:szCs w:val="18"/>
        </w:rPr>
        <w:t>为报告期月份数； </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i </w:t>
      </w:r>
      <w:r>
        <w:rPr>
          <w:rFonts w:ascii="宋体" w:hAnsi="宋体" w:cs="宋体" w:eastAsia="宋体" w:hint="default"/>
          <w:position w:val="1"/>
          <w:sz w:val="18"/>
          <w:szCs w:val="18"/>
        </w:rPr>
        <w:t>为新增净资产次月起至报告期期末的累计月数；</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j </w:t>
      </w:r>
      <w:r>
        <w:rPr>
          <w:rFonts w:ascii="宋体" w:hAnsi="宋体" w:cs="宋体" w:eastAsia="宋体" w:hint="default"/>
          <w:position w:val="1"/>
          <w:sz w:val="18"/>
          <w:szCs w:val="18"/>
        </w:rPr>
        <w:t>为减少净资产次月起至报告期期末的累计月数；</w:t>
      </w:r>
      <w:r>
        <w:rPr>
          <w:rFonts w:ascii="Times New Roman" w:hAnsi="Times New Roman" w:cs="Times New Roman" w:eastAsia="Times New Roman" w:hint="default"/>
          <w:position w:val="1"/>
          <w:sz w:val="18"/>
          <w:szCs w:val="18"/>
        </w:rPr>
        <w:t>E</w:t>
      </w:r>
      <w:r>
        <w:rPr>
          <w:rFonts w:ascii="Times New Roman" w:hAnsi="Times New Roman" w:cs="Times New Roman" w:eastAsia="Times New Roman" w:hint="default"/>
          <w:sz w:val="11"/>
          <w:szCs w:val="11"/>
        </w:rPr>
        <w:t>k</w:t>
      </w:r>
      <w:r>
        <w:rPr>
          <w:rFonts w:ascii="Times New Roman" w:hAnsi="Times New Roman" w:cs="Times New Roman" w:eastAsia="Times New Roman" w:hint="default"/>
          <w:spacing w:val="5"/>
          <w:sz w:val="11"/>
          <w:szCs w:val="11"/>
        </w:rPr>
        <w:t> </w:t>
      </w:r>
      <w:r>
        <w:rPr>
          <w:rFonts w:ascii="宋体" w:hAnsi="宋体" w:cs="宋体" w:eastAsia="宋体" w:hint="default"/>
          <w:position w:val="1"/>
          <w:sz w:val="18"/>
          <w:szCs w:val="18"/>
        </w:rPr>
        <w:t>为因其他交易或事 项引起的、归属于公司普通股股东的净资产增减变动；</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k</w:t>
      </w:r>
      <w:r>
        <w:rPr>
          <w:rFonts w:ascii="Times New Roman" w:hAnsi="Times New Roman" w:cs="Times New Roman" w:eastAsia="Times New Roman" w:hint="default"/>
          <w:spacing w:val="3"/>
          <w:sz w:val="11"/>
          <w:szCs w:val="11"/>
        </w:rPr>
        <w:t> </w:t>
      </w:r>
      <w:r>
        <w:rPr>
          <w:rFonts w:ascii="宋体" w:hAnsi="宋体" w:cs="宋体" w:eastAsia="宋体" w:hint="default"/>
          <w:position w:val="1"/>
          <w:sz w:val="18"/>
          <w:szCs w:val="18"/>
        </w:rPr>
        <w:t>为发生其他净资产增减变动次月起至报告期期末的累计月数。</w:t>
      </w:r>
      <w:r>
        <w:rPr>
          <w:rFonts w:ascii="宋体" w:hAnsi="宋体" w:cs="宋体" w:eastAsia="宋体" w:hint="default"/>
          <w:sz w:val="18"/>
          <w:szCs w:val="18"/>
        </w:rPr>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280" w:left="1020" w:right="1000"/>
        </w:sectPr>
      </w:pPr>
    </w:p>
    <w:p>
      <w:pPr>
        <w:pStyle w:val="BodyText"/>
        <w:spacing w:line="240" w:lineRule="auto" w:before="34"/>
        <w:ind w:left="535" w:right="-20"/>
        <w:jc w:val="left"/>
      </w:pPr>
      <w:r>
        <w:rPr>
          <w:rFonts w:ascii="Times New Roman" w:hAnsi="Times New Roman" w:cs="Times New Roman" w:eastAsia="Times New Roman" w:hint="default"/>
        </w:rPr>
        <w:t>2</w:t>
      </w:r>
      <w:r>
        <w:rPr/>
        <w:t>、每股收益</w:t>
      </w:r>
    </w:p>
    <w:p>
      <w:pPr>
        <w:spacing w:line="470" w:lineRule="atLeast" w:before="40"/>
        <w:ind w:left="223" w:right="-20" w:firstLine="609"/>
        <w:jc w:val="left"/>
        <w:rPr>
          <w:rFonts w:ascii="宋体" w:hAnsi="宋体" w:cs="宋体" w:eastAsia="宋体" w:hint="default"/>
          <w:sz w:val="18"/>
          <w:szCs w:val="18"/>
        </w:rPr>
      </w:pPr>
      <w:r>
        <w:rPr/>
        <w:pict>
          <v:group style="position:absolute;margin-left:56.639999pt;margin-top:38.394363pt;width:117pt;height:.1pt;mso-position-horizontal-relative:page;mso-position-vertical-relative:paragraph;z-index:-623848" coordorigin="1133,768" coordsize="2340,2">
            <v:shape style="position:absolute;left:1133;top:768;width:2340;height:2" coordorigin="1133,768" coordsize="2340,0" path="m1133,768l3473,768e" filled="false" stroked="true" strokeweight=".48pt" strokecolor="#000000">
              <v:path arrowok="t"/>
            </v:shape>
            <w10:wrap type="none"/>
          </v:group>
        </w:pict>
      </w:r>
      <w:r>
        <w:rPr>
          <w:rFonts w:ascii="宋体" w:hAnsi="宋体" w:cs="宋体" w:eastAsia="宋体" w:hint="default"/>
          <w:sz w:val="18"/>
          <w:szCs w:val="18"/>
        </w:rPr>
        <w:t>报告期利润 归属于公司普通股股东的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tabs>
          <w:tab w:pos="1660" w:val="left" w:leader="none"/>
          <w:tab w:pos="3071" w:val="left" w:leader="none"/>
          <w:tab w:pos="3523" w:val="left" w:leader="none"/>
          <w:tab w:pos="4514" w:val="left" w:leader="none"/>
        </w:tabs>
        <w:spacing w:line="355" w:lineRule="auto" w:before="0"/>
        <w:ind w:left="223" w:right="2001" w:firstLine="422"/>
        <w:jc w:val="left"/>
        <w:rPr>
          <w:rFonts w:ascii="宋体" w:hAnsi="宋体" w:cs="宋体" w:eastAsia="宋体" w:hint="default"/>
          <w:sz w:val="18"/>
          <w:szCs w:val="18"/>
        </w:rPr>
      </w:pPr>
      <w:r>
        <w:rPr/>
        <w:pict>
          <v:group style="position:absolute;margin-left:185.87999pt;margin-top:15.911717pt;width:131.8pt;height:.1pt;mso-position-horizontal-relative:page;mso-position-vertical-relative:paragraph;z-index:-623896" coordorigin="3718,318" coordsize="2636,2">
            <v:shape style="position:absolute;left:3718;top:318;width:2636;height:2" coordorigin="3718,318" coordsize="2636,0" path="m3718,318l6353,318e" filled="false" stroked="true" strokeweight=".48pt" strokecolor="#000000">
              <v:path arrowok="t"/>
            </v:shape>
            <w10:wrap type="none"/>
          </v:group>
        </w:pict>
      </w:r>
      <w:r>
        <w:rPr/>
        <w:pict>
          <v:group style="position:absolute;margin-left:329.399994pt;margin-top:15.911717pt;width:132.25pt;height:.1pt;mso-position-horizontal-relative:page;mso-position-vertical-relative:paragraph;z-index:-623872" coordorigin="6588,318" coordsize="2645,2">
            <v:shape style="position:absolute;left:6588;top:318;width:2645;height:2" coordorigin="6588,318" coordsize="2645,0" path="m6588,318l9233,318e" filled="false" stroked="true" strokeweight=".48pt" strokecolor="#000000">
              <v:path arrowok="t"/>
            </v:shape>
            <w10:wrap type="none"/>
          </v:group>
        </w:pict>
      </w:r>
      <w:r>
        <w:rPr/>
        <w:pict>
          <v:group style="position:absolute;margin-left:185.87999pt;margin-top:33.431717pt;width:62.55pt;height:.1pt;mso-position-horizontal-relative:page;mso-position-vertical-relative:paragraph;z-index:-623824" coordorigin="3718,669" coordsize="1251,2">
            <v:shape style="position:absolute;left:3718;top:669;width:1251;height:2" coordorigin="3718,669" coordsize="1251,0" path="m3718,669l4968,669e" filled="false" stroked="true" strokeweight=".48pt" strokecolor="#000000">
              <v:path arrowok="t"/>
            </v:shape>
            <w10:wrap type="none"/>
          </v:group>
        </w:pict>
      </w:r>
      <w:r>
        <w:rPr/>
        <w:pict>
          <v:group style="position:absolute;margin-left:260.279999pt;margin-top:33.431717pt;width:57.4pt;height:.1pt;mso-position-horizontal-relative:page;mso-position-vertical-relative:paragraph;z-index:-623800" coordorigin="5206,669" coordsize="1148,2">
            <v:shape style="position:absolute;left:5206;top:669;width:1148;height:2" coordorigin="5206,669" coordsize="1148,0" path="m5206,669l6353,669e" filled="false" stroked="true" strokeweight=".48pt" strokecolor="#000000">
              <v:path arrowok="t"/>
            </v:shape>
            <w10:wrap type="none"/>
          </v:group>
        </w:pict>
      </w:r>
      <w:r>
        <w:rPr/>
        <w:pict>
          <v:group style="position:absolute;margin-left:329.399994pt;margin-top:33.431717pt;width:60.25pt;height:.1pt;mso-position-horizontal-relative:page;mso-position-vertical-relative:paragraph;z-index:-623776" coordorigin="6588,669" coordsize="1205,2">
            <v:shape style="position:absolute;left:6588;top:669;width:1205;height:2" coordorigin="6588,669" coordsize="1205,0" path="m6588,669l7793,669e" filled="false" stroked="true" strokeweight=".48pt" strokecolor="#000000">
              <v:path arrowok="t"/>
            </v:shape>
            <w10:wrap type="none"/>
          </v:group>
        </w:pict>
      </w:r>
      <w:r>
        <w:rPr/>
        <w:pict>
          <v:group style="position:absolute;margin-left:401.759979pt;margin-top:33.431717pt;width:59.9pt;height:.1pt;mso-position-horizontal-relative:page;mso-position-vertical-relative:paragraph;z-index:-623752" coordorigin="8035,669" coordsize="1198,2">
            <v:shape style="position:absolute;left:8035;top:669;width:1198;height:2" coordorigin="8035,669" coordsize="1198,0" path="m8035,669l9233,669e" filled="false" stroked="true" strokeweight=".48pt" strokecolor="#000000">
              <v:path arrowok="t"/>
            </v:shape>
            <w10:wrap type="none"/>
          </v:group>
        </w:pict>
      </w:r>
      <w:r>
        <w:rPr>
          <w:rFonts w:ascii="宋体" w:hAnsi="宋体" w:cs="宋体" w:eastAsia="宋体" w:hint="default"/>
          <w:sz w:val="18"/>
          <w:szCs w:val="18"/>
        </w:rPr>
        <w:t>基本每股收益</w:t>
        <w:tab/>
        <w:tab/>
        <w:t>稀释每股收益 本期数</w:t>
        <w:tab/>
        <w:t>上期数</w:t>
        <w:tab/>
        <w:t>本期数</w:t>
        <w:tab/>
        <w:t>上期数</w:t>
      </w:r>
    </w:p>
    <w:p>
      <w:pPr>
        <w:spacing w:after="0" w:line="355" w:lineRule="auto"/>
        <w:jc w:val="left"/>
        <w:rPr>
          <w:rFonts w:ascii="宋体" w:hAnsi="宋体" w:cs="宋体" w:eastAsia="宋体" w:hint="default"/>
          <w:sz w:val="18"/>
          <w:szCs w:val="18"/>
        </w:rPr>
        <w:sectPr>
          <w:type w:val="continuous"/>
          <w:pgSz w:w="11910" w:h="16840"/>
          <w:pgMar w:top="1580" w:bottom="280" w:left="1020" w:right="1000"/>
          <w:cols w:num="2" w:equalWidth="0">
            <w:col w:w="2204" w:space="626"/>
            <w:col w:w="7060"/>
          </w:cols>
        </w:sectPr>
      </w:pPr>
    </w:p>
    <w:p>
      <w:pPr>
        <w:tabs>
          <w:tab w:pos="3167" w:val="left" w:leader="none"/>
          <w:tab w:pos="4603" w:val="left" w:leader="none"/>
          <w:tab w:pos="6021" w:val="left" w:leader="none"/>
          <w:tab w:pos="7463" w:val="left" w:leader="none"/>
        </w:tabs>
        <w:spacing w:line="233" w:lineRule="exact" w:before="0"/>
        <w:ind w:left="223" w:right="0" w:firstLine="0"/>
        <w:jc w:val="left"/>
        <w:rPr>
          <w:rFonts w:ascii="Times New Roman" w:hAnsi="Times New Roman" w:cs="Times New Roman" w:eastAsia="Times New Roman" w:hint="default"/>
          <w:sz w:val="15"/>
          <w:szCs w:val="15"/>
        </w:rPr>
      </w:pPr>
      <w:r>
        <w:rPr>
          <w:rFonts w:ascii="宋体" w:hAnsi="宋体" w:cs="宋体" w:eastAsia="宋体" w:hint="default"/>
          <w:position w:val="-11"/>
          <w:sz w:val="18"/>
          <w:szCs w:val="18"/>
        </w:rPr>
        <w:t>净利润</w:t>
        <w:tab/>
      </w:r>
      <w:r>
        <w:rPr>
          <w:rFonts w:ascii="Times New Roman" w:hAnsi="Times New Roman" w:cs="Times New Roman" w:eastAsia="Times New Roman" w:hint="default"/>
          <w:sz w:val="18"/>
          <w:szCs w:val="18"/>
        </w:rPr>
        <w:t>1.00</w:t>
        <w:tab/>
      </w:r>
      <w:r>
        <w:rPr>
          <w:rFonts w:ascii="Times New Roman" w:hAnsi="Times New Roman" w:cs="Times New Roman" w:eastAsia="Times New Roman" w:hint="default"/>
          <w:spacing w:val="-1"/>
          <w:sz w:val="18"/>
          <w:szCs w:val="18"/>
        </w:rPr>
        <w:t>0.88</w:t>
        <w:tab/>
      </w:r>
      <w:r>
        <w:rPr>
          <w:rFonts w:ascii="Times New Roman" w:hAnsi="Times New Roman" w:cs="Times New Roman" w:eastAsia="Times New Roman" w:hint="default"/>
          <w:w w:val="95"/>
          <w:position w:val="1"/>
          <w:sz w:val="15"/>
          <w:szCs w:val="15"/>
        </w:rPr>
        <w:t>——</w:t>
        <w:tab/>
      </w:r>
      <w:r>
        <w:rPr>
          <w:rFonts w:ascii="Times New Roman" w:hAnsi="Times New Roman" w:cs="Times New Roman" w:eastAsia="Times New Roman" w:hint="default"/>
          <w:position w:val="1"/>
          <w:sz w:val="15"/>
          <w:szCs w:val="15"/>
        </w:rPr>
        <w:t>——</w:t>
      </w:r>
      <w:r>
        <w:rPr>
          <w:rFonts w:ascii="Times New Roman" w:hAnsi="Times New Roman" w:cs="Times New Roman" w:eastAsia="Times New Roman" w:hint="default"/>
          <w:sz w:val="15"/>
          <w:szCs w:val="15"/>
        </w:rPr>
      </w:r>
    </w:p>
    <w:p>
      <w:pPr>
        <w:spacing w:line="233" w:lineRule="exact" w:before="0"/>
        <w:ind w:left="223"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w:t>
      </w:r>
    </w:p>
    <w:p>
      <w:pPr>
        <w:spacing w:after="0" w:line="233" w:lineRule="exact"/>
        <w:jc w:val="left"/>
        <w:rPr>
          <w:rFonts w:ascii="宋体" w:hAnsi="宋体" w:cs="宋体" w:eastAsia="宋体" w:hint="default"/>
          <w:sz w:val="18"/>
          <w:szCs w:val="18"/>
        </w:rPr>
        <w:sectPr>
          <w:type w:val="continuous"/>
          <w:pgSz w:w="11910" w:h="16840"/>
          <w:pgMar w:top="1580" w:bottom="280" w:left="1020" w:right="1000"/>
        </w:sectPr>
      </w:pPr>
    </w:p>
    <w:p>
      <w:pPr>
        <w:spacing w:line="232" w:lineRule="exact" w:before="22"/>
        <w:ind w:left="223" w:right="-20" w:firstLine="0"/>
        <w:jc w:val="left"/>
        <w:rPr>
          <w:rFonts w:ascii="宋体" w:hAnsi="宋体" w:cs="宋体" w:eastAsia="宋体" w:hint="default"/>
          <w:sz w:val="18"/>
          <w:szCs w:val="18"/>
        </w:rPr>
      </w:pPr>
      <w:r>
        <w:rPr>
          <w:rFonts w:ascii="宋体" w:hAnsi="宋体" w:cs="宋体" w:eastAsia="宋体" w:hint="default"/>
          <w:sz w:val="18"/>
          <w:szCs w:val="18"/>
        </w:rPr>
        <w:t>于公司普通股股东的净利 润</w:t>
      </w:r>
    </w:p>
    <w:p>
      <w:pPr>
        <w:tabs>
          <w:tab w:pos="1658" w:val="left" w:leader="none"/>
          <w:tab w:pos="3076" w:val="left" w:leader="none"/>
          <w:tab w:pos="4519" w:val="left" w:leader="none"/>
        </w:tabs>
        <w:spacing w:before="39"/>
        <w:ind w:left="223" w:right="0" w:firstLine="0"/>
        <w:jc w:val="left"/>
        <w:rPr>
          <w:rFonts w:ascii="Times New Roman" w:hAnsi="Times New Roman" w:cs="Times New Roman" w:eastAsia="Times New Roman" w:hint="default"/>
          <w:sz w:val="15"/>
          <w:szCs w:val="15"/>
        </w:rPr>
      </w:pPr>
      <w:r>
        <w:rPr>
          <w:spacing w:val="-1"/>
        </w:rPr>
        <w:br w:type="column"/>
      </w:r>
      <w:r>
        <w:rPr>
          <w:rFonts w:ascii="Times New Roman" w:hAnsi="Times New Roman" w:cs="Times New Roman" w:eastAsia="Times New Roman" w:hint="default"/>
          <w:spacing w:val="-1"/>
          <w:sz w:val="18"/>
          <w:szCs w:val="18"/>
        </w:rPr>
        <w:t>0.92</w:t>
        <w:tab/>
        <w:t>0.85</w:t>
        <w:tab/>
      </w:r>
      <w:r>
        <w:rPr>
          <w:rFonts w:ascii="Times New Roman" w:hAnsi="Times New Roman" w:cs="Times New Roman" w:eastAsia="Times New Roman" w:hint="default"/>
          <w:w w:val="95"/>
          <w:position w:val="1"/>
          <w:sz w:val="15"/>
          <w:szCs w:val="15"/>
        </w:rPr>
        <w:t>——</w:t>
        <w:tab/>
      </w:r>
      <w:r>
        <w:rPr>
          <w:rFonts w:ascii="Times New Roman" w:hAnsi="Times New Roman" w:cs="Times New Roman" w:eastAsia="Times New Roman" w:hint="default"/>
          <w:position w:val="1"/>
          <w:sz w:val="15"/>
          <w:szCs w:val="15"/>
        </w:rPr>
        <w:t>——</w:t>
      </w:r>
      <w:r>
        <w:rPr>
          <w:rFonts w:ascii="Times New Roman" w:hAnsi="Times New Roman" w:cs="Times New Roman" w:eastAsia="Times New Roman" w:hint="default"/>
          <w:sz w:val="15"/>
          <w:szCs w:val="15"/>
        </w:rPr>
      </w:r>
    </w:p>
    <w:p>
      <w:pPr>
        <w:spacing w:after="0"/>
        <w:jc w:val="left"/>
        <w:rPr>
          <w:rFonts w:ascii="Times New Roman" w:hAnsi="Times New Roman" w:cs="Times New Roman" w:eastAsia="Times New Roman" w:hint="default"/>
          <w:sz w:val="15"/>
          <w:szCs w:val="15"/>
        </w:rPr>
        <w:sectPr>
          <w:type w:val="continuous"/>
          <w:pgSz w:w="11910" w:h="16840"/>
          <w:pgMar w:top="1580" w:bottom="280" w:left="1020" w:right="1000"/>
          <w:cols w:num="2" w:equalWidth="0">
            <w:col w:w="2204" w:space="741"/>
            <w:col w:w="6945"/>
          </w:cols>
        </w:sectPr>
      </w:pPr>
    </w:p>
    <w:p>
      <w:pPr>
        <w:spacing w:line="400" w:lineRule="auto" w:before="57"/>
        <w:ind w:left="664" w:right="7677" w:hanging="190"/>
        <w:jc w:val="left"/>
        <w:rPr>
          <w:rFonts w:ascii="Times New Roman" w:hAnsi="Times New Roman" w:cs="Times New Roman" w:eastAsia="Times New Roman" w:hint="default"/>
          <w:sz w:val="18"/>
          <w:szCs w:val="18"/>
        </w:rPr>
      </w:pPr>
      <w:r>
        <w:rPr>
          <w:rFonts w:ascii="宋体" w:hAnsi="宋体" w:cs="宋体" w:eastAsia="宋体" w:hint="default"/>
          <w:sz w:val="18"/>
          <w:szCs w:val="18"/>
        </w:rPr>
        <w:t>计算过程为： </w:t>
      </w:r>
      <w:r>
        <w:rPr>
          <w:rFonts w:ascii="宋体" w:hAnsi="宋体" w:cs="宋体" w:eastAsia="宋体" w:hint="default"/>
          <w:spacing w:val="-1"/>
          <w:position w:val="1"/>
          <w:sz w:val="18"/>
          <w:szCs w:val="18"/>
        </w:rPr>
        <w:t>基本每股收益</w:t>
      </w:r>
      <w:r>
        <w:rPr>
          <w:rFonts w:ascii="Times New Roman" w:hAnsi="Times New Roman" w:cs="Times New Roman" w:eastAsia="Times New Roman" w:hint="default"/>
          <w:spacing w:val="-1"/>
          <w:position w:val="1"/>
          <w:sz w:val="18"/>
          <w:szCs w:val="18"/>
        </w:rPr>
        <w:t>=P</w:t>
      </w:r>
      <w:r>
        <w:rPr>
          <w:rFonts w:ascii="Times New Roman" w:hAnsi="Times New Roman" w:cs="Times New Roman" w:eastAsia="Times New Roman" w:hint="default"/>
          <w:spacing w:val="-1"/>
          <w:sz w:val="11"/>
          <w:szCs w:val="11"/>
        </w:rPr>
        <w:t>0</w:t>
      </w:r>
      <w:r>
        <w:rPr>
          <w:rFonts w:ascii="Times New Roman" w:hAnsi="Times New Roman" w:cs="Times New Roman" w:eastAsia="Times New Roman" w:hint="default"/>
          <w:spacing w:val="-1"/>
          <w:position w:val="1"/>
          <w:sz w:val="18"/>
          <w:szCs w:val="18"/>
        </w:rPr>
        <w:t>÷S</w:t>
      </w:r>
      <w:r>
        <w:rPr>
          <w:rFonts w:ascii="Times New Roman" w:hAnsi="Times New Roman" w:cs="Times New Roman" w:eastAsia="Times New Roman" w:hint="default"/>
          <w:spacing w:val="-1"/>
          <w:sz w:val="18"/>
          <w:szCs w:val="18"/>
        </w:rPr>
      </w:r>
    </w:p>
    <w:p>
      <w:pPr>
        <w:spacing w:before="6"/>
        <w:ind w:left="664" w:right="0" w:firstLine="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position w:val="1"/>
          <w:sz w:val="18"/>
          <w:szCs w:val="18"/>
        </w:rPr>
        <w:t>S= S</w:t>
      </w:r>
      <w:r>
        <w:rPr>
          <w:rFonts w:ascii="Times New Roman" w:hAnsi="Times New Roman" w:cs="Times New Roman" w:eastAsia="Times New Roman" w:hint="default"/>
          <w:sz w:val="11"/>
          <w:szCs w:val="11"/>
        </w:rPr>
        <w:t>0</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z w:val="11"/>
          <w:szCs w:val="11"/>
        </w:rPr>
        <w:t>1</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z w:val="11"/>
          <w:szCs w:val="11"/>
        </w:rPr>
        <w:t>i</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i</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0</w:t>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pacing w:val="8"/>
          <w:position w:val="1"/>
          <w:sz w:val="18"/>
          <w:szCs w:val="18"/>
        </w:rPr>
        <w:t> </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z w:val="11"/>
          <w:szCs w:val="11"/>
        </w:rPr>
        <w:t>j</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j</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0</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z w:val="11"/>
          <w:szCs w:val="11"/>
        </w:rPr>
        <w:t>k</w:t>
      </w:r>
    </w:p>
    <w:p>
      <w:pPr>
        <w:spacing w:line="374" w:lineRule="auto" w:before="142"/>
        <w:ind w:left="112" w:right="132" w:firstLine="362"/>
        <w:jc w:val="both"/>
        <w:rPr>
          <w:rFonts w:ascii="宋体" w:hAnsi="宋体" w:cs="宋体" w:eastAsia="宋体" w:hint="default"/>
          <w:sz w:val="18"/>
          <w:szCs w:val="18"/>
        </w:rPr>
      </w:pPr>
      <w:r>
        <w:rPr>
          <w:rFonts w:ascii="宋体" w:hAnsi="宋体" w:cs="宋体" w:eastAsia="宋体" w:hint="default"/>
          <w:spacing w:val="-6"/>
          <w:position w:val="1"/>
          <w:sz w:val="18"/>
          <w:szCs w:val="18"/>
        </w:rPr>
        <w:t>其中：</w:t>
      </w:r>
      <w:r>
        <w:rPr>
          <w:rFonts w:ascii="Times New Roman" w:hAnsi="Times New Roman" w:cs="Times New Roman" w:eastAsia="Times New Roman" w:hint="default"/>
          <w:spacing w:val="-6"/>
          <w:position w:val="1"/>
          <w:sz w:val="18"/>
          <w:szCs w:val="18"/>
        </w:rPr>
        <w:t>P</w:t>
      </w:r>
      <w:r>
        <w:rPr>
          <w:rFonts w:ascii="Times New Roman" w:hAnsi="Times New Roman" w:cs="Times New Roman" w:eastAsia="Times New Roman" w:hint="default"/>
          <w:spacing w:val="-6"/>
          <w:sz w:val="11"/>
          <w:szCs w:val="11"/>
        </w:rPr>
        <w:t>0 </w:t>
      </w:r>
      <w:r>
        <w:rPr>
          <w:rFonts w:ascii="宋体" w:hAnsi="宋体" w:cs="宋体" w:eastAsia="宋体" w:hint="default"/>
          <w:position w:val="1"/>
          <w:sz w:val="18"/>
          <w:szCs w:val="18"/>
        </w:rPr>
        <w:t>为归属于公司普通股股东的净利润或扣除非经常性损益后归属于普通股股东的净利润；</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pacing w:val="-16"/>
          <w:position w:val="1"/>
          <w:sz w:val="18"/>
          <w:szCs w:val="18"/>
        </w:rPr>
        <w:t> </w:t>
      </w:r>
      <w:r>
        <w:rPr>
          <w:rFonts w:ascii="宋体" w:hAnsi="宋体" w:cs="宋体" w:eastAsia="宋体" w:hint="default"/>
          <w:position w:val="1"/>
          <w:sz w:val="18"/>
          <w:szCs w:val="18"/>
        </w:rPr>
        <w:t>为发行在外的普通股 </w:t>
      </w:r>
      <w:r>
        <w:rPr>
          <w:rFonts w:ascii="宋体" w:hAnsi="宋体" w:cs="宋体" w:eastAsia="宋体" w:hint="default"/>
          <w:spacing w:val="-4"/>
          <w:position w:val="1"/>
          <w:sz w:val="18"/>
          <w:szCs w:val="18"/>
        </w:rPr>
        <w:t>加权平均数；</w:t>
      </w:r>
      <w:r>
        <w:rPr>
          <w:rFonts w:ascii="Times New Roman" w:hAnsi="Times New Roman" w:cs="Times New Roman" w:eastAsia="Times New Roman" w:hint="default"/>
          <w:spacing w:val="-4"/>
          <w:position w:val="1"/>
          <w:sz w:val="18"/>
          <w:szCs w:val="18"/>
        </w:rPr>
        <w:t>S</w:t>
      </w:r>
      <w:r>
        <w:rPr>
          <w:rFonts w:ascii="Times New Roman" w:hAnsi="Times New Roman" w:cs="Times New Roman" w:eastAsia="Times New Roman" w:hint="default"/>
          <w:spacing w:val="-4"/>
          <w:sz w:val="11"/>
          <w:szCs w:val="11"/>
        </w:rPr>
        <w:t>0 </w:t>
      </w:r>
      <w:r>
        <w:rPr>
          <w:rFonts w:ascii="宋体" w:hAnsi="宋体" w:cs="宋体" w:eastAsia="宋体" w:hint="default"/>
          <w:spacing w:val="-3"/>
          <w:position w:val="1"/>
          <w:sz w:val="18"/>
          <w:szCs w:val="18"/>
        </w:rPr>
        <w:t>为期初股份总数；</w:t>
      </w:r>
      <w:r>
        <w:rPr>
          <w:rFonts w:ascii="Times New Roman" w:hAnsi="Times New Roman" w:cs="Times New Roman" w:eastAsia="Times New Roman" w:hint="default"/>
          <w:spacing w:val="-3"/>
          <w:position w:val="1"/>
          <w:sz w:val="18"/>
          <w:szCs w:val="18"/>
        </w:rPr>
        <w:t>S</w:t>
      </w:r>
      <w:r>
        <w:rPr>
          <w:rFonts w:ascii="Times New Roman" w:hAnsi="Times New Roman" w:cs="Times New Roman" w:eastAsia="Times New Roman" w:hint="default"/>
          <w:spacing w:val="-3"/>
          <w:sz w:val="11"/>
          <w:szCs w:val="11"/>
        </w:rPr>
        <w:t>1 </w:t>
      </w:r>
      <w:r>
        <w:rPr>
          <w:rFonts w:ascii="宋体" w:hAnsi="宋体" w:cs="宋体" w:eastAsia="宋体" w:hint="default"/>
          <w:position w:val="1"/>
          <w:sz w:val="18"/>
          <w:szCs w:val="18"/>
        </w:rPr>
        <w:t>为报告期因公积金转增股本或股票股利分配等增加股份数；</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z w:val="11"/>
          <w:szCs w:val="11"/>
        </w:rPr>
        <w:t>i</w:t>
      </w:r>
      <w:r>
        <w:rPr>
          <w:rFonts w:ascii="Times New Roman" w:hAnsi="Times New Roman" w:cs="Times New Roman" w:eastAsia="Times New Roman" w:hint="default"/>
          <w:spacing w:val="1"/>
          <w:sz w:val="11"/>
          <w:szCs w:val="11"/>
        </w:rPr>
        <w:t> </w:t>
      </w:r>
      <w:r>
        <w:rPr>
          <w:rFonts w:ascii="宋体" w:hAnsi="宋体" w:cs="宋体" w:eastAsia="宋体" w:hint="default"/>
          <w:position w:val="1"/>
          <w:sz w:val="18"/>
          <w:szCs w:val="18"/>
        </w:rPr>
        <w:t>为报告期因发行新股或债 转股等增加股份数；</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z w:val="11"/>
          <w:szCs w:val="11"/>
        </w:rPr>
        <w:t>j </w:t>
      </w:r>
      <w:r>
        <w:rPr>
          <w:rFonts w:ascii="宋体" w:hAnsi="宋体" w:cs="宋体" w:eastAsia="宋体" w:hint="default"/>
          <w:position w:val="1"/>
          <w:sz w:val="18"/>
          <w:szCs w:val="18"/>
        </w:rPr>
        <w:t>为报告期因回购等减少股份数；</w:t>
      </w:r>
      <w:r>
        <w:rPr>
          <w:rFonts w:ascii="Times New Roman" w:hAnsi="Times New Roman" w:cs="Times New Roman" w:eastAsia="Times New Roman" w:hint="default"/>
          <w:position w:val="1"/>
          <w:sz w:val="18"/>
          <w:szCs w:val="18"/>
        </w:rPr>
        <w:t>S</w:t>
      </w:r>
      <w:r>
        <w:rPr>
          <w:rFonts w:ascii="Times New Roman" w:hAnsi="Times New Roman" w:cs="Times New Roman" w:eastAsia="Times New Roman" w:hint="default"/>
          <w:sz w:val="11"/>
          <w:szCs w:val="11"/>
        </w:rPr>
        <w:t>k </w:t>
      </w:r>
      <w:r>
        <w:rPr>
          <w:rFonts w:ascii="宋体" w:hAnsi="宋体" w:cs="宋体" w:eastAsia="宋体" w:hint="default"/>
          <w:position w:val="1"/>
          <w:sz w:val="18"/>
          <w:szCs w:val="18"/>
        </w:rPr>
        <w:t>为报告期缩股数；</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0 </w:t>
      </w:r>
      <w:r>
        <w:rPr>
          <w:rFonts w:ascii="宋体" w:hAnsi="宋体" w:cs="宋体" w:eastAsia="宋体" w:hint="default"/>
          <w:position w:val="1"/>
          <w:sz w:val="18"/>
          <w:szCs w:val="18"/>
        </w:rPr>
        <w:t>报告期月份数；</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i</w:t>
      </w:r>
      <w:r>
        <w:rPr>
          <w:rFonts w:ascii="Times New Roman" w:hAnsi="Times New Roman" w:cs="Times New Roman" w:eastAsia="Times New Roman" w:hint="default"/>
          <w:spacing w:val="9"/>
          <w:sz w:val="11"/>
          <w:szCs w:val="11"/>
        </w:rPr>
        <w:t> </w:t>
      </w:r>
      <w:r>
        <w:rPr>
          <w:rFonts w:ascii="宋体" w:hAnsi="宋体" w:cs="宋体" w:eastAsia="宋体" w:hint="default"/>
          <w:position w:val="1"/>
          <w:sz w:val="18"/>
          <w:szCs w:val="18"/>
        </w:rPr>
        <w:t>为增加股份次月起至报告 期期末的累计月数；</w:t>
      </w:r>
      <w:r>
        <w:rPr>
          <w:rFonts w:ascii="Times New Roman" w:hAnsi="Times New Roman" w:cs="Times New Roman" w:eastAsia="Times New Roman" w:hint="default"/>
          <w:position w:val="1"/>
          <w:sz w:val="18"/>
          <w:szCs w:val="18"/>
        </w:rPr>
        <w:t>M</w:t>
      </w:r>
      <w:r>
        <w:rPr>
          <w:rFonts w:ascii="Times New Roman" w:hAnsi="Times New Roman" w:cs="Times New Roman" w:eastAsia="Times New Roman" w:hint="default"/>
          <w:sz w:val="11"/>
          <w:szCs w:val="11"/>
        </w:rPr>
        <w:t>j</w:t>
      </w:r>
      <w:r>
        <w:rPr>
          <w:rFonts w:ascii="Times New Roman" w:hAnsi="Times New Roman" w:cs="Times New Roman" w:eastAsia="Times New Roman" w:hint="default"/>
          <w:spacing w:val="3"/>
          <w:sz w:val="11"/>
          <w:szCs w:val="11"/>
        </w:rPr>
        <w:t> </w:t>
      </w:r>
      <w:r>
        <w:rPr>
          <w:rFonts w:ascii="宋体" w:hAnsi="宋体" w:cs="宋体" w:eastAsia="宋体" w:hint="default"/>
          <w:position w:val="1"/>
          <w:sz w:val="18"/>
          <w:szCs w:val="18"/>
        </w:rPr>
        <w:t>为减少股份次月起至报告期期末的累计月数。</w:t>
      </w:r>
      <w:r>
        <w:rPr>
          <w:rFonts w:ascii="宋体" w:hAnsi="宋体" w:cs="宋体" w:eastAsia="宋体" w:hint="default"/>
          <w:sz w:val="18"/>
          <w:szCs w:val="18"/>
        </w:rPr>
      </w:r>
    </w:p>
    <w:p>
      <w:pPr>
        <w:spacing w:before="26"/>
        <w:ind w:left="475" w:right="0" w:firstLine="0"/>
        <w:jc w:val="left"/>
        <w:rPr>
          <w:rFonts w:ascii="宋体" w:hAnsi="宋体" w:cs="宋体" w:eastAsia="宋体" w:hint="default"/>
          <w:sz w:val="18"/>
          <w:szCs w:val="18"/>
        </w:rPr>
      </w:pPr>
      <w:r>
        <w:rPr>
          <w:rFonts w:ascii="宋体" w:hAnsi="宋体" w:cs="宋体" w:eastAsia="宋体" w:hint="default"/>
          <w:sz w:val="18"/>
          <w:szCs w:val="18"/>
        </w:rPr>
        <w:t>本公司报告期内不存在稀释性普通股，未列示稀释每股收益。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line="300" w:lineRule="auto" w:before="0"/>
        <w:ind w:left="535" w:right="5761" w:hanging="1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十八、财务报表的批准报出</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本财务报表业经公司董事会批准报出。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40" w:lineRule="auto"/>
        <w:ind w:left="5032" w:right="2104" w:hanging="420"/>
        <w:jc w:val="left"/>
      </w:pPr>
      <w:r>
        <w:rPr/>
        <w:t>上海金仕达卫宁软件股份有限公司</w:t>
      </w:r>
      <w:r>
        <w:rPr>
          <w:w w:val="99"/>
        </w:rPr>
        <w:t> </w:t>
      </w:r>
      <w:r>
        <w:rPr/>
        <w:t>二〇一二年四月二十三日</w:t>
      </w:r>
    </w:p>
    <w:p>
      <w:pPr>
        <w:spacing w:after="0" w:line="340" w:lineRule="auto"/>
        <w:jc w:val="left"/>
        <w:sectPr>
          <w:type w:val="continuous"/>
          <w:pgSz w:w="11910" w:h="16840"/>
          <w:pgMar w:top="1580" w:bottom="280" w:left="1020" w:right="1000"/>
        </w:sectPr>
      </w:pPr>
    </w:p>
    <w:p>
      <w:pPr>
        <w:spacing w:line="240" w:lineRule="auto" w:before="2"/>
        <w:rPr>
          <w:rFonts w:ascii="Times New Roman" w:hAnsi="Times New Roman" w:cs="Times New Roman" w:eastAsia="Times New Roman" w:hint="default"/>
          <w:sz w:val="2"/>
          <w:szCs w:val="2"/>
        </w:rPr>
      </w:pPr>
    </w:p>
    <w:p>
      <w:pPr>
        <w:spacing w:line="247" w:lineRule="exact"/>
        <w:ind w:left="105" w:right="0" w:firstLine="0"/>
        <w:rPr>
          <w:rFonts w:ascii="Times New Roman" w:hAnsi="Times New Roman" w:cs="Times New Roman" w:eastAsia="Times New Roman" w:hint="default"/>
          <w:sz w:val="20"/>
          <w:szCs w:val="20"/>
        </w:rPr>
      </w:pPr>
      <w:bookmarkStart w:name="第十章备查文件目录" w:id="19"/>
      <w:bookmarkEnd w:id="19"/>
      <w:r>
        <w:rPr/>
      </w:r>
      <w:r>
        <w:rPr>
          <w:rFonts w:ascii="Times New Roman" w:hAnsi="Times New Roman" w:cs="Times New Roman" w:eastAsia="Times New Roman" w:hint="default"/>
          <w:position w:val="-4"/>
          <w:sz w:val="20"/>
          <w:szCs w:val="20"/>
        </w:rPr>
        <w:pict>
          <v:group style="width:482.65pt;height:12.4pt;mso-position-horizontal-relative:char;mso-position-vertical-relative:line" coordorigin="0,0" coordsize="9653,248">
            <v:shape style="position:absolute;left:10;top:0;width:797;height:144" type="#_x0000_t75" stroked="false">
              <v:imagedata r:id="rId8" o:title=""/>
            </v:shape>
            <v:shape style="position:absolute;left:840;top:0;width:430;height:101" type="#_x0000_t75" stroked="false">
              <v:imagedata r:id="rId9" o:title=""/>
            </v:shape>
            <v:group style="position:absolute;left:7;top:154;width:1251;height:94" coordorigin="7,154" coordsize="1251,94">
              <v:shape style="position:absolute;left:7;top:154;width:1251;height:94" coordorigin="7,154" coordsize="1251,94" path="m7,247l101,232,186,221,281,210,386,199,520,189,693,178,1258,154,7,247xe" filled="true" fillcolor="#074278" stroked="false">
                <v:path arrowok="t"/>
                <v:fill type="solid"/>
              </v:shape>
            </v:group>
            <v:group style="position:absolute;left:7;top:19;width:9639;height:2" coordorigin="7,19" coordsize="9639,2">
              <v:shape style="position:absolute;left:7;top:19;width:9639;height:2" coordorigin="7,19" coordsize="9639,0" path="m7,19l9646,19e" filled="false" stroked="true" strokeweight=".72pt" strokecolor="#000000">
                <v:path arrowok="t"/>
              </v:shape>
            </v:group>
          </v:group>
        </w:pict>
      </w:r>
      <w:r>
        <w:rPr>
          <w:rFonts w:ascii="Times New Roman" w:hAnsi="Times New Roman" w:cs="Times New Roman" w:eastAsia="Times New Roman" w:hint="default"/>
          <w:position w:val="-4"/>
          <w:sz w:val="20"/>
          <w:szCs w:val="20"/>
        </w:rPr>
      </w:r>
    </w:p>
    <w:p>
      <w:pPr>
        <w:spacing w:after="0" w:line="247" w:lineRule="exact"/>
        <w:rPr>
          <w:rFonts w:ascii="Times New Roman" w:hAnsi="Times New Roman" w:cs="Times New Roman" w:eastAsia="Times New Roman" w:hint="default"/>
          <w:sz w:val="20"/>
          <w:szCs w:val="20"/>
        </w:rPr>
        <w:sectPr>
          <w:footerReference w:type="default" r:id="rId43"/>
          <w:pgSz w:w="11910" w:h="16840"/>
          <w:pgMar w:footer="976" w:header="849" w:top="1460" w:bottom="1160" w:left="1020" w:right="1020"/>
          <w:pgNumType w:start="120"/>
        </w:sectPr>
      </w:pPr>
    </w:p>
    <w:p>
      <w:pPr>
        <w:spacing w:line="240" w:lineRule="auto" w:before="5"/>
        <w:rPr>
          <w:rFonts w:ascii="Times New Roman" w:hAnsi="Times New Roman" w:cs="Times New Roman" w:eastAsia="Times New Roman" w:hint="default"/>
          <w:sz w:val="20"/>
          <w:szCs w:val="20"/>
        </w:rPr>
      </w:pPr>
    </w:p>
    <w:p>
      <w:pPr>
        <w:pStyle w:val="Heading1"/>
        <w:tabs>
          <w:tab w:pos="1305" w:val="left" w:leader="none"/>
        </w:tabs>
        <w:spacing w:line="240" w:lineRule="auto"/>
        <w:ind w:left="21" w:right="0"/>
        <w:jc w:val="center"/>
      </w:pPr>
      <w:bookmarkStart w:name="_bookmark9" w:id="20"/>
      <w:bookmarkEnd w:id="20"/>
      <w:r>
        <w:rPr/>
      </w:r>
      <w:r>
        <w:rPr>
          <w:w w:val="95"/>
        </w:rPr>
        <w:t>第十章</w:t>
        <w:tab/>
      </w:r>
      <w:r>
        <w:rPr/>
        <w:t>备查文件目录</w:t>
      </w:r>
    </w:p>
    <w:p>
      <w:pPr>
        <w:spacing w:line="240" w:lineRule="auto" w:before="5"/>
        <w:rPr>
          <w:rFonts w:ascii="宋体" w:hAnsi="宋体" w:cs="宋体" w:eastAsia="宋体" w:hint="default"/>
          <w:sz w:val="38"/>
          <w:szCs w:val="38"/>
        </w:rPr>
      </w:pPr>
    </w:p>
    <w:p>
      <w:pPr>
        <w:pStyle w:val="Heading4"/>
        <w:spacing w:line="357" w:lineRule="auto"/>
        <w:ind w:left="112" w:right="1544"/>
        <w:jc w:val="left"/>
        <w:rPr>
          <w:b w:val="0"/>
          <w:bCs w:val="0"/>
        </w:rPr>
      </w:pPr>
      <w:r>
        <w:rPr/>
        <w:t>一、载有公司法定代表人、主管会计工作负责人、会计主管人员签名并盖章的财务报表。</w:t>
      </w:r>
      <w:r>
        <w:rPr>
          <w:w w:val="99"/>
        </w:rPr>
        <w:t> </w:t>
      </w:r>
      <w:r>
        <w:rPr/>
        <w:t>二、载有会计师事务所盖章、注册会计师签名并盖章的审计报告原件。</w:t>
      </w:r>
      <w:r>
        <w:rPr>
          <w:w w:val="99"/>
        </w:rPr>
        <w:t> </w:t>
      </w:r>
      <w:r>
        <w:rPr/>
        <w:t>三、报告期内在中国证监会指定网站上公开披露过的所有公司文件的正本及公告的原稿。</w:t>
      </w:r>
      <w:r>
        <w:rPr>
          <w:w w:val="99"/>
        </w:rPr>
        <w:t> </w:t>
      </w:r>
      <w:r>
        <w:rPr>
          <w:w w:val="95"/>
        </w:rPr>
        <w:t>四、载有董事长签名的   2011 </w:t>
      </w:r>
      <w:r>
        <w:rPr>
          <w:spacing w:val="5"/>
          <w:w w:val="95"/>
        </w:rPr>
        <w:t> </w:t>
      </w:r>
      <w:r>
        <w:rPr>
          <w:w w:val="95"/>
        </w:rPr>
        <w:t>年度报告文本原件。</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3"/>
          <w:szCs w:val="13"/>
        </w:rPr>
      </w:pPr>
    </w:p>
    <w:p>
      <w:pPr>
        <w:pStyle w:val="Heading4"/>
        <w:spacing w:line="240" w:lineRule="auto"/>
        <w:ind w:left="547" w:right="0"/>
        <w:jc w:val="left"/>
        <w:rPr>
          <w:b w:val="0"/>
          <w:bCs w:val="0"/>
        </w:rPr>
      </w:pPr>
      <w:r>
        <w:rPr/>
        <w:t>以上备查文件的备置地点：董事会秘书办公室。</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2"/>
          <w:szCs w:val="22"/>
        </w:rPr>
      </w:pPr>
    </w:p>
    <w:p>
      <w:pPr>
        <w:pStyle w:val="Heading4"/>
        <w:tabs>
          <w:tab w:pos="8986" w:val="left" w:leader="none"/>
        </w:tabs>
        <w:spacing w:line="1090" w:lineRule="atLeast"/>
        <w:ind w:left="5791" w:right="860"/>
        <w:jc w:val="left"/>
        <w:rPr>
          <w:rFonts w:ascii="Times New Roman" w:hAnsi="Times New Roman" w:cs="Times New Roman" w:eastAsia="Times New Roman" w:hint="default"/>
          <w:b w:val="0"/>
          <w:bCs w:val="0"/>
        </w:rPr>
      </w:pPr>
      <w:r>
        <w:rPr/>
        <w:t>上海金仕达卫宁软件股份有限公司</w:t>
      </w:r>
      <w:r>
        <w:rPr>
          <w:w w:val="99"/>
        </w:rPr>
        <w:t> </w:t>
      </w: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2"/>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7"/>
        <w:rPr>
          <w:rFonts w:ascii="Times New Roman" w:hAnsi="Times New Roman" w:cs="Times New Roman" w:eastAsia="Times New Roman" w:hint="default"/>
          <w:b/>
          <w:bCs/>
          <w:sz w:val="18"/>
          <w:szCs w:val="18"/>
        </w:rPr>
      </w:pPr>
    </w:p>
    <w:p>
      <w:pPr>
        <w:pStyle w:val="Heading4"/>
        <w:spacing w:line="333" w:lineRule="exact"/>
        <w:ind w:left="7716" w:right="0"/>
        <w:jc w:val="left"/>
        <w:rPr>
          <w:b w:val="0"/>
          <w:bCs w:val="0"/>
        </w:rPr>
      </w:pPr>
      <w:r>
        <w:rPr/>
        <w:t>周炜</w:t>
      </w:r>
      <w:r>
        <w:rPr>
          <w:b w:val="0"/>
          <w:bCs w:val="0"/>
        </w:rPr>
      </w:r>
    </w:p>
    <w:p>
      <w:pPr>
        <w:pStyle w:val="Heading4"/>
        <w:spacing w:line="240" w:lineRule="auto" w:before="179"/>
        <w:ind w:left="0" w:right="1465"/>
        <w:jc w:val="right"/>
        <w:rPr>
          <w:b w:val="0"/>
          <w:bCs w:val="0"/>
        </w:rPr>
      </w:pPr>
      <w:r>
        <w:rPr/>
        <w:t>2012</w:t>
      </w:r>
      <w:r>
        <w:rPr>
          <w:spacing w:val="-29"/>
        </w:rPr>
        <w:t> </w:t>
      </w:r>
      <w:r>
        <w:rPr/>
        <w:t>年</w:t>
      </w:r>
      <w:r>
        <w:rPr>
          <w:spacing w:val="-27"/>
        </w:rPr>
        <w:t> </w:t>
      </w:r>
      <w:r>
        <w:rPr/>
        <w:t>4</w:t>
      </w:r>
      <w:r>
        <w:rPr>
          <w:spacing w:val="-28"/>
        </w:rPr>
        <w:t> </w:t>
      </w:r>
      <w:r>
        <w:rPr/>
        <w:t>月</w:t>
      </w:r>
      <w:r>
        <w:rPr>
          <w:spacing w:val="-27"/>
        </w:rPr>
        <w:t> </w:t>
      </w:r>
      <w:r>
        <w:rPr/>
        <w:t>23</w:t>
      </w:r>
      <w:r>
        <w:rPr>
          <w:spacing w:val="-29"/>
        </w:rPr>
        <w:t> </w:t>
      </w:r>
      <w:r>
        <w:rPr/>
        <w:t>日</w:t>
      </w:r>
      <w:r>
        <w:rPr>
          <w:b w:val="0"/>
          <w:bCs w:val="0"/>
        </w:rPr>
      </w:r>
    </w:p>
    <w:sectPr>
      <w:headerReference w:type="default" r:id="rId44"/>
      <w:pgSz w:w="11910" w:h="16840"/>
      <w:pgMar w:header="849" w:footer="976" w:top="174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8.5pt;height:11pt;mso-position-horizontal-relative:page;mso-position-vertical-relative:page;z-index:-634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77905pt;width:13.1pt;height:11pt;mso-position-horizontal-relative:page;mso-position-vertical-relative:page;z-index:-634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77905pt;width:13.1pt;height:11pt;mso-position-horizontal-relative:page;mso-position-vertical-relative:page;z-index:-634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3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3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3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633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2.077942pt;width:17.3pt;height:11pt;mso-position-horizontal-relative:page;mso-position-vertical-relative:page;z-index:-63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633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634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529999pt;margin-top:42.450024pt;width:16.1550pt;height:16.5pt;mso-position-horizontal-relative:page;mso-position-vertical-relative:page;z-index:-634792" type="#_x0000_t75" stroked="false">
          <v:imagedata r:id="rId1" o:title=""/>
        </v:shape>
      </w:pict>
    </w:r>
    <w:r>
      <w:rPr/>
      <w:pict>
        <v:shape style="position:absolute;margin-left:73.080002pt;margin-top:62.520023pt;width:29.639999pt;height:5.16pt;mso-position-horizontal-relative:page;mso-position-vertical-relative:page;z-index:-634768" type="#_x0000_t75" stroked="false">
          <v:imagedata r:id="rId2" o:title=""/>
        </v:shape>
      </w:pict>
    </w:r>
    <w:r>
      <w:rPr/>
      <w:pict>
        <v:shapetype id="_x0000_t202" o:spt="202" coordsize="21600,21600" path="m,l,21600r21600,l21600,xe">
          <v:stroke joinstyle="miter"/>
          <v:path gradientshapeok="t" o:connecttype="rect"/>
        </v:shapetype>
        <v:shape style="position:absolute;margin-left:433.76001pt;margin-top:63.50565pt;width:105.2pt;height:11.4pt;mso-position-horizontal-relative:page;mso-position-vertical-relative:page;z-index:-634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529999pt;margin-top:42.450024pt;width:16.1550pt;height:16.5pt;mso-position-horizontal-relative:page;mso-position-vertical-relative:page;z-index:-634504" type="#_x0000_t75" stroked="false">
          <v:imagedata r:id="rId1" o:title=""/>
        </v:shape>
      </w:pict>
    </w:r>
    <w:r>
      <w:rPr/>
      <w:pict>
        <v:shape style="position:absolute;margin-left:73.080002pt;margin-top:62.520023pt;width:29.639999pt;height:5.16pt;mso-position-horizontal-relative:page;mso-position-vertical-relative:page;z-index:-634480" type="#_x0000_t75" stroked="false">
          <v:imagedata r:id="rId2" o:title=""/>
        </v:shape>
      </w:pict>
    </w:r>
    <w:r>
      <w:rPr/>
      <w:pict>
        <v:group style="position:absolute;margin-left:56.279999pt;margin-top:75.120026pt;width:482.65pt;height:12.4pt;mso-position-horizontal-relative:page;mso-position-vertical-relative:page;z-index:-634456" coordorigin="1126,1502" coordsize="9653,248">
          <v:shape style="position:absolute;left:1135;top:1502;width:797;height:144" type="#_x0000_t75" stroked="false">
            <v:imagedata r:id="rId3"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shape style="position:absolute;left:1966;top:1502;width:430;height:101" type="#_x0000_t75" stroked="false">
              <v:imagedata r:id="rId4" o:title=""/>
            </v:shape>
          </v:group>
          <v:group style="position:absolute;left:1133;top:1522;width:9639;height:2" coordorigin="1133,1522" coordsize="9639,2">
            <v:shape style="position:absolute;left:1133;top:1522;width:9639;height:2" coordorigin="1133,1522" coordsize="9639,0" path="m1133,1522l10771,1522e" filled="false" stroked="true" strokeweight=".72pt" strokecolor="#000000">
              <v:path arrowok="t"/>
            </v:shape>
          </v:group>
          <w10:wrap type="none"/>
        </v:group>
      </w:pict>
    </w:r>
    <w:r>
      <w:rPr/>
      <w:pict>
        <v:shape style="position:absolute;margin-left:433.76001pt;margin-top:63.50565pt;width:105.2pt;height:11.4pt;mso-position-horizontal-relative:page;mso-position-vertical-relative:page;z-index:-634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529999pt;margin-top:42.450024pt;width:16.1550pt;height:16.5pt;mso-position-horizontal-relative:page;mso-position-vertical-relative:page;z-index:-634408" type="#_x0000_t75" stroked="false">
          <v:imagedata r:id="rId1" o:title=""/>
        </v:shape>
      </w:pict>
    </w:r>
    <w:r>
      <w:rPr/>
      <w:pict>
        <v:shape style="position:absolute;margin-left:73.080002pt;margin-top:62.520023pt;width:29.639999pt;height:5.16pt;mso-position-horizontal-relative:page;mso-position-vertical-relative:page;z-index:-634384" type="#_x0000_t75" stroked="false">
          <v:imagedata r:id="rId2" o:title=""/>
        </v:shape>
      </w:pict>
    </w:r>
    <w:r>
      <w:rPr/>
      <w:pict>
        <v:shape style="position:absolute;margin-left:433.76001pt;margin-top:63.50565pt;width:105.2pt;height:11.4pt;mso-position-horizontal-relative:page;mso-position-vertical-relative:page;z-index:-634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769997pt;margin-top:42.449986pt;width:16.260000pt;height:16.5pt;mso-position-horizontal-relative:page;mso-position-vertical-relative:page;z-index:-634312" type="#_x0000_t75" stroked="false">
          <v:imagedata r:id="rId1" o:title=""/>
        </v:shape>
      </w:pict>
    </w:r>
    <w:r>
      <w:rPr/>
      <w:pict>
        <v:shape style="position:absolute;margin-left:88.32pt;margin-top:62.519985pt;width:29.759999pt;height:5.16pt;mso-position-horizontal-relative:page;mso-position-vertical-relative:page;z-index:-634288" type="#_x0000_t75" stroked="false">
          <v:imagedata r:id="rId2" o:title=""/>
        </v:shape>
      </w:pict>
    </w:r>
    <w:r>
      <w:rPr/>
      <w:pict>
        <v:shape style="position:absolute;margin-left:449.119995pt;margin-top:63.505611pt;width:105.1pt;height:11.4pt;mso-position-horizontal-relative:page;mso-position-vertical-relative:page;z-index:-634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529999pt;margin-top:42.450024pt;width:16.1550pt;height:16.5pt;mso-position-horizontal-relative:page;mso-position-vertical-relative:page;z-index:-634216" type="#_x0000_t75" stroked="false">
          <v:imagedata r:id="rId1" o:title=""/>
        </v:shape>
      </w:pict>
    </w:r>
    <w:r>
      <w:rPr/>
      <w:pict>
        <v:shape style="position:absolute;margin-left:73.080002pt;margin-top:62.520023pt;width:29.639999pt;height:5.16pt;mso-position-horizontal-relative:page;mso-position-vertical-relative:page;z-index:-634192" type="#_x0000_t75" stroked="false">
          <v:imagedata r:id="rId2" o:title=""/>
        </v:shape>
      </w:pict>
    </w:r>
    <w:r>
      <w:rPr/>
      <w:pict>
        <v:shape style="position:absolute;margin-left:433.76001pt;margin-top:63.50565pt;width:105.2pt;height:11.4pt;mso-position-horizontal-relative:page;mso-position-vertical-relative:page;z-index:-634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769997pt;margin-top:42.449986pt;width:16.260000pt;height:16.5pt;mso-position-horizontal-relative:page;mso-position-vertical-relative:page;z-index:-634120" type="#_x0000_t75" stroked="false">
          <v:imagedata r:id="rId1" o:title=""/>
        </v:shape>
      </w:pict>
    </w:r>
    <w:r>
      <w:rPr/>
      <w:pict>
        <v:shape style="position:absolute;margin-left:88.32pt;margin-top:62.519985pt;width:29.759999pt;height:5.16pt;mso-position-horizontal-relative:page;mso-position-vertical-relative:page;z-index:-634096" type="#_x0000_t75" stroked="false">
          <v:imagedata r:id="rId2" o:title=""/>
        </v:shape>
      </w:pict>
    </w:r>
    <w:r>
      <w:rPr/>
      <w:pict>
        <v:shape style="position:absolute;margin-left:449.119995pt;margin-top:63.505611pt;width:105.1pt;height:11.4pt;mso-position-horizontal-relative:page;mso-position-vertical-relative:page;z-index:-634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529999pt;margin-top:42.450024pt;width:16.1550pt;height:16.5pt;mso-position-horizontal-relative:page;mso-position-vertical-relative:page;z-index:-634024" type="#_x0000_t75" stroked="false">
          <v:imagedata r:id="rId1" o:title=""/>
        </v:shape>
      </w:pict>
    </w:r>
    <w:r>
      <w:rPr/>
      <w:pict>
        <v:shape style="position:absolute;margin-left:73.080002pt;margin-top:62.520023pt;width:29.639999pt;height:5.16pt;mso-position-horizontal-relative:page;mso-position-vertical-relative:page;z-index:-634000" type="#_x0000_t75" stroked="false">
          <v:imagedata r:id="rId2" o:title=""/>
        </v:shape>
      </w:pict>
    </w:r>
    <w:r>
      <w:rPr/>
      <w:pict>
        <v:shape style="position:absolute;margin-left:433.76001pt;margin-top:63.50565pt;width:105.2pt;height:11.4pt;mso-position-horizontal-relative:page;mso-position-vertical-relative:page;z-index:-633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529999pt;margin-top:42.450024pt;width:16.1550pt;height:16.5pt;mso-position-horizontal-relative:page;mso-position-vertical-relative:page;z-index:-633808" type="#_x0000_t75" stroked="false">
          <v:imagedata r:id="rId1" o:title=""/>
        </v:shape>
      </w:pict>
    </w:r>
    <w:r>
      <w:rPr/>
      <w:pict>
        <v:shape style="position:absolute;margin-left:73.080002pt;margin-top:62.520023pt;width:29.639999pt;height:5.16pt;mso-position-horizontal-relative:page;mso-position-vertical-relative:page;z-index:-633784" type="#_x0000_t75" stroked="false">
          <v:imagedata r:id="rId2" o:title=""/>
        </v:shape>
      </w:pict>
    </w:r>
    <w:r>
      <w:rPr/>
      <w:pict>
        <v:group style="position:absolute;margin-left:56.279999pt;margin-top:75.120026pt;width:482.65pt;height:12.4pt;mso-position-horizontal-relative:page;mso-position-vertical-relative:page;z-index:-633760" coordorigin="1126,1502" coordsize="9653,248">
          <v:shape style="position:absolute;left:1135;top:1502;width:797;height:144" type="#_x0000_t75" stroked="false">
            <v:imagedata r:id="rId3" o:title=""/>
          </v:shape>
          <v:group style="position:absolute;left:1133;top:1656;width:1251;height:94" coordorigin="1133,1656" coordsize="1251,94">
            <v:shape style="position:absolute;left:1133;top:1656;width:1251;height:94" coordorigin="1133,1656" coordsize="1251,94" path="m1133,1750l1227,1735,1312,1723,1407,1712,1511,1702,1646,1691,1819,1680,2383,1656,1133,1750xe" filled="true" fillcolor="#074278" stroked="false">
              <v:path arrowok="t"/>
              <v:fill type="solid"/>
            </v:shape>
            <v:shape style="position:absolute;left:1966;top:1502;width:430;height:101" type="#_x0000_t75" stroked="false">
              <v:imagedata r:id="rId4" o:title=""/>
            </v:shape>
          </v:group>
          <v:group style="position:absolute;left:1133;top:1522;width:9639;height:2" coordorigin="1133,1522" coordsize="9639,2">
            <v:shape style="position:absolute;left:1133;top:1522;width:9639;height:2" coordorigin="1133,1522" coordsize="9639,0" path="m1133,1522l10771,1522e" filled="false" stroked="true" strokeweight=".72pt" strokecolor="#000000">
              <v:path arrowok="t"/>
            </v:shape>
          </v:group>
          <w10:wrap type="none"/>
        </v:group>
      </w:pict>
    </w:r>
    <w:r>
      <w:rPr/>
      <w:pict>
        <v:shape style="position:absolute;margin-left:433.76001pt;margin-top:63.50565pt;width:105.2pt;height:11.4pt;mso-position-horizontal-relative:page;mso-position-vertical-relative:page;z-index:-633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卫宁软件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12"/>
    </w:pPr>
    <w:rPr>
      <w:rFonts w:ascii="宋体" w:hAnsi="宋体" w:eastAsia="宋体"/>
      <w:sz w:val="28"/>
      <w:szCs w:val="28"/>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ind w:left="595"/>
      <w:outlineLvl w:val="2"/>
    </w:pPr>
    <w:rPr>
      <w:rFonts w:ascii="Microsoft JhengHei" w:hAnsi="Microsoft JhengHei" w:eastAsia="Microsoft JhengHei"/>
      <w:b/>
      <w:bCs/>
      <w:sz w:val="24"/>
      <w:szCs w:val="24"/>
    </w:rPr>
  </w:style>
  <w:style w:styleId="Heading3" w:type="paragraph">
    <w:name w:val="Heading 3"/>
    <w:basedOn w:val="Normal"/>
    <w:uiPriority w:val="1"/>
    <w:qFormat/>
    <w:pPr>
      <w:spacing w:before="26"/>
      <w:ind w:left="112"/>
      <w:outlineLvl w:val="3"/>
    </w:pPr>
    <w:rPr>
      <w:rFonts w:ascii="宋体" w:hAnsi="宋体" w:eastAsia="宋体"/>
      <w:sz w:val="24"/>
      <w:szCs w:val="24"/>
    </w:rPr>
  </w:style>
  <w:style w:styleId="Heading4" w:type="paragraph">
    <w:name w:val="Heading 4"/>
    <w:basedOn w:val="Normal"/>
    <w:uiPriority w:val="1"/>
    <w:qFormat/>
    <w:pPr>
      <w:ind w:left="535"/>
      <w:outlineLvl w:val="4"/>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wndsh@winning.com.cn" TargetMode="External"/><Relationship Id="rId11" Type="http://schemas.openxmlformats.org/officeDocument/2006/relationships/hyperlink" Target="http://www.winning.com.cn/"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yperlink" Target="http://www.winning.cn/"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yperlink" Target="http://www.cninfo.com.cn/finalpage/2011-10-26/60112273.PDF" TargetMode="External"/><Relationship Id="rId22" Type="http://schemas.openxmlformats.org/officeDocument/2006/relationships/image" Target="media/image8.png"/><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0.xml"/><Relationship Id="rId29" Type="http://schemas.openxmlformats.org/officeDocument/2006/relationships/header" Target="header4.xml"/><Relationship Id="rId30" Type="http://schemas.openxmlformats.org/officeDocument/2006/relationships/footer" Target="footer11.xml"/><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header" Target="header5.xml"/><Relationship Id="rId34" Type="http://schemas.openxmlformats.org/officeDocument/2006/relationships/footer" Target="footer12.xml"/><Relationship Id="rId35" Type="http://schemas.openxmlformats.org/officeDocument/2006/relationships/header" Target="header6.xml"/><Relationship Id="rId36" Type="http://schemas.openxmlformats.org/officeDocument/2006/relationships/footer" Target="footer13.xml"/><Relationship Id="rId37" Type="http://schemas.openxmlformats.org/officeDocument/2006/relationships/header" Target="header7.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dcterms:created xsi:type="dcterms:W3CDTF">2020-05-03T17:17:41Z</dcterms:created>
  <dcterms:modified xsi:type="dcterms:W3CDTF">2020-05-03T17:17:41Z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2012-04-24T00:00:00Z</vt:filetime>
  </property>
  <property fmtid="{D5CDD505-2E9C-101B-9397-08002B2CF9AE}" pid="3" name="Creator">
    <vt:lpwstr>WPS Office 个人版</vt:lpwstr>
  </property>
  <property fmtid="{D5CDD505-2E9C-101B-9397-08002B2CF9AE}" pid="4" name="LastSaved">
    <vt:filetime>2012-04-24T00:00:00Z</vt:filetime>
  </property>
</Properties>
</file>