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214" w:lineRule="exact"/>
        <w:ind w:left="364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693493" cy="140589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93493" cy="140589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8"/>
        <w:rPr>
          <w:rFonts w:ascii="Times New Roman" w:hAnsi="Times New Roman" w:cs="Times New Roman" w:eastAsia="Times New Roman" w:hint="default"/>
          <w:sz w:val="12"/>
          <w:szCs w:val="12"/>
        </w:rPr>
      </w:pPr>
    </w:p>
    <w:p>
      <w:pPr>
        <w:spacing w:line="460" w:lineRule="exact" w:before="0"/>
        <w:ind w:left="2243" w:right="2242" w:firstLine="0"/>
        <w:jc w:val="center"/>
        <w:rPr>
          <w:rFonts w:ascii="宋体" w:hAnsi="宋体" w:cs="宋体" w:eastAsia="宋体" w:hint="default"/>
          <w:sz w:val="36"/>
          <w:szCs w:val="36"/>
        </w:rPr>
      </w:pPr>
      <w:r>
        <w:rPr>
          <w:rFonts w:ascii="宋体" w:hAnsi="宋体" w:cs="宋体" w:eastAsia="宋体" w:hint="default"/>
          <w:b/>
          <w:bCs/>
          <w:sz w:val="36"/>
          <w:szCs w:val="36"/>
        </w:rPr>
        <w:t>上海金仕达卫宁软件股份有限公司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2"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242"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7"/>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spacing w:val="2"/>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
          <w:sz w:val="28"/>
          <w:szCs w:val="28"/>
        </w:rPr>
        <w:t>公司负责人周炜、主管会计工作负责人靳茂及会计机构负责人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会计主管人</w:t>
      </w:r>
      <w:r>
        <w:rPr>
          <w:rFonts w:ascii="宋体" w:hAnsi="宋体" w:cs="宋体" w:eastAsia="宋体" w:hint="default"/>
          <w:spacing w:val="-1"/>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奚冰声明：保证年度报告中财务报告的真实、准确、完整。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2" w:right="1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spacing w:val="2"/>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2" w:header="745"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2242" w:right="224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71" w:val="right" w:leader="dot"/>
            </w:tabs>
            <w:spacing w:line="240" w:lineRule="auto" w:before="0"/>
            <w:ind w:left="152"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70" w:val="right" w:leader="dot"/>
            </w:tabs>
            <w:spacing w:line="240" w:lineRule="auto"/>
            <w:ind w:left="152"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71" w:val="right" w:leader="dot"/>
            </w:tabs>
            <w:spacing w:line="240" w:lineRule="auto" w:before="101"/>
            <w:ind w:left="152"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34</w:t>
            </w:r>
          </w:hyperlink>
        </w:p>
        <w:p>
          <w:pPr>
            <w:pStyle w:val="TOC1"/>
            <w:tabs>
              <w:tab w:pos="9784"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40</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46</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52</w:t>
            </w:r>
          </w:hyperlink>
        </w:p>
        <w:p>
          <w:pPr>
            <w:pStyle w:val="TOC1"/>
            <w:tabs>
              <w:tab w:pos="9784"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55</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rPr>
              <w:tab/>
              <w:t>127</w:t>
            </w:r>
          </w:hyperlink>
        </w:p>
        <w:p>
          <w:pPr/>
          <w:r>
            <w:fldChar w:fldCharType="end"/>
          </w:r>
        </w:p>
      </w:sdtContent>
    </w:sdt>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2240" w:right="224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1"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本公司、公司、股份公司、卫宁软件</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上海金仕达卫宁软件股份有限公司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周炜、王英夫妇</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保荐人、主承销商、招商证券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会计师、中磊会计师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律师、上海广发</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上海市广发律师事务所</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卫宁信息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公司全资子公司、上海金仕达卫宁信息技术有限公司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江苏卫宁</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公司全资子公司、江苏金仕达卫宁软件有限公司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西安卫宁</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公司全资子公司、西安金仕达卫宁软件有限公司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公司控股子公司，上海金仕达卫宁软件科技有限公司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上海金仕达卫宁软件股份有限公司股东大会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上海金仕达卫宁软件股份有限公司董事会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上海金仕达卫宁软件股份有限公司监事会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《上海金仕达卫宁软件股份有限公司章程》</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4" w:right="0"/>
        <w:jc w:val="left"/>
        <w:rPr>
          <w:b w:val="0"/>
          <w:bCs w:val="0"/>
        </w:rPr>
      </w:pPr>
      <w:bookmarkStart w:name="三、信息披露及备置地点" w:id="3"/>
      <w:bookmarkEnd w:id="3"/>
      <w:r>
        <w:rPr>
          <w:b w:val="0"/>
          <w:bCs w:val="0"/>
        </w:rPr>
      </w:r>
      <w:bookmarkStart w:name="第二节 公司基本情况简介" w:id="4"/>
      <w:bookmarkEnd w:id="4"/>
      <w:r>
        <w:rPr>
          <w:b w:val="0"/>
          <w:bCs w:val="0"/>
        </w:rPr>
      </w:r>
      <w:bookmarkStart w:name="_bookmark1" w:id="5"/>
      <w:bookmarkEnd w:id="5"/>
      <w:r>
        <w:rPr>
          <w:b w:val="0"/>
          <w:bCs w:val="0"/>
        </w:rPr>
      </w:r>
      <w:r>
        <w:rPr/>
        <w:t>第二节</w:t>
      </w:r>
      <w:r>
        <w:rPr>
          <w:spacing w:val="-7"/>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8"/>
        <w:gridCol w:w="2327"/>
        <w:gridCol w:w="2135"/>
        <w:gridCol w:w="2188"/>
      </w:tblGrid>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49"/>
              <w:ind w:left="28" w:right="0"/>
              <w:jc w:val="left"/>
              <w:rPr>
                <w:rFonts w:ascii="宋体" w:hAnsi="宋体" w:cs="宋体" w:eastAsia="宋体" w:hint="default"/>
                <w:sz w:val="18"/>
                <w:szCs w:val="18"/>
              </w:rPr>
            </w:pPr>
            <w:bookmarkStart w:name="一、公司信息" w:id="6"/>
            <w:bookmarkEnd w:id="6"/>
            <w:r>
              <w:rPr/>
            </w:r>
            <w:r>
              <w:rPr>
                <w:rFonts w:ascii="宋体" w:hAnsi="宋体" w:cs="宋体" w:eastAsia="宋体" w:hint="default"/>
                <w:sz w:val="18"/>
                <w:szCs w:val="18"/>
              </w:rPr>
              <w:t>卫宁软件</w:t>
            </w:r>
          </w:p>
        </w:tc>
        <w:tc>
          <w:tcPr>
            <w:tcW w:w="2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300253</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4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上海金仕达卫宁软件股份有限公司</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卫宁软件</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Shanghai Kingstar Winning Software Co.,</w:t>
            </w:r>
            <w:r>
              <w:rPr>
                <w:rFonts w:ascii="Times New Roman"/>
                <w:spacing w:val="-23"/>
                <w:sz w:val="18"/>
              </w:rPr>
              <w:t> </w:t>
            </w:r>
            <w:r>
              <w:rPr>
                <w:rFonts w:ascii="Times New Roman"/>
                <w:sz w:val="18"/>
              </w:rPr>
              <w:t>Ltd.</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WinningSoft</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周炜</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上海市浦东新区上南路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 </w:t>
            </w:r>
            <w:r>
              <w:rPr>
                <w:rFonts w:ascii="宋体" w:hAnsi="宋体" w:cs="宋体" w:eastAsia="宋体" w:hint="default"/>
                <w:sz w:val="18"/>
                <w:szCs w:val="18"/>
              </w:rPr>
              <w:t>室</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200124</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上海市共和新路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3388 </w:t>
            </w:r>
            <w:r>
              <w:rPr>
                <w:rFonts w:ascii="宋体" w:hAnsi="宋体" w:cs="宋体" w:eastAsia="宋体" w:hint="default"/>
                <w:sz w:val="18"/>
                <w:szCs w:val="18"/>
              </w:rPr>
              <w:t>号永鼎大厦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楼</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200436</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www.winning.com.cn</w:t>
              </w:r>
            </w:hyperlink>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北京市丰台区星火路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号昌宁大厦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二、联系人和联系方式" w:id="7"/>
            <w:bookmarkEnd w:id="7"/>
            <w:r>
              <w:rPr/>
            </w:r>
            <w:r>
              <w:rPr>
                <w:rFonts w:ascii="宋体" w:hAnsi="宋体" w:cs="宋体" w:eastAsia="宋体" w:hint="default"/>
                <w:sz w:val="18"/>
                <w:szCs w:val="18"/>
              </w:rPr>
              <w:t>证券事务代表</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上海市共和新路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3388 </w:t>
            </w:r>
            <w:r>
              <w:rPr>
                <w:rFonts w:ascii="宋体" w:hAnsi="宋体" w:cs="宋体" w:eastAsia="宋体" w:hint="default"/>
                <w:sz w:val="18"/>
                <w:szCs w:val="18"/>
              </w:rPr>
              <w:t>号永鼎大厦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021-56773525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021-56778685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7"/>
        <w:gridCol w:w="5720"/>
      </w:tblGrid>
      <w:tr>
        <w:trPr>
          <w:trHeight w:val="403" w:hRule="exact"/>
        </w:trPr>
        <w:tc>
          <w:tcPr>
            <w:tcW w:w="3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523" w:right="72" w:hanging="452"/>
              <w:jc w:val="left"/>
              <w:rPr>
                <w:rFonts w:ascii="宋体" w:hAnsi="宋体" w:cs="宋体" w:eastAsia="宋体" w:hint="default"/>
                <w:sz w:val="18"/>
                <w:szCs w:val="18"/>
              </w:rPr>
            </w:pPr>
            <w:bookmarkStart w:name="四、公司历史沿革" w:id="8"/>
            <w:bookmarkEnd w:id="8"/>
            <w:r>
              <w:rPr/>
            </w: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上海市浦东新区上 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 </w:t>
            </w:r>
            <w:r>
              <w:rPr>
                <w:rFonts w:ascii="宋体" w:hAnsi="宋体" w:cs="宋体" w:eastAsia="宋体" w:hint="default"/>
                <w:sz w:val="18"/>
                <w:szCs w:val="18"/>
              </w:rPr>
              <w:t>室</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企合沪浦总字第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318540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310115759874061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75987406-1</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整体变更为股份有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上海市浦东新区上 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310115400147263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310115759874061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75987406-1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上海市浦东新区上 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310115400147263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310115759874061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75987406-1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上海市浦东新区上 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310115400147263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310115759874061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75987406-1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1"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7"/>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一、主要会计</w:t>
      </w:r>
      <w:bookmarkStart w:name="一、主要会计数据和财务指标" w:id="11"/>
      <w:bookmarkEnd w:id="11"/>
      <w:r>
        <w:rPr/>
        <w:t>数</w:t>
      </w:r>
      <w:r>
        <w:rPr/>
        <w:t>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18"/>
        <w:gridCol w:w="1738"/>
        <w:gridCol w:w="1740"/>
        <w:gridCol w:w="1738"/>
        <w:gridCol w:w="1735"/>
      </w:tblGrid>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265,771,223.38</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169,919,002.90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120,229,590.95</w:t>
            </w:r>
            <w:r>
              <w:rPr>
                <w:rFonts w:ascii="Times New Roman"/>
                <w:sz w:val="18"/>
              </w:rPr>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35,998,276.06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33,392,138.13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28,682,683.92</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57,743,830.51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49,049,140.36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38,958,497.24</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52,849,948.41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44,292,891.86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35,346,503.46</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50,742,707.24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41,025,944.91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33,828,962.19</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27,373,168.15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4,598,615.82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495.25%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38,068,366.62</w:t>
            </w:r>
          </w:p>
        </w:tc>
      </w:tr>
      <w:tr>
        <w:trPr>
          <w:trHeight w:val="161" w:hRule="exact"/>
        </w:trPr>
        <w:tc>
          <w:tcPr>
            <w:tcW w:w="2618"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8" w:type="dxa"/>
            <w:tcBorders>
              <w:top w:val="single" w:sz="4" w:space="0" w:color="000000"/>
              <w:left w:val="single" w:sz="4" w:space="0" w:color="000000"/>
              <w:bottom w:val="nil" w:sz="6" w:space="0" w:color="auto"/>
              <w:right w:val="single" w:sz="4" w:space="0" w:color="000000"/>
            </w:tcBorders>
            <w:shd w:val="clear" w:color="auto" w:fill="D4D4D4"/>
          </w:tcPr>
          <w:p>
            <w:pPr/>
          </w:p>
        </w:tc>
        <w:tc>
          <w:tcPr>
            <w:tcW w:w="1740"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2618" w:type="dxa"/>
            <w:tcBorders>
              <w:top w:val="nil" w:sz="6" w:space="0" w:color="auto"/>
              <w:left w:val="single" w:sz="4" w:space="0" w:color="000000"/>
              <w:bottom w:val="nil" w:sz="6" w:space="0" w:color="auto"/>
              <w:right w:val="single" w:sz="4" w:space="0" w:color="000000"/>
            </w:tcBorders>
            <w:shd w:val="clear" w:color="auto" w:fill="D4D4D4"/>
          </w:tcPr>
          <w:p>
            <w:pPr/>
          </w:p>
        </w:tc>
        <w:tc>
          <w:tcPr>
            <w:tcW w:w="17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618"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8"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8" w:type="dxa"/>
            <w:vMerge/>
            <w:tcBorders>
              <w:left w:val="single" w:sz="4" w:space="0" w:color="000000"/>
              <w:bottom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622,662,329.59</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521,226,708.71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117,797,009.22</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90,305,484.07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43,145,931.07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22,988,953.52</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528,833,621.76</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478,080,777.64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94,808,055.70</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107,000,000.00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40,000,000.00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0"/>
        <w:gridCol w:w="1748"/>
        <w:gridCol w:w="1735"/>
        <w:gridCol w:w="1738"/>
        <w:gridCol w:w="1735"/>
      </w:tblGrid>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0.49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0.44</w:t>
            </w:r>
            <w:r>
              <w:rPr>
                <w:rFonts w:ascii="Times New Roman"/>
                <w:sz w:val="18"/>
              </w:rPr>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0.49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0.44</w:t>
            </w:r>
            <w:r>
              <w:rPr>
                <w:rFonts w:ascii="Times New Roman"/>
                <w:sz w:val="18"/>
              </w:rPr>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0.47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0.43</w:t>
            </w:r>
            <w:r>
              <w:rPr>
                <w:rFonts w:ascii="Times New Roman"/>
                <w:sz w:val="18"/>
              </w:rPr>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37.28%</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37.02%</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35.68%</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3"/>
        <w:gridCol w:w="1738"/>
        <w:gridCol w:w="1735"/>
        <w:gridCol w:w="1738"/>
        <w:gridCol w:w="1735"/>
      </w:tblGrid>
      <w:tr>
        <w:trPr>
          <w:trHeight w:val="362" w:hRule="exact"/>
        </w:trPr>
        <w:tc>
          <w:tcPr>
            <w:tcW w:w="2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4D4D4"/>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0.2558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197.44%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0.9517</w:t>
            </w:r>
            <w:r>
              <w:rPr>
                <w:rFonts w:ascii="Times New Roman"/>
                <w:sz w:val="18"/>
              </w:rPr>
            </w:r>
          </w:p>
        </w:tc>
      </w:tr>
      <w:tr>
        <w:trPr>
          <w:trHeight w:val="161" w:hRule="exact"/>
        </w:trPr>
        <w:tc>
          <w:tcPr>
            <w:tcW w:w="26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8"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5"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3"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2623" w:type="dxa"/>
            <w:tcBorders>
              <w:top w:val="nil" w:sz="6" w:space="0" w:color="auto"/>
              <w:left w:val="single" w:sz="4" w:space="0" w:color="000000"/>
              <w:bottom w:val="nil" w:sz="6" w:space="0" w:color="auto"/>
              <w:right w:val="single" w:sz="4" w:space="0" w:color="000000"/>
            </w:tcBorders>
            <w:shd w:val="clear" w:color="auto" w:fill="D4D4D4"/>
          </w:tcPr>
          <w:p>
            <w:pPr/>
          </w:p>
        </w:tc>
        <w:tc>
          <w:tcPr>
            <w:tcW w:w="17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6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8"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8" w:type="dxa"/>
            <w:vMerge/>
            <w:tcBorders>
              <w:left w:val="single" w:sz="4" w:space="0" w:color="000000"/>
              <w:bottom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13" w:hRule="exact"/>
        </w:trPr>
        <w:tc>
          <w:tcPr>
            <w:tcW w:w="2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4.9424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8.9361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2.3702</w:t>
            </w:r>
            <w:r>
              <w:rPr>
                <w:rFonts w:ascii="Times New Roman"/>
                <w:sz w:val="18"/>
              </w:rPr>
            </w:r>
          </w:p>
        </w:tc>
      </w:tr>
      <w:tr>
        <w:trPr>
          <w:trHeight w:val="403" w:hRule="exact"/>
        </w:trPr>
        <w:tc>
          <w:tcPr>
            <w:tcW w:w="2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19.52%</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三、重大风险提示" w:id="12"/>
      <w:bookmarkEnd w:id="12"/>
      <w:r>
        <w:rPr>
          <w:b w:val="0"/>
          <w:bCs w:val="0"/>
        </w:rPr>
      </w:r>
      <w:r>
        <w:rPr/>
        <w:t>二、报告期内非经常性损益的</w:t>
      </w:r>
      <w:bookmarkStart w:name="二、报告期内非经常性损益的项目及金额" w:id="13"/>
      <w:bookmarkEnd w:id="13"/>
      <w:r>
        <w:rPr/>
        <w:t>项目</w:t>
      </w:r>
      <w:r>
        <w:rPr/>
        <w:t>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-5,310.37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71,287.80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-15,434.60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2,453,073.30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3,515,972.00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1,134,184.73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38,356.16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567,077.97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35,555.85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231,580.45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104,454.57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376,077.61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590,249.46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272,741.40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2,107,241.17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3,266,946.95</w:t>
            </w:r>
            <w:r>
              <w:rPr>
                <w:rFonts w:ascii="Times New Roman"/>
                <w:sz w:val="18"/>
              </w:rPr>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1,517,541.27</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t>三、重大风险提示</w:t>
      </w:r>
      <w:r>
        <w:rPr>
          <w:b w:val="0"/>
          <w:bCs w:val="0"/>
        </w:rPr>
      </w:r>
    </w:p>
    <w:p>
      <w:pPr>
        <w:spacing w:line="240" w:lineRule="auto" w:before="6"/>
        <w:rPr>
          <w:rFonts w:ascii="宋体" w:hAnsi="宋体" w:cs="宋体" w:eastAsia="宋体" w:hint="default"/>
          <w:b/>
          <w:bCs/>
          <w:sz w:val="26"/>
          <w:szCs w:val="26"/>
        </w:rPr>
      </w:pPr>
    </w:p>
    <w:p>
      <w:pPr>
        <w:spacing w:line="340" w:lineRule="auto" w:before="0"/>
        <w:ind w:left="512" w:right="0" w:hanging="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、公司规模的迅速扩张带来人才上的瓶颈</w:t>
      </w:r>
      <w:r>
        <w:rPr>
          <w:rFonts w:ascii="宋体" w:hAnsi="宋体" w:cs="宋体" w:eastAsia="宋体" w:hint="default"/>
          <w:b/>
          <w:bCs/>
          <w:w w:val="99"/>
          <w:sz w:val="18"/>
          <w:szCs w:val="18"/>
        </w:rPr>
        <w:t> </w:t>
      </w:r>
      <w:r>
        <w:rPr>
          <w:rFonts w:ascii="宋体" w:hAnsi="宋体" w:cs="宋体" w:eastAsia="宋体" w:hint="default"/>
          <w:spacing w:val="-2"/>
          <w:sz w:val="18"/>
          <w:szCs w:val="18"/>
        </w:rPr>
        <w:t>高端人才比较紧缺仍然是公司目前存在的主要困难，特别是研发人员扩张速度跟不上公司业务规模的扩张，导致公司潜</w:t>
      </w:r>
    </w:p>
    <w:p>
      <w:pPr>
        <w:pStyle w:val="BodyText"/>
        <w:spacing w:line="360" w:lineRule="auto"/>
        <w:ind w:left="512" w:right="0" w:hanging="360"/>
        <w:jc w:val="left"/>
      </w:pPr>
      <w:r>
        <w:rPr/>
        <w:t>在的新用户的需求得不到很好的满足，这可能会使公司失去一些市场机会。 </w:t>
      </w:r>
      <w:r>
        <w:rPr>
          <w:spacing w:val="-2"/>
        </w:rPr>
        <w:t>随着公司产品线扩充、市场扩大和客户增加，公司目前面临的最大问题是人才，特别是研发和销售类的高端人才较难招</w:t>
      </w:r>
    </w:p>
    <w:p>
      <w:pPr>
        <w:pStyle w:val="BodyText"/>
        <w:spacing w:line="222" w:lineRule="exact"/>
        <w:ind w:right="0"/>
        <w:jc w:val="left"/>
      </w:pPr>
      <w:r>
        <w:rPr/>
        <w:t>聘，这可能会导致公司目前的一些潜在项目流失。</w:t>
      </w:r>
    </w:p>
    <w:p>
      <w:pPr>
        <w:spacing w:after="0" w:line="222" w:lineRule="exact"/>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2" w:lineRule="auto" w:before="44"/>
        <w:ind w:right="192" w:firstLine="360"/>
        <w:jc w:val="both"/>
      </w:pPr>
      <w:r>
        <w:rPr>
          <w:spacing w:val="-2"/>
        </w:rPr>
        <w:t>应对措施：公司已在合肥、常州以及西安设立区域研发中心，未来还将根据发展需要在其他地区设立区域研发中心。公</w:t>
      </w:r>
      <w:r>
        <w:rPr/>
        <w:t> 司报告期末员工数量为</w:t>
      </w:r>
      <w:r>
        <w:rPr>
          <w:rFonts w:ascii="Times New Roman" w:hAnsi="Times New Roman" w:cs="Times New Roman" w:eastAsia="Times New Roman" w:hint="default"/>
        </w:rPr>
        <w:t>883</w:t>
      </w:r>
      <w:r>
        <w:rPr/>
        <w:t>人，预计在未来几年内公司的总人数将扩张到</w:t>
      </w:r>
      <w:r>
        <w:rPr>
          <w:rFonts w:ascii="Times New Roman" w:hAnsi="Times New Roman" w:cs="Times New Roman" w:eastAsia="Times New Roman" w:hint="default"/>
        </w:rPr>
        <w:t>1500</w:t>
      </w:r>
      <w:r>
        <w:rPr/>
        <w:t>人以上，因此一方面建立多层次培训体系和薪</w:t>
      </w:r>
      <w:r>
        <w:rPr>
          <w:spacing w:val="-85"/>
        </w:rPr>
        <w:t> </w:t>
      </w:r>
      <w:r>
        <w:rPr>
          <w:spacing w:val="-85"/>
        </w:rPr>
      </w:r>
      <w:r>
        <w:rPr>
          <w:spacing w:val="-2"/>
        </w:rPr>
        <w:t>酬体系，满足研发技术类的人才需求，另一方面，开展营销服务体系的建设，构筑全国性的销售服务体系，实现客户的近距</w:t>
      </w:r>
      <w:r>
        <w:rPr>
          <w:spacing w:val="-67"/>
        </w:rPr>
        <w:t> </w:t>
      </w:r>
      <w:r>
        <w:rPr>
          <w:spacing w:val="-67"/>
        </w:rPr>
      </w:r>
      <w:r>
        <w:rPr/>
        <w:t>离本地化服务。</w:t>
      </w:r>
    </w:p>
    <w:p>
      <w:pPr>
        <w:spacing w:line="338" w:lineRule="auto" w:before="63"/>
        <w:ind w:left="512" w:right="184" w:hanging="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、新技术、新需求带来的不确定性风险</w:t>
      </w:r>
      <w:r>
        <w:rPr>
          <w:rFonts w:ascii="宋体" w:hAnsi="宋体" w:cs="宋体" w:eastAsia="宋体" w:hint="default"/>
          <w:b/>
          <w:bCs/>
          <w:w w:val="99"/>
          <w:sz w:val="18"/>
          <w:szCs w:val="18"/>
        </w:rPr>
        <w:t> </w:t>
      </w:r>
      <w:r>
        <w:rPr>
          <w:rFonts w:ascii="宋体" w:hAnsi="宋体" w:cs="宋体" w:eastAsia="宋体" w:hint="default"/>
          <w:spacing w:val="-2"/>
          <w:sz w:val="18"/>
          <w:szCs w:val="18"/>
        </w:rPr>
        <w:t>基于云计算的软件服务模式、大数据处理系统、临床决策系统等快速发展，这些系统所涉及的技术，都是比较新型的技</w:t>
      </w:r>
    </w:p>
    <w:p>
      <w:pPr>
        <w:pStyle w:val="BodyText"/>
        <w:spacing w:line="360" w:lineRule="auto" w:before="2"/>
        <w:ind w:left="512" w:right="184" w:hanging="360"/>
        <w:jc w:val="left"/>
      </w:pPr>
      <w:r>
        <w:rPr/>
        <w:t>术，这些技术是否能产生良好的效果，具有不确定性风险。 </w:t>
      </w:r>
      <w:r>
        <w:rPr>
          <w:spacing w:val="-2"/>
        </w:rPr>
        <w:t>应对措施：产品及研发部预研各种技术，进行概念验证和典型用户示范，并与各高等院校、专业研究机构、客户及政府</w:t>
      </w:r>
    </w:p>
    <w:p>
      <w:pPr>
        <w:pStyle w:val="BodyText"/>
        <w:spacing w:line="222" w:lineRule="exact"/>
        <w:ind w:right="0"/>
        <w:jc w:val="both"/>
      </w:pPr>
      <w:r>
        <w:rPr/>
        <w:t>部门合作，将新技术、新需求有效应用于各个示范应用点，然后争取得到行业权威机构的支持和认可，进一步扩大推广应用</w:t>
      </w:r>
    </w:p>
    <w:p>
      <w:pPr>
        <w:pStyle w:val="BodyText"/>
        <w:spacing w:line="240" w:lineRule="auto" w:before="76"/>
        <w:ind w:right="0"/>
        <w:jc w:val="both"/>
      </w:pPr>
      <w:r>
        <w:rPr/>
        <w:t>范围。</w:t>
      </w:r>
    </w:p>
    <w:p>
      <w:pPr>
        <w:spacing w:line="338" w:lineRule="auto" w:before="117"/>
        <w:ind w:left="512" w:right="184" w:hanging="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、行业竞争进一步加剧的风险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医疗信息化行业处于快速发展阶段，国内外市场参与者不断增加，竞争也将越来越激烈，鉴于行业广阔的发展前景和国</w:t>
      </w:r>
    </w:p>
    <w:p>
      <w:pPr>
        <w:pStyle w:val="BodyText"/>
        <w:spacing w:line="316" w:lineRule="auto" w:before="2"/>
        <w:ind w:right="191"/>
        <w:jc w:val="both"/>
      </w:pPr>
      <w:r>
        <w:rPr>
          <w:spacing w:val="-2"/>
        </w:rPr>
        <w:t>内资本市场的进一步开放，缺乏竞争力和核心优势的企业将会被市场淘汰。如果公司不能紧跟行业发展方向，提高公司的竞</w:t>
      </w:r>
      <w:r>
        <w:rPr>
          <w:spacing w:val="-63"/>
        </w:rPr>
        <w:t> </w:t>
      </w:r>
      <w:r>
        <w:rPr>
          <w:spacing w:val="-63"/>
        </w:rPr>
      </w:r>
      <w:r>
        <w:rPr/>
        <w:t>争力和核心优势，将无法适应激烈的行业竞争。</w:t>
      </w:r>
    </w:p>
    <w:p>
      <w:pPr>
        <w:pStyle w:val="BodyText"/>
        <w:spacing w:line="316" w:lineRule="auto" w:before="59"/>
        <w:ind w:right="191" w:firstLine="360"/>
        <w:jc w:val="both"/>
      </w:pPr>
      <w:r>
        <w:rPr>
          <w:spacing w:val="-2"/>
        </w:rPr>
        <w:t>应对措施：公司需采取更加积极的经营管理措施，加大研发投入，密切跟踪行业发展趋势和前沿创新技术，并积极关注</w:t>
      </w:r>
      <w:r>
        <w:rPr/>
        <w:t> </w:t>
      </w:r>
      <w:r>
        <w:rPr>
          <w:spacing w:val="-2"/>
        </w:rPr>
        <w:t>行业竞争所带来的整合机遇，从而维持并加强公司在用户数量、用户粘性及技术方面的核心竞争优势，促进公司持续健康发</w:t>
      </w:r>
      <w:r>
        <w:rPr>
          <w:spacing w:val="-63"/>
        </w:rPr>
        <w:t> </w:t>
      </w:r>
      <w:r>
        <w:rPr>
          <w:spacing w:val="-63"/>
        </w:rPr>
      </w:r>
      <w:r>
        <w:rPr/>
        <w:t>展。</w:t>
      </w:r>
    </w:p>
    <w:p>
      <w:pPr>
        <w:pStyle w:val="BodyText"/>
        <w:spacing w:line="338" w:lineRule="auto" w:before="59"/>
        <w:ind w:left="512" w:right="184" w:hanging="8"/>
        <w:jc w:val="left"/>
      </w:pPr>
      <w:r>
        <w:rPr>
          <w:rFonts w:ascii="Times New Roman" w:hAnsi="Times New Roman" w:cs="Times New Roman" w:eastAsia="Times New Roman" w:hint="default"/>
          <w:b/>
          <w:bCs/>
        </w:rPr>
        <w:t>4</w:t>
      </w:r>
      <w:r>
        <w:rPr>
          <w:rFonts w:ascii="宋体" w:hAnsi="宋体" w:cs="宋体" w:eastAsia="宋体" w:hint="default"/>
          <w:b/>
          <w:bCs/>
        </w:rPr>
        <w:t>、公司业务规模较小的风险</w:t>
      </w:r>
      <w:r>
        <w:rPr>
          <w:rFonts w:ascii="宋体" w:hAnsi="宋体" w:cs="宋体" w:eastAsia="宋体" w:hint="default"/>
          <w:b/>
          <w:bCs/>
          <w:w w:val="99"/>
        </w:rPr>
        <w:t> </w:t>
      </w:r>
      <w:r>
        <w:rPr/>
        <w:t>公司的利润主要来源于软件及技术服务业务，最近</w:t>
      </w:r>
      <w:r>
        <w:rPr>
          <w:rFonts w:ascii="Times New Roman" w:hAnsi="Times New Roman" w:cs="Times New Roman" w:eastAsia="Times New Roman" w:hint="default"/>
        </w:rPr>
        <w:t>3</w:t>
      </w:r>
      <w:r>
        <w:rPr/>
        <w:t>年，公司软件收入分别为</w:t>
      </w:r>
      <w:r>
        <w:rPr>
          <w:rFonts w:ascii="Times New Roman" w:hAnsi="Times New Roman" w:cs="Times New Roman" w:eastAsia="Times New Roman" w:hint="default"/>
        </w:rPr>
        <w:t>6,788.74</w:t>
      </w:r>
      <w:r>
        <w:rPr/>
        <w:t>万元、</w:t>
      </w:r>
      <w:r>
        <w:rPr>
          <w:rFonts w:ascii="Times New Roman" w:hAnsi="Times New Roman" w:cs="Times New Roman" w:eastAsia="Times New Roman" w:hint="default"/>
        </w:rPr>
        <w:t>9,100.49</w:t>
      </w:r>
      <w:r>
        <w:rPr/>
        <w:t>万元、</w:t>
      </w:r>
      <w:r>
        <w:rPr>
          <w:rFonts w:ascii="Times New Roman" w:hAnsi="Times New Roman" w:cs="Times New Roman" w:eastAsia="Times New Roman" w:hint="default"/>
        </w:rPr>
        <w:t>13,665.89</w:t>
      </w:r>
      <w:r>
        <w:rPr/>
        <w:t>万</w:t>
      </w:r>
    </w:p>
    <w:p>
      <w:pPr>
        <w:pStyle w:val="BodyText"/>
        <w:spacing w:line="230" w:lineRule="exact"/>
        <w:ind w:right="0"/>
        <w:jc w:val="both"/>
        <w:rPr>
          <w:rFonts w:ascii="Times New Roman" w:hAnsi="Times New Roman" w:cs="Times New Roman" w:eastAsia="Times New Roman" w:hint="default"/>
        </w:rPr>
      </w:pPr>
      <w:r>
        <w:rPr/>
        <w:t>元，技术服务收入分别为</w:t>
      </w:r>
      <w:r>
        <w:rPr>
          <w:rFonts w:ascii="Times New Roman" w:hAnsi="Times New Roman" w:cs="Times New Roman" w:eastAsia="Times New Roman" w:hint="default"/>
        </w:rPr>
        <w:t>2,080.32</w:t>
      </w:r>
      <w:r>
        <w:rPr/>
        <w:t>万元、</w:t>
      </w:r>
      <w:r>
        <w:rPr>
          <w:rFonts w:ascii="Times New Roman" w:hAnsi="Times New Roman" w:cs="Times New Roman" w:eastAsia="Times New Roman" w:hint="default"/>
        </w:rPr>
        <w:t>3,365.08</w:t>
      </w:r>
      <w:r>
        <w:rPr/>
        <w:t>万元、</w:t>
      </w:r>
      <w:r>
        <w:rPr>
          <w:rFonts w:ascii="Times New Roman" w:hAnsi="Times New Roman" w:cs="Times New Roman" w:eastAsia="Times New Roman" w:hint="default"/>
        </w:rPr>
        <w:t>5,795.84</w:t>
      </w:r>
      <w:r>
        <w:rPr/>
        <w:t>万元，净利润分别为</w:t>
      </w:r>
      <w:r>
        <w:rPr>
          <w:rFonts w:ascii="Times New Roman" w:hAnsi="Times New Roman" w:cs="Times New Roman" w:eastAsia="Times New Roman" w:hint="default"/>
        </w:rPr>
        <w:t>3,534.65</w:t>
      </w:r>
      <w:r>
        <w:rPr/>
        <w:t>万元、</w:t>
      </w:r>
      <w:r>
        <w:rPr>
          <w:rFonts w:ascii="Times New Roman" w:hAnsi="Times New Roman" w:cs="Times New Roman" w:eastAsia="Times New Roman" w:hint="default"/>
        </w:rPr>
        <w:t>4,429.29</w:t>
      </w:r>
      <w:r>
        <w:rPr/>
        <w:t>万元、</w:t>
      </w:r>
      <w:r>
        <w:rPr>
          <w:rFonts w:ascii="Times New Roman" w:hAnsi="Times New Roman" w:cs="Times New Roman" w:eastAsia="Times New Roman" w:hint="default"/>
        </w:rPr>
        <w:t>5,284.99</w:t>
      </w:r>
    </w:p>
    <w:p>
      <w:pPr>
        <w:pStyle w:val="BodyText"/>
        <w:spacing w:line="309" w:lineRule="auto" w:before="62"/>
        <w:ind w:right="190"/>
        <w:jc w:val="both"/>
      </w:pPr>
      <w:r>
        <w:rPr>
          <w:spacing w:val="-1"/>
        </w:rPr>
        <w:t>万元。最近</w:t>
      </w:r>
      <w:r>
        <w:rPr>
          <w:rFonts w:ascii="Times New Roman" w:hAnsi="Times New Roman" w:cs="Times New Roman" w:eastAsia="Times New Roman" w:hint="default"/>
          <w:spacing w:val="-1"/>
        </w:rPr>
        <w:t>3</w:t>
      </w:r>
      <w:r>
        <w:rPr>
          <w:spacing w:val="-1"/>
        </w:rPr>
        <w:t>年，公司软件及技术服务收入年均复合增长</w:t>
      </w:r>
      <w:r>
        <w:rPr>
          <w:rFonts w:ascii="Times New Roman" w:hAnsi="Times New Roman" w:cs="Times New Roman" w:eastAsia="Times New Roman" w:hint="default"/>
          <w:spacing w:val="-1"/>
        </w:rPr>
        <w:t>48.13%</w:t>
      </w:r>
      <w:r>
        <w:rPr>
          <w:spacing w:val="-1"/>
        </w:rPr>
        <w:t>，公司净利润年均复合增长</w:t>
      </w:r>
      <w:r>
        <w:rPr>
          <w:rFonts w:ascii="Times New Roman" w:hAnsi="Times New Roman" w:cs="Times New Roman" w:eastAsia="Times New Roman" w:hint="default"/>
          <w:spacing w:val="-1"/>
        </w:rPr>
        <w:t>22.28%</w:t>
      </w:r>
      <w:r>
        <w:rPr>
          <w:spacing w:val="-1"/>
        </w:rPr>
        <w:t>，已成长为国内领先的医</w:t>
      </w:r>
      <w:r>
        <w:rPr>
          <w:spacing w:val="-56"/>
        </w:rPr>
        <w:t> </w:t>
      </w:r>
      <w:r>
        <w:rPr>
          <w:spacing w:val="-56"/>
        </w:rPr>
      </w:r>
      <w:r>
        <w:rPr>
          <w:spacing w:val="-2"/>
        </w:rPr>
        <w:t>疗软件企业。但与国内其他行业知名软件企业、国际知名医疗软件企业相比，公司的业务规模较小，存在抵御错综复杂市场</w:t>
      </w:r>
      <w:r>
        <w:rPr>
          <w:spacing w:val="-65"/>
        </w:rPr>
        <w:t> </w:t>
      </w:r>
      <w:r>
        <w:rPr>
          <w:spacing w:val="-65"/>
        </w:rPr>
      </w:r>
      <w:r>
        <w:rPr/>
        <w:t>风险能力较小的风险。</w:t>
      </w:r>
    </w:p>
    <w:p>
      <w:pPr>
        <w:pStyle w:val="BodyText"/>
        <w:spacing w:line="316" w:lineRule="auto" w:before="65"/>
        <w:ind w:right="193" w:firstLine="360"/>
        <w:jc w:val="both"/>
      </w:pPr>
      <w:r>
        <w:rPr>
          <w:spacing w:val="-2"/>
        </w:rPr>
        <w:t>应对措施：公司将借助上市带来的资本优势、品牌优势，抓住目前国内医疗信息化快速发展的大好时机，加大研发和市</w:t>
      </w:r>
      <w:r>
        <w:rPr/>
        <w:t> 场营销投入，尽快覆盖全国市场，并在条件成熟的情况下，积极推动行业整合，加快公司发展。</w:t>
      </w:r>
    </w:p>
    <w:p>
      <w:pPr>
        <w:spacing w:line="338" w:lineRule="auto" w:before="60"/>
        <w:ind w:left="512" w:right="94" w:hanging="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、收款及经营业绩的季节性波动风险</w:t>
      </w:r>
      <w:r>
        <w:rPr>
          <w:rFonts w:ascii="宋体" w:hAnsi="宋体" w:cs="宋体" w:eastAsia="宋体" w:hint="default"/>
          <w:b/>
          <w:bCs/>
          <w:w w:val="99"/>
          <w:sz w:val="18"/>
          <w:szCs w:val="18"/>
        </w:rPr>
        <w:t> </w:t>
      </w:r>
      <w:r>
        <w:rPr>
          <w:rFonts w:ascii="宋体" w:hAnsi="宋体" w:cs="宋体" w:eastAsia="宋体" w:hint="default"/>
          <w:sz w:val="18"/>
          <w:szCs w:val="18"/>
        </w:rPr>
        <w:t>由于公司客户以国内的公立医院、卫生管理部门等机构为主，其对信息产品的采购一般遵守较为严格的预算管理制度，</w:t>
      </w:r>
    </w:p>
    <w:p>
      <w:pPr>
        <w:pStyle w:val="BodyText"/>
        <w:spacing w:line="316" w:lineRule="auto" w:before="2"/>
        <w:ind w:right="104"/>
        <w:jc w:val="both"/>
      </w:pPr>
      <w:r>
        <w:rPr>
          <w:spacing w:val="-4"/>
        </w:rPr>
        <w:t>通常在每年上半年制定投资计划，需要通过预算、审批、招标、合同签订等流程，许多项目还需要纳入财政预算、政府采购，</w:t>
      </w:r>
      <w:r>
        <w:rPr>
          <w:spacing w:val="-44"/>
        </w:rPr>
        <w:t> </w:t>
      </w:r>
      <w:r>
        <w:rPr>
          <w:spacing w:val="-44"/>
        </w:rPr>
      </w:r>
      <w:r>
        <w:rPr/>
        <w:t>周期相对较长。公司客户年度资本开支主要集中在下半年尤其是第四季度，对公司的项目验收和付款也集中在下半年。</w:t>
      </w:r>
    </w:p>
    <w:p>
      <w:pPr>
        <w:pStyle w:val="BodyText"/>
        <w:spacing w:line="319" w:lineRule="auto" w:before="59"/>
        <w:ind w:right="171" w:firstLine="360"/>
        <w:jc w:val="right"/>
      </w:pPr>
      <w:r>
        <w:rPr>
          <w:spacing w:val="-2"/>
        </w:rPr>
        <w:t>由于受上述因素的影响，导致公司营业收入、净利润、经营性现金流量呈不均衡的季节性分布：最近三年，公司上半年</w:t>
      </w:r>
      <w:r>
        <w:rPr/>
        <w:t> </w:t>
      </w:r>
      <w:r>
        <w:rPr>
          <w:spacing w:val="-2"/>
        </w:rPr>
        <w:t>收款一般只占全年的</w:t>
      </w:r>
      <w:r>
        <w:rPr>
          <w:rFonts w:ascii="Times New Roman" w:hAnsi="Times New Roman" w:cs="Times New Roman" w:eastAsia="Times New Roman" w:hint="default"/>
          <w:spacing w:val="-2"/>
        </w:rPr>
        <w:t>20-30%</w:t>
      </w:r>
      <w:r>
        <w:rPr>
          <w:spacing w:val="-2"/>
        </w:rPr>
        <w:t>，而第四季度能达到全年的</w:t>
      </w:r>
      <w:r>
        <w:rPr>
          <w:rFonts w:ascii="Times New Roman" w:hAnsi="Times New Roman" w:cs="Times New Roman" w:eastAsia="Times New Roman" w:hint="default"/>
          <w:spacing w:val="-2"/>
        </w:rPr>
        <w:t>50%</w:t>
      </w:r>
      <w:r>
        <w:rPr>
          <w:spacing w:val="-2"/>
        </w:rPr>
        <w:t>以上；公司的收入和利润存在一定的季节性，软件及技术服务收</w:t>
      </w:r>
      <w:r>
        <w:rPr/>
        <w:t> </w:t>
      </w:r>
      <w:r>
        <w:rPr>
          <w:spacing w:val="-1"/>
        </w:rPr>
        <w:t>入、净利润在上、下半年分别占比平均约为</w:t>
      </w:r>
      <w:r>
        <w:rPr>
          <w:rFonts w:ascii="Times New Roman" w:hAnsi="Times New Roman" w:cs="Times New Roman" w:eastAsia="Times New Roman" w:hint="default"/>
          <w:spacing w:val="-1"/>
        </w:rPr>
        <w:t>40%</w:t>
      </w:r>
      <w:r>
        <w:rPr>
          <w:spacing w:val="-1"/>
        </w:rPr>
        <w:t>、</w:t>
      </w:r>
      <w:r>
        <w:rPr>
          <w:rFonts w:ascii="Times New Roman" w:hAnsi="Times New Roman" w:cs="Times New Roman" w:eastAsia="Times New Roman" w:hint="default"/>
          <w:spacing w:val="-1"/>
        </w:rPr>
        <w:t>60%</w:t>
      </w:r>
      <w:r>
        <w:rPr>
          <w:spacing w:val="-1"/>
        </w:rPr>
        <w:t>。投资者不宜以公司季度或者半年度业绩作为投资判断的主要依据。</w:t>
      </w:r>
      <w:r>
        <w:rPr>
          <w:spacing w:val="-48"/>
        </w:rPr>
        <w:t> </w:t>
      </w:r>
      <w:r>
        <w:rPr>
          <w:spacing w:val="-48"/>
        </w:rPr>
      </w:r>
      <w:r>
        <w:rPr>
          <w:spacing w:val="-2"/>
        </w:rPr>
        <w:t>应对措施：公司将加大市场工作力度，及时了解、掌握和引导客户的投资计划，在不违反相关规定的前提下尽早介入项</w:t>
      </w:r>
    </w:p>
    <w:p>
      <w:pPr>
        <w:pStyle w:val="BodyText"/>
        <w:spacing w:line="316" w:lineRule="auto" w:before="17"/>
        <w:ind w:right="104"/>
        <w:jc w:val="both"/>
      </w:pPr>
      <w:r>
        <w:rPr>
          <w:spacing w:val="-4"/>
        </w:rPr>
        <w:t>目前期规划工作，同时合理调配人力资源，使得项目实施尽量能够均衡开展，减少因自身因素造成的项目实施时间集中问题；</w:t>
      </w:r>
      <w:r>
        <w:rPr>
          <w:spacing w:val="-44"/>
        </w:rPr>
        <w:t> </w:t>
      </w:r>
      <w:r>
        <w:rPr>
          <w:spacing w:val="-44"/>
        </w:rPr>
      </w:r>
      <w:r>
        <w:rPr/>
        <w:t>同时，加大收款考核力度，与客户保持及时有效沟通，减少因人为因素造成的收款时间集中问题。</w:t>
      </w:r>
    </w:p>
    <w:p>
      <w:pPr>
        <w:spacing w:after="0" w:line="316"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590" w:right="3627"/>
        <w:jc w:val="center"/>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2"/>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84"/>
        <w:jc w:val="left"/>
        <w:rPr>
          <w:b w:val="0"/>
          <w:bCs w:val="0"/>
        </w:rPr>
      </w:pPr>
      <w:r>
        <w:rPr/>
        <w:t>一、管理层讨</w:t>
      </w:r>
      <w:bookmarkStart w:name="一、管理层讨论与分析" w:id="16"/>
      <w:bookmarkEnd w:id="16"/>
      <w:r>
        <w:rPr/>
        <w:t>论</w:t>
      </w:r>
      <w:r>
        <w:rPr/>
        <w:t>与分析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4" w:firstLine="419"/>
        <w:jc w:val="left"/>
      </w:pPr>
      <w:r>
        <w:rPr>
          <w:rFonts w:ascii="Times New Roman" w:hAnsi="Times New Roman" w:cs="Times New Roman" w:eastAsia="Times New Roman" w:hint="default"/>
        </w:rPr>
        <w:t>2012</w:t>
      </w:r>
      <w:r>
        <w:rPr/>
        <w:t>年是公司上市后第一个完整的会计年度，公司按照既定的发展战略，着力巩固和提高公司在行业内的领先优势， </w:t>
      </w:r>
      <w:r>
        <w:rPr>
          <w:spacing w:val="-2"/>
        </w:rPr>
        <w:t>立足于主营业务，坚持</w:t>
      </w:r>
      <w:r>
        <w:rPr>
          <w:rFonts w:ascii="Times New Roman" w:hAnsi="Times New Roman" w:cs="Times New Roman" w:eastAsia="Times New Roman" w:hint="default"/>
          <w:spacing w:val="-2"/>
        </w:rPr>
        <w:t>“</w:t>
      </w:r>
      <w:r>
        <w:rPr>
          <w:spacing w:val="-2"/>
        </w:rPr>
        <w:t>以人为中心</w:t>
      </w:r>
      <w:r>
        <w:rPr>
          <w:rFonts w:ascii="Times New Roman" w:hAnsi="Times New Roman" w:cs="Times New Roman" w:eastAsia="Times New Roman" w:hint="default"/>
          <w:spacing w:val="-2"/>
        </w:rPr>
        <w:t>”</w:t>
      </w:r>
      <w:r>
        <w:rPr>
          <w:spacing w:val="-2"/>
        </w:rPr>
        <w:t>的全新人性化医疗管理理念，开拓创新，继续推进公司的各项工作。</w:t>
      </w:r>
      <w:r>
        <w:rPr>
          <w:rFonts w:ascii="Times New Roman" w:hAnsi="Times New Roman" w:cs="Times New Roman" w:eastAsia="Times New Roman" w:hint="default"/>
          <w:spacing w:val="-2"/>
        </w:rPr>
        <w:t>2012</w:t>
      </w:r>
      <w:r>
        <w:rPr>
          <w:spacing w:val="-2"/>
        </w:rPr>
        <w:t>年度公司各项</w:t>
      </w:r>
      <w:r>
        <w:rPr>
          <w:spacing w:val="-43"/>
        </w:rPr>
        <w:t> </w:t>
      </w:r>
      <w:r>
        <w:rPr>
          <w:spacing w:val="-43"/>
        </w:rPr>
      </w:r>
      <w:r>
        <w:rPr/>
        <w:t>经营指标继续保持稳定增长，实现营业收入</w:t>
      </w:r>
      <w:r>
        <w:rPr>
          <w:rFonts w:ascii="Times New Roman" w:hAnsi="Times New Roman" w:cs="Times New Roman" w:eastAsia="Times New Roman" w:hint="default"/>
        </w:rPr>
        <w:t>26,577.12</w:t>
      </w:r>
      <w:r>
        <w:rPr/>
        <w:t>万元，同比增长</w:t>
      </w:r>
      <w:r>
        <w:rPr>
          <w:rFonts w:ascii="Times New Roman" w:hAnsi="Times New Roman" w:cs="Times New Roman" w:eastAsia="Times New Roman" w:hint="default"/>
        </w:rPr>
        <w:t>56.41%</w:t>
      </w:r>
      <w:r>
        <w:rPr/>
        <w:t>；营业利润</w:t>
      </w:r>
      <w:r>
        <w:rPr>
          <w:rFonts w:ascii="Times New Roman" w:hAnsi="Times New Roman" w:cs="Times New Roman" w:eastAsia="Times New Roman" w:hint="default"/>
        </w:rPr>
        <w:t>3,599.83</w:t>
      </w:r>
      <w:r>
        <w:rPr/>
        <w:t>万元，同比增长</w:t>
      </w:r>
      <w:r>
        <w:rPr>
          <w:rFonts w:ascii="Times New Roman" w:hAnsi="Times New Roman" w:cs="Times New Roman" w:eastAsia="Times New Roman" w:hint="default"/>
        </w:rPr>
        <w:t>7.80%</w:t>
      </w:r>
      <w:r>
        <w:rPr/>
        <w:t>；利 润总额</w:t>
      </w:r>
      <w:r>
        <w:rPr>
          <w:rFonts w:ascii="Times New Roman" w:hAnsi="Times New Roman" w:cs="Times New Roman" w:eastAsia="Times New Roman" w:hint="default"/>
        </w:rPr>
        <w:t>5,774.38</w:t>
      </w:r>
      <w:r>
        <w:rPr/>
        <w:t>万元，同比增长</w:t>
      </w:r>
      <w:r>
        <w:rPr>
          <w:rFonts w:ascii="Times New Roman" w:hAnsi="Times New Roman" w:cs="Times New Roman" w:eastAsia="Times New Roman" w:hint="default"/>
        </w:rPr>
        <w:t>17.73%</w:t>
      </w:r>
      <w:r>
        <w:rPr/>
        <w:t>；归属于上市公司股东净利润</w:t>
      </w:r>
      <w:r>
        <w:rPr>
          <w:rFonts w:ascii="Times New Roman" w:hAnsi="Times New Roman" w:cs="Times New Roman" w:eastAsia="Times New Roman" w:hint="default"/>
        </w:rPr>
        <w:t>5,284.99</w:t>
      </w:r>
      <w:r>
        <w:rPr/>
        <w:t>万元，同比增长</w:t>
      </w:r>
      <w:r>
        <w:rPr>
          <w:rFonts w:ascii="Times New Roman" w:hAnsi="Times New Roman" w:cs="Times New Roman" w:eastAsia="Times New Roman" w:hint="default"/>
        </w:rPr>
        <w:t>19.32%</w:t>
      </w:r>
      <w:r>
        <w:rPr/>
        <w:t>。</w:t>
      </w:r>
    </w:p>
    <w:p>
      <w:pPr>
        <w:pStyle w:val="BodyText"/>
        <w:spacing w:line="314" w:lineRule="auto" w:before="13"/>
        <w:ind w:right="190" w:firstLine="419"/>
        <w:jc w:val="both"/>
      </w:pPr>
      <w:r>
        <w:rPr>
          <w:rFonts w:ascii="Times New Roman" w:hAnsi="Times New Roman" w:cs="Times New Roman" w:eastAsia="Times New Roman" w:hint="default"/>
        </w:rPr>
        <w:t>2012</w:t>
      </w:r>
      <w:r>
        <w:rPr/>
        <w:t>年，公司积极开展市场推广活动，采用召开区域用户交流会等形式，不断加强新产品的推广力度，如高端电子病 </w:t>
      </w:r>
      <w:r>
        <w:rPr>
          <w:spacing w:val="-2"/>
        </w:rPr>
        <w:t>历系统、医院信息集成平台、移动医疗系列产品等，为业务开拓提供了有力支撑。为进一步扩大公司上海地区以外的市场份</w:t>
      </w:r>
      <w:r>
        <w:rPr>
          <w:spacing w:val="-64"/>
        </w:rPr>
        <w:t> </w:t>
      </w:r>
      <w:r>
        <w:rPr>
          <w:spacing w:val="-64"/>
        </w:rPr>
      </w:r>
      <w:r>
        <w:rPr>
          <w:spacing w:val="-2"/>
        </w:rPr>
        <w:t>额，提升公司整体发展潜力和盈利能力，增强公司的核心竞争力，目前公司已在北京、广东、湖南、安徽、上海、湖北等多</w:t>
      </w:r>
      <w:r>
        <w:rPr>
          <w:spacing w:val="-65"/>
        </w:rPr>
        <w:t> </w:t>
      </w:r>
      <w:r>
        <w:rPr>
          <w:spacing w:val="-65"/>
        </w:rPr>
      </w:r>
      <w:r>
        <w:rPr>
          <w:spacing w:val="-2"/>
        </w:rPr>
        <w:t>个地区设立了区域营销服务中心，实现销售实施服务本地化，降低开拓当地及周边市场的成本，提升公司在当地市场的知名</w:t>
      </w:r>
      <w:r>
        <w:rPr>
          <w:spacing w:val="-63"/>
        </w:rPr>
        <w:t> </w:t>
      </w:r>
      <w:r>
        <w:rPr>
          <w:spacing w:val="-63"/>
        </w:rPr>
      </w:r>
      <w:r>
        <w:rPr/>
        <w:t>度和影响力，从而提高产品的竞争力和公司整体效益。</w:t>
      </w:r>
    </w:p>
    <w:p>
      <w:pPr>
        <w:pStyle w:val="BodyText"/>
        <w:spacing w:line="309" w:lineRule="auto" w:before="20"/>
        <w:ind w:right="94" w:firstLine="420"/>
        <w:jc w:val="left"/>
      </w:pPr>
      <w:r>
        <w:rPr>
          <w:rFonts w:ascii="Times New Roman" w:hAnsi="Times New Roman" w:cs="Times New Roman" w:eastAsia="Times New Roman" w:hint="default"/>
        </w:rPr>
        <w:t>2012</w:t>
      </w:r>
      <w:r>
        <w:rPr/>
        <w:t>年公司客户遍布全国</w:t>
      </w:r>
      <w:r>
        <w:rPr>
          <w:rFonts w:ascii="Times New Roman" w:hAnsi="Times New Roman" w:cs="Times New Roman" w:eastAsia="Times New Roman" w:hint="default"/>
        </w:rPr>
        <w:t>29</w:t>
      </w:r>
      <w:r>
        <w:rPr/>
        <w:t>个省市自治区，全国化市场布局进一步显现。公司客户中三级甲等医院客户达到</w:t>
      </w:r>
      <w:r>
        <w:rPr>
          <w:rFonts w:ascii="Times New Roman" w:hAnsi="Times New Roman" w:cs="Times New Roman" w:eastAsia="Times New Roman" w:hint="default"/>
        </w:rPr>
        <w:t>87</w:t>
      </w:r>
      <w:r>
        <w:rPr/>
        <w:t>家，比 </w:t>
      </w:r>
      <w:r>
        <w:rPr>
          <w:spacing w:val="-2"/>
        </w:rPr>
        <w:t>上年增加了</w:t>
      </w:r>
      <w:r>
        <w:rPr>
          <w:rFonts w:ascii="Times New Roman" w:hAnsi="Times New Roman" w:cs="Times New Roman" w:eastAsia="Times New Roman" w:hint="default"/>
          <w:spacing w:val="-2"/>
        </w:rPr>
        <w:t>5</w:t>
      </w:r>
      <w:r>
        <w:rPr>
          <w:spacing w:val="-2"/>
        </w:rPr>
        <w:t>家。</w:t>
      </w:r>
      <w:r>
        <w:rPr>
          <w:rFonts w:ascii="Times New Roman" w:hAnsi="Times New Roman" w:cs="Times New Roman" w:eastAsia="Times New Roman" w:hint="default"/>
          <w:spacing w:val="-2"/>
        </w:rPr>
        <w:t>2012</w:t>
      </w:r>
      <w:r>
        <w:rPr>
          <w:spacing w:val="-2"/>
        </w:rPr>
        <w:t>年，公司新签订多个金额</w:t>
      </w:r>
      <w:r>
        <w:rPr>
          <w:rFonts w:ascii="Times New Roman" w:hAnsi="Times New Roman" w:cs="Times New Roman" w:eastAsia="Times New Roman" w:hint="default"/>
          <w:spacing w:val="-2"/>
        </w:rPr>
        <w:t>100</w:t>
      </w:r>
      <w:r>
        <w:rPr>
          <w:spacing w:val="-2"/>
        </w:rPr>
        <w:t>万元以上医疗卫生信息化项目合同，客户包括上海市金山区卫生局、上海</w:t>
      </w:r>
      <w:r>
        <w:rPr>
          <w:spacing w:val="-59"/>
        </w:rPr>
        <w:t> </w:t>
      </w:r>
      <w:r>
        <w:rPr>
          <w:spacing w:val="-59"/>
        </w:rPr>
      </w:r>
      <w:r>
        <w:rPr>
          <w:spacing w:val="-4"/>
        </w:rPr>
        <w:t>交通大学附属第六人民医院、陕西省镇安县卫生局、内蒙古自治区医院、广州市卫生局、合肥市卫生局、呼伦贝尔市卫生局、</w:t>
      </w:r>
      <w:r>
        <w:rPr>
          <w:spacing w:val="-43"/>
        </w:rPr>
        <w:t> </w:t>
      </w:r>
      <w:r>
        <w:rPr>
          <w:spacing w:val="-43"/>
        </w:rPr>
      </w:r>
      <w:r>
        <w:rPr>
          <w:spacing w:val="-2"/>
        </w:rPr>
        <w:t>上海市奉贤区中心医院、上海市普陀区卫生局、常州市第一人民医院、上海市宝山区卫生局、金坛市卫生局、上海市嘉定区</w:t>
      </w:r>
      <w:r>
        <w:rPr>
          <w:spacing w:val="-67"/>
        </w:rPr>
        <w:t> </w:t>
      </w:r>
      <w:r>
        <w:rPr>
          <w:spacing w:val="-67"/>
        </w:rPr>
      </w:r>
      <w:r>
        <w:rPr/>
        <w:t>卫生局、临汾市卫生局、湖南省卫生厅等，该类合同总金额约</w:t>
      </w:r>
      <w:r>
        <w:rPr>
          <w:rFonts w:ascii="Times New Roman" w:hAnsi="Times New Roman" w:cs="Times New Roman" w:eastAsia="Times New Roman" w:hint="default"/>
        </w:rPr>
        <w:t>20,945.25</w:t>
      </w:r>
      <w:r>
        <w:rPr/>
        <w:t>万元，同比增长</w:t>
      </w:r>
      <w:r>
        <w:rPr>
          <w:rFonts w:ascii="Times New Roman" w:hAnsi="Times New Roman" w:cs="Times New Roman" w:eastAsia="Times New Roman" w:hint="default"/>
        </w:rPr>
        <w:t>89.09%</w:t>
      </w:r>
      <w:r>
        <w:rPr/>
        <w:t>。</w:t>
      </w:r>
    </w:p>
    <w:p>
      <w:pPr>
        <w:pStyle w:val="BodyText"/>
        <w:spacing w:line="300" w:lineRule="auto" w:before="5"/>
        <w:ind w:right="231" w:firstLine="419"/>
        <w:jc w:val="both"/>
      </w:pPr>
      <w:r>
        <w:rPr>
          <w:rFonts w:ascii="Times New Roman" w:hAnsi="Times New Roman" w:cs="Times New Roman" w:eastAsia="Times New Roman" w:hint="default"/>
        </w:rPr>
        <w:t>2012</w:t>
      </w:r>
      <w:r>
        <w:rPr/>
        <w:t>年，公司继续加大研发投入，积极引进部分高端技术人才对新技术、新产品持续研究，且不断收集和分析客户的 新需求，推动技术和产品不断升级。研发人员从上年末的</w:t>
      </w:r>
      <w:r>
        <w:rPr>
          <w:rFonts w:ascii="Times New Roman" w:hAnsi="Times New Roman" w:cs="Times New Roman" w:eastAsia="Times New Roman" w:hint="default"/>
        </w:rPr>
        <w:t>140</w:t>
      </w:r>
      <w:r>
        <w:rPr/>
        <w:t>人增加为报告期末的</w:t>
      </w:r>
      <w:r>
        <w:rPr>
          <w:rFonts w:ascii="Times New Roman" w:hAnsi="Times New Roman" w:cs="Times New Roman" w:eastAsia="Times New Roman" w:hint="default"/>
        </w:rPr>
        <w:t>195</w:t>
      </w:r>
      <w:r>
        <w:rPr/>
        <w:t>人，增长</w:t>
      </w:r>
      <w:r>
        <w:rPr>
          <w:rFonts w:ascii="Times New Roman" w:hAnsi="Times New Roman" w:cs="Times New Roman" w:eastAsia="Times New Roman" w:hint="default"/>
        </w:rPr>
        <w:t>38.40%</w:t>
      </w:r>
      <w:r>
        <w:rPr/>
        <w:t>；研发费用同比增长 </w:t>
      </w:r>
      <w:r>
        <w:rPr>
          <w:rFonts w:ascii="Times New Roman" w:hAnsi="Times New Roman" w:cs="Times New Roman" w:eastAsia="Times New Roman" w:hint="default"/>
        </w:rPr>
        <w:t>42.64%</w:t>
      </w:r>
      <w:r>
        <w:rPr/>
        <w:t>；新增软件著作权证书</w:t>
      </w:r>
      <w:r>
        <w:rPr>
          <w:rFonts w:ascii="Times New Roman" w:hAnsi="Times New Roman" w:cs="Times New Roman" w:eastAsia="Times New Roman" w:hint="default"/>
        </w:rPr>
        <w:t>12</w:t>
      </w:r>
      <w:r>
        <w:rPr/>
        <w:t>项，软件产品登记证书</w:t>
      </w:r>
      <w:r>
        <w:rPr>
          <w:rFonts w:ascii="Times New Roman" w:hAnsi="Times New Roman" w:cs="Times New Roman" w:eastAsia="Times New Roman" w:hint="default"/>
        </w:rPr>
        <w:t>31</w:t>
      </w:r>
      <w:r>
        <w:rPr/>
        <w:t>项。</w:t>
      </w:r>
    </w:p>
    <w:p>
      <w:pPr>
        <w:pStyle w:val="BodyText"/>
        <w:spacing w:line="312" w:lineRule="auto" w:before="13"/>
        <w:ind w:right="191" w:firstLine="419"/>
        <w:jc w:val="both"/>
      </w:pPr>
      <w:r>
        <w:rPr>
          <w:rFonts w:ascii="Times New Roman" w:hAnsi="Times New Roman" w:cs="Times New Roman" w:eastAsia="Times New Roman" w:hint="default"/>
          <w:spacing w:val="-2"/>
        </w:rPr>
        <w:t>2012</w:t>
      </w:r>
      <w:r>
        <w:rPr>
          <w:spacing w:val="-2"/>
        </w:rPr>
        <w:t>年，公司继续推进募投项目建设，截至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日累计使用募集资金</w:t>
      </w:r>
      <w:r>
        <w:rPr>
          <w:rFonts w:ascii="Times New Roman" w:hAnsi="Times New Roman" w:cs="Times New Roman" w:eastAsia="Times New Roman" w:hint="default"/>
          <w:spacing w:val="-2"/>
        </w:rPr>
        <w:t>9,232.04</w:t>
      </w:r>
      <w:r>
        <w:rPr>
          <w:spacing w:val="-2"/>
        </w:rPr>
        <w:t>万元，总体投资进度</w:t>
      </w:r>
      <w:r>
        <w:rPr>
          <w:rFonts w:ascii="Times New Roman" w:hAnsi="Times New Roman" w:cs="Times New Roman" w:eastAsia="Times New Roman" w:hint="default"/>
          <w:spacing w:val="-2"/>
        </w:rPr>
        <w:t>62.00%</w:t>
      </w:r>
      <w:r>
        <w:rPr>
          <w:spacing w:val="-2"/>
        </w:rPr>
        <w:t>。因</w:t>
      </w:r>
      <w:r>
        <w:rPr>
          <w:spacing w:val="-17"/>
        </w:rPr>
        <w:t> </w:t>
      </w:r>
      <w:r>
        <w:rPr/>
        <w:t>公司募集资金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月刚到位，募投项目按照轻重缓急次序投资，加之综合考虑</w:t>
      </w:r>
      <w:r>
        <w:rPr>
          <w:rFonts w:ascii="Times New Roman" w:hAnsi="Times New Roman" w:cs="Times New Roman" w:eastAsia="Times New Roman" w:hint="default"/>
        </w:rPr>
        <w:t>2012</w:t>
      </w:r>
      <w:r>
        <w:rPr/>
        <w:t>年宏观经济和公司实际经营情况，公 </w:t>
      </w:r>
      <w:r>
        <w:rPr>
          <w:spacing w:val="-2"/>
        </w:rPr>
        <w:t>司在募投项目的建设实施过程中，本着对投资者负责的态度，基于审慎原则推进项目的建设实施，导致四个募投项目的投资</w:t>
      </w:r>
      <w:r>
        <w:rPr>
          <w:spacing w:val="-63"/>
        </w:rPr>
        <w:t> </w:t>
      </w:r>
      <w:r>
        <w:rPr>
          <w:spacing w:val="-63"/>
        </w:rPr>
      </w:r>
      <w:r>
        <w:rPr>
          <w:spacing w:val="-2"/>
        </w:rPr>
        <w:t>进度不完全一致。其中营销服务体系建设项目的投资进度基本按原计划进行，医院信息管理系统技术改造项目、医技信息管</w:t>
      </w:r>
      <w:r>
        <w:rPr>
          <w:spacing w:val="-63"/>
        </w:rPr>
        <w:t> </w:t>
      </w:r>
      <w:r>
        <w:rPr>
          <w:spacing w:val="-63"/>
        </w:rPr>
      </w:r>
      <w:r>
        <w:rPr>
          <w:spacing w:val="-2"/>
        </w:rPr>
        <w:t>理系统技术改造项目和公共卫生信息系统技术改造项目的投资进度未能达到原计划进度。未完全按计划投资的主要原因是随</w:t>
      </w:r>
      <w:r>
        <w:rPr>
          <w:spacing w:val="-64"/>
        </w:rPr>
        <w:t> </w:t>
      </w:r>
      <w:r>
        <w:rPr>
          <w:spacing w:val="-64"/>
        </w:rPr>
      </w:r>
      <w:r>
        <w:rPr>
          <w:spacing w:val="-2"/>
        </w:rPr>
        <w:t>着中国医疗卫生信息化建设的不断深入发展，公司三大系列软件系统之间的协同效应越来越紧密，三个项目的基础设施和软</w:t>
      </w:r>
      <w:r>
        <w:rPr>
          <w:spacing w:val="-64"/>
        </w:rPr>
        <w:t> </w:t>
      </w:r>
      <w:r>
        <w:rPr>
          <w:spacing w:val="-64"/>
        </w:rPr>
      </w:r>
      <w:r>
        <w:rPr>
          <w:spacing w:val="-2"/>
        </w:rPr>
        <w:t>硬件仿真环境建设需要统筹安排实施，导致投入进度晚于计划进度。此外三个项目的研究开发及试点项目实施投入虽都已基</w:t>
      </w:r>
      <w:r>
        <w:rPr>
          <w:spacing w:val="-64"/>
        </w:rPr>
        <w:t> </w:t>
      </w:r>
      <w:r>
        <w:rPr>
          <w:spacing w:val="-64"/>
        </w:rPr>
      </w:r>
      <w:r>
        <w:rPr/>
        <w:t>本完成，但项目实施尚未全面铺开，导致流动资金投入进度晚于计划进度。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日公司第二届董事会第十次会议和 </w:t>
      </w:r>
      <w:r>
        <w:rPr>
          <w:spacing w:val="-2"/>
        </w:rPr>
        <w:t>第二届监事会第十一次会议分别审议通过《关于调整募集资金投资项目实施进度的议案》，独立董事和保荐机构招商证券发</w:t>
      </w:r>
      <w:r>
        <w:rPr>
          <w:spacing w:val="-63"/>
        </w:rPr>
        <w:t> </w:t>
      </w:r>
      <w:r>
        <w:rPr>
          <w:spacing w:val="-63"/>
        </w:rPr>
      </w:r>
      <w:r>
        <w:rPr>
          <w:spacing w:val="-2"/>
        </w:rPr>
        <w:t>表同意意见。募投项目的建设内容、投资总额和实施主体不变，不存在改变或变相改变募集资金投向和其他损害股东利益的</w:t>
      </w:r>
      <w:r>
        <w:rPr>
          <w:spacing w:val="-63"/>
        </w:rPr>
        <w:t> </w:t>
      </w:r>
      <w:r>
        <w:rPr>
          <w:spacing w:val="-63"/>
        </w:rPr>
      </w:r>
      <w:r>
        <w:rPr/>
        <w:t>情形。</w:t>
      </w:r>
    </w:p>
    <w:p>
      <w:pPr>
        <w:pStyle w:val="BodyText"/>
        <w:spacing w:line="302" w:lineRule="auto" w:before="22"/>
        <w:ind w:right="190" w:firstLine="419"/>
        <w:jc w:val="both"/>
      </w:pPr>
      <w:r>
        <w:rPr>
          <w:rFonts w:ascii="Times New Roman" w:hAnsi="Times New Roman" w:cs="Times New Roman" w:eastAsia="Times New Roman" w:hint="default"/>
          <w:spacing w:val="-3"/>
        </w:rPr>
        <w:t>2012</w:t>
      </w:r>
      <w:r>
        <w:rPr>
          <w:spacing w:val="-3"/>
        </w:rPr>
        <w:t>年，为进一步完善公司法人治理结构，促进公司建立健全激励约束机制，实现公司和股东价值最大化，公司于</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日分别召开第一届董事会第二十一次会议和第一届监事会第十一次会议，审议通过了《上海金仕达卫宁软件股份有 </w:t>
      </w:r>
      <w:r>
        <w:rPr>
          <w:spacing w:val="-1"/>
        </w:rPr>
        <w:t>限公司股票期权激励计划</w:t>
      </w:r>
      <w:r>
        <w:rPr>
          <w:rFonts w:ascii="Times New Roman" w:hAnsi="Times New Roman" w:cs="Times New Roman" w:eastAsia="Times New Roman" w:hint="default"/>
          <w:spacing w:val="-1"/>
        </w:rPr>
        <w:t>(</w:t>
      </w:r>
      <w:r>
        <w:rPr>
          <w:spacing w:val="-1"/>
        </w:rPr>
        <w:t>草案</w:t>
      </w:r>
      <w:r>
        <w:rPr>
          <w:rFonts w:ascii="Times New Roman" w:hAnsi="Times New Roman" w:cs="Times New Roman" w:eastAsia="Times New Roman" w:hint="default"/>
          <w:spacing w:val="-1"/>
        </w:rPr>
        <w:t>)</w:t>
      </w:r>
      <w:r>
        <w:rPr>
          <w:spacing w:val="-1"/>
        </w:rPr>
        <w:t>及其摘要的议案》。其后，根据中国证监会的反馈意见，公司对《上海金仕达卫宁软件股份</w:t>
      </w:r>
      <w:r>
        <w:rPr>
          <w:spacing w:val="-58"/>
        </w:rPr>
        <w:t> </w:t>
      </w:r>
      <w:r>
        <w:rPr>
          <w:spacing w:val="-58"/>
        </w:rPr>
      </w:r>
      <w:r>
        <w:rPr/>
        <w:t>有限公司股票期权激励计划（草案）》进行了修订，并于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日召开第二届董事会第四次会议和第二届监事会第四 次会议，审议通过了《上海金仕达卫宁软件股份有限公司股票期权激励计划（草案修订稿）》（以下简称</w:t>
      </w:r>
      <w:r>
        <w:rPr>
          <w:rFonts w:ascii="Times New Roman" w:hAnsi="Times New Roman" w:cs="Times New Roman" w:eastAsia="Times New Roman" w:hint="default"/>
        </w:rPr>
        <w:t>“</w:t>
      </w:r>
      <w:r>
        <w:rPr/>
        <w:t>激励计划</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 </w:t>
      </w:r>
      <w:r>
        <w:rPr>
          <w:spacing w:val="-2"/>
        </w:rPr>
        <w:t>激励计划</w:t>
      </w:r>
      <w:r>
        <w:rPr>
          <w:rFonts w:ascii="Times New Roman" w:hAnsi="Times New Roman" w:cs="Times New Roman" w:eastAsia="Times New Roman" w:hint="default"/>
          <w:spacing w:val="-2"/>
        </w:rPr>
        <w:t>”</w:t>
      </w:r>
      <w:r>
        <w:rPr>
          <w:spacing w:val="-2"/>
        </w:rPr>
        <w:t>）及其摘要。激励计划经中国证监会备案无异议后，公司于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日，以现场投票、网络投票以及独立董事</w:t>
      </w:r>
      <w:r>
        <w:rPr>
          <w:spacing w:val="-52"/>
        </w:rPr>
        <w:t> </w:t>
      </w:r>
      <w:r>
        <w:rPr>
          <w:spacing w:val="-52"/>
        </w:rPr>
      </w:r>
      <w:r>
        <w:rPr>
          <w:spacing w:val="-2"/>
        </w:rPr>
        <w:t>征集投票相结合的方式召开了</w:t>
      </w:r>
      <w:r>
        <w:rPr>
          <w:rFonts w:ascii="Times New Roman" w:hAnsi="Times New Roman" w:cs="Times New Roman" w:eastAsia="Times New Roman" w:hint="default"/>
          <w:spacing w:val="-2"/>
        </w:rPr>
        <w:t>2012</w:t>
      </w:r>
      <w:r>
        <w:rPr>
          <w:spacing w:val="-2"/>
        </w:rPr>
        <w:t>年第二次临时股东大会，会议以特别决议审议通过了《上海金仕达卫宁软件股份有限公司</w:t>
      </w:r>
      <w:r>
        <w:rPr>
          <w:spacing w:val="-62"/>
        </w:rPr>
        <w:t> </w:t>
      </w:r>
      <w:r>
        <w:rPr>
          <w:spacing w:val="-62"/>
        </w:rPr>
      </w:r>
      <w:r>
        <w:rPr/>
        <w:t>股票期权激励计划（草案修订稿）及其摘要的议案》等。之后，公司于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日分别召开第二届董事会第七次会议和 </w:t>
      </w:r>
      <w:r>
        <w:rPr>
          <w:spacing w:val="-2"/>
        </w:rPr>
        <w:t>第二届监事会第七次会议，审议通过了《关于调整股票期权激励计划股票期权数量和行权价格的议案》、《关于公司股票期</w:t>
      </w:r>
      <w:r>
        <w:rPr>
          <w:spacing w:val="-65"/>
        </w:rPr>
        <w:t> </w:t>
      </w:r>
      <w:r>
        <w:rPr>
          <w:spacing w:val="-65"/>
        </w:rPr>
      </w:r>
      <w:r>
        <w:rPr>
          <w:spacing w:val="-1"/>
        </w:rPr>
        <w:t>权激励计划授予相关事项的议案》，鉴于公司实施了每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1.00</w:t>
      </w:r>
      <w:r>
        <w:rPr>
          <w:spacing w:val="-1"/>
        </w:rPr>
        <w:t>元（含税）的分红派息方案和每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w:t>
      </w:r>
    </w:p>
    <w:p>
      <w:pPr>
        <w:spacing w:after="0" w:line="302"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4" w:lineRule="auto" w:before="44"/>
        <w:ind w:right="193"/>
        <w:jc w:val="both"/>
      </w:pPr>
      <w:bookmarkStart w:name="（2）成本" w:id="17"/>
      <w:bookmarkEnd w:id="17"/>
      <w:r>
        <w:rPr/>
      </w:r>
      <w:r>
        <w:rPr/>
        <w:t>的资本公积转增股本方案；首次股票期权授予前，原激励对象黄继、汪国亮、施樱花、李桃、王虎共</w:t>
      </w:r>
      <w:r>
        <w:rPr>
          <w:rFonts w:ascii="Times New Roman" w:hAnsi="Times New Roman" w:cs="Times New Roman" w:eastAsia="Times New Roman" w:hint="default"/>
        </w:rPr>
        <w:t>5</w:t>
      </w:r>
      <w:r>
        <w:rPr/>
        <w:t>人因个人原因离职， </w:t>
      </w:r>
      <w:r>
        <w:rPr>
          <w:spacing w:val="-2"/>
        </w:rPr>
        <w:t>不再满足成为股权激励对象的条件，股票期权数量和行权价格按激励计划规定应作相应调整；经上述调整后，首次授予股票</w:t>
      </w:r>
      <w:r>
        <w:rPr>
          <w:spacing w:val="-66"/>
        </w:rPr>
        <w:t> </w:t>
      </w:r>
      <w:r>
        <w:rPr>
          <w:spacing w:val="-66"/>
        </w:rPr>
      </w:r>
      <w:r>
        <w:rPr/>
        <w:t>期权数量由</w:t>
      </w:r>
      <w:r>
        <w:rPr>
          <w:rFonts w:ascii="Times New Roman" w:hAnsi="Times New Roman" w:cs="Times New Roman" w:eastAsia="Times New Roman" w:hint="default"/>
        </w:rPr>
        <w:t>225</w:t>
      </w:r>
      <w:r>
        <w:rPr/>
        <w:t>万份调整至</w:t>
      </w:r>
      <w:r>
        <w:rPr>
          <w:rFonts w:ascii="Times New Roman" w:hAnsi="Times New Roman" w:cs="Times New Roman" w:eastAsia="Times New Roman" w:hint="default"/>
        </w:rPr>
        <w:t>441.6</w:t>
      </w:r>
      <w:r>
        <w:rPr/>
        <w:t>万份；预留部分股票期权由</w:t>
      </w:r>
      <w:r>
        <w:rPr>
          <w:rFonts w:ascii="Times New Roman" w:hAnsi="Times New Roman" w:cs="Times New Roman" w:eastAsia="Times New Roman" w:hint="default"/>
        </w:rPr>
        <w:t>25</w:t>
      </w:r>
      <w:r>
        <w:rPr/>
        <w:t>万份调整至</w:t>
      </w:r>
      <w:r>
        <w:rPr>
          <w:rFonts w:ascii="Times New Roman" w:hAnsi="Times New Roman" w:cs="Times New Roman" w:eastAsia="Times New Roman" w:hint="default"/>
        </w:rPr>
        <w:t>50</w:t>
      </w:r>
      <w:r>
        <w:rPr/>
        <w:t>万份，行权价格由</w:t>
      </w:r>
      <w:r>
        <w:rPr>
          <w:rFonts w:ascii="Times New Roman" w:hAnsi="Times New Roman" w:cs="Times New Roman" w:eastAsia="Times New Roman" w:hint="default"/>
        </w:rPr>
        <w:t>37.80</w:t>
      </w:r>
      <w:r>
        <w:rPr/>
        <w:t>元调整为</w:t>
      </w:r>
      <w:r>
        <w:rPr>
          <w:rFonts w:ascii="Times New Roman" w:hAnsi="Times New Roman" w:cs="Times New Roman" w:eastAsia="Times New Roman" w:hint="default"/>
        </w:rPr>
        <w:t>18.85</w:t>
      </w:r>
      <w:r>
        <w:rPr/>
        <w:t>元，激励 对象由</w:t>
      </w:r>
      <w:r>
        <w:rPr>
          <w:rFonts w:ascii="Times New Roman" w:hAnsi="Times New Roman" w:cs="Times New Roman" w:eastAsia="Times New Roman" w:hint="default"/>
        </w:rPr>
        <w:t>173</w:t>
      </w:r>
      <w:r>
        <w:rPr/>
        <w:t>人调整为</w:t>
      </w:r>
      <w:r>
        <w:rPr>
          <w:rFonts w:ascii="Times New Roman" w:hAnsi="Times New Roman" w:cs="Times New Roman" w:eastAsia="Times New Roman" w:hint="default"/>
        </w:rPr>
        <w:t>168</w:t>
      </w:r>
      <w:r>
        <w:rPr/>
        <w:t>人。会议同时确定了本次激励计划的股权期权授予日为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日。经中国证券登记结算有限责 任公司深圳分公司审核确认，公司已完成激励计划所涉首次授予</w:t>
      </w:r>
      <w:r>
        <w:rPr>
          <w:rFonts w:ascii="Times New Roman" w:hAnsi="Times New Roman" w:cs="Times New Roman" w:eastAsia="Times New Roman" w:hint="default"/>
        </w:rPr>
        <w:t>441.6</w:t>
      </w:r>
      <w:r>
        <w:rPr/>
        <w:t>万份期权的登记工作，期权简称：卫宁</w:t>
      </w:r>
      <w:r>
        <w:rPr>
          <w:rFonts w:ascii="Times New Roman" w:hAnsi="Times New Roman" w:cs="Times New Roman" w:eastAsia="Times New Roman" w:hint="default"/>
        </w:rPr>
        <w:t>JLC1</w:t>
      </w:r>
      <w:r>
        <w:rPr/>
        <w:t>，期权代 码：</w:t>
      </w:r>
      <w:r>
        <w:rPr>
          <w:rFonts w:ascii="Times New Roman" w:hAnsi="Times New Roman" w:cs="Times New Roman" w:eastAsia="Times New Roman" w:hint="default"/>
        </w:rPr>
        <w:t>036051</w:t>
      </w:r>
      <w:r>
        <w:rPr/>
        <w:t>。</w:t>
      </w:r>
    </w:p>
    <w:p>
      <w:pPr>
        <w:pStyle w:val="BodyText"/>
        <w:spacing w:line="307" w:lineRule="auto" w:before="9"/>
        <w:ind w:right="190" w:firstLine="419"/>
        <w:jc w:val="both"/>
      </w:pPr>
      <w:r>
        <w:rPr>
          <w:rFonts w:ascii="Times New Roman" w:hAnsi="Times New Roman" w:cs="Times New Roman" w:eastAsia="Times New Roman" w:hint="default"/>
        </w:rPr>
        <w:t>2012</w:t>
      </w:r>
      <w:r>
        <w:rPr/>
        <w:t>年，为打造市场、研发、技术支持、管理支撑的资源共享平台，以期进一步提升业务协同效应，同时根据公司的 </w:t>
      </w:r>
      <w:r>
        <w:rPr>
          <w:spacing w:val="-2"/>
        </w:rPr>
        <w:t>整体发展战略，对子公司的业务做了适当调整和重新布局，解散并注销全资子公司上海金仕达卫宁信息技术有限公司（目前</w:t>
      </w:r>
      <w:r>
        <w:rPr>
          <w:spacing w:val="-63"/>
        </w:rPr>
        <w:t> </w:t>
      </w:r>
      <w:r>
        <w:rPr>
          <w:spacing w:val="-63"/>
        </w:rPr>
      </w:r>
      <w:r>
        <w:rPr/>
        <w:t>正在注销流程中），相关业务及人员整合到母公司，新成立控股子公司上海金仕达卫宁软件科技有限公司（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月完成 注册）、全资子公司西安金仕达卫宁软件有限公司（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月完成注册）。</w:t>
      </w:r>
    </w:p>
    <w:p>
      <w:pPr>
        <w:spacing w:line="240" w:lineRule="auto" w:before="13"/>
        <w:rPr>
          <w:rFonts w:ascii="宋体" w:hAnsi="宋体" w:cs="宋体" w:eastAsia="宋体" w:hint="default"/>
          <w:sz w:val="19"/>
          <w:szCs w:val="19"/>
        </w:rPr>
      </w:pPr>
    </w:p>
    <w:p>
      <w:pPr>
        <w:pStyle w:val="Heading2"/>
        <w:spacing w:line="240" w:lineRule="auto" w:before="0"/>
        <w:ind w:right="0"/>
        <w:jc w:val="both"/>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说明</w:t>
      </w:r>
    </w:p>
    <w:p>
      <w:pPr>
        <w:pStyle w:val="BodyText"/>
        <w:spacing w:line="360" w:lineRule="auto" w:before="115"/>
        <w:ind w:right="1426" w:firstLine="288"/>
        <w:jc w:val="left"/>
      </w:pPr>
      <w:bookmarkStart w:name="二、报告期内主要经营情况" w:id="18"/>
      <w:bookmarkEnd w:id="18"/>
      <w:r>
        <w:rPr/>
      </w:r>
      <w:bookmarkStart w:name="1、主营业务分析" w:id="19"/>
      <w:bookmarkEnd w:id="19"/>
      <w:r>
        <w:rPr/>
      </w:r>
      <w:bookmarkStart w:name="（1）收入" w:id="20"/>
      <w:bookmarkEnd w:id="20"/>
      <w:r>
        <w:rPr/>
      </w:r>
      <w:r>
        <w:rPr/>
        <w:t>公司主要从事医疗软件研究开发、销售与技术服务业务，并为医疗卫生行业信息化提供整体解决方案。 公司实物销售收入是否大于劳务收入</w:t>
      </w:r>
    </w:p>
    <w:p>
      <w:pPr>
        <w:pStyle w:val="BodyText"/>
        <w:spacing w:line="357" w:lineRule="auto" w:before="27"/>
        <w:ind w:right="7834" w:hanging="1"/>
        <w:jc w:val="left"/>
      </w:pPr>
      <w:r>
        <w:rPr/>
        <w:t>□ 是 √</w:t>
      </w:r>
      <w:r>
        <w:rPr>
          <w:spacing w:val="3"/>
        </w:rPr>
        <w:t> </w:t>
      </w:r>
      <w:r>
        <w:rPr/>
        <w:t>否</w:t>
      </w:r>
      <w:r>
        <w:rPr/>
        <w:t> 公司重大的在手订单情况</w:t>
      </w:r>
    </w:p>
    <w:p>
      <w:pPr>
        <w:pStyle w:val="BodyText"/>
        <w:spacing w:line="360" w:lineRule="auto" w:before="29"/>
        <w:ind w:left="153" w:right="8193" w:hanging="1"/>
        <w:jc w:val="left"/>
      </w:pPr>
      <w:r>
        <w:rPr/>
        <w:t>□ 适用 √</w:t>
      </w:r>
      <w:r>
        <w:rPr>
          <w:spacing w:val="3"/>
        </w:rPr>
        <w:t> </w:t>
      </w:r>
      <w:r>
        <w:rPr/>
        <w:t>不适用</w:t>
      </w:r>
      <w:r>
        <w:rPr/>
        <w:t> 数量分散的订单情况</w:t>
      </w:r>
    </w:p>
    <w:p>
      <w:pPr>
        <w:pStyle w:val="BodyText"/>
        <w:spacing w:line="240" w:lineRule="auto" w:before="25"/>
        <w:ind w:left="153" w:right="0"/>
        <w:jc w:val="both"/>
      </w:pPr>
      <w:r>
        <w:rPr/>
        <w:t>√ 适用 □</w:t>
      </w:r>
      <w:r>
        <w:rPr>
          <w:spacing w:val="3"/>
        </w:rPr>
        <w:t> </w:t>
      </w:r>
      <w:r>
        <w:rPr/>
        <w:t>不适用</w:t>
      </w:r>
    </w:p>
    <w:p>
      <w:pPr>
        <w:pStyle w:val="BodyText"/>
        <w:spacing w:line="319" w:lineRule="auto" w:before="117"/>
        <w:ind w:left="153" w:right="93" w:firstLine="360"/>
        <w:jc w:val="left"/>
      </w:pPr>
      <w:r>
        <w:rPr>
          <w:rFonts w:ascii="Times New Roman" w:hAnsi="Times New Roman" w:cs="Times New Roman" w:eastAsia="Times New Roman" w:hint="default"/>
        </w:rPr>
        <w:t>2012</w:t>
      </w:r>
      <w:r>
        <w:rPr/>
        <w:t>年，公司新签订多个金额</w:t>
      </w:r>
      <w:r>
        <w:rPr>
          <w:rFonts w:ascii="Times New Roman" w:hAnsi="Times New Roman" w:cs="Times New Roman" w:eastAsia="Times New Roman" w:hint="default"/>
        </w:rPr>
        <w:t>100</w:t>
      </w:r>
      <w:r>
        <w:rPr/>
        <w:t>万元以上医疗卫生信息化项目合同，客户包括上海市金山区卫生局、上海交通大学附 </w:t>
      </w:r>
      <w:r>
        <w:rPr>
          <w:spacing w:val="-2"/>
        </w:rPr>
        <w:t>属第六人民医院、陕西省镇安县卫生局、内蒙古自治区医院、广州市卫生局、合肥市卫生局、呼伦贝尔市卫生局、上海市奉</w:t>
      </w:r>
      <w:r>
        <w:rPr>
          <w:spacing w:val="-68"/>
        </w:rPr>
        <w:t> </w:t>
      </w:r>
      <w:r>
        <w:rPr>
          <w:spacing w:val="-68"/>
        </w:rPr>
      </w:r>
      <w:r>
        <w:rPr/>
        <w:t>贤区中心医院、上海市普陀区卫生局、常州市第一人民医院、上海市宝山区卫生局、金坛市卫生局、上海市嘉定区卫生局、 临汾市卫生局、湖南省卫生厅等，该类合同总金额约</w:t>
      </w:r>
      <w:r>
        <w:rPr>
          <w:rFonts w:ascii="Times New Roman" w:hAnsi="Times New Roman" w:cs="Times New Roman" w:eastAsia="Times New Roman" w:hint="default"/>
        </w:rPr>
        <w:t>20,945.25</w:t>
      </w:r>
      <w:r>
        <w:rPr/>
        <w:t>万元，同比增长</w:t>
      </w:r>
      <w:r>
        <w:rPr>
          <w:rFonts w:ascii="Times New Roman" w:hAnsi="Times New Roman" w:cs="Times New Roman" w:eastAsia="Times New Roman" w:hint="default"/>
        </w:rPr>
        <w:t>89.09%</w:t>
      </w:r>
      <w:r>
        <w:rPr/>
        <w:t>。 公司报告期内产品或服务发生重大变化或调整有关情况</w:t>
      </w:r>
    </w:p>
    <w:p>
      <w:pPr>
        <w:pStyle w:val="BodyText"/>
        <w:spacing w:line="240" w:lineRule="auto" w:before="55"/>
        <w:ind w:left="153"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42,879,289.29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24,584,918.82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54,413,563.45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35,450,753.32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23,530,470.90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7,854,574.69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7.91%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120,823,323.64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67,890,246.83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034"/>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53"/>
        <w:jc w:val="right"/>
      </w:pPr>
      <w:bookmarkStart w:name="（3）费用" w:id="21"/>
      <w:bookmarkEnd w:id="21"/>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8"/>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89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8"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60,264,758.83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32,449,057.06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85.72%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业务增长带来人工成本、差旅费等增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加及募投资金对营销服务体系建设 项目投入</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48"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48,564,064.79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33,096,757.79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业务增长及研发投入增加</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-8,618,086.10</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-3,913,067.85</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募集资金存款利息增加</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5,270,658.34</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4,756,248.50</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034"/>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line="427" w:lineRule="auto" w:before="0"/>
        <w:ind w:left="512" w:right="3034" w:hanging="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）研发支出相关的会计处理</w:t>
      </w:r>
      <w:r>
        <w:rPr>
          <w:rFonts w:ascii="宋体" w:hAnsi="宋体" w:cs="宋体" w:eastAsia="宋体" w:hint="default"/>
          <w:b/>
          <w:bCs/>
          <w:w w:val="99"/>
          <w:sz w:val="18"/>
          <w:szCs w:val="18"/>
        </w:rPr>
        <w:t> </w:t>
      </w:r>
      <w:bookmarkStart w:name="（4）研发投入" w:id="22"/>
      <w:bookmarkEnd w:id="22"/>
      <w:r>
        <w:rPr>
          <w:rFonts w:ascii="宋体" w:hAnsi="宋体" w:cs="宋体" w:eastAsia="宋体" w:hint="default"/>
          <w:b/>
          <w:bCs/>
          <w:w w:val="99"/>
          <w:sz w:val="18"/>
          <w:szCs w:val="18"/>
        </w:rPr>
      </w:r>
      <w:r>
        <w:rPr>
          <w:rFonts w:ascii="宋体" w:hAnsi="宋体" w:cs="宋体" w:eastAsia="宋体" w:hint="default"/>
          <w:sz w:val="18"/>
          <w:szCs w:val="18"/>
        </w:rPr>
        <w:t>报告期内，公司未区分研究支出与开发支出，研究开发支出全部予以当期费用化。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）研发团队的变化情况</w:t>
      </w:r>
      <w:r>
        <w:rPr>
          <w:rFonts w:ascii="宋体" w:hAnsi="宋体" w:cs="宋体" w:eastAsia="宋体" w:hint="default"/>
          <w:sz w:val="18"/>
          <w:szCs w:val="18"/>
        </w:rPr>
      </w:r>
    </w:p>
    <w:p>
      <w:pPr>
        <w:pStyle w:val="BodyText"/>
        <w:spacing w:line="300" w:lineRule="auto" w:before="27"/>
        <w:ind w:left="153" w:right="154" w:firstLine="359"/>
        <w:jc w:val="left"/>
      </w:pPr>
      <w:r>
        <w:rPr>
          <w:spacing w:val="-2"/>
        </w:rPr>
        <w:t>报告期末，公司研究开发人员由</w:t>
      </w:r>
      <w:r>
        <w:rPr>
          <w:rFonts w:ascii="Times New Roman" w:hAnsi="Times New Roman" w:cs="Times New Roman" w:eastAsia="Times New Roman" w:hint="default"/>
          <w:spacing w:val="-2"/>
        </w:rPr>
        <w:t>2011</w:t>
      </w:r>
      <w:r>
        <w:rPr>
          <w:spacing w:val="-2"/>
        </w:rPr>
        <w:t>年末的</w:t>
      </w:r>
      <w:r>
        <w:rPr>
          <w:rFonts w:ascii="Times New Roman" w:hAnsi="Times New Roman" w:cs="Times New Roman" w:eastAsia="Times New Roman" w:hint="default"/>
          <w:spacing w:val="-2"/>
        </w:rPr>
        <w:t>140</w:t>
      </w:r>
      <w:r>
        <w:rPr>
          <w:spacing w:val="-2"/>
        </w:rPr>
        <w:t>人增长为</w:t>
      </w:r>
      <w:r>
        <w:rPr>
          <w:rFonts w:ascii="Times New Roman" w:hAnsi="Times New Roman" w:cs="Times New Roman" w:eastAsia="Times New Roman" w:hint="default"/>
          <w:spacing w:val="-2"/>
        </w:rPr>
        <w:t>195</w:t>
      </w:r>
      <w:r>
        <w:rPr>
          <w:spacing w:val="-2"/>
        </w:rPr>
        <w:t>人，项目实施和二次开发人员由</w:t>
      </w:r>
      <w:r>
        <w:rPr>
          <w:rFonts w:ascii="Times New Roman" w:hAnsi="Times New Roman" w:cs="Times New Roman" w:eastAsia="Times New Roman" w:hint="default"/>
          <w:spacing w:val="-2"/>
        </w:rPr>
        <w:t>2011</w:t>
      </w:r>
      <w:r>
        <w:rPr>
          <w:spacing w:val="-2"/>
        </w:rPr>
        <w:t>年末的</w:t>
      </w:r>
      <w:r>
        <w:rPr>
          <w:rFonts w:ascii="Times New Roman" w:hAnsi="Times New Roman" w:cs="Times New Roman" w:eastAsia="Times New Roman" w:hint="default"/>
          <w:spacing w:val="-2"/>
        </w:rPr>
        <w:t>284</w:t>
      </w:r>
      <w:r>
        <w:rPr>
          <w:spacing w:val="-2"/>
        </w:rPr>
        <w:t>人增长为</w:t>
      </w:r>
      <w:r>
        <w:rPr>
          <w:rFonts w:ascii="Times New Roman" w:hAnsi="Times New Roman" w:cs="Times New Roman" w:eastAsia="Times New Roman" w:hint="default"/>
          <w:spacing w:val="-2"/>
        </w:rPr>
        <w:t>349 </w:t>
      </w:r>
      <w:r>
        <w:rPr/>
        <w:t>人，使得公司的新产品研究开发能力和项目产品二次开发能力得到进一步增强。</w:t>
      </w:r>
    </w:p>
    <w:p>
      <w:pPr>
        <w:spacing w:line="432" w:lineRule="exact" w:before="16"/>
        <w:ind w:left="512" w:right="15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）正在从事的研发项目情况</w:t>
      </w:r>
      <w:r>
        <w:rPr>
          <w:rFonts w:ascii="宋体" w:hAnsi="宋体" w:cs="宋体" w:eastAsia="宋体" w:hint="default"/>
          <w:b/>
          <w:bCs/>
          <w:w w:val="99"/>
          <w:sz w:val="18"/>
          <w:szCs w:val="18"/>
        </w:rPr>
        <w:t> </w:t>
      </w:r>
      <w:r>
        <w:rPr>
          <w:rFonts w:ascii="宋体" w:hAnsi="宋体" w:cs="宋体" w:eastAsia="宋体" w:hint="default"/>
          <w:sz w:val="18"/>
          <w:szCs w:val="18"/>
        </w:rPr>
        <w:t>公司不断加大研发投入，努力提高、完善现有产品的各项技术、功能，同时针对市场需求，不断推出新的技术和产品，</w:t>
      </w:r>
    </w:p>
    <w:p>
      <w:pPr>
        <w:pStyle w:val="BodyText"/>
        <w:spacing w:line="439" w:lineRule="auto" w:before="15"/>
        <w:ind w:left="512" w:right="6814" w:hanging="360"/>
        <w:jc w:val="left"/>
      </w:pPr>
      <w:r>
        <w:rPr/>
        <w:t>以保持市场的领先优势。 报告期内公司正在研发的项目有：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44"/>
        <w:ind w:left="0" w:right="109"/>
        <w:jc w:val="right"/>
      </w:pPr>
      <w:r>
        <w:rPr/>
        <w:pict>
          <v:shape style="position:absolute;margin-left:56.16pt;margin-top:-117.248276pt;width:487.45pt;height:216.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2"/>
                    <w:gridCol w:w="946"/>
                    <w:gridCol w:w="2105"/>
                    <w:gridCol w:w="6067"/>
                  </w:tblGrid>
                  <w:tr>
                    <w:trPr>
                      <w:trHeight w:val="350" w:hRule="exact"/>
                    </w:trPr>
                    <w:tc>
                      <w:tcPr>
                        <w:tcW w:w="602" w:type="dxa"/>
                        <w:tcBorders>
                          <w:top w:val="single" w:sz="8" w:space="0" w:color="000000"/>
                          <w:left w:val="single" w:sz="8" w:space="0" w:color="000000"/>
                          <w:bottom w:val="single" w:sz="8" w:space="0" w:color="000000"/>
                          <w:right w:val="single" w:sz="8" w:space="0" w:color="000000"/>
                        </w:tcBorders>
                        <w:shd w:val="clear" w:color="auto" w:fill="E1E1E1"/>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46" w:type="dxa"/>
                        <w:tcBorders>
                          <w:top w:val="single" w:sz="8" w:space="0" w:color="000000"/>
                          <w:left w:val="single" w:sz="8" w:space="0" w:color="000000"/>
                          <w:bottom w:val="single" w:sz="8" w:space="0" w:color="000000"/>
                          <w:right w:val="single" w:sz="8" w:space="0" w:color="000000"/>
                        </w:tcBorders>
                        <w:shd w:val="clear" w:color="auto" w:fill="E1E1E1"/>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所属产品</w:t>
                        </w:r>
                      </w:p>
                    </w:tc>
                    <w:tc>
                      <w:tcPr>
                        <w:tcW w:w="2105" w:type="dxa"/>
                        <w:tcBorders>
                          <w:top w:val="single" w:sz="8" w:space="0" w:color="000000"/>
                          <w:left w:val="single" w:sz="8" w:space="0" w:color="000000"/>
                          <w:bottom w:val="single" w:sz="8" w:space="0" w:color="000000"/>
                          <w:right w:val="single" w:sz="8" w:space="0" w:color="000000"/>
                        </w:tcBorders>
                        <w:shd w:val="clear" w:color="auto" w:fill="E1E1E1"/>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拟达到的目标</w:t>
                        </w:r>
                      </w:p>
                    </w:tc>
                    <w:tc>
                      <w:tcPr>
                        <w:tcW w:w="6067" w:type="dxa"/>
                        <w:tcBorders>
                          <w:top w:val="single" w:sz="8" w:space="0" w:color="000000"/>
                          <w:left w:val="single" w:sz="8" w:space="0" w:color="000000"/>
                          <w:bottom w:val="single" w:sz="8" w:space="0" w:color="000000"/>
                          <w:right w:val="single" w:sz="8" w:space="0" w:color="000000"/>
                        </w:tcBorders>
                        <w:shd w:val="clear" w:color="auto" w:fill="E1E1E1"/>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目前所处阶段</w:t>
                        </w:r>
                      </w:p>
                    </w:tc>
                  </w:tr>
                  <w:tr>
                    <w:trPr>
                      <w:trHeight w:val="1570"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PACS</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2" w:right="-13"/>
                          <w:jc w:val="left"/>
                          <w:rPr>
                            <w:rFonts w:ascii="宋体" w:hAnsi="宋体" w:cs="宋体" w:eastAsia="宋体" w:hint="default"/>
                            <w:sz w:val="18"/>
                            <w:szCs w:val="18"/>
                          </w:rPr>
                        </w:pPr>
                        <w:r>
                          <w:rPr>
                            <w:rFonts w:ascii="宋体" w:hAnsi="宋体" w:cs="宋体" w:eastAsia="宋体" w:hint="default"/>
                            <w:spacing w:val="7"/>
                            <w:sz w:val="18"/>
                            <w:szCs w:val="18"/>
                          </w:rPr>
                          <w:t>医技信息系 </w:t>
                        </w:r>
                        <w:r>
                          <w:rPr>
                            <w:rFonts w:ascii="宋体" w:hAnsi="宋体" w:cs="宋体" w:eastAsia="宋体" w:hint="default"/>
                            <w:sz w:val="18"/>
                            <w:szCs w:val="18"/>
                          </w:rPr>
                          <w:t>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2" w:right="0"/>
                          <w:jc w:val="both"/>
                          <w:rPr>
                            <w:rFonts w:ascii="宋体" w:hAnsi="宋体" w:cs="宋体" w:eastAsia="宋体" w:hint="default"/>
                            <w:sz w:val="18"/>
                            <w:szCs w:val="18"/>
                          </w:rPr>
                        </w:pPr>
                        <w:r>
                          <w:rPr>
                            <w:rFonts w:ascii="宋体" w:hAnsi="宋体" w:cs="宋体" w:eastAsia="宋体" w:hint="default"/>
                            <w:spacing w:val="-7"/>
                            <w:sz w:val="18"/>
                            <w:szCs w:val="18"/>
                          </w:rPr>
                          <w:t>进一步完善三维重建、远程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会诊、远程协作功能和区域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影像功能</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40"/>
                          <w:ind w:left="-1" w:right="-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完成</w:t>
                        </w:r>
                        <w:r>
                          <w:rPr>
                            <w:rFonts w:ascii="Times New Roman" w:hAnsi="Times New Roman" w:cs="Times New Roman" w:eastAsia="Times New Roman" w:hint="default"/>
                            <w:spacing w:val="-2"/>
                            <w:sz w:val="18"/>
                            <w:szCs w:val="18"/>
                          </w:rPr>
                          <w:t>MPR</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MIP</w:t>
                        </w:r>
                        <w:r>
                          <w:rPr>
                            <w:rFonts w:ascii="宋体" w:hAnsi="宋体" w:cs="宋体" w:eastAsia="宋体" w:hint="default"/>
                            <w:spacing w:val="-2"/>
                            <w:sz w:val="18"/>
                            <w:szCs w:val="18"/>
                          </w:rPr>
                          <w:t>功能、三维影像重建；影像远程会诊功能，实现远程协同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阅片，为远程会诊提供影像同步处理、同步显示等功能；</w:t>
                        </w:r>
                      </w:p>
                      <w:p>
                        <w:pPr>
                          <w:pStyle w:val="TableParagraph"/>
                          <w:spacing w:line="300" w:lineRule="auto" w:before="151"/>
                          <w:ind w:left="-1" w:right="-5"/>
                          <w:jc w:val="left"/>
                          <w:rPr>
                            <w:rFonts w:ascii="宋体" w:hAnsi="宋体" w:cs="宋体" w:eastAsia="宋体" w:hint="default"/>
                            <w:sz w:val="18"/>
                            <w:szCs w:val="18"/>
                          </w:rPr>
                        </w:pPr>
                        <w:r>
                          <w:rPr>
                            <w:rFonts w:ascii="宋体" w:hAnsi="宋体" w:cs="宋体" w:eastAsia="宋体" w:hint="default"/>
                            <w:sz w:val="18"/>
                            <w:szCs w:val="18"/>
                          </w:rPr>
                          <w:t>目前正在研发：改进三维重建的二维三维同步、曲面</w:t>
                        </w:r>
                        <w:r>
                          <w:rPr>
                            <w:rFonts w:ascii="Times New Roman" w:hAnsi="Times New Roman" w:cs="Times New Roman" w:eastAsia="Times New Roman" w:hint="default"/>
                            <w:sz w:val="18"/>
                            <w:szCs w:val="18"/>
                          </w:rPr>
                          <w:t>CPR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宋体" w:hAnsi="宋体" w:cs="宋体" w:eastAsia="宋体" w:hint="default"/>
                            <w:sz w:val="18"/>
                            <w:szCs w:val="18"/>
                          </w:rPr>
                          <w:t>去骨、心脏功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能包（冠脉提取、血管拉直），以及</w:t>
                        </w:r>
                        <w:r>
                          <w:rPr>
                            <w:rFonts w:ascii="Times New Roman" w:hAnsi="Times New Roman" w:cs="Times New Roman" w:eastAsia="Times New Roman" w:hint="default"/>
                            <w:sz w:val="18"/>
                            <w:szCs w:val="18"/>
                          </w:rPr>
                          <w:t>PACS</w:t>
                        </w:r>
                        <w:r>
                          <w:rPr>
                            <w:rFonts w:ascii="宋体" w:hAnsi="宋体" w:cs="宋体" w:eastAsia="宋体" w:hint="default"/>
                            <w:sz w:val="18"/>
                            <w:szCs w:val="18"/>
                          </w:rPr>
                          <w:t>服务器版本（后台自动计算）</w:t>
                        </w:r>
                      </w:p>
                    </w:tc>
                  </w:tr>
                  <w:tr>
                    <w:trPr>
                      <w:trHeight w:val="1879"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LMIS</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7"/>
                          <w:ind w:left="2" w:right="-13"/>
                          <w:jc w:val="left"/>
                          <w:rPr>
                            <w:rFonts w:ascii="宋体" w:hAnsi="宋体" w:cs="宋体" w:eastAsia="宋体" w:hint="default"/>
                            <w:sz w:val="18"/>
                            <w:szCs w:val="18"/>
                          </w:rPr>
                        </w:pPr>
                        <w:r>
                          <w:rPr>
                            <w:rFonts w:ascii="宋体" w:hAnsi="宋体" w:cs="宋体" w:eastAsia="宋体" w:hint="default"/>
                            <w:spacing w:val="7"/>
                            <w:sz w:val="18"/>
                            <w:szCs w:val="18"/>
                          </w:rPr>
                          <w:t>医技信息系 </w:t>
                        </w:r>
                        <w:r>
                          <w:rPr>
                            <w:rFonts w:ascii="宋体" w:hAnsi="宋体" w:cs="宋体" w:eastAsia="宋体" w:hint="default"/>
                            <w:sz w:val="18"/>
                            <w:szCs w:val="18"/>
                          </w:rPr>
                          <w:t>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7"/>
                          <w:ind w:left="2" w:right="-8"/>
                          <w:jc w:val="both"/>
                          <w:rPr>
                            <w:rFonts w:ascii="宋体" w:hAnsi="宋体" w:cs="宋体" w:eastAsia="宋体" w:hint="default"/>
                            <w:sz w:val="18"/>
                            <w:szCs w:val="18"/>
                          </w:rPr>
                        </w:pPr>
                        <w:r>
                          <w:rPr>
                            <w:rFonts w:ascii="宋体" w:hAnsi="宋体" w:cs="宋体" w:eastAsia="宋体" w:hint="default"/>
                            <w:sz w:val="18"/>
                            <w:szCs w:val="18"/>
                          </w:rPr>
                          <w:t>完善完成区域</w:t>
                        </w:r>
                        <w:r>
                          <w:rPr>
                            <w:rFonts w:ascii="Times New Roman" w:hAnsi="Times New Roman" w:cs="Times New Roman" w:eastAsia="Times New Roman" w:hint="default"/>
                            <w:sz w:val="18"/>
                            <w:szCs w:val="18"/>
                          </w:rPr>
                          <w:t>LIS</w:t>
                        </w:r>
                        <w:r>
                          <w:rPr>
                            <w:rFonts w:ascii="宋体" w:hAnsi="宋体" w:cs="宋体" w:eastAsia="宋体" w:hint="default"/>
                            <w:sz w:val="18"/>
                            <w:szCs w:val="18"/>
                          </w:rPr>
                          <w:t>，实现人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机法能换等全面质控管理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即区域</w:t>
                        </w:r>
                        <w:r>
                          <w:rPr>
                            <w:rFonts w:ascii="Times New Roman" w:hAnsi="Times New Roman" w:cs="Times New Roman" w:eastAsia="Times New Roman" w:hint="default"/>
                            <w:spacing w:val="2"/>
                            <w:sz w:val="18"/>
                            <w:szCs w:val="18"/>
                          </w:rPr>
                          <w:t>LIMS</w:t>
                        </w:r>
                        <w:r>
                          <w:rPr>
                            <w:rFonts w:ascii="宋体" w:hAnsi="宋体" w:cs="宋体" w:eastAsia="宋体" w:hint="default"/>
                            <w:spacing w:val="2"/>
                            <w:sz w:val="18"/>
                            <w:szCs w:val="18"/>
                          </w:rPr>
                          <w:t>系统，为构建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转换医学信息平台，启动生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物样本库研发</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7"/>
                          <w:ind w:left="-1"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年度基于</w:t>
                        </w:r>
                        <w:r>
                          <w:rPr>
                            <w:rFonts w:ascii="Times New Roman" w:hAnsi="Times New Roman" w:cs="Times New Roman" w:eastAsia="Times New Roman" w:hint="default"/>
                            <w:sz w:val="18"/>
                            <w:szCs w:val="18"/>
                          </w:rPr>
                          <w:t>SaaS</w:t>
                        </w:r>
                        <w:r>
                          <w:rPr>
                            <w:rFonts w:ascii="宋体" w:hAnsi="宋体" w:cs="宋体" w:eastAsia="宋体" w:hint="default"/>
                            <w:sz w:val="18"/>
                            <w:szCs w:val="18"/>
                          </w:rPr>
                          <w:t>模式的区域</w:t>
                        </w:r>
                        <w:r>
                          <w:rPr>
                            <w:rFonts w:ascii="Times New Roman" w:hAnsi="Times New Roman" w:cs="Times New Roman" w:eastAsia="Times New Roman" w:hint="default"/>
                            <w:sz w:val="18"/>
                            <w:szCs w:val="18"/>
                          </w:rPr>
                          <w:t>LIS</w:t>
                        </w:r>
                        <w:r>
                          <w:rPr>
                            <w:rFonts w:ascii="宋体" w:hAnsi="宋体" w:cs="宋体" w:eastAsia="宋体" w:hint="default"/>
                            <w:sz w:val="18"/>
                            <w:szCs w:val="18"/>
                          </w:rPr>
                          <w:t>二期开发，内容包括开发室内质控子系统、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常规检验、门诊住院标本采集中的查询统计功能、检验报告查询台子系统等</w:t>
                        </w:r>
                      </w:p>
                      <w:p>
                        <w:pPr>
                          <w:pStyle w:val="TableParagraph"/>
                          <w:spacing w:line="300" w:lineRule="auto" w:before="154"/>
                          <w:ind w:left="-1" w:right="-3"/>
                          <w:jc w:val="both"/>
                          <w:rPr>
                            <w:rFonts w:ascii="宋体" w:hAnsi="宋体" w:cs="宋体" w:eastAsia="宋体" w:hint="default"/>
                            <w:sz w:val="18"/>
                            <w:szCs w:val="18"/>
                          </w:rPr>
                        </w:pPr>
                        <w:r>
                          <w:rPr>
                            <w:rFonts w:ascii="宋体" w:hAnsi="宋体" w:cs="宋体" w:eastAsia="宋体" w:hint="default"/>
                            <w:spacing w:val="-2"/>
                            <w:sz w:val="18"/>
                            <w:szCs w:val="18"/>
                          </w:rPr>
                          <w:t>目前正在研发：区域</w:t>
                        </w:r>
                        <w:r>
                          <w:rPr>
                            <w:rFonts w:ascii="Times New Roman" w:hAnsi="Times New Roman" w:cs="Times New Roman" w:eastAsia="Times New Roman" w:hint="default"/>
                            <w:spacing w:val="-2"/>
                            <w:sz w:val="18"/>
                            <w:szCs w:val="18"/>
                          </w:rPr>
                          <w:t>LIMS</w:t>
                        </w:r>
                        <w:r>
                          <w:rPr>
                            <w:rFonts w:ascii="宋体" w:hAnsi="宋体" w:cs="宋体" w:eastAsia="宋体" w:hint="default"/>
                            <w:spacing w:val="-2"/>
                            <w:sz w:val="18"/>
                            <w:szCs w:val="18"/>
                          </w:rPr>
                          <w:t>系统，在区域</w:t>
                        </w:r>
                        <w:r>
                          <w:rPr>
                            <w:rFonts w:ascii="Times New Roman" w:hAnsi="Times New Roman" w:cs="Times New Roman" w:eastAsia="Times New Roman" w:hint="default"/>
                            <w:spacing w:val="-2"/>
                            <w:sz w:val="18"/>
                            <w:szCs w:val="18"/>
                          </w:rPr>
                          <w:t>LIS</w:t>
                        </w:r>
                        <w:r>
                          <w:rPr>
                            <w:rFonts w:ascii="宋体" w:hAnsi="宋体" w:cs="宋体" w:eastAsia="宋体" w:hint="default"/>
                            <w:spacing w:val="-2"/>
                            <w:sz w:val="18"/>
                            <w:szCs w:val="18"/>
                          </w:rPr>
                          <w:t>的基础上，实现更多的人机法能换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等全面质控管理功能；结合</w:t>
                        </w:r>
                        <w:r>
                          <w:rPr>
                            <w:rFonts w:ascii="Times New Roman" w:hAnsi="Times New Roman" w:cs="Times New Roman" w:eastAsia="Times New Roman" w:hint="default"/>
                            <w:spacing w:val="-3"/>
                            <w:sz w:val="18"/>
                            <w:szCs w:val="18"/>
                          </w:rPr>
                          <w:t>4P</w:t>
                        </w:r>
                        <w:r>
                          <w:rPr>
                            <w:rFonts w:ascii="宋体" w:hAnsi="宋体" w:cs="宋体" w:eastAsia="宋体" w:hint="default"/>
                            <w:spacing w:val="-3"/>
                            <w:sz w:val="18"/>
                            <w:szCs w:val="18"/>
                          </w:rPr>
                          <w:t>医学，研发生物样本库信息平台，为构建转换医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学信息平台打下基础。</w:t>
                        </w:r>
                      </w:p>
                    </w:tc>
                  </w:tr>
                  <w:tr>
                    <w:trPr>
                      <w:trHeight w:val="514"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MIIS</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2" w:right="-13"/>
                          <w:jc w:val="center"/>
                          <w:rPr>
                            <w:rFonts w:ascii="宋体" w:hAnsi="宋体" w:cs="宋体" w:eastAsia="宋体" w:hint="default"/>
                            <w:sz w:val="18"/>
                            <w:szCs w:val="18"/>
                          </w:rPr>
                        </w:pPr>
                        <w:r>
                          <w:rPr>
                            <w:rFonts w:ascii="宋体" w:hAnsi="宋体" w:cs="宋体" w:eastAsia="宋体" w:hint="default"/>
                            <w:spacing w:val="7"/>
                            <w:sz w:val="18"/>
                            <w:szCs w:val="18"/>
                          </w:rPr>
                          <w:t>医技信息系</w:t>
                        </w:r>
                        <w:r>
                          <w:rPr>
                            <w:rFonts w:ascii="宋体" w:hAnsi="宋体" w:cs="宋体" w:eastAsia="宋体" w:hint="default"/>
                            <w:sz w:val="18"/>
                            <w:szCs w:val="18"/>
                          </w:rPr>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2" w:right="-37"/>
                          <w:jc w:val="center"/>
                          <w:rPr>
                            <w:rFonts w:ascii="宋体" w:hAnsi="宋体" w:cs="宋体" w:eastAsia="宋体" w:hint="default"/>
                            <w:sz w:val="18"/>
                            <w:szCs w:val="18"/>
                          </w:rPr>
                        </w:pPr>
                        <w:r>
                          <w:rPr>
                            <w:rFonts w:ascii="宋体" w:hAnsi="宋体" w:cs="宋体" w:eastAsia="宋体" w:hint="default"/>
                            <w:spacing w:val="16"/>
                            <w:sz w:val="18"/>
                            <w:szCs w:val="18"/>
                          </w:rPr>
                          <w:t>完善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MIIS</w:t>
                        </w:r>
                        <w:r>
                          <w:rPr>
                            <w:rFonts w:ascii="Times New Roman" w:hAnsi="Times New Roman" w:cs="Times New Roman" w:eastAsia="Times New Roman" w:hint="default"/>
                            <w:spacing w:val="-13"/>
                            <w:sz w:val="18"/>
                            <w:szCs w:val="18"/>
                          </w:rPr>
                          <w:t> </w:t>
                        </w:r>
                        <w:r>
                          <w:rPr>
                            <w:rFonts w:ascii="宋体" w:hAnsi="宋体" w:cs="宋体" w:eastAsia="宋体" w:hint="default"/>
                            <w:spacing w:val="24"/>
                            <w:sz w:val="18"/>
                            <w:szCs w:val="18"/>
                          </w:rPr>
                          <w:t>报功能，</w:t>
                        </w:r>
                        <w:r>
                          <w:rPr>
                            <w:rFonts w:ascii="宋体" w:hAnsi="宋体" w:cs="宋体" w:eastAsia="宋体" w:hint="default"/>
                            <w:spacing w:val="-58"/>
                            <w:sz w:val="18"/>
                            <w:szCs w:val="18"/>
                          </w:rPr>
                          <w:t> </w:t>
                        </w:r>
                        <w:r>
                          <w:rPr>
                            <w:rFonts w:ascii="宋体" w:hAnsi="宋体" w:cs="宋体" w:eastAsia="宋体" w:hint="default"/>
                            <w:spacing w:val="16"/>
                            <w:sz w:val="18"/>
                            <w:szCs w:val="18"/>
                          </w:rPr>
                          <w:t>实现</w:t>
                        </w:r>
                        <w:r>
                          <w:rPr>
                            <w:rFonts w:ascii="宋体" w:hAnsi="宋体" w:cs="宋体" w:eastAsia="宋体" w:hint="default"/>
                            <w:spacing w:val="-57"/>
                            <w:sz w:val="18"/>
                            <w:szCs w:val="18"/>
                          </w:rPr>
                          <w:t> </w:t>
                        </w:r>
                        <w:r>
                          <w:rPr>
                            <w:rFonts w:ascii="宋体" w:hAnsi="宋体" w:cs="宋体" w:eastAsia="宋体" w:hint="default"/>
                            <w:sz w:val="18"/>
                            <w:szCs w:val="18"/>
                          </w:rPr>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1"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年度完成基于知识库检索、智能诊断提示、所见即所得图文报告混排等核</w:t>
                        </w:r>
                      </w:p>
                    </w:tc>
                  </w:tr>
                </w:tbl>
                <w:p>
                  <w:pPr/>
                </w:p>
              </w:txbxContent>
            </v:textbox>
            <w10:wrap type="none"/>
          </v:shape>
        </w:pict>
      </w:r>
      <w:r>
        <w:rPr/>
        <w:t>。</w:t>
      </w:r>
    </w:p>
    <w:p>
      <w:pPr>
        <w:spacing w:after="0" w:line="240" w:lineRule="auto"/>
        <w:jc w:val="right"/>
        <w:sectPr>
          <w:pgSz w:w="11910" w:h="16840"/>
          <w:pgMar w:header="745" w:footer="982" w:top="1060" w:bottom="1180" w:left="980" w:right="880"/>
        </w:sectPr>
      </w:pPr>
    </w:p>
    <w:p>
      <w:pPr>
        <w:spacing w:line="240" w:lineRule="auto" w:before="0"/>
        <w:rPr>
          <w:rFonts w:ascii="宋体" w:hAnsi="宋体" w:cs="宋体" w:eastAsia="宋体" w:hint="default"/>
          <w:sz w:val="20"/>
          <w:szCs w:val="20"/>
        </w:rPr>
      </w:pPr>
      <w:r>
        <w:rPr/>
        <w:pict>
          <v:shape style="position:absolute;margin-left:56.16pt;margin-top:71.999985pt;width:487.45pt;height:694.6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2"/>
                    <w:gridCol w:w="946"/>
                    <w:gridCol w:w="2105"/>
                    <w:gridCol w:w="6067"/>
                  </w:tblGrid>
                  <w:tr>
                    <w:trPr>
                      <w:trHeight w:val="2695" w:hRule="exact"/>
                    </w:trPr>
                    <w:tc>
                      <w:tcPr>
                        <w:tcW w:w="602" w:type="dxa"/>
                        <w:tcBorders>
                          <w:top w:val="single" w:sz="8" w:space="0" w:color="000000"/>
                          <w:left w:val="single" w:sz="8" w:space="0" w:color="000000"/>
                          <w:bottom w:val="single" w:sz="8" w:space="0" w:color="000000"/>
                          <w:right w:val="single" w:sz="8" w:space="0" w:color="000000"/>
                        </w:tcBorders>
                      </w:tcPr>
                      <w:p>
                        <w:pP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MIIS</w:t>
                        </w:r>
                        <w:r>
                          <w:rPr>
                            <w:rFonts w:ascii="宋体" w:hAnsi="宋体" w:cs="宋体" w:eastAsia="宋体" w:hint="default"/>
                            <w:sz w:val="18"/>
                            <w:szCs w:val="18"/>
                          </w:rPr>
                          <w:t>的院内全流程功能</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20"/>
                          <w:ind w:left="-1" w:right="-1"/>
                          <w:jc w:val="left"/>
                          <w:rPr>
                            <w:rFonts w:ascii="宋体" w:hAnsi="宋体" w:cs="宋体" w:eastAsia="宋体" w:hint="default"/>
                            <w:sz w:val="18"/>
                            <w:szCs w:val="18"/>
                          </w:rPr>
                        </w:pPr>
                        <w:r>
                          <w:rPr>
                            <w:rFonts w:ascii="宋体" w:hAnsi="宋体" w:cs="宋体" w:eastAsia="宋体" w:hint="default"/>
                            <w:spacing w:val="-2"/>
                            <w:sz w:val="18"/>
                            <w:szCs w:val="18"/>
                          </w:rPr>
                          <w:t>心功能的</w:t>
                        </w:r>
                        <w:r>
                          <w:rPr>
                            <w:rFonts w:ascii="Times New Roman" w:hAnsi="Times New Roman" w:cs="Times New Roman" w:eastAsia="Times New Roman" w:hint="default"/>
                            <w:spacing w:val="-2"/>
                            <w:sz w:val="18"/>
                            <w:szCs w:val="18"/>
                          </w:rPr>
                          <w:t>MIIS6.0</w:t>
                        </w:r>
                        <w:r>
                          <w:rPr>
                            <w:rFonts w:ascii="宋体" w:hAnsi="宋体" w:cs="宋体" w:eastAsia="宋体" w:hint="default"/>
                            <w:spacing w:val="-2"/>
                            <w:sz w:val="18"/>
                            <w:szCs w:val="18"/>
                          </w:rPr>
                          <w:t>系统改进和完善、基于</w:t>
                        </w:r>
                        <w:r>
                          <w:rPr>
                            <w:rFonts w:ascii="Times New Roman" w:hAnsi="Times New Roman" w:cs="Times New Roman" w:eastAsia="Times New Roman" w:hint="default"/>
                            <w:spacing w:val="-2"/>
                            <w:sz w:val="18"/>
                            <w:szCs w:val="18"/>
                          </w:rPr>
                          <w:t>SaaS</w:t>
                        </w:r>
                        <w:r>
                          <w:rPr>
                            <w:rFonts w:ascii="宋体" w:hAnsi="宋体" w:cs="宋体" w:eastAsia="宋体" w:hint="default"/>
                            <w:spacing w:val="-2"/>
                            <w:sz w:val="18"/>
                            <w:szCs w:val="18"/>
                          </w:rPr>
                          <w:t>模式的区域</w:t>
                        </w:r>
                        <w:r>
                          <w:rPr>
                            <w:rFonts w:ascii="Times New Roman" w:hAnsi="Times New Roman" w:cs="Times New Roman" w:eastAsia="Times New Roman" w:hint="default"/>
                            <w:spacing w:val="-2"/>
                            <w:sz w:val="18"/>
                            <w:szCs w:val="18"/>
                          </w:rPr>
                          <w:t>RIS</w:t>
                        </w:r>
                        <w:r>
                          <w:rPr>
                            <w:rFonts w:ascii="宋体" w:hAnsi="宋体" w:cs="宋体" w:eastAsia="宋体" w:hint="default"/>
                            <w:spacing w:val="-2"/>
                            <w:sz w:val="18"/>
                            <w:szCs w:val="18"/>
                          </w:rPr>
                          <w:t>一期开发，内容包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括超声、内镜、放射子系统的检查报告功能应用。</w:t>
                        </w:r>
                      </w:p>
                      <w:p>
                        <w:pPr>
                          <w:pStyle w:val="TableParagraph"/>
                          <w:spacing w:line="309" w:lineRule="auto" w:before="155"/>
                          <w:ind w:left="-1" w:right="-3"/>
                          <w:jc w:val="left"/>
                          <w:rPr>
                            <w:rFonts w:ascii="宋体" w:hAnsi="宋体" w:cs="宋体" w:eastAsia="宋体" w:hint="default"/>
                            <w:sz w:val="18"/>
                            <w:szCs w:val="18"/>
                          </w:rPr>
                        </w:pPr>
                        <w:r>
                          <w:rPr>
                            <w:rFonts w:ascii="宋体" w:hAnsi="宋体" w:cs="宋体" w:eastAsia="宋体" w:hint="default"/>
                            <w:spacing w:val="-1"/>
                            <w:sz w:val="18"/>
                            <w:szCs w:val="18"/>
                          </w:rPr>
                          <w:t>目前正在研发：实现</w:t>
                        </w:r>
                        <w:r>
                          <w:rPr>
                            <w:rFonts w:ascii="Times New Roman" w:hAnsi="Times New Roman" w:cs="Times New Roman" w:eastAsia="Times New Roman" w:hint="default"/>
                            <w:spacing w:val="-1"/>
                            <w:sz w:val="18"/>
                            <w:szCs w:val="18"/>
                          </w:rPr>
                          <w:t>OpenOffice</w:t>
                        </w:r>
                        <w:r>
                          <w:rPr>
                            <w:rFonts w:ascii="宋体" w:hAnsi="宋体" w:cs="宋体" w:eastAsia="宋体" w:hint="default"/>
                            <w:spacing w:val="-1"/>
                            <w:sz w:val="18"/>
                            <w:szCs w:val="18"/>
                          </w:rPr>
                          <w:t>免安装；修订记录功能开发；报告格式设计器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开发；报告审核开发；报告内容另存为模板；内嵌图像排版设置；临床调阅报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告；支持词汇输入。重新设计部署模式，实现消息提醒平台功能改进和完善</w:t>
                        </w:r>
                        <w:r>
                          <w:rPr>
                            <w:rFonts w:ascii="宋体" w:hAnsi="宋体" w:cs="宋体" w:eastAsia="宋体" w:hint="default"/>
                            <w:w w:val="99"/>
                            <w:sz w:val="18"/>
                            <w:szCs w:val="18"/>
                          </w:rPr>
                          <w:t> </w:t>
                        </w:r>
                        <w:r>
                          <w:rPr>
                            <w:rFonts w:ascii="宋体" w:hAnsi="宋体" w:cs="宋体" w:eastAsia="宋体" w:hint="default"/>
                            <w:sz w:val="18"/>
                            <w:szCs w:val="18"/>
                          </w:rPr>
                          <w:t>住院抽血部署改进（嵌入</w:t>
                        </w:r>
                        <w:r>
                          <w:rPr>
                            <w:rFonts w:ascii="Times New Roman" w:hAnsi="Times New Roman" w:cs="Times New Roman" w:eastAsia="Times New Roman" w:hint="default"/>
                            <w:sz w:val="18"/>
                            <w:szCs w:val="18"/>
                          </w:rPr>
                          <w:t>HIS</w:t>
                        </w:r>
                        <w:r>
                          <w:rPr>
                            <w:rFonts w:ascii="宋体" w:hAnsi="宋体" w:cs="宋体" w:eastAsia="宋体" w:hint="default"/>
                            <w:sz w:val="18"/>
                            <w:szCs w:val="18"/>
                          </w:rPr>
                          <w:t>），达到部署更方便，实现</w:t>
                        </w:r>
                        <w:r>
                          <w:rPr>
                            <w:rFonts w:ascii="Times New Roman" w:hAnsi="Times New Roman" w:cs="Times New Roman" w:eastAsia="Times New Roman" w:hint="default"/>
                            <w:sz w:val="18"/>
                            <w:szCs w:val="18"/>
                          </w:rPr>
                          <w:t>.Net</w:t>
                        </w:r>
                        <w:r>
                          <w:rPr>
                            <w:rFonts w:ascii="宋体" w:hAnsi="宋体" w:cs="宋体" w:eastAsia="宋体" w:hint="default"/>
                            <w:sz w:val="18"/>
                            <w:szCs w:val="18"/>
                          </w:rPr>
                          <w:t>版的</w:t>
                        </w:r>
                        <w:r>
                          <w:rPr>
                            <w:rFonts w:ascii="Times New Roman" w:hAnsi="Times New Roman" w:cs="Times New Roman" w:eastAsia="Times New Roman" w:hint="default"/>
                            <w:sz w:val="18"/>
                            <w:szCs w:val="18"/>
                          </w:rPr>
                          <w:t>WEB</w:t>
                        </w:r>
                        <w:r>
                          <w:rPr>
                            <w:rFonts w:ascii="宋体" w:hAnsi="宋体" w:cs="宋体" w:eastAsia="宋体" w:hint="default"/>
                            <w:sz w:val="18"/>
                            <w:szCs w:val="18"/>
                          </w:rPr>
                          <w:t>申请单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医生站预约，完成医生站预约，实现血库申请单及全院流程；实现病理申请单</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及全院流程。</w:t>
                        </w:r>
                      </w:p>
                    </w:tc>
                  </w:tr>
                  <w:tr>
                    <w:trPr>
                      <w:trHeight w:val="3130"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2" w:right="-25"/>
                          <w:jc w:val="both"/>
                          <w:rPr>
                            <w:rFonts w:ascii="宋体" w:hAnsi="宋体" w:cs="宋体" w:eastAsia="宋体" w:hint="default"/>
                            <w:sz w:val="18"/>
                            <w:szCs w:val="18"/>
                          </w:rPr>
                        </w:pPr>
                        <w:r>
                          <w:rPr>
                            <w:rFonts w:ascii="宋体" w:hAnsi="宋体" w:cs="宋体" w:eastAsia="宋体" w:hint="default"/>
                            <w:spacing w:val="14"/>
                            <w:sz w:val="18"/>
                            <w:szCs w:val="18"/>
                          </w:rPr>
                          <w:t>医院信</w:t>
                        </w:r>
                        <w:r>
                          <w:rPr>
                            <w:rFonts w:ascii="宋体" w:hAnsi="宋体" w:cs="宋体" w:eastAsia="宋体" w:hint="default"/>
                            <w:spacing w:val="-69"/>
                            <w:sz w:val="18"/>
                            <w:szCs w:val="18"/>
                          </w:rPr>
                          <w:t> </w:t>
                        </w:r>
                        <w:r>
                          <w:rPr>
                            <w:rFonts w:ascii="宋体" w:hAnsi="宋体" w:cs="宋体" w:eastAsia="宋体" w:hint="default"/>
                            <w:spacing w:val="14"/>
                            <w:sz w:val="18"/>
                            <w:szCs w:val="18"/>
                          </w:rPr>
                          <w:t>息管理</w:t>
                        </w:r>
                        <w:r>
                          <w:rPr>
                            <w:rFonts w:ascii="宋体" w:hAnsi="宋体" w:cs="宋体" w:eastAsia="宋体" w:hint="default"/>
                            <w:spacing w:val="-69"/>
                            <w:sz w:val="18"/>
                            <w:szCs w:val="18"/>
                          </w:rPr>
                          <w:t> </w:t>
                        </w:r>
                        <w:r>
                          <w:rPr>
                            <w:rFonts w:ascii="宋体" w:hAnsi="宋体" w:cs="宋体" w:eastAsia="宋体" w:hint="default"/>
                            <w:sz w:val="18"/>
                            <w:szCs w:val="18"/>
                          </w:rPr>
                          <w:t>系统</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2" w:right="-13"/>
                          <w:jc w:val="left"/>
                          <w:rPr>
                            <w:rFonts w:ascii="宋体" w:hAnsi="宋体" w:cs="宋体" w:eastAsia="宋体" w:hint="default"/>
                            <w:sz w:val="18"/>
                            <w:szCs w:val="18"/>
                          </w:rPr>
                        </w:pPr>
                        <w:r>
                          <w:rPr>
                            <w:rFonts w:ascii="宋体" w:hAnsi="宋体" w:cs="宋体" w:eastAsia="宋体" w:hint="default"/>
                            <w:spacing w:val="7"/>
                            <w:sz w:val="18"/>
                            <w:szCs w:val="18"/>
                          </w:rPr>
                          <w:t>医院信息系 </w:t>
                        </w:r>
                        <w:r>
                          <w:rPr>
                            <w:rFonts w:ascii="宋体" w:hAnsi="宋体" w:cs="宋体" w:eastAsia="宋体" w:hint="default"/>
                            <w:sz w:val="18"/>
                            <w:szCs w:val="18"/>
                          </w:rPr>
                          <w:t>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140"/>
                          <w:ind w:left="2" w:right="-3"/>
                          <w:jc w:val="left"/>
                          <w:rPr>
                            <w:rFonts w:ascii="宋体" w:hAnsi="宋体" w:cs="宋体" w:eastAsia="宋体" w:hint="default"/>
                            <w:sz w:val="18"/>
                            <w:szCs w:val="18"/>
                          </w:rPr>
                        </w:pPr>
                        <w:r>
                          <w:rPr>
                            <w:rFonts w:ascii="宋体" w:hAnsi="宋体" w:cs="宋体" w:eastAsia="宋体" w:hint="default"/>
                            <w:sz w:val="18"/>
                            <w:szCs w:val="18"/>
                          </w:rPr>
                          <w:t>进一步在</w:t>
                        </w:r>
                        <w:r>
                          <w:rPr>
                            <w:rFonts w:ascii="Times New Roman" w:hAnsi="Times New Roman" w:cs="Times New Roman" w:eastAsia="Times New Roman" w:hint="default"/>
                            <w:sz w:val="18"/>
                            <w:szCs w:val="18"/>
                          </w:rPr>
                          <w:t>HIS</w:t>
                        </w:r>
                        <w:r>
                          <w:rPr>
                            <w:rFonts w:ascii="宋体" w:hAnsi="宋体" w:cs="宋体" w:eastAsia="宋体" w:hint="default"/>
                            <w:sz w:val="18"/>
                            <w:szCs w:val="18"/>
                          </w:rPr>
                          <w:t>、</w:t>
                        </w:r>
                        <w:r>
                          <w:rPr>
                            <w:rFonts w:ascii="Times New Roman" w:hAnsi="Times New Roman" w:cs="Times New Roman" w:eastAsia="Times New Roman" w:hint="default"/>
                            <w:sz w:val="18"/>
                            <w:szCs w:val="18"/>
                          </w:rPr>
                          <w:t>CIS</w:t>
                        </w:r>
                        <w:r>
                          <w:rPr>
                            <w:rFonts w:ascii="宋体" w:hAnsi="宋体" w:cs="宋体" w:eastAsia="宋体" w:hint="default"/>
                            <w:sz w:val="18"/>
                            <w:szCs w:val="18"/>
                          </w:rPr>
                          <w:t>、</w:t>
                        </w:r>
                        <w:r>
                          <w:rPr>
                            <w:rFonts w:ascii="Times New Roman" w:hAnsi="Times New Roman" w:cs="Times New Roman" w:eastAsia="Times New Roman" w:hint="default"/>
                            <w:sz w:val="18"/>
                            <w:szCs w:val="18"/>
                          </w:rPr>
                          <w:t>HRP</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z w:val="18"/>
                            <w:szCs w:val="18"/>
                          </w:rPr>
                          <w:t>BI</w:t>
                        </w:r>
                        <w:r>
                          <w:rPr>
                            <w:rFonts w:ascii="宋体" w:hAnsi="宋体" w:cs="宋体" w:eastAsia="宋体" w:hint="default"/>
                            <w:sz w:val="18"/>
                            <w:szCs w:val="18"/>
                          </w:rPr>
                          <w:t>、集成平台等</w:t>
                        </w:r>
                        <w:r>
                          <w:rPr>
                            <w:rFonts w:ascii="Times New Roman" w:hAnsi="Times New Roman" w:cs="Times New Roman" w:eastAsia="Times New Roman" w:hint="default"/>
                            <w:sz w:val="18"/>
                            <w:szCs w:val="18"/>
                          </w:rPr>
                          <w:t>5</w:t>
                        </w:r>
                        <w:r>
                          <w:rPr>
                            <w:rFonts w:ascii="宋体" w:hAnsi="宋体" w:cs="宋体" w:eastAsia="宋体" w:hint="default"/>
                            <w:sz w:val="18"/>
                            <w:szCs w:val="18"/>
                          </w:rPr>
                          <w:t>大产品系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w w:val="99"/>
                            <w:sz w:val="18"/>
                            <w:szCs w:val="18"/>
                          </w:rPr>
                          <w:t>进行深入改造研发，打造智</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慧医疗信息平台</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40"/>
                          <w:ind w:left="-1" w:right="-3"/>
                          <w:jc w:val="left"/>
                          <w:rPr>
                            <w:rFonts w:ascii="宋体" w:hAnsi="宋体" w:cs="宋体" w:eastAsia="宋体" w:hint="default"/>
                            <w:sz w:val="18"/>
                            <w:szCs w:val="18"/>
                          </w:rPr>
                        </w:pPr>
                        <w:r>
                          <w:rPr>
                            <w:rFonts w:ascii="Times New Roman" w:hAnsi="Times New Roman" w:cs="Times New Roman" w:eastAsia="Times New Roman" w:hint="default"/>
                            <w:spacing w:val="-7"/>
                            <w:w w:val="99"/>
                            <w:sz w:val="18"/>
                            <w:szCs w:val="18"/>
                          </w:rPr>
                          <w:t>2011-2012</w:t>
                        </w:r>
                        <w:r>
                          <w:rPr>
                            <w:rFonts w:ascii="宋体" w:hAnsi="宋体" w:cs="宋体" w:eastAsia="宋体" w:hint="default"/>
                            <w:spacing w:val="-7"/>
                            <w:w w:val="99"/>
                            <w:sz w:val="18"/>
                            <w:szCs w:val="18"/>
                          </w:rPr>
                          <w:t>年度主要完成临床产品线整合和提升，包括：住院医生工作站、</w:t>
                        </w:r>
                        <w:r>
                          <w:rPr>
                            <w:rFonts w:ascii="Times New Roman" w:hAnsi="Times New Roman" w:cs="Times New Roman" w:eastAsia="Times New Roman" w:hint="default"/>
                            <w:spacing w:val="-7"/>
                            <w:w w:val="99"/>
                            <w:sz w:val="18"/>
                            <w:szCs w:val="18"/>
                          </w:rPr>
                          <w:t>EMR</w:t>
                        </w:r>
                        <w:r>
                          <w:rPr>
                            <w:rFonts w:ascii="Times New Roman" w:hAnsi="Times New Roman" w:cs="Times New Roman" w:eastAsia="Times New Roman" w:hint="default"/>
                            <w:spacing w:val="-24"/>
                            <w:w w:val="99"/>
                            <w:sz w:val="18"/>
                            <w:szCs w:val="18"/>
                          </w:rPr>
                          <w:t> </w:t>
                        </w:r>
                        <w:r>
                          <w:rPr>
                            <w:rFonts w:ascii="Times New Roman" w:hAnsi="Times New Roman" w:cs="Times New Roman" w:eastAsia="Times New Roman" w:hint="default"/>
                            <w:spacing w:val="-24"/>
                            <w:w w:val="99"/>
                            <w:sz w:val="18"/>
                            <w:szCs w:val="18"/>
                          </w:rPr>
                        </w:r>
                        <w:r>
                          <w:rPr>
                            <w:rFonts w:ascii="Times New Roman" w:hAnsi="Times New Roman" w:cs="Times New Roman" w:eastAsia="Times New Roman" w:hint="default"/>
                            <w:spacing w:val="-1"/>
                            <w:sz w:val="18"/>
                            <w:szCs w:val="18"/>
                          </w:rPr>
                          <w:t>CP</w:t>
                        </w:r>
                        <w:r>
                          <w:rPr>
                            <w:rFonts w:ascii="宋体" w:hAnsi="宋体" w:cs="宋体" w:eastAsia="宋体" w:hint="default"/>
                            <w:spacing w:val="-1"/>
                            <w:sz w:val="18"/>
                            <w:szCs w:val="18"/>
                          </w:rPr>
                          <w:t>、电子医嘱、申请单、数字签名、质控管理、院感管理等；</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、集成平台和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临床数据中心，包括：</w:t>
                        </w:r>
                        <w:r>
                          <w:rPr>
                            <w:rFonts w:ascii="Times New Roman" w:hAnsi="Times New Roman" w:cs="Times New Roman" w:eastAsia="Times New Roman" w:hint="default"/>
                            <w:sz w:val="18"/>
                            <w:szCs w:val="18"/>
                          </w:rPr>
                          <w:t>EMPI</w:t>
                        </w:r>
                        <w:r>
                          <w:rPr>
                            <w:rFonts w:ascii="宋体" w:hAnsi="宋体" w:cs="宋体" w:eastAsia="宋体" w:hint="default"/>
                            <w:sz w:val="18"/>
                            <w:szCs w:val="18"/>
                          </w:rPr>
                          <w:t>、</w:t>
                        </w:r>
                        <w:r>
                          <w:rPr>
                            <w:rFonts w:ascii="Times New Roman" w:hAnsi="Times New Roman" w:cs="Times New Roman" w:eastAsia="Times New Roman" w:hint="default"/>
                            <w:sz w:val="18"/>
                            <w:szCs w:val="18"/>
                          </w:rPr>
                          <w:t>CDR/Portal</w:t>
                        </w:r>
                        <w:r>
                          <w:rPr>
                            <w:rFonts w:ascii="宋体" w:hAnsi="宋体" w:cs="宋体" w:eastAsia="宋体" w:hint="default"/>
                            <w:sz w:val="18"/>
                            <w:szCs w:val="18"/>
                          </w:rPr>
                          <w:t>、标准数据集、数据交换平台、业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务系统接口、</w:t>
                        </w:r>
                        <w:r>
                          <w:rPr>
                            <w:rFonts w:ascii="Times New Roman" w:hAnsi="Times New Roman" w:cs="Times New Roman" w:eastAsia="Times New Roman" w:hint="default"/>
                            <w:sz w:val="18"/>
                            <w:szCs w:val="18"/>
                          </w:rPr>
                          <w:t>BI</w:t>
                        </w:r>
                        <w:r>
                          <w:rPr>
                            <w:rFonts w:ascii="宋体" w:hAnsi="宋体" w:cs="宋体" w:eastAsia="宋体" w:hint="default"/>
                            <w:sz w:val="18"/>
                            <w:szCs w:val="18"/>
                          </w:rPr>
                          <w:t>等。</w:t>
                        </w:r>
                      </w:p>
                      <w:p>
                        <w:pPr>
                          <w:pStyle w:val="TableParagraph"/>
                          <w:spacing w:line="304" w:lineRule="auto" w:before="133"/>
                          <w:ind w:left="-1" w:right="-3"/>
                          <w:jc w:val="left"/>
                          <w:rPr>
                            <w:rFonts w:ascii="宋体" w:hAnsi="宋体" w:cs="宋体" w:eastAsia="宋体" w:hint="default"/>
                            <w:sz w:val="18"/>
                            <w:szCs w:val="18"/>
                          </w:rPr>
                        </w:pPr>
                        <w:r>
                          <w:rPr>
                            <w:rFonts w:ascii="宋体" w:hAnsi="宋体" w:cs="宋体" w:eastAsia="宋体" w:hint="default"/>
                            <w:sz w:val="18"/>
                            <w:szCs w:val="18"/>
                          </w:rPr>
                          <w:t>目前正在研发：在</w:t>
                        </w:r>
                        <w:r>
                          <w:rPr>
                            <w:rFonts w:ascii="Times New Roman" w:hAnsi="Times New Roman" w:cs="Times New Roman" w:eastAsia="Times New Roman" w:hint="default"/>
                            <w:sz w:val="18"/>
                            <w:szCs w:val="18"/>
                          </w:rPr>
                          <w:t>HIS</w:t>
                        </w:r>
                        <w:r>
                          <w:rPr>
                            <w:rFonts w:ascii="宋体" w:hAnsi="宋体" w:cs="宋体" w:eastAsia="宋体" w:hint="default"/>
                            <w:sz w:val="18"/>
                            <w:szCs w:val="18"/>
                          </w:rPr>
                          <w:t>方面，有新一代护理信息系统，物资及高值耗材系统改 </w:t>
                        </w:r>
                        <w:r>
                          <w:rPr>
                            <w:rFonts w:ascii="宋体" w:hAnsi="宋体" w:cs="宋体" w:eastAsia="宋体" w:hint="default"/>
                            <w:spacing w:val="-3"/>
                            <w:sz w:val="18"/>
                            <w:szCs w:val="18"/>
                          </w:rPr>
                          <w:t>造，日间手术管理系统，导诊信息系统，医保费用控制系统改造；在</w:t>
                        </w:r>
                        <w:r>
                          <w:rPr>
                            <w:rFonts w:ascii="Times New Roman" w:hAnsi="Times New Roman" w:cs="Times New Roman" w:eastAsia="Times New Roman" w:hint="default"/>
                            <w:spacing w:val="-3"/>
                            <w:sz w:val="18"/>
                            <w:szCs w:val="18"/>
                          </w:rPr>
                          <w:t>CIS</w:t>
                        </w:r>
                        <w:r>
                          <w:rPr>
                            <w:rFonts w:ascii="宋体" w:hAnsi="宋体" w:cs="宋体" w:eastAsia="宋体" w:hint="default"/>
                            <w:spacing w:val="-3"/>
                            <w:sz w:val="18"/>
                            <w:szCs w:val="18"/>
                          </w:rPr>
                          <w:t>方面</w:t>
                        </w:r>
                        <w:r>
                          <w:rPr>
                            <w:rFonts w:ascii="宋体" w:hAnsi="宋体" w:cs="宋体" w:eastAsia="宋体" w:hint="default"/>
                            <w:spacing w:val="-69"/>
                            <w:sz w:val="18"/>
                            <w:szCs w:val="18"/>
                          </w:rPr>
                          <w:t> </w:t>
                        </w:r>
                        <w:r>
                          <w:rPr>
                            <w:rFonts w:ascii="宋体" w:hAnsi="宋体" w:cs="宋体" w:eastAsia="宋体" w:hint="default"/>
                            <w:spacing w:val="-3"/>
                            <w:sz w:val="18"/>
                            <w:szCs w:val="18"/>
                          </w:rPr>
                          <w:t>有临床质控管理系统，门诊住院临床系统整合；在</w:t>
                        </w:r>
                        <w:r>
                          <w:rPr>
                            <w:rFonts w:ascii="Times New Roman" w:hAnsi="Times New Roman" w:cs="Times New Roman" w:eastAsia="Times New Roman" w:hint="default"/>
                            <w:spacing w:val="-3"/>
                            <w:sz w:val="18"/>
                            <w:szCs w:val="18"/>
                          </w:rPr>
                          <w:t>BI</w:t>
                        </w:r>
                        <w:r>
                          <w:rPr>
                            <w:rFonts w:ascii="宋体" w:hAnsi="宋体" w:cs="宋体" w:eastAsia="宋体" w:hint="default"/>
                            <w:spacing w:val="-3"/>
                            <w:sz w:val="18"/>
                            <w:szCs w:val="18"/>
                          </w:rPr>
                          <w:t>方面，数据仓库后台管理</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系统，改进完善院长决策系统，成本核算系统；在医院集成平台方面，实现业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务系统</w:t>
                        </w:r>
                        <w:r>
                          <w:rPr>
                            <w:rFonts w:ascii="Times New Roman" w:hAnsi="Times New Roman" w:cs="Times New Roman" w:eastAsia="Times New Roman" w:hint="default"/>
                            <w:sz w:val="18"/>
                            <w:szCs w:val="18"/>
                          </w:rPr>
                          <w:t>HL7</w:t>
                        </w:r>
                        <w:r>
                          <w:rPr>
                            <w:rFonts w:ascii="宋体" w:hAnsi="宋体" w:cs="宋体" w:eastAsia="宋体" w:hint="default"/>
                            <w:sz w:val="18"/>
                            <w:szCs w:val="18"/>
                          </w:rPr>
                          <w:t>封装及构建基于平台和</w:t>
                        </w:r>
                        <w:r>
                          <w:rPr>
                            <w:rFonts w:ascii="Times New Roman" w:hAnsi="Times New Roman" w:cs="Times New Roman" w:eastAsia="Times New Roman" w:hint="default"/>
                            <w:sz w:val="18"/>
                            <w:szCs w:val="18"/>
                          </w:rPr>
                          <w:t>CDR</w:t>
                        </w:r>
                        <w:r>
                          <w:rPr>
                            <w:rFonts w:ascii="宋体" w:hAnsi="宋体" w:cs="宋体" w:eastAsia="宋体" w:hint="default"/>
                            <w:sz w:val="18"/>
                            <w:szCs w:val="18"/>
                          </w:rPr>
                          <w:t>的</w:t>
                        </w:r>
                        <w:r>
                          <w:rPr>
                            <w:rFonts w:ascii="Times New Roman" w:hAnsi="Times New Roman" w:cs="Times New Roman" w:eastAsia="Times New Roman" w:hint="default"/>
                            <w:sz w:val="18"/>
                            <w:szCs w:val="18"/>
                          </w:rPr>
                          <w:t>portal</w:t>
                        </w:r>
                        <w:r>
                          <w:rPr>
                            <w:rFonts w:ascii="宋体" w:hAnsi="宋体" w:cs="宋体" w:eastAsia="宋体" w:hint="default"/>
                            <w:sz w:val="18"/>
                            <w:szCs w:val="18"/>
                          </w:rPr>
                          <w:t>系统。</w:t>
                        </w:r>
                      </w:p>
                    </w:tc>
                  </w:tr>
                  <w:tr>
                    <w:trPr>
                      <w:trHeight w:val="605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7"/>
                          <w:ind w:left="2" w:right="-25"/>
                          <w:jc w:val="both"/>
                          <w:rPr>
                            <w:rFonts w:ascii="宋体" w:hAnsi="宋体" w:cs="宋体" w:eastAsia="宋体" w:hint="default"/>
                            <w:sz w:val="18"/>
                            <w:szCs w:val="18"/>
                          </w:rPr>
                        </w:pPr>
                        <w:r>
                          <w:rPr>
                            <w:rFonts w:ascii="宋体" w:hAnsi="宋体" w:cs="宋体" w:eastAsia="宋体" w:hint="default"/>
                            <w:spacing w:val="14"/>
                            <w:sz w:val="18"/>
                            <w:szCs w:val="18"/>
                          </w:rPr>
                          <w:t>移动医</w:t>
                        </w:r>
                        <w:r>
                          <w:rPr>
                            <w:rFonts w:ascii="宋体" w:hAnsi="宋体" w:cs="宋体" w:eastAsia="宋体" w:hint="default"/>
                            <w:spacing w:val="-69"/>
                            <w:sz w:val="18"/>
                            <w:szCs w:val="18"/>
                          </w:rPr>
                          <w:t> </w:t>
                        </w:r>
                        <w:r>
                          <w:rPr>
                            <w:rFonts w:ascii="宋体" w:hAnsi="宋体" w:cs="宋体" w:eastAsia="宋体" w:hint="default"/>
                            <w:spacing w:val="14"/>
                            <w:sz w:val="18"/>
                            <w:szCs w:val="18"/>
                          </w:rPr>
                          <w:t>疗信息</w:t>
                        </w:r>
                        <w:r>
                          <w:rPr>
                            <w:rFonts w:ascii="宋体" w:hAnsi="宋体" w:cs="宋体" w:eastAsia="宋体" w:hint="default"/>
                            <w:spacing w:val="-69"/>
                            <w:sz w:val="18"/>
                            <w:szCs w:val="18"/>
                          </w:rPr>
                          <w:t> </w:t>
                        </w:r>
                        <w:r>
                          <w:rPr>
                            <w:rFonts w:ascii="宋体" w:hAnsi="宋体" w:cs="宋体" w:eastAsia="宋体" w:hint="default"/>
                            <w:sz w:val="18"/>
                            <w:szCs w:val="18"/>
                          </w:rPr>
                          <w:t>系统</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7"/>
                          <w:ind w:left="2" w:right="-13"/>
                          <w:jc w:val="left"/>
                          <w:rPr>
                            <w:rFonts w:ascii="宋体" w:hAnsi="宋体" w:cs="宋体" w:eastAsia="宋体" w:hint="default"/>
                            <w:sz w:val="18"/>
                            <w:szCs w:val="18"/>
                          </w:rPr>
                        </w:pPr>
                        <w:r>
                          <w:rPr>
                            <w:rFonts w:ascii="宋体" w:hAnsi="宋体" w:cs="宋体" w:eastAsia="宋体" w:hint="default"/>
                            <w:spacing w:val="7"/>
                            <w:sz w:val="18"/>
                            <w:szCs w:val="18"/>
                          </w:rPr>
                          <w:t>无线应用系 </w:t>
                        </w:r>
                        <w:r>
                          <w:rPr>
                            <w:rFonts w:ascii="宋体" w:hAnsi="宋体" w:cs="宋体" w:eastAsia="宋体" w:hint="default"/>
                            <w:sz w:val="18"/>
                            <w:szCs w:val="18"/>
                          </w:rPr>
                          <w:t>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7"/>
                          <w:ind w:left="2" w:right="-1"/>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在继续完善、深入研发移动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护理、移动医生站、移动输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液等系统，同时研发家庭医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生站、</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5"/>
                            <w:sz w:val="18"/>
                            <w:szCs w:val="18"/>
                          </w:rPr>
                          <w:t> </w:t>
                        </w:r>
                        <w:r>
                          <w:rPr>
                            <w:rFonts w:ascii="宋体" w:hAnsi="宋体" w:cs="宋体" w:eastAsia="宋体" w:hint="default"/>
                            <w:spacing w:val="39"/>
                            <w:sz w:val="18"/>
                            <w:szCs w:val="18"/>
                          </w:rPr>
                          <w:t>领导决策</w:t>
                        </w:r>
                        <w:r>
                          <w:rPr>
                            <w:rFonts w:ascii="宋体" w:hAnsi="宋体" w:cs="宋体" w:eastAsia="宋体" w:hint="default"/>
                            <w:spacing w:val="-38"/>
                            <w:sz w:val="18"/>
                            <w:szCs w:val="18"/>
                          </w:rPr>
                          <w:t> </w:t>
                        </w:r>
                        <w:r>
                          <w:rPr>
                            <w:rFonts w:ascii="宋体" w:hAnsi="宋体" w:cs="宋体" w:eastAsia="宋体" w:hint="default"/>
                            <w:sz w:val="18"/>
                            <w:szCs w:val="18"/>
                          </w:rPr>
                          <w:t>和</w:t>
                        </w:r>
                        <w:r>
                          <w:rPr>
                            <w:rFonts w:ascii="宋体" w:hAnsi="宋体" w:cs="宋体" w:eastAsia="宋体" w:hint="default"/>
                            <w:sz w:val="18"/>
                            <w:szCs w:val="18"/>
                          </w:rPr>
                          <w:t> </w:t>
                        </w:r>
                        <w:r>
                          <w:rPr>
                            <w:rFonts w:ascii="Times New Roman" w:hAnsi="Times New Roman" w:cs="Times New Roman" w:eastAsia="Times New Roman" w:hint="default"/>
                            <w:sz w:val="18"/>
                            <w:szCs w:val="18"/>
                          </w:rPr>
                          <w:t>e-Care(</w:t>
                        </w:r>
                        <w:r>
                          <w:rPr>
                            <w:rFonts w:ascii="宋体" w:hAnsi="宋体" w:cs="宋体" w:eastAsia="宋体" w:hint="default"/>
                            <w:sz w:val="18"/>
                            <w:szCs w:val="18"/>
                          </w:rPr>
                          <w:t>医讯通</w:t>
                        </w:r>
                        <w:r>
                          <w:rPr>
                            <w:rFonts w:ascii="Times New Roman" w:hAnsi="Times New Roman" w:cs="Times New Roman" w:eastAsia="Times New Roman" w:hint="default"/>
                            <w:sz w:val="18"/>
                            <w:szCs w:val="18"/>
                          </w:rPr>
                          <w:t>)</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302" w:lineRule="auto" w:before="137"/>
                          <w:ind w:left="-1"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2011-2012</w:t>
                        </w:r>
                        <w:r>
                          <w:rPr>
                            <w:rFonts w:ascii="宋体" w:hAnsi="宋体" w:cs="宋体" w:eastAsia="宋体" w:hint="default"/>
                            <w:sz w:val="18"/>
                            <w:szCs w:val="18"/>
                          </w:rPr>
                          <w:t>年度实现移动护理的安卓平台版本，在可操作性，界面友好性方面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有所改善，在护理路径、消息提醒、绩效考核等功能创新方面有所突破和扩展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2"/>
                            <w:sz w:val="18"/>
                            <w:szCs w:val="18"/>
                          </w:rPr>
                          <w:t>iPad</w:t>
                        </w:r>
                        <w:r>
                          <w:rPr>
                            <w:rFonts w:ascii="宋体" w:hAnsi="宋体" w:cs="宋体" w:eastAsia="宋体" w:hint="default"/>
                            <w:spacing w:val="-2"/>
                            <w:sz w:val="18"/>
                            <w:szCs w:val="18"/>
                          </w:rPr>
                          <w:t>移动医生站（临床路径功能整合），功能上包括临床路径执行（医嘱、申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请单等功能），图表、医嘱与检验检查关联，</w:t>
                        </w:r>
                        <w:r>
                          <w:rPr>
                            <w:rFonts w:ascii="Times New Roman" w:hAnsi="Times New Roman" w:cs="Times New Roman" w:eastAsia="Times New Roman" w:hint="default"/>
                            <w:spacing w:val="-2"/>
                            <w:sz w:val="18"/>
                            <w:szCs w:val="18"/>
                          </w:rPr>
                          <w:t>Web</w:t>
                        </w:r>
                        <w:r>
                          <w:rPr>
                            <w:rFonts w:ascii="宋体" w:hAnsi="宋体" w:cs="宋体" w:eastAsia="宋体" w:hint="default"/>
                            <w:spacing w:val="-2"/>
                            <w:sz w:val="18"/>
                            <w:szCs w:val="18"/>
                          </w:rPr>
                          <w:t>申请单，结构化电子病历接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口，合理用药模块，抗菌素使用审批；营养点餐系统的整合及扩展；</w:t>
                        </w:r>
                        <w:r>
                          <w:rPr>
                            <w:rFonts w:ascii="Times New Roman" w:hAnsi="Times New Roman" w:cs="Times New Roman" w:eastAsia="Times New Roman" w:hint="default"/>
                            <w:sz w:val="18"/>
                            <w:szCs w:val="18"/>
                          </w:rPr>
                          <w:t>3G</w:t>
                        </w:r>
                        <w:r>
                          <w:rPr>
                            <w:rFonts w:ascii="宋体" w:hAnsi="宋体" w:cs="宋体" w:eastAsia="宋体" w:hint="default"/>
                            <w:sz w:val="18"/>
                            <w:szCs w:val="18"/>
                          </w:rPr>
                          <w:t>移动</w:t>
                        </w:r>
                        <w:r>
                          <w:rPr>
                            <w:rFonts w:ascii="宋体" w:hAnsi="宋体" w:cs="宋体" w:eastAsia="宋体" w:hint="default"/>
                            <w:spacing w:val="-29"/>
                            <w:sz w:val="18"/>
                            <w:szCs w:val="18"/>
                          </w:rPr>
                          <w:t> </w:t>
                        </w:r>
                        <w:r>
                          <w:rPr>
                            <w:rFonts w:ascii="宋体" w:hAnsi="宋体" w:cs="宋体" w:eastAsia="宋体" w:hint="default"/>
                            <w:sz w:val="18"/>
                            <w:szCs w:val="18"/>
                          </w:rPr>
                          <w:t>助手，</w:t>
                        </w:r>
                        <w:r>
                          <w:rPr>
                            <w:rFonts w:ascii="Times New Roman" w:hAnsi="Times New Roman" w:cs="Times New Roman" w:eastAsia="Times New Roman" w:hint="default"/>
                            <w:sz w:val="18"/>
                            <w:szCs w:val="18"/>
                          </w:rPr>
                          <w:t>LIS</w:t>
                        </w:r>
                        <w:r>
                          <w:rPr>
                            <w:rFonts w:ascii="宋体" w:hAnsi="宋体" w:cs="宋体" w:eastAsia="宋体" w:hint="default"/>
                            <w:sz w:val="18"/>
                            <w:szCs w:val="18"/>
                          </w:rPr>
                          <w:t>危机值，院长综合查询数据，医嘱及费用信息，及时就诊情况，综</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合数据分析及生成。</w:t>
                        </w:r>
                      </w:p>
                      <w:p>
                        <w:pPr>
                          <w:pStyle w:val="TableParagraph"/>
                          <w:spacing w:line="240" w:lineRule="auto" w:before="149"/>
                          <w:ind w:left="-1" w:right="-1"/>
                          <w:jc w:val="left"/>
                          <w:rPr>
                            <w:rFonts w:ascii="宋体" w:hAnsi="宋体" w:cs="宋体" w:eastAsia="宋体" w:hint="default"/>
                            <w:sz w:val="18"/>
                            <w:szCs w:val="18"/>
                          </w:rPr>
                        </w:pPr>
                        <w:r>
                          <w:rPr>
                            <w:rFonts w:ascii="宋体" w:hAnsi="宋体" w:cs="宋体" w:eastAsia="宋体" w:hint="default"/>
                            <w:sz w:val="18"/>
                            <w:szCs w:val="18"/>
                          </w:rPr>
                          <w:t>目前正在研发：</w:t>
                        </w:r>
                      </w:p>
                      <w:p>
                        <w:pPr>
                          <w:pStyle w:val="TableParagraph"/>
                          <w:spacing w:line="240" w:lineRule="auto" w:before="3"/>
                          <w:ind w:right="0"/>
                          <w:jc w:val="left"/>
                          <w:rPr>
                            <w:rFonts w:ascii="宋体" w:hAnsi="宋体" w:cs="宋体" w:eastAsia="宋体" w:hint="default"/>
                            <w:sz w:val="15"/>
                            <w:szCs w:val="15"/>
                          </w:rPr>
                        </w:pPr>
                      </w:p>
                      <w:p>
                        <w:pPr>
                          <w:pStyle w:val="TableParagraph"/>
                          <w:spacing w:line="307" w:lineRule="auto"/>
                          <w:ind w:left="-1" w:right="-1"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、在移动护理方面，包括整体框架，实现新医嘱、危机值、质控任务、护理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任务、床头呼叫等消息即时推送，基于体征规则的批量录入的体征和护理管理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统计，实现护理文书的双签名，信息调取，修改、浏览等改进，护士交班，备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忘录，护理路径，集成病区统计和护理任务的桌面插件；</w:t>
                        </w:r>
                        <w:r>
                          <w:rPr>
                            <w:rFonts w:ascii="Times New Roman" w:hAnsi="Times New Roman" w:cs="Times New Roman" w:eastAsia="Times New Roman" w:hint="default"/>
                            <w:sz w:val="18"/>
                            <w:szCs w:val="18"/>
                          </w:rPr>
                          <w:t>2</w:t>
                        </w:r>
                        <w:r>
                          <w:rPr>
                            <w:rFonts w:ascii="宋体" w:hAnsi="宋体" w:cs="宋体" w:eastAsia="宋体" w:hint="default"/>
                            <w:sz w:val="18"/>
                            <w:szCs w:val="18"/>
                          </w:rPr>
                          <w:t>、在移动医生站方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面，进行页面美化、性能优化，护理病历查看功能（普通表格、普通文书） </w:t>
                        </w:r>
                        <w:r>
                          <w:rPr>
                            <w:rFonts w:ascii="宋体" w:hAnsi="宋体" w:cs="宋体" w:eastAsia="宋体" w:hint="default"/>
                            <w:spacing w:val="-3"/>
                            <w:sz w:val="18"/>
                            <w:szCs w:val="18"/>
                          </w:rPr>
                          <w:t>指标趋势图，报告图像预览，实现临床路径与医生站的互动，移动电子病历功</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能；</w:t>
                        </w:r>
                        <w:r>
                          <w:rPr>
                            <w:rFonts w:ascii="Times New Roman" w:hAnsi="Times New Roman" w:cs="Times New Roman" w:eastAsia="Times New Roman" w:hint="default"/>
                            <w:sz w:val="18"/>
                            <w:szCs w:val="18"/>
                          </w:rPr>
                          <w:t>3</w:t>
                        </w:r>
                        <w:r>
                          <w:rPr>
                            <w:rFonts w:ascii="宋体" w:hAnsi="宋体" w:cs="宋体" w:eastAsia="宋体" w:hint="default"/>
                            <w:sz w:val="18"/>
                            <w:szCs w:val="18"/>
                          </w:rPr>
                          <w:t>、家庭医生站，结合家庭医生责任制度，完成签约医生业务功能，公卫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与</w:t>
                        </w:r>
                        <w:r>
                          <w:rPr>
                            <w:rFonts w:ascii="Times New Roman" w:hAnsi="Times New Roman" w:cs="Times New Roman" w:eastAsia="Times New Roman" w:hint="default"/>
                            <w:sz w:val="18"/>
                            <w:szCs w:val="18"/>
                          </w:rPr>
                          <w:t>his</w:t>
                        </w:r>
                        <w:r>
                          <w:rPr>
                            <w:rFonts w:ascii="宋体" w:hAnsi="宋体" w:cs="宋体" w:eastAsia="宋体" w:hint="default"/>
                            <w:sz w:val="18"/>
                            <w:szCs w:val="18"/>
                          </w:rPr>
                          <w:t>接口整合，包括公共业务、高血压、健康档案、糖尿病、任务计划、诊</w:t>
                        </w:r>
                        <w:r>
                          <w:rPr>
                            <w:rFonts w:ascii="宋体" w:hAnsi="宋体" w:cs="宋体" w:eastAsia="宋体" w:hint="default"/>
                            <w:spacing w:val="-25"/>
                            <w:sz w:val="18"/>
                            <w:szCs w:val="18"/>
                          </w:rPr>
                          <w:t> </w:t>
                        </w:r>
                        <w:r>
                          <w:rPr>
                            <w:rFonts w:ascii="宋体" w:hAnsi="宋体" w:cs="宋体" w:eastAsia="宋体" w:hint="default"/>
                            <w:spacing w:val="-1"/>
                            <w:sz w:val="18"/>
                            <w:szCs w:val="18"/>
                          </w:rPr>
                          <w:t>疗查询、日志操作、家庭医生签约；</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、还包括移动输液完善、研发</w:t>
                        </w:r>
                        <w:r>
                          <w:rPr>
                            <w:rFonts w:ascii="Times New Roman" w:hAnsi="Times New Roman" w:cs="Times New Roman" w:eastAsia="Times New Roman" w:hint="default"/>
                            <w:spacing w:val="-1"/>
                            <w:sz w:val="18"/>
                            <w:szCs w:val="18"/>
                          </w:rPr>
                          <w:t>3G</w:t>
                        </w:r>
                        <w:r>
                          <w:rPr>
                            <w:rFonts w:ascii="宋体" w:hAnsi="宋体" w:cs="宋体" w:eastAsia="宋体" w:hint="default"/>
                            <w:spacing w:val="-1"/>
                            <w:sz w:val="18"/>
                            <w:szCs w:val="18"/>
                          </w:rPr>
                          <w:t>领导决</w:t>
                        </w:r>
                        <w:r>
                          <w:rPr>
                            <w:rFonts w:ascii="宋体" w:hAnsi="宋体" w:cs="宋体" w:eastAsia="宋体" w:hint="default"/>
                            <w:spacing w:val="-83"/>
                            <w:sz w:val="18"/>
                            <w:szCs w:val="18"/>
                          </w:rPr>
                          <w:t> </w:t>
                        </w:r>
                        <w:r>
                          <w:rPr>
                            <w:rFonts w:ascii="宋体" w:hAnsi="宋体" w:cs="宋体" w:eastAsia="宋体" w:hint="default"/>
                            <w:sz w:val="18"/>
                            <w:szCs w:val="18"/>
                          </w:rPr>
                          <w:t>策和</w:t>
                        </w:r>
                        <w:r>
                          <w:rPr>
                            <w:rFonts w:ascii="Times New Roman" w:hAnsi="Times New Roman" w:cs="Times New Roman" w:eastAsia="Times New Roman" w:hint="default"/>
                            <w:sz w:val="18"/>
                            <w:szCs w:val="18"/>
                          </w:rPr>
                          <w:t>e-Care</w:t>
                        </w:r>
                        <w:r>
                          <w:rPr>
                            <w:rFonts w:ascii="宋体" w:hAnsi="宋体" w:cs="宋体" w:eastAsia="宋体" w:hint="default"/>
                            <w:sz w:val="18"/>
                            <w:szCs w:val="18"/>
                          </w:rPr>
                          <w:t>（医讯通）。</w:t>
                        </w:r>
                      </w:p>
                    </w:tc>
                  </w:tr>
                  <w:tr>
                    <w:trPr>
                      <w:trHeight w:val="1992"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3" w:right="17"/>
                          <w:jc w:val="both"/>
                          <w:rPr>
                            <w:rFonts w:ascii="宋体" w:hAnsi="宋体" w:cs="宋体" w:eastAsia="宋体" w:hint="default"/>
                            <w:sz w:val="18"/>
                            <w:szCs w:val="18"/>
                          </w:rPr>
                        </w:pPr>
                        <w:r>
                          <w:rPr>
                            <w:rFonts w:ascii="宋体" w:hAnsi="宋体" w:cs="宋体" w:eastAsia="宋体" w:hint="default"/>
                            <w:sz w:val="18"/>
                            <w:szCs w:val="18"/>
                          </w:rPr>
                          <w:t>区域卫 生信息 平台</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14" w:right="11"/>
                          <w:jc w:val="left"/>
                          <w:rPr>
                            <w:rFonts w:ascii="宋体" w:hAnsi="宋体" w:cs="宋体" w:eastAsia="宋体" w:hint="default"/>
                            <w:sz w:val="18"/>
                            <w:szCs w:val="18"/>
                          </w:rPr>
                        </w:pPr>
                        <w:r>
                          <w:rPr>
                            <w:rFonts w:ascii="宋体" w:hAnsi="宋体" w:cs="宋体" w:eastAsia="宋体" w:hint="default"/>
                            <w:sz w:val="18"/>
                            <w:szCs w:val="18"/>
                          </w:rPr>
                          <w:t>公共卫生信 息管理系统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20"/>
                          <w:jc w:val="left"/>
                          <w:rPr>
                            <w:rFonts w:ascii="宋体" w:hAnsi="宋体" w:cs="宋体" w:eastAsia="宋体" w:hint="default"/>
                            <w:sz w:val="18"/>
                            <w:szCs w:val="18"/>
                          </w:rPr>
                        </w:pPr>
                        <w:r>
                          <w:rPr>
                            <w:rFonts w:ascii="宋体" w:hAnsi="宋体" w:cs="宋体" w:eastAsia="宋体" w:hint="default"/>
                            <w:sz w:val="18"/>
                            <w:szCs w:val="18"/>
                          </w:rPr>
                          <w:t>基于国家区域卫生信息平 台建设规范，建立统一高 </w:t>
                        </w:r>
                        <w:r>
                          <w:rPr>
                            <w:rFonts w:ascii="宋体" w:hAnsi="宋体" w:cs="宋体" w:eastAsia="宋体" w:hint="default"/>
                            <w:spacing w:val="-5"/>
                            <w:sz w:val="18"/>
                            <w:szCs w:val="18"/>
                          </w:rPr>
                          <w:t>效、资源整合、互联互通、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信息共享、使用便捷的区域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卫生信息平台</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58"/>
                          <w:ind w:left="-1"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2011-2012</w:t>
                        </w:r>
                        <w:r>
                          <w:rPr>
                            <w:rFonts w:ascii="宋体" w:hAnsi="宋体" w:cs="宋体" w:eastAsia="宋体" w:hint="default"/>
                            <w:sz w:val="18"/>
                            <w:szCs w:val="18"/>
                          </w:rPr>
                          <w:t>年度完成区域卫生数据交换共享平台、区域卫生信息基础平台，制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定区域卫生数据交换共享标准，实现区域卫生信息的数据交换采集和共享，形</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成各业务主题库，实现区域卫生信息平台相关功能，包括注册服务、全程健康</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档案服务、健康档案存储服务、医疗卫生业务协同服务、信息接口服务、医疗</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卫生资源目录索引服务、健康档案浏览器等。并且区域卫生信息平台整体通过</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了</w:t>
                        </w:r>
                        <w:r>
                          <w:rPr>
                            <w:rFonts w:ascii="Times New Roman" w:hAnsi="Times New Roman" w:cs="Times New Roman" w:eastAsia="Times New Roman" w:hint="default"/>
                            <w:sz w:val="18"/>
                            <w:szCs w:val="18"/>
                          </w:rPr>
                          <w:t>IHE</w:t>
                        </w:r>
                        <w:r>
                          <w:rPr>
                            <w:rFonts w:ascii="宋体" w:hAnsi="宋体" w:cs="宋体" w:eastAsia="宋体" w:hint="default"/>
                            <w:sz w:val="18"/>
                            <w:szCs w:val="18"/>
                          </w:rPr>
                          <w:t>集成测试。</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0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109"/>
        <w:jc w:val="right"/>
      </w:pPr>
      <w:r>
        <w:rPr/>
        <w:t>，</w:t>
      </w:r>
    </w:p>
    <w:p>
      <w:pPr>
        <w:spacing w:after="0" w:line="240" w:lineRule="auto"/>
        <w:jc w:val="right"/>
        <w:sectPr>
          <w:pgSz w:w="11910" w:h="16840"/>
          <w:pgMar w:header="745" w:footer="982" w:top="1060" w:bottom="1180" w:left="9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29"/>
        <w:jc w:val="right"/>
      </w:pPr>
      <w:r>
        <w:rPr/>
        <w:pict>
          <v:shape style="position:absolute;margin-left:56.16pt;margin-top:-152.048309pt;width:487.45pt;height:612.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2"/>
                    <w:gridCol w:w="946"/>
                    <w:gridCol w:w="2105"/>
                    <w:gridCol w:w="6067"/>
                  </w:tblGrid>
                  <w:tr>
                    <w:trPr>
                      <w:trHeight w:val="2383" w:hRule="exact"/>
                    </w:trPr>
                    <w:tc>
                      <w:tcPr>
                        <w:tcW w:w="602" w:type="dxa"/>
                        <w:tcBorders>
                          <w:top w:val="single" w:sz="8" w:space="0" w:color="000000"/>
                          <w:left w:val="single" w:sz="8" w:space="0" w:color="000000"/>
                          <w:bottom w:val="single" w:sz="8" w:space="0" w:color="000000"/>
                          <w:right w:val="single" w:sz="8" w:space="0" w:color="000000"/>
                        </w:tcBorders>
                      </w:tcPr>
                      <w:p>
                        <w:pPr/>
                      </w:p>
                    </w:tc>
                    <w:tc>
                      <w:tcPr>
                        <w:tcW w:w="946" w:type="dxa"/>
                        <w:tcBorders>
                          <w:top w:val="single" w:sz="8" w:space="0" w:color="000000"/>
                          <w:left w:val="single" w:sz="8" w:space="0" w:color="000000"/>
                          <w:bottom w:val="single" w:sz="8" w:space="0" w:color="000000"/>
                          <w:right w:val="single" w:sz="8" w:space="0" w:color="000000"/>
                        </w:tcBorders>
                      </w:tcPr>
                      <w:p>
                        <w:pPr/>
                      </w:p>
                    </w:tc>
                    <w:tc>
                      <w:tcPr>
                        <w:tcW w:w="2105" w:type="dxa"/>
                        <w:tcBorders>
                          <w:top w:val="single" w:sz="8" w:space="0" w:color="000000"/>
                          <w:left w:val="single" w:sz="8" w:space="0" w:color="000000"/>
                          <w:bottom w:val="single" w:sz="8" w:space="0" w:color="000000"/>
                          <w:right w:val="single" w:sz="8" w:space="0" w:color="000000"/>
                        </w:tcBorders>
                      </w:tcPr>
                      <w:p>
                        <w:pP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目前正在研发：</w:t>
                        </w:r>
                      </w:p>
                      <w:p>
                        <w:pPr>
                          <w:pStyle w:val="TableParagraph"/>
                          <w:spacing w:line="300" w:lineRule="auto" w:before="11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、扩充完善区域卫生数据标准及规范，使其更好的实现电子健康档案数据库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和电子病历数据库建设。</w:t>
                        </w:r>
                      </w:p>
                      <w:p>
                        <w:pPr>
                          <w:pStyle w:val="TableParagraph"/>
                          <w:spacing w:line="300" w:lineRule="auto" w:before="7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、加强区域卫生数据交换共享平台中数据质量控制管理系统，提高数据采集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的质量。</w:t>
                        </w:r>
                      </w:p>
                      <w:p>
                        <w:pPr>
                          <w:pStyle w:val="TableParagraph"/>
                          <w:spacing w:line="300" w:lineRule="auto" w:before="7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、区域平台协同共享基础服务平台，实现区域内医疗机构之间协同业务信息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的联动。</w:t>
                        </w:r>
                      </w:p>
                    </w:tc>
                  </w:tr>
                  <w:tr>
                    <w:trPr>
                      <w:trHeight w:val="3401"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1"/>
                          <w:ind w:left="23" w:right="17"/>
                          <w:jc w:val="both"/>
                          <w:rPr>
                            <w:rFonts w:ascii="宋体" w:hAnsi="宋体" w:cs="宋体" w:eastAsia="宋体" w:hint="default"/>
                            <w:sz w:val="18"/>
                            <w:szCs w:val="18"/>
                          </w:rPr>
                        </w:pPr>
                        <w:r>
                          <w:rPr>
                            <w:rFonts w:ascii="宋体" w:hAnsi="宋体" w:cs="宋体" w:eastAsia="宋体" w:hint="default"/>
                            <w:sz w:val="18"/>
                            <w:szCs w:val="18"/>
                          </w:rPr>
                          <w:t>基于区 域卫生 信息平 台的业 务应用</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61"/>
                          <w:ind w:left="14" w:right="11"/>
                          <w:jc w:val="left"/>
                          <w:rPr>
                            <w:rFonts w:ascii="宋体" w:hAnsi="宋体" w:cs="宋体" w:eastAsia="宋体" w:hint="default"/>
                            <w:sz w:val="18"/>
                            <w:szCs w:val="18"/>
                          </w:rPr>
                        </w:pPr>
                        <w:r>
                          <w:rPr>
                            <w:rFonts w:ascii="宋体" w:hAnsi="宋体" w:cs="宋体" w:eastAsia="宋体" w:hint="default"/>
                            <w:sz w:val="18"/>
                            <w:szCs w:val="18"/>
                          </w:rPr>
                          <w:t>公共卫生信 息管理系统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在区域卫生信息平台建设 </w:t>
                        </w:r>
                        <w:r>
                          <w:rPr>
                            <w:rFonts w:ascii="宋体" w:hAnsi="宋体" w:cs="宋体" w:eastAsia="宋体" w:hint="default"/>
                            <w:spacing w:val="-7"/>
                            <w:sz w:val="18"/>
                            <w:szCs w:val="18"/>
                          </w:rPr>
                          <w:t>的基础，研发区域化共享协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同应用系统，形成信息共 </w:t>
                        </w:r>
                        <w:r>
                          <w:rPr>
                            <w:rFonts w:ascii="宋体" w:hAnsi="宋体" w:cs="宋体" w:eastAsia="宋体" w:hint="default"/>
                            <w:spacing w:val="-7"/>
                            <w:sz w:val="18"/>
                            <w:szCs w:val="18"/>
                          </w:rPr>
                          <w:t>享、业务联动、上下协同的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基于区域卫生信息平台的 业务应用</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61"/>
                          <w:ind w:left="-1"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2011-2012</w:t>
                        </w:r>
                        <w:r>
                          <w:rPr>
                            <w:rFonts w:ascii="宋体" w:hAnsi="宋体" w:cs="宋体" w:eastAsia="宋体" w:hint="default"/>
                            <w:sz w:val="18"/>
                            <w:szCs w:val="18"/>
                          </w:rPr>
                          <w:t>年度完成基于区域卫生信息平台的综合卫生管理平台、卫生绩效考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核、</w:t>
                        </w:r>
                        <w:r>
                          <w:rPr>
                            <w:rFonts w:ascii="Times New Roman" w:hAnsi="Times New Roman" w:cs="Times New Roman" w:eastAsia="Times New Roman" w:hint="default"/>
                            <w:spacing w:val="-3"/>
                            <w:sz w:val="18"/>
                            <w:szCs w:val="18"/>
                          </w:rPr>
                          <w:t>EHR</w:t>
                        </w:r>
                        <w:r>
                          <w:rPr>
                            <w:rFonts w:ascii="宋体" w:hAnsi="宋体" w:cs="宋体" w:eastAsia="宋体" w:hint="default"/>
                            <w:spacing w:val="-3"/>
                            <w:sz w:val="18"/>
                            <w:szCs w:val="18"/>
                          </w:rPr>
                          <w:t>调阅，为区卫生局和区其他相关职能部门提供数据分析和决策支持的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信息平台，实现管理机构对辖区内卫生服务机构的卫生服务提供情况的考核</w:t>
                        </w:r>
                      </w:p>
                      <w:p>
                        <w:pPr>
                          <w:pStyle w:val="TableParagraph"/>
                          <w:spacing w:line="240" w:lineRule="auto" w:before="72"/>
                          <w:ind w:left="-1" w:right="0"/>
                          <w:jc w:val="both"/>
                          <w:rPr>
                            <w:rFonts w:ascii="宋体" w:hAnsi="宋体" w:cs="宋体" w:eastAsia="宋体" w:hint="default"/>
                            <w:sz w:val="18"/>
                            <w:szCs w:val="18"/>
                          </w:rPr>
                        </w:pPr>
                        <w:r>
                          <w:rPr>
                            <w:rFonts w:ascii="宋体" w:hAnsi="宋体" w:cs="宋体" w:eastAsia="宋体" w:hint="default"/>
                            <w:sz w:val="18"/>
                            <w:szCs w:val="18"/>
                          </w:rPr>
                          <w:t>目前正在研发：</w:t>
                        </w:r>
                      </w:p>
                      <w:p>
                        <w:pPr>
                          <w:pStyle w:val="TableParagraph"/>
                          <w:spacing w:line="300" w:lineRule="auto" w:before="117"/>
                          <w:ind w:left="-1" w:right="8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、基于区域卫生信息平台的疾病预防控制系统，实现疾病报病、核实、管理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随访的区域化协同管理。</w:t>
                        </w:r>
                      </w:p>
                      <w:p>
                        <w:pPr>
                          <w:pStyle w:val="TableParagraph"/>
                          <w:spacing w:line="300" w:lineRule="auto" w:before="70"/>
                          <w:ind w:left="-1" w:right="8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、基于区域卫生信息平台的妇幼保健管理系统，实现孕产妇建卡、产前检查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分娩记录、产后访视以及儿童定期体检的区域化协同管理。</w:t>
                        </w:r>
                      </w:p>
                      <w:p>
                        <w:pPr>
                          <w:pStyle w:val="TableParagraph"/>
                          <w:spacing w:line="300" w:lineRule="auto" w:before="72"/>
                          <w:ind w:left="-1" w:right="8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、基于区域卫生信息平台的精神卫生管理系统，实现精神疾病的报病、核实</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管理、随访的区域化协同管理。</w:t>
                        </w:r>
                      </w:p>
                    </w:tc>
                  </w:tr>
                  <w:tr>
                    <w:trPr>
                      <w:trHeight w:val="402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38"/>
                          <w:jc w:val="both"/>
                          <w:rPr>
                            <w:rFonts w:ascii="宋体" w:hAnsi="宋体" w:cs="宋体" w:eastAsia="宋体" w:hint="default"/>
                            <w:sz w:val="18"/>
                            <w:szCs w:val="18"/>
                          </w:rPr>
                        </w:pPr>
                        <w:r>
                          <w:rPr>
                            <w:rFonts w:ascii="宋体" w:hAnsi="宋体" w:cs="宋体" w:eastAsia="宋体" w:hint="default"/>
                            <w:sz w:val="18"/>
                            <w:szCs w:val="18"/>
                          </w:rPr>
                          <w:t>基层医 疗卫生 信息系 统</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23"/>
                          <w:jc w:val="left"/>
                          <w:rPr>
                            <w:rFonts w:ascii="宋体" w:hAnsi="宋体" w:cs="宋体" w:eastAsia="宋体" w:hint="default"/>
                            <w:sz w:val="18"/>
                            <w:szCs w:val="18"/>
                          </w:rPr>
                        </w:pPr>
                        <w:r>
                          <w:rPr>
                            <w:rFonts w:ascii="宋体" w:hAnsi="宋体" w:cs="宋体" w:eastAsia="宋体" w:hint="default"/>
                            <w:sz w:val="18"/>
                            <w:szCs w:val="18"/>
                          </w:rPr>
                          <w:t>公共卫生信 息管理系统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整合区域诊疗信息系统和 社区卫生服务信息系统研 </w:t>
                        </w:r>
                        <w:r>
                          <w:rPr>
                            <w:rFonts w:ascii="宋体" w:hAnsi="宋体" w:cs="宋体" w:eastAsia="宋体" w:hint="default"/>
                            <w:spacing w:val="-7"/>
                            <w:sz w:val="18"/>
                            <w:szCs w:val="18"/>
                          </w:rPr>
                          <w:t>发符合国家《基层医疗卫生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信息系统功能规范》要求的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基层医疗卫生信息系统</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58"/>
                          <w:ind w:left="-1"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2011-2012</w:t>
                        </w:r>
                        <w:r>
                          <w:rPr>
                            <w:rFonts w:ascii="宋体" w:hAnsi="宋体" w:cs="宋体" w:eastAsia="宋体" w:hint="default"/>
                            <w:sz w:val="18"/>
                            <w:szCs w:val="18"/>
                          </w:rPr>
                          <w:t>年度完成将区域诊疗信息系统和社区卫生服务信息系统整合形成高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度产品化的基层医疗卫生机构管理信息系统，系统基于居民电子健康档案、电</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子病历、门诊统筹管理的基层医疗卫生信息化体系基本架构，完全覆盖基本药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物供应使用、居民健康管理、基本医疗服务、绩效考核功能，并且集成了全科</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医生工作站，实现基本医疗和公共卫生服务的无缝融合。</w:t>
                        </w:r>
                      </w:p>
                      <w:p>
                        <w:pPr>
                          <w:pStyle w:val="TableParagraph"/>
                          <w:spacing w:line="240" w:lineRule="auto" w:before="61"/>
                          <w:ind w:left="-1" w:right="0"/>
                          <w:jc w:val="both"/>
                          <w:rPr>
                            <w:rFonts w:ascii="宋体" w:hAnsi="宋体" w:cs="宋体" w:eastAsia="宋体" w:hint="default"/>
                            <w:sz w:val="18"/>
                            <w:szCs w:val="18"/>
                          </w:rPr>
                        </w:pPr>
                        <w:r>
                          <w:rPr>
                            <w:rFonts w:ascii="宋体" w:hAnsi="宋体" w:cs="宋体" w:eastAsia="宋体" w:hint="default"/>
                            <w:sz w:val="18"/>
                            <w:szCs w:val="18"/>
                          </w:rPr>
                          <w:t>目前正在研发：</w:t>
                        </w:r>
                      </w:p>
                      <w:p>
                        <w:pPr>
                          <w:pStyle w:val="TableParagraph"/>
                          <w:spacing w:line="300" w:lineRule="auto" w:before="115"/>
                          <w:ind w:left="-1" w:right="8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、基于区域卫生信息平台的疾病预防控制系统，实现疾病报病、核实、管理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随访的区域化协同管理。</w:t>
                        </w:r>
                      </w:p>
                      <w:p>
                        <w:pPr>
                          <w:pStyle w:val="TableParagraph"/>
                          <w:spacing w:line="300" w:lineRule="auto" w:before="72"/>
                          <w:ind w:left="-1" w:right="8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、基于区域卫生信息平台的妇幼保健管理系统，实现孕产妇建卡、产前检查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分娩记录、产后访视以及儿童定期体检的区域化协同管理。</w:t>
                        </w:r>
                      </w:p>
                      <w:p>
                        <w:pPr>
                          <w:pStyle w:val="TableParagraph"/>
                          <w:spacing w:line="300" w:lineRule="auto" w:before="72"/>
                          <w:ind w:left="-1" w:right="8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、基于区域卫生信息平台的精神卫生管理系统，实现精神疾病的报病、核实</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管理、随访的区域化协同管理。</w:t>
                        </w:r>
                      </w:p>
                    </w:tc>
                  </w:tr>
                  <w:tr>
                    <w:trPr>
                      <w:trHeight w:val="2424"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3" w:right="17"/>
                          <w:jc w:val="both"/>
                          <w:rPr>
                            <w:rFonts w:ascii="宋体" w:hAnsi="宋体" w:cs="宋体" w:eastAsia="宋体" w:hint="default"/>
                            <w:sz w:val="18"/>
                            <w:szCs w:val="18"/>
                          </w:rPr>
                        </w:pPr>
                        <w:r>
                          <w:rPr>
                            <w:rFonts w:ascii="宋体" w:hAnsi="宋体" w:cs="宋体" w:eastAsia="宋体" w:hint="default"/>
                            <w:sz w:val="18"/>
                            <w:szCs w:val="18"/>
                          </w:rPr>
                          <w:t>医疗保 障（新 农合）</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14" w:right="11"/>
                          <w:jc w:val="left"/>
                          <w:rPr>
                            <w:rFonts w:ascii="宋体" w:hAnsi="宋体" w:cs="宋体" w:eastAsia="宋体" w:hint="default"/>
                            <w:sz w:val="18"/>
                            <w:szCs w:val="18"/>
                          </w:rPr>
                        </w:pPr>
                        <w:r>
                          <w:rPr>
                            <w:rFonts w:ascii="宋体" w:hAnsi="宋体" w:cs="宋体" w:eastAsia="宋体" w:hint="default"/>
                            <w:sz w:val="18"/>
                            <w:szCs w:val="18"/>
                          </w:rPr>
                          <w:t>公共卫生信 息管理系统</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基于前期新型农村合作医 </w:t>
                        </w:r>
                        <w:r>
                          <w:rPr>
                            <w:rFonts w:ascii="宋体" w:hAnsi="宋体" w:cs="宋体" w:eastAsia="宋体" w:hint="default"/>
                            <w:spacing w:val="-7"/>
                            <w:sz w:val="18"/>
                            <w:szCs w:val="18"/>
                          </w:rPr>
                          <w:t>疗信息系统，研发完善实时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结算（即时结报）平台，结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合国家医改政策开发相应 支付方式改革系统</w:t>
                        </w:r>
                      </w:p>
                    </w:tc>
                    <w:tc>
                      <w:tcPr>
                        <w:tcW w:w="6067"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8"/>
                          <w:ind w:left="-1"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2011-2012</w:t>
                        </w:r>
                        <w:r>
                          <w:rPr>
                            <w:rFonts w:ascii="宋体" w:hAnsi="宋体" w:cs="宋体" w:eastAsia="宋体" w:hint="default"/>
                            <w:sz w:val="18"/>
                            <w:szCs w:val="18"/>
                          </w:rPr>
                          <w:t>年度完善完成省市外定点医疗机构住院即时结报、基于家庭责任医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师制度门诊总额预付、住院单病种付费系统研发，完善省市级新农合监管系统</w:t>
                        </w:r>
                      </w:p>
                      <w:p>
                        <w:pPr>
                          <w:pStyle w:val="TableParagraph"/>
                          <w:spacing w:line="240" w:lineRule="auto" w:before="70"/>
                          <w:ind w:left="-1" w:right="0"/>
                          <w:jc w:val="left"/>
                          <w:rPr>
                            <w:rFonts w:ascii="宋体" w:hAnsi="宋体" w:cs="宋体" w:eastAsia="宋体" w:hint="default"/>
                            <w:sz w:val="18"/>
                            <w:szCs w:val="18"/>
                          </w:rPr>
                        </w:pPr>
                        <w:r>
                          <w:rPr>
                            <w:rFonts w:ascii="宋体" w:hAnsi="宋体" w:cs="宋体" w:eastAsia="宋体" w:hint="default"/>
                            <w:sz w:val="18"/>
                            <w:szCs w:val="18"/>
                          </w:rPr>
                          <w:t>目前正在研发：</w:t>
                        </w:r>
                      </w:p>
                      <w:p>
                        <w:pPr>
                          <w:pStyle w:val="TableParagraph"/>
                          <w:spacing w:line="300" w:lineRule="auto" w:before="117"/>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、多类型医疗救助</w:t>
                        </w:r>
                        <w:r>
                          <w:rPr>
                            <w:rFonts w:ascii="Times New Roman" w:hAnsi="Times New Roman" w:cs="Times New Roman" w:eastAsia="Times New Roman" w:hint="default"/>
                            <w:sz w:val="18"/>
                            <w:szCs w:val="18"/>
                          </w:rPr>
                          <w:t>“</w:t>
                        </w:r>
                        <w:r>
                          <w:rPr>
                            <w:rFonts w:ascii="宋体" w:hAnsi="宋体" w:cs="宋体" w:eastAsia="宋体" w:hint="default"/>
                            <w:sz w:val="18"/>
                            <w:szCs w:val="18"/>
                          </w:rPr>
                          <w:t>一站式</w:t>
                        </w:r>
                        <w:r>
                          <w:rPr>
                            <w:rFonts w:ascii="Times New Roman" w:hAnsi="Times New Roman" w:cs="Times New Roman" w:eastAsia="Times New Roman" w:hint="default"/>
                            <w:sz w:val="18"/>
                            <w:szCs w:val="18"/>
                          </w:rPr>
                          <w:t>”</w:t>
                        </w:r>
                        <w:r>
                          <w:rPr>
                            <w:rFonts w:ascii="宋体" w:hAnsi="宋体" w:cs="宋体" w:eastAsia="宋体" w:hint="default"/>
                            <w:sz w:val="18"/>
                            <w:szCs w:val="18"/>
                          </w:rPr>
                          <w:t>信息管理系统，实现新农合系统向民政救助等医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疗费用救助相关系统的扩展。</w:t>
                        </w:r>
                      </w:p>
                      <w:p>
                        <w:pPr>
                          <w:pStyle w:val="TableParagraph"/>
                          <w:spacing w:line="240" w:lineRule="auto" w:before="72"/>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、改造实时结算（即时结报）前置机系统使其满足多类型医疗救助</w:t>
                        </w:r>
                        <w:r>
                          <w:rPr>
                            <w:rFonts w:ascii="Times New Roman" w:hAnsi="Times New Roman" w:cs="Times New Roman" w:eastAsia="Times New Roman" w:hint="default"/>
                            <w:sz w:val="18"/>
                            <w:szCs w:val="18"/>
                          </w:rPr>
                          <w:t>“</w:t>
                        </w:r>
                        <w:r>
                          <w:rPr>
                            <w:rFonts w:ascii="宋体" w:hAnsi="宋体" w:cs="宋体" w:eastAsia="宋体" w:hint="default"/>
                            <w:sz w:val="18"/>
                            <w:szCs w:val="18"/>
                          </w:rPr>
                          <w:t>一站式</w:t>
                        </w:r>
                        <w:r>
                          <w:rPr>
                            <w:rFonts w:ascii="Times New Roman" w:hAnsi="Times New Roman" w:cs="Times New Roman" w:eastAsia="Times New Roman" w:hint="default"/>
                            <w:sz w:val="18"/>
                            <w:szCs w:val="18"/>
                          </w:rPr>
                          <w:t>”</w:t>
                        </w:r>
                      </w:p>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信息管理系统要求。</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44"/>
        <w:ind w:left="0" w:right="11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44"/>
        <w:ind w:left="512" w:right="0"/>
        <w:jc w:val="left"/>
      </w:pPr>
      <w:r>
        <w:rPr/>
        <w:t>除上述研发项目外，在做好提高、完善现有产品的各项技术和功能的同时，目前正在进行的前瞻性研发项目主要包括：</w:t>
      </w:r>
    </w:p>
    <w:p>
      <w:pPr>
        <w:spacing w:line="240" w:lineRule="auto" w:before="5"/>
        <w:rPr>
          <w:rFonts w:ascii="宋体" w:hAnsi="宋体" w:cs="宋体" w:eastAsia="宋体" w:hint="default"/>
          <w:sz w:val="14"/>
          <w:szCs w:val="14"/>
        </w:rPr>
      </w:pPr>
    </w:p>
    <w:tbl>
      <w:tblPr>
        <w:tblW w:w="0" w:type="auto"/>
        <w:jc w:val="left"/>
        <w:tblInd w:w="157" w:type="dxa"/>
        <w:tblLayout w:type="fixed"/>
        <w:tblCellMar>
          <w:top w:w="0" w:type="dxa"/>
          <w:left w:w="0" w:type="dxa"/>
          <w:bottom w:w="0" w:type="dxa"/>
          <w:right w:w="0" w:type="dxa"/>
        </w:tblCellMar>
        <w:tblLook w:val="01E0"/>
      </w:tblPr>
      <w:tblGrid>
        <w:gridCol w:w="1565"/>
        <w:gridCol w:w="8170"/>
      </w:tblGrid>
      <w:tr>
        <w:trPr>
          <w:trHeight w:val="427" w:hRule="exact"/>
        </w:trPr>
        <w:tc>
          <w:tcPr>
            <w:tcW w:w="1565" w:type="dxa"/>
            <w:tcBorders>
              <w:top w:val="single" w:sz="6" w:space="0" w:color="000000"/>
              <w:left w:val="nil" w:sz="6" w:space="0" w:color="auto"/>
              <w:bottom w:val="single" w:sz="6" w:space="0" w:color="000000"/>
              <w:right w:val="single" w:sz="6" w:space="0" w:color="000000"/>
            </w:tcBorders>
            <w:shd w:val="clear" w:color="auto" w:fill="E1E1E1"/>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8170"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项目研发目标</w:t>
            </w:r>
          </w:p>
        </w:tc>
      </w:tr>
      <w:tr>
        <w:trPr>
          <w:trHeight w:val="427"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pacing w:val="14"/>
                <w:sz w:val="18"/>
                <w:szCs w:val="18"/>
              </w:rPr>
              <w:t>医疗大数据处理系</w:t>
            </w:r>
            <w:r>
              <w:rPr>
                <w:rFonts w:ascii="宋体" w:hAnsi="宋体" w:cs="宋体" w:eastAsia="宋体" w:hint="default"/>
                <w:spacing w:val="-74"/>
                <w:sz w:val="18"/>
                <w:szCs w:val="18"/>
              </w:rPr>
              <w:t> </w:t>
            </w:r>
            <w:r>
              <w:rPr>
                <w:rFonts w:ascii="宋体" w:hAnsi="宋体" w:cs="宋体" w:eastAsia="宋体" w:hint="default"/>
                <w:sz w:val="18"/>
                <w:szCs w:val="18"/>
              </w:rPr>
            </w:r>
          </w:p>
        </w:tc>
        <w:tc>
          <w:tcPr>
            <w:tcW w:w="8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继续加强大数据处理系统相关产品系列的研发、分析处理系统。</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860"/>
        </w:sectPr>
      </w:pPr>
    </w:p>
    <w:p>
      <w:pPr>
        <w:spacing w:line="240" w:lineRule="auto" w:before="6"/>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1591"/>
        <w:gridCol w:w="8170"/>
      </w:tblGrid>
      <w:tr>
        <w:trPr>
          <w:trHeight w:val="386" w:hRule="exact"/>
        </w:trPr>
        <w:tc>
          <w:tcPr>
            <w:tcW w:w="15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统</w:t>
            </w:r>
          </w:p>
        </w:tc>
        <w:tc>
          <w:tcPr>
            <w:tcW w:w="8170" w:type="dxa"/>
            <w:tcBorders>
              <w:top w:val="single" w:sz="6" w:space="0" w:color="000000"/>
              <w:left w:val="single" w:sz="6" w:space="0" w:color="000000"/>
              <w:bottom w:val="single" w:sz="6" w:space="0" w:color="000000"/>
              <w:right w:val="single" w:sz="6" w:space="0" w:color="000000"/>
            </w:tcBorders>
          </w:tcPr>
          <w:p>
            <w:pPr/>
          </w:p>
        </w:tc>
      </w:tr>
      <w:tr>
        <w:trPr>
          <w:trHeight w:val="1363" w:hRule="exact"/>
        </w:trPr>
        <w:tc>
          <w:tcPr>
            <w:tcW w:w="1591" w:type="dxa"/>
            <w:tcBorders>
              <w:top w:val="single" w:sz="6" w:space="0" w:color="000000"/>
              <w:left w:val="nil" w:sz="6" w:space="0" w:color="auto"/>
              <w:bottom w:val="single" w:sz="6" w:space="0" w:color="000000"/>
              <w:right w:val="single" w:sz="6" w:space="0" w:color="000000"/>
            </w:tcBorders>
          </w:tcPr>
          <w:p>
            <w:pPr>
              <w:pStyle w:val="TableParagraph"/>
              <w:spacing w:line="314" w:lineRule="auto" w:before="61"/>
              <w:ind w:left="26" w:right="-17"/>
              <w:jc w:val="left"/>
              <w:rPr>
                <w:rFonts w:ascii="宋体" w:hAnsi="宋体" w:cs="宋体" w:eastAsia="宋体" w:hint="default"/>
                <w:sz w:val="18"/>
                <w:szCs w:val="18"/>
              </w:rPr>
            </w:pPr>
            <w:r>
              <w:rPr>
                <w:rFonts w:ascii="宋体" w:hAnsi="宋体" w:cs="宋体" w:eastAsia="宋体" w:hint="default"/>
                <w:spacing w:val="14"/>
                <w:sz w:val="18"/>
                <w:szCs w:val="18"/>
              </w:rPr>
              <w:t>智慧医疗信息系统</w:t>
            </w:r>
            <w:r>
              <w:rPr>
                <w:rFonts w:ascii="宋体" w:hAnsi="宋体" w:cs="宋体" w:eastAsia="宋体" w:hint="default"/>
                <w:spacing w:val="-74"/>
                <w:sz w:val="18"/>
                <w:szCs w:val="18"/>
              </w:rPr>
              <w:t> </w:t>
            </w:r>
            <w:r>
              <w:rPr>
                <w:rFonts w:ascii="宋体" w:hAnsi="宋体" w:cs="宋体" w:eastAsia="宋体" w:hint="default"/>
                <w:sz w:val="18"/>
                <w:szCs w:val="18"/>
              </w:rPr>
              <w:t>一期工程</w:t>
            </w:r>
          </w:p>
        </w:tc>
        <w:tc>
          <w:tcPr>
            <w:tcW w:w="817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4" w:right="-1"/>
              <w:jc w:val="both"/>
              <w:rPr>
                <w:rFonts w:ascii="宋体" w:hAnsi="宋体" w:cs="宋体" w:eastAsia="宋体" w:hint="default"/>
                <w:sz w:val="18"/>
                <w:szCs w:val="18"/>
              </w:rPr>
            </w:pPr>
            <w:r>
              <w:rPr>
                <w:rFonts w:ascii="宋体" w:hAnsi="宋体" w:cs="宋体" w:eastAsia="宋体" w:hint="default"/>
                <w:sz w:val="18"/>
                <w:szCs w:val="18"/>
              </w:rPr>
              <w:t>贯彻智慧医疗理念，面向医生智能决策，分别从临床医生、医技医生、家庭医生三类医生出发，构建智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慧医疗基础平台，开发面向临床医生的单病种管理专家系统和健康风险评估专家系统，开发面向医技医</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生的基于</w:t>
            </w:r>
            <w:r>
              <w:rPr>
                <w:rFonts w:ascii="Times New Roman" w:hAnsi="Times New Roman" w:cs="Times New Roman" w:eastAsia="Times New Roman" w:hint="default"/>
                <w:spacing w:val="-2"/>
                <w:sz w:val="18"/>
                <w:szCs w:val="18"/>
              </w:rPr>
              <w:t>PACS</w:t>
            </w:r>
            <w:r>
              <w:rPr>
                <w:rFonts w:ascii="宋体" w:hAnsi="宋体" w:cs="宋体" w:eastAsia="宋体" w:hint="default"/>
                <w:spacing w:val="-2"/>
                <w:sz w:val="18"/>
                <w:szCs w:val="18"/>
              </w:rPr>
              <w:t>的智能化计算机辅助诊断（</w:t>
            </w:r>
            <w:r>
              <w:rPr>
                <w:rFonts w:ascii="Times New Roman" w:hAnsi="Times New Roman" w:cs="Times New Roman" w:eastAsia="Times New Roman" w:hint="default"/>
                <w:spacing w:val="-2"/>
                <w:sz w:val="18"/>
                <w:szCs w:val="18"/>
              </w:rPr>
              <w:t>CAD</w:t>
            </w:r>
            <w:r>
              <w:rPr>
                <w:rFonts w:ascii="宋体" w:hAnsi="宋体" w:cs="宋体" w:eastAsia="宋体" w:hint="default"/>
                <w:spacing w:val="-2"/>
                <w:sz w:val="18"/>
                <w:szCs w:val="18"/>
              </w:rPr>
              <w:t>）功能，实现肿瘤性质自动判断，开发面向家庭医生的家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庭医生业务支撑信息平台。</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91"/>
        <w:gridCol w:w="1411"/>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334" w:right="0"/>
              <w:jc w:val="left"/>
              <w:rPr>
                <w:rFonts w:ascii="Times New Roman" w:hAnsi="Times New Roman" w:cs="Times New Roman" w:eastAsia="Times New Roman" w:hint="default"/>
                <w:sz w:val="18"/>
                <w:szCs w:val="18"/>
              </w:rPr>
            </w:pPr>
            <w:r>
              <w:rPr>
                <w:rFonts w:ascii="Times New Roman"/>
                <w:sz w:val="18"/>
              </w:rPr>
              <w:t>27,114,904.52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19,008,869.05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10,902,837.76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91"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19" w:right="0"/>
              <w:jc w:val="left"/>
              <w:rPr>
                <w:rFonts w:ascii="Times New Roman" w:hAnsi="Times New Roman" w:cs="Times New Roman" w:eastAsia="Times New Roman" w:hint="default"/>
                <w:sz w:val="18"/>
                <w:szCs w:val="18"/>
              </w:rPr>
            </w:pPr>
            <w:r>
              <w:rPr>
                <w:rFonts w:ascii="Times New Roman"/>
                <w:sz w:val="18"/>
              </w:rPr>
              <w:t>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176.520004pt;margin-top:-33.216351pt;width:118pt;height:20.8pt;mso-position-horizontal-relative:page;mso-position-vertical-relative:paragraph;z-index:-749680" coordorigin="3530,-664" coordsize="2360,416">
            <v:group style="position:absolute;left:3542;top:-652;width:2;height:392" coordorigin="3542,-652" coordsize="2,392">
              <v:shape style="position:absolute;left:3542;top:-652;width:2;height:392" coordorigin="3542,-652" coordsize="0,392" path="m3542,-652l3542,-261e" filled="false" stroked="true" strokeweight="1.2pt" strokecolor="#ffffff">
                <v:path arrowok="t"/>
              </v:shape>
            </v:group>
            <v:group style="position:absolute;left:3554;top:-652;width:2336;height:392" coordorigin="3554,-652" coordsize="2336,392">
              <v:shape style="position:absolute;left:3554;top:-652;width:2336;height:392" coordorigin="3554,-652" coordsize="2336,392" path="m3554,-261l5890,-261,5890,-652,3554,-652,3554,-261xe" filled="true" fillcolor="#ffffff" stroked="false">
                <v:path arrowok="t"/>
                <v:fill type="solid"/>
              </v:shape>
            </v:group>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3"/>
        <w:jc w:val="right"/>
      </w:pPr>
      <w:bookmarkStart w:name="（5）现金流" w:id="23"/>
      <w:bookmarkEnd w:id="23"/>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363,967,741.97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195,523,036.05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86.15%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336,594,573.82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190,924,420.23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27,373,168.15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4,598,615.82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495.25%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10,135,356.16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22,260,617.83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23,791,439.93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-22,259,598.83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-13,656,083.77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347,693,750.00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7,164,430.00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340,529,320.00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-100.43%</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3,663,569.32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331,471,852.05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-98.89%</w:t>
            </w: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40" w:lineRule="auto" w:before="101"/>
        <w:ind w:left="512"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经营活动现金流入较上年发生额增加</w:t>
      </w:r>
      <w:r>
        <w:rPr>
          <w:rFonts w:ascii="Times New Roman" w:hAnsi="Times New Roman" w:cs="Times New Roman" w:eastAsia="Times New Roman" w:hint="default"/>
          <w:spacing w:val="-1"/>
        </w:rPr>
        <w:t>86.15%</w:t>
      </w:r>
      <w:r>
        <w:rPr>
          <w:spacing w:val="-1"/>
        </w:rPr>
        <w:t>、经营活动现金流出较上年发生额增加</w:t>
      </w:r>
      <w:r>
        <w:rPr>
          <w:rFonts w:ascii="Times New Roman" w:hAnsi="Times New Roman" w:cs="Times New Roman" w:eastAsia="Times New Roman" w:hint="default"/>
          <w:spacing w:val="-1"/>
        </w:rPr>
        <w:t>76.3%</w:t>
      </w:r>
      <w:r>
        <w:rPr>
          <w:spacing w:val="-1"/>
        </w:rPr>
        <w:t>和经营活动现金净流量较上年</w:t>
      </w:r>
    </w:p>
    <w:p>
      <w:pPr>
        <w:pStyle w:val="BodyText"/>
        <w:spacing w:line="228" w:lineRule="exact"/>
        <w:ind w:right="0"/>
        <w:jc w:val="left"/>
      </w:pPr>
      <w:r>
        <w:rPr/>
        <w:t>发生额增加</w:t>
      </w:r>
      <w:r>
        <w:rPr>
          <w:rFonts w:ascii="Times New Roman" w:hAnsi="Times New Roman" w:cs="Times New Roman" w:eastAsia="Times New Roman" w:hint="default"/>
        </w:rPr>
        <w:t>495.25%</w:t>
      </w:r>
      <w:r>
        <w:rPr/>
        <w:t>，主要是营业收入规模增长以及软件产品增值税即征即退所致；</w:t>
      </w:r>
    </w:p>
    <w:p>
      <w:pPr>
        <w:pStyle w:val="BodyText"/>
        <w:spacing w:line="300" w:lineRule="auto" w:before="62"/>
        <w:ind w:left="512" w:right="284"/>
        <w:jc w:val="left"/>
      </w:pPr>
      <w:r>
        <w:rPr/>
        <w:t>投资活动现金流入较上年发生额减少</w:t>
      </w:r>
      <w:r>
        <w:rPr>
          <w:rFonts w:ascii="Times New Roman" w:hAnsi="Times New Roman" w:cs="Times New Roman" w:eastAsia="Times New Roman" w:hint="default"/>
        </w:rPr>
        <w:t>99.99%</w:t>
      </w:r>
      <w:r>
        <w:rPr/>
        <w:t>，主要是</w:t>
      </w:r>
      <w:r>
        <w:rPr>
          <w:rFonts w:ascii="Times New Roman" w:hAnsi="Times New Roman" w:cs="Times New Roman" w:eastAsia="Times New Roman" w:hint="default"/>
        </w:rPr>
        <w:t>2011</w:t>
      </w:r>
      <w:r>
        <w:rPr/>
        <w:t>年度投资</w:t>
      </w:r>
      <w:r>
        <w:rPr>
          <w:rFonts w:ascii="Times New Roman" w:hAnsi="Times New Roman" w:cs="Times New Roman" w:eastAsia="Times New Roman" w:hint="default"/>
        </w:rPr>
        <w:t>1000</w:t>
      </w:r>
      <w:r>
        <w:rPr/>
        <w:t>万理财产品，而</w:t>
      </w:r>
      <w:r>
        <w:rPr>
          <w:rFonts w:ascii="Times New Roman" w:hAnsi="Times New Roman" w:cs="Times New Roman" w:eastAsia="Times New Roman" w:hint="default"/>
        </w:rPr>
        <w:t>2012</w:t>
      </w:r>
      <w:r>
        <w:rPr/>
        <w:t>年没有；投资活动现金净 流量较上年发生额增加</w:t>
      </w:r>
      <w:r>
        <w:rPr>
          <w:rFonts w:ascii="Times New Roman" w:hAnsi="Times New Roman" w:cs="Times New Roman" w:eastAsia="Times New Roman" w:hint="default"/>
        </w:rPr>
        <w:t>63%</w:t>
      </w:r>
      <w:r>
        <w:rPr/>
        <w:t>，主要是业务增长及募投资金投入所致； 筹资活动现金流入较上年发生额减少</w:t>
      </w:r>
      <w:r>
        <w:rPr>
          <w:rFonts w:ascii="Times New Roman" w:hAnsi="Times New Roman" w:cs="Times New Roman" w:eastAsia="Times New Roman" w:hint="default"/>
        </w:rPr>
        <w:t>98.88%</w:t>
      </w:r>
      <w:r>
        <w:rPr/>
        <w:t>和投资活动现金净流量较上年发生额减少</w:t>
      </w:r>
      <w:r>
        <w:rPr>
          <w:rFonts w:ascii="Times New Roman" w:hAnsi="Times New Roman" w:cs="Times New Roman" w:eastAsia="Times New Roman" w:hint="default"/>
        </w:rPr>
        <w:t>100.43%</w:t>
      </w:r>
      <w:r>
        <w:rPr/>
        <w:t>，主要是</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月发行</w:t>
      </w:r>
    </w:p>
    <w:p>
      <w:pPr>
        <w:pStyle w:val="BodyText"/>
        <w:spacing w:line="240" w:lineRule="auto" w:before="13"/>
        <w:ind w:right="0"/>
        <w:jc w:val="left"/>
      </w:pPr>
      <w:r>
        <w:rPr/>
        <w:t>新股所致；</w:t>
      </w:r>
    </w:p>
    <w:p>
      <w:pPr>
        <w:pStyle w:val="BodyText"/>
        <w:spacing w:line="340" w:lineRule="auto" w:before="76"/>
        <w:ind w:right="1469" w:firstLine="360"/>
        <w:jc w:val="left"/>
      </w:pPr>
      <w:r>
        <w:rPr/>
        <w:t>现金及现金等价物净增加额较上年发生额减少</w:t>
      </w:r>
      <w:r>
        <w:rPr>
          <w:rFonts w:ascii="Times New Roman" w:hAnsi="Times New Roman" w:cs="Times New Roman" w:eastAsia="Times New Roman" w:hint="default"/>
        </w:rPr>
        <w:t>98.89%</w:t>
      </w:r>
      <w:r>
        <w:rPr/>
        <w:t>，主要是</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月发行新股募集资金流入所致。 报告期内公司经营活动的现金流量与本年度净利润存在重大差异的原因说明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0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主营业务分部报告" w:id="24"/>
      <w:bookmarkEnd w:id="24"/>
      <w:r>
        <w:rPr>
          <w:b w:val="0"/>
          <w:bCs w:val="0"/>
        </w:rPr>
      </w:r>
      <w:r>
        <w:rPr/>
        <w:t>（</w:t>
      </w:r>
      <w:r>
        <w:rPr>
          <w:rFonts w:ascii="Times New Roman" w:hAnsi="Times New Roman" w:cs="Times New Roman" w:eastAsia="Times New Roman" w:hint="default"/>
        </w:rPr>
        <w:t>6</w:t>
      </w:r>
      <w:bookmarkStart w:name="（6）公司主要供应商、客户情况" w:id="25"/>
      <w:bookmarkEnd w:id="25"/>
      <w:r>
        <w:rPr>
          <w:rFonts w:ascii="Times New Roman" w:hAnsi="Times New Roman" w:cs="Times New Roman" w:eastAsia="Times New Roman" w:hint="default"/>
        </w:rPr>
      </w:r>
      <w:r>
        <w:rPr/>
        <w:t>）公司主要供应商、客户情况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60,959,206.20</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22.93%</w:t>
            </w:r>
          </w:p>
        </w:tc>
      </w:tr>
    </w:tbl>
    <w:p>
      <w:pPr>
        <w:pStyle w:val="BodyText"/>
        <w:spacing w:line="240" w:lineRule="auto" w:before="49"/>
        <w:ind w:right="0"/>
        <w:jc w:val="left"/>
      </w:pPr>
      <w:r>
        <w:rPr/>
        <w:t>向单一客户销售比例超过</w:t>
      </w:r>
      <w:r>
        <w:rPr>
          <w:spacing w:val="-47"/>
        </w:rPr>
        <w:t> </w:t>
      </w:r>
      <w:r>
        <w:rPr>
          <w:rFonts w:ascii="Times New Roman" w:hAnsi="Times New Roman" w:cs="Times New Roman" w:eastAsia="Times New Roman" w:hint="default"/>
        </w:rPr>
        <w:t>30%</w:t>
      </w:r>
      <w:r>
        <w:rPr/>
        <w:t>的客户资料</w:t>
      </w:r>
    </w:p>
    <w:p>
      <w:pPr>
        <w:pStyle w:val="BodyText"/>
        <w:spacing w:line="338" w:lineRule="auto" w:before="103"/>
        <w:ind w:right="81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28,219,141.94</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tabs>
                <w:tab w:pos="4725" w:val="left" w:leader="none"/>
              </w:tabs>
              <w:spacing w:line="240" w:lineRule="auto" w:before="49"/>
              <w:ind w:left="-125" w:right="1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30.44%</w:t>
            </w:r>
          </w:p>
        </w:tc>
      </w:tr>
    </w:tbl>
    <w:p>
      <w:pPr>
        <w:pStyle w:val="BodyText"/>
        <w:spacing w:line="240" w:lineRule="auto" w:before="49"/>
        <w:ind w:right="0"/>
        <w:jc w:val="left"/>
      </w:pPr>
      <w:r>
        <w:rPr/>
        <w:pict>
          <v:group style="position:absolute;margin-left:269.760010pt;margin-top:-20.638262pt;width:263.9pt;height:20.8pt;mso-position-horizontal-relative:page;mso-position-vertical-relative:paragraph;z-index:-749656" coordorigin="5395,-413" coordsize="5278,416">
            <v:group style="position:absolute;left:5407;top:-401;width:2;height:392" coordorigin="5407,-401" coordsize="2,392">
              <v:shape style="position:absolute;left:5407;top:-401;width:2;height:392" coordorigin="5407,-401" coordsize="0,392" path="m5407,-401l5407,-10e" filled="false" stroked="true" strokeweight="1.2pt" strokecolor="#ffffff">
                <v:path arrowok="t"/>
              </v:shape>
            </v:group>
            <v:group style="position:absolute;left:5419;top:-401;width:5254;height:392" coordorigin="5419,-401" coordsize="5254,392">
              <v:shape style="position:absolute;left:5419;top:-401;width:5254;height:392" coordorigin="5419,-401" coordsize="5254,392" path="m5419,-10l10673,-10,10673,-401,5419,-401,5419,-10xe" filled="true" fillcolor="#ffffff" stroked="false">
                <v:path arrowok="t"/>
                <v:fill type="solid"/>
              </v:shape>
            </v:group>
            <w10:wrap type="none"/>
          </v:group>
        </w:pict>
      </w:r>
      <w:r>
        <w:rPr/>
        <w:t>向单一供应商采购比例超过</w:t>
      </w:r>
      <w:r>
        <w:rPr>
          <w:spacing w:val="-48"/>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7）公司未来发展与规划延续至报告期的说明" w:id="26"/>
      <w:bookmarkEnd w:id="26"/>
      <w:r>
        <w:rPr/>
      </w:r>
      <w:r>
        <w:rPr/>
        <w:t>首次公开发行招股说明书中披露的未来发展与规划在本报告期的实施情况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316" w:lineRule="auto"/>
        <w:ind w:right="152" w:firstLine="288"/>
        <w:jc w:val="both"/>
      </w:pPr>
      <w:r>
        <w:rPr>
          <w:spacing w:val="-1"/>
        </w:rPr>
        <w:t>公司首次公开发行时招股说明书中披露的未来三年发展目标是：继续保持在传统医院信息管理系统和医技信息管理系统</w:t>
      </w:r>
      <w:r>
        <w:rPr/>
        <w:t> </w:t>
      </w:r>
      <w:r>
        <w:rPr>
          <w:spacing w:val="-2"/>
        </w:rPr>
        <w:t>产品的市场领先优势，大力发展公共卫生信息产品，逐步实现从单纯的软件开发商向医疗行业整体解决方案提供商的战略转</w:t>
      </w:r>
      <w:r>
        <w:rPr>
          <w:spacing w:val="-64"/>
        </w:rPr>
        <w:t> </w:t>
      </w:r>
      <w:r>
        <w:rPr>
          <w:spacing w:val="-64"/>
        </w:rPr>
      </w:r>
      <w:r>
        <w:rPr/>
        <w:t>型，成为中国医疗卫生信息化行业的绝对领先企业。</w:t>
      </w:r>
    </w:p>
    <w:p>
      <w:pPr>
        <w:pStyle w:val="BodyText"/>
        <w:spacing w:line="304" w:lineRule="auto" w:before="139"/>
        <w:ind w:right="152" w:firstLine="360"/>
        <w:jc w:val="both"/>
      </w:pPr>
      <w:r>
        <w:rPr>
          <w:spacing w:val="-2"/>
        </w:rPr>
        <w:t>为了实现以上发展目标，进一步增强公司成长性、增进自主创新能力和提升核心竞争优势，报告期内，随着上市募集资</w:t>
      </w:r>
      <w:r>
        <w:rPr/>
        <w:t> 金投资项目的建设，公司继续加大研发投入，研发人员从上年末的</w:t>
      </w:r>
      <w:r>
        <w:rPr>
          <w:rFonts w:ascii="Times New Roman" w:hAnsi="Times New Roman" w:cs="Times New Roman" w:eastAsia="Times New Roman" w:hint="default"/>
        </w:rPr>
        <w:t>140</w:t>
      </w:r>
      <w:r>
        <w:rPr/>
        <w:t>人增加为报告期末的</w:t>
      </w:r>
      <w:r>
        <w:rPr>
          <w:rFonts w:ascii="Times New Roman" w:hAnsi="Times New Roman" w:cs="Times New Roman" w:eastAsia="Times New Roman" w:hint="default"/>
        </w:rPr>
        <w:t>195</w:t>
      </w:r>
      <w:r>
        <w:rPr/>
        <w:t>人，增长</w:t>
      </w:r>
      <w:r>
        <w:rPr>
          <w:rFonts w:ascii="Times New Roman" w:hAnsi="Times New Roman" w:cs="Times New Roman" w:eastAsia="Times New Roman" w:hint="default"/>
        </w:rPr>
        <w:t>38.40%</w:t>
      </w:r>
      <w:r>
        <w:rPr/>
        <w:t>；研发费用</w:t>
      </w:r>
      <w:r>
        <w:rPr>
          <w:spacing w:val="-26"/>
        </w:rPr>
        <w:t> </w:t>
      </w:r>
      <w:r>
        <w:rPr>
          <w:spacing w:val="-26"/>
        </w:rPr>
      </w:r>
      <w:r>
        <w:rPr>
          <w:spacing w:val="-1"/>
        </w:rPr>
        <w:t>同比增长</w:t>
      </w:r>
      <w:r>
        <w:rPr>
          <w:rFonts w:ascii="Times New Roman" w:hAnsi="Times New Roman" w:cs="Times New Roman" w:eastAsia="Times New Roman" w:hint="default"/>
          <w:spacing w:val="-1"/>
        </w:rPr>
        <w:t>42.64%</w:t>
      </w:r>
      <w:r>
        <w:rPr>
          <w:spacing w:val="-1"/>
        </w:rPr>
        <w:t>；新增软件著作权证书</w:t>
      </w:r>
      <w:r>
        <w:rPr>
          <w:rFonts w:ascii="Times New Roman" w:hAnsi="Times New Roman" w:cs="Times New Roman" w:eastAsia="Times New Roman" w:hint="default"/>
          <w:spacing w:val="-1"/>
        </w:rPr>
        <w:t>12</w:t>
      </w:r>
      <w:r>
        <w:rPr>
          <w:spacing w:val="-1"/>
        </w:rPr>
        <w:t>项，软件产品登记证书</w:t>
      </w:r>
      <w:r>
        <w:rPr>
          <w:rFonts w:ascii="Times New Roman" w:hAnsi="Times New Roman" w:cs="Times New Roman" w:eastAsia="Times New Roman" w:hint="default"/>
          <w:spacing w:val="-1"/>
        </w:rPr>
        <w:t>31</w:t>
      </w:r>
      <w:r>
        <w:rPr>
          <w:spacing w:val="-1"/>
        </w:rPr>
        <w:t>项；加大员工招聘力度，员工从</w:t>
      </w:r>
      <w:r>
        <w:rPr>
          <w:rFonts w:ascii="Times New Roman" w:hAnsi="Times New Roman" w:cs="Times New Roman" w:eastAsia="Times New Roman" w:hint="default"/>
          <w:spacing w:val="-1"/>
        </w:rPr>
        <w:t>2011</w:t>
      </w:r>
      <w:r>
        <w:rPr>
          <w:spacing w:val="-1"/>
        </w:rPr>
        <w:t>年末的</w:t>
      </w:r>
      <w:r>
        <w:rPr>
          <w:rFonts w:ascii="Times New Roman" w:hAnsi="Times New Roman" w:cs="Times New Roman" w:eastAsia="Times New Roman" w:hint="default"/>
          <w:spacing w:val="-1"/>
        </w:rPr>
        <w:t>638</w:t>
      </w:r>
      <w:r>
        <w:rPr>
          <w:spacing w:val="-1"/>
        </w:rPr>
        <w:t>人增长为</w:t>
      </w:r>
      <w:r>
        <w:rPr>
          <w:spacing w:val="-45"/>
        </w:rPr>
        <w:t> </w:t>
      </w:r>
      <w:r>
        <w:rPr>
          <w:spacing w:val="-45"/>
        </w:rPr>
      </w:r>
      <w:r>
        <w:rPr>
          <w:spacing w:val="-1"/>
        </w:rPr>
        <w:t>报告期末的</w:t>
      </w:r>
      <w:r>
        <w:rPr>
          <w:rFonts w:ascii="Times New Roman" w:hAnsi="Times New Roman" w:cs="Times New Roman" w:eastAsia="Times New Roman" w:hint="default"/>
          <w:spacing w:val="-1"/>
        </w:rPr>
        <w:t>883</w:t>
      </w:r>
      <w:r>
        <w:rPr>
          <w:spacing w:val="-1"/>
        </w:rPr>
        <w:t>人，增长</w:t>
      </w:r>
      <w:r>
        <w:rPr>
          <w:rFonts w:ascii="Times New Roman" w:hAnsi="Times New Roman" w:cs="Times New Roman" w:eastAsia="Times New Roman" w:hint="default"/>
          <w:spacing w:val="-1"/>
        </w:rPr>
        <w:t>38.40%</w:t>
      </w:r>
      <w:r>
        <w:rPr>
          <w:spacing w:val="-1"/>
        </w:rPr>
        <w:t>，为公司的持续发展提供了人力资源保障；此外，</w:t>
      </w:r>
      <w:r>
        <w:rPr>
          <w:rFonts w:ascii="Times New Roman" w:hAnsi="Times New Roman" w:cs="Times New Roman" w:eastAsia="Times New Roman" w:hint="default"/>
          <w:spacing w:val="-1"/>
        </w:rPr>
        <w:t>2012</w:t>
      </w:r>
      <w:r>
        <w:rPr>
          <w:spacing w:val="-1"/>
        </w:rPr>
        <w:t>年为公司成功上市后完整运营的第一</w:t>
      </w:r>
      <w:r>
        <w:rPr>
          <w:spacing w:val="-43"/>
        </w:rPr>
        <w:t> </w:t>
      </w:r>
      <w:r>
        <w:rPr>
          <w:spacing w:val="-43"/>
        </w:rPr>
      </w:r>
      <w:r>
        <w:rPr/>
        <w:t>年，为公司的品牌战略奠定了基础。</w:t>
      </w:r>
    </w:p>
    <w:p>
      <w:pPr>
        <w:pStyle w:val="BodyText"/>
        <w:spacing w:line="300" w:lineRule="auto" w:before="27"/>
        <w:ind w:right="150" w:firstLine="360"/>
        <w:jc w:val="both"/>
      </w:pPr>
      <w:r>
        <w:rPr>
          <w:spacing w:val="-2"/>
        </w:rPr>
        <w:t>同时，</w:t>
      </w:r>
      <w:r>
        <w:rPr>
          <w:rFonts w:ascii="Times New Roman" w:hAnsi="Times New Roman" w:cs="Times New Roman" w:eastAsia="Times New Roman" w:hint="default"/>
          <w:spacing w:val="-2"/>
        </w:rPr>
        <w:t>2012</w:t>
      </w:r>
      <w:r>
        <w:rPr>
          <w:spacing w:val="-2"/>
        </w:rPr>
        <w:t>年度经营计划在报告期内也得到了较好的贯彻执行，各项既定工作均取得了良好的进展，为公司的持续健康</w:t>
      </w:r>
      <w:r>
        <w:rPr/>
        <w:t> 发展打下了坚实的基础。</w:t>
      </w:r>
    </w:p>
    <w:p>
      <w:pPr>
        <w:pStyle w:val="BodyText"/>
        <w:spacing w:line="357" w:lineRule="auto" w:before="72"/>
        <w:ind w:left="440" w:right="3726" w:hanging="288"/>
        <w:jc w:val="left"/>
      </w:pPr>
      <w:r>
        <w:rPr/>
        <w:t>公司回顾总结前期披露的发展战略和经营计划在报告期内的进展情况 公司于</w:t>
      </w:r>
      <w:r>
        <w:rPr>
          <w:rFonts w:ascii="Times New Roman" w:hAnsi="Times New Roman" w:cs="Times New Roman" w:eastAsia="Times New Roman" w:hint="default"/>
        </w:rPr>
        <w:t>2011</w:t>
      </w:r>
      <w:r>
        <w:rPr/>
        <w:t>年成功上市，前期披露的发展战略和经营计划进展情况同上。</w:t>
      </w:r>
    </w:p>
    <w:p>
      <w:pPr>
        <w:pStyle w:val="BodyText"/>
        <w:spacing w:line="240" w:lineRule="auto" w:before="6"/>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8"/>
        <w:gridCol w:w="1360"/>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56" w:right="37"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265,771,223.38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120,823,323.64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77.97%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-5.51%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136,658,939.10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42,879,289.29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71,153,842.19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54,413,563.45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57,958,442.09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23,530,470.90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-17.26%</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123,833,940.28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59,156,740.03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121.02%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24,540,822.22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9,745,920.35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16,818,998.67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8,156,721.31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22,647,304.22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13,968,282.69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67.11%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7,894,457.39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3,084,563.76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-11.12%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31,870,888.28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11,222,002.04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38,164,812.32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15,489,093.46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176.23%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-9.35%</w:t>
            </w:r>
          </w:p>
        </w:tc>
      </w:tr>
    </w:tbl>
    <w:p>
      <w:pPr>
        <w:pStyle w:val="BodyText"/>
        <w:spacing w:line="240" w:lineRule="auto" w:before="49"/>
        <w:ind w:right="184"/>
        <w:jc w:val="left"/>
      </w:pPr>
      <w:bookmarkStart w:name="4、公司竞争能力重大变化分析" w:id="27"/>
      <w:bookmarkEnd w:id="27"/>
      <w:r>
        <w:rPr/>
      </w:r>
      <w:r>
        <w:rPr/>
        <w:t>公司主营业务数据统计口径在报告期发生调整的情况下，公司最近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4"/>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bookmarkStart w:name="3、资产、负债状况分析" w:id="28"/>
      <w:bookmarkEnd w:id="28"/>
      <w:r>
        <w:rPr/>
      </w:r>
      <w:bookmarkStart w:name="（1）资产项目重大变动情况" w:id="29"/>
      <w:bookmarkEnd w:id="29"/>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4D4D4"/>
          </w:tcPr>
          <w:p>
            <w:pPr/>
          </w:p>
        </w:tc>
        <w:tc>
          <w:tcPr>
            <w:tcW w:w="222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8" w:type="dxa"/>
            <w:vMerge w:val="restart"/>
            <w:tcBorders>
              <w:top w:val="single" w:sz="4" w:space="0" w:color="000000"/>
              <w:left w:val="single" w:sz="4" w:space="0" w:color="000000"/>
              <w:right w:val="single" w:sz="4" w:space="0" w:color="000000"/>
            </w:tcBorders>
            <w:shd w:val="clear" w:color="auto" w:fill="D4D4D4"/>
          </w:tcPr>
          <w:p>
            <w:pPr/>
          </w:p>
        </w:tc>
      </w:tr>
      <w:tr>
        <w:trPr>
          <w:trHeight w:val="174"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2227" w:type="dxa"/>
            <w:gridSpan w:val="2"/>
            <w:vMerge/>
            <w:tcBorders>
              <w:left w:val="single" w:sz="4" w:space="0" w:color="000000"/>
              <w:bottom w:val="single" w:sz="4" w:space="0" w:color="000000"/>
              <w:right w:val="single" w:sz="4" w:space="0" w:color="000000"/>
            </w:tcBorders>
            <w:shd w:val="clear" w:color="auto" w:fill="D4D4D4"/>
          </w:tcPr>
          <w:p>
            <w:pPr/>
          </w:p>
        </w:tc>
        <w:tc>
          <w:tcPr>
            <w:tcW w:w="2258" w:type="dxa"/>
            <w:gridSpan w:val="2"/>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84"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412,384,289.1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66.23%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405,928,774.87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77.88%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-11.65%</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104,728,958.5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16.82%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61,186,224.44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11.74%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5.08%</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26,150,827.88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8,510,406.99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23,589,929.85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14,414,656.00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84"/>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2" w:right="184"/>
        <w:jc w:val="left"/>
      </w:pPr>
      <w:r>
        <w:rPr/>
        <w:t>报告期内，公司核心竞争能力未发生重大变化。 </w:t>
      </w:r>
      <w:r>
        <w:rPr>
          <w:spacing w:val="-2"/>
        </w:rPr>
        <w:t>公司的核心竞争力包括领先的行业地位和提供整体解决方案的能力、丰富的技术积累和复合型人才储备优势、持续的创</w:t>
      </w:r>
    </w:p>
    <w:p>
      <w:pPr>
        <w:pStyle w:val="BodyText"/>
        <w:spacing w:line="316" w:lineRule="auto" w:before="18"/>
        <w:ind w:right="94"/>
        <w:jc w:val="left"/>
      </w:pPr>
      <w:r>
        <w:rPr>
          <w:spacing w:val="-4"/>
        </w:rPr>
        <w:t>新能力、先进的研发模式和理念、专业的营销能力和高效的服务体系等方面。报告期内，这些核心竞争能力得到进一步加强，</w:t>
      </w:r>
      <w:r>
        <w:rPr>
          <w:spacing w:val="-46"/>
        </w:rPr>
        <w:t> </w:t>
      </w:r>
      <w:r>
        <w:rPr>
          <w:spacing w:val="-46"/>
        </w:rPr>
      </w:r>
      <w:r>
        <w:rPr/>
        <w:t>核心技术人员保持稳定，技术开发能力进一步增强。具体体现在以下几方面：</w:t>
      </w:r>
    </w:p>
    <w:p>
      <w:pPr>
        <w:pStyle w:val="BodyText"/>
        <w:spacing w:line="300" w:lineRule="auto" w:before="18"/>
        <w:ind w:left="512" w:right="184"/>
        <w:jc w:val="left"/>
      </w:pPr>
      <w:r>
        <w:rPr>
          <w:rFonts w:ascii="Times New Roman" w:hAnsi="Times New Roman" w:cs="Times New Roman" w:eastAsia="Times New Roman" w:hint="default"/>
        </w:rPr>
        <w:t>1</w:t>
      </w:r>
      <w:r>
        <w:rPr/>
        <w:t>、技术创新 </w:t>
      </w:r>
      <w:r>
        <w:rPr>
          <w:spacing w:val="-2"/>
        </w:rPr>
        <w:t>作为人才与技术密集型企业，公司多年来一直非常注重行业应用技术研究与自主创新技术的发展，始终强调产品研发与</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548"/>
        <w:jc w:val="both"/>
      </w:pPr>
      <w:r>
        <w:rPr>
          <w:spacing w:val="-2"/>
        </w:rPr>
        <w:t>市场需求的紧密结合，需求来源于客户，产品又服务于客户，研发与市场形成了良好互动和相互促进。公司先后成功申报了</w:t>
      </w:r>
      <w:r>
        <w:rPr>
          <w:spacing w:val="-65"/>
        </w:rPr>
        <w:t> </w:t>
      </w:r>
      <w:r>
        <w:rPr>
          <w:spacing w:val="-65"/>
        </w:rPr>
      </w:r>
      <w:r>
        <w:rPr>
          <w:spacing w:val="-2"/>
        </w:rPr>
        <w:t>国家电子发展基金项目等政府科研课题，设立了上海市浦东新区研发机构。研发人员从上年末的</w:t>
      </w:r>
      <w:r>
        <w:rPr>
          <w:rFonts w:ascii="Times New Roman" w:hAnsi="Times New Roman" w:cs="Times New Roman" w:eastAsia="Times New Roman" w:hint="default"/>
          <w:spacing w:val="-2"/>
        </w:rPr>
        <w:t>140</w:t>
      </w:r>
      <w:r>
        <w:rPr>
          <w:spacing w:val="-2"/>
        </w:rPr>
        <w:t>人增加为报告期末的</w:t>
      </w:r>
      <w:r>
        <w:rPr>
          <w:rFonts w:ascii="Times New Roman" w:hAnsi="Times New Roman" w:cs="Times New Roman" w:eastAsia="Times New Roman" w:hint="default"/>
          <w:spacing w:val="-2"/>
        </w:rPr>
        <w:t>195</w:t>
      </w:r>
      <w:r>
        <w:rPr>
          <w:rFonts w:ascii="Times New Roman" w:hAnsi="Times New Roman" w:cs="Times New Roman" w:eastAsia="Times New Roman" w:hint="default"/>
          <w:spacing w:val="-10"/>
        </w:rPr>
        <w:t> </w:t>
      </w:r>
      <w:r>
        <w:rPr/>
        <w:t>人，增长</w:t>
      </w:r>
      <w:r>
        <w:rPr>
          <w:rFonts w:ascii="Times New Roman" w:hAnsi="Times New Roman" w:cs="Times New Roman" w:eastAsia="Times New Roman" w:hint="default"/>
        </w:rPr>
        <w:t>38.40%</w:t>
      </w:r>
      <w:r>
        <w:rPr/>
        <w:t>；研发费用同比增长</w:t>
      </w:r>
      <w:r>
        <w:rPr>
          <w:rFonts w:ascii="Times New Roman" w:hAnsi="Times New Roman" w:cs="Times New Roman" w:eastAsia="Times New Roman" w:hint="default"/>
        </w:rPr>
        <w:t>42.64%</w:t>
      </w:r>
      <w:r>
        <w:rPr/>
        <w:t>。</w:t>
      </w:r>
    </w:p>
    <w:p>
      <w:pPr>
        <w:pStyle w:val="BodyText"/>
        <w:spacing w:line="300" w:lineRule="auto" w:before="5"/>
        <w:ind w:left="512" w:right="0"/>
        <w:jc w:val="left"/>
      </w:pPr>
      <w:r>
        <w:rPr>
          <w:rFonts w:ascii="Times New Roman" w:hAnsi="Times New Roman" w:cs="Times New Roman" w:eastAsia="Times New Roman" w:hint="default"/>
        </w:rPr>
        <w:t>2</w:t>
      </w:r>
      <w:r>
        <w:rPr/>
        <w:t>、市场开拓和体系建设 </w:t>
      </w:r>
      <w:r>
        <w:rPr>
          <w:spacing w:val="-2"/>
        </w:rPr>
        <w:t>公司高度重视全国市场布局和拓展，通过完善和优化覆盖全国的营销服务体系建设，实现营销实施服务本地化，使得公</w:t>
      </w:r>
    </w:p>
    <w:p>
      <w:pPr>
        <w:pStyle w:val="BodyText"/>
        <w:spacing w:line="300" w:lineRule="auto" w:before="31"/>
        <w:ind w:right="550"/>
        <w:jc w:val="both"/>
      </w:pPr>
      <w:r>
        <w:rPr>
          <w:spacing w:val="-5"/>
        </w:rPr>
        <w:t>司业务得以向全国主要市场区域渗透，争取获得更多订单，并通过落实更多样板项目建设，实现公司整体经营目标。截至</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日，公司在上海、北京、长沙、武汉、西安等地共设立了近</w:t>
      </w:r>
      <w:r>
        <w:rPr>
          <w:rFonts w:ascii="Times New Roman" w:hAnsi="Times New Roman" w:cs="Times New Roman" w:eastAsia="Times New Roman" w:hint="default"/>
        </w:rPr>
        <w:t>10</w:t>
      </w:r>
      <w:r>
        <w:rPr/>
        <w:t>家分公司、</w:t>
      </w:r>
      <w:r>
        <w:rPr>
          <w:rFonts w:ascii="Times New Roman" w:hAnsi="Times New Roman" w:cs="Times New Roman" w:eastAsia="Times New Roman" w:hint="default"/>
        </w:rPr>
        <w:t>4</w:t>
      </w:r>
      <w:r>
        <w:rPr/>
        <w:t>家全资及控股子公司。</w:t>
      </w:r>
    </w:p>
    <w:p>
      <w:pPr>
        <w:pStyle w:val="BodyText"/>
        <w:spacing w:line="300" w:lineRule="auto" w:before="13"/>
        <w:ind w:left="512" w:right="364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、无形资产 报告期内，公司及全资子公司申请获得</w:t>
      </w:r>
      <w:r>
        <w:rPr>
          <w:rFonts w:ascii="Times New Roman" w:hAnsi="Times New Roman" w:cs="Times New Roman" w:eastAsia="Times New Roman" w:hint="default"/>
        </w:rPr>
        <w:t>12</w:t>
      </w:r>
      <w:r>
        <w:rPr/>
        <w:t>项计算机软件著作权，具体明细如下</w:t>
      </w:r>
      <w:r>
        <w:rPr>
          <w:rFonts w:ascii="Times New Roman" w:hAnsi="Times New Roman" w:cs="Times New Roman" w:eastAsia="Times New Roman" w:hint="default"/>
        </w:rPr>
        <w:t>:</w:t>
      </w:r>
    </w:p>
    <w:tbl>
      <w:tblPr>
        <w:tblW w:w="0" w:type="auto"/>
        <w:jc w:val="left"/>
        <w:tblInd w:w="145" w:type="dxa"/>
        <w:tblLayout w:type="fixed"/>
        <w:tblCellMar>
          <w:top w:w="0" w:type="dxa"/>
          <w:left w:w="0" w:type="dxa"/>
          <w:bottom w:w="0" w:type="dxa"/>
          <w:right w:w="0" w:type="dxa"/>
        </w:tblCellMar>
        <w:tblLook w:val="01E0"/>
      </w:tblPr>
      <w:tblGrid>
        <w:gridCol w:w="566"/>
        <w:gridCol w:w="2837"/>
        <w:gridCol w:w="1416"/>
        <w:gridCol w:w="1418"/>
        <w:gridCol w:w="1560"/>
        <w:gridCol w:w="1274"/>
        <w:gridCol w:w="994"/>
      </w:tblGrid>
      <w:tr>
        <w:trPr>
          <w:trHeight w:val="654" w:hRule="exact"/>
        </w:trPr>
        <w:tc>
          <w:tcPr>
            <w:tcW w:w="566"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37"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
              <w:ind w:left="782" w:right="0"/>
              <w:jc w:val="left"/>
              <w:rPr>
                <w:rFonts w:ascii="宋体" w:hAnsi="宋体" w:cs="宋体" w:eastAsia="宋体" w:hint="default"/>
                <w:sz w:val="18"/>
                <w:szCs w:val="18"/>
              </w:rPr>
            </w:pPr>
            <w:r>
              <w:rPr>
                <w:rFonts w:ascii="宋体" w:hAnsi="宋体" w:cs="宋体" w:eastAsia="宋体" w:hint="default"/>
                <w:sz w:val="18"/>
                <w:szCs w:val="18"/>
              </w:rPr>
              <w:t>软件著作权名称</w:t>
            </w:r>
          </w:p>
        </w:tc>
        <w:tc>
          <w:tcPr>
            <w:tcW w:w="1416"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316" w:lineRule="auto" w:before="13"/>
              <w:ind w:left="611" w:right="67" w:hanging="540"/>
              <w:jc w:val="left"/>
              <w:rPr>
                <w:rFonts w:ascii="宋体" w:hAnsi="宋体" w:cs="宋体" w:eastAsia="宋体" w:hint="default"/>
                <w:sz w:val="18"/>
                <w:szCs w:val="18"/>
              </w:rPr>
            </w:pPr>
            <w:r>
              <w:rPr>
                <w:rFonts w:ascii="宋体" w:hAnsi="宋体" w:cs="宋体" w:eastAsia="宋体" w:hint="default"/>
                <w:sz w:val="18"/>
                <w:szCs w:val="18"/>
              </w:rPr>
              <w:t>登记证书取得时 间</w:t>
            </w:r>
          </w:p>
        </w:tc>
        <w:tc>
          <w:tcPr>
            <w:tcW w:w="1418"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证书登记号</w:t>
            </w:r>
          </w:p>
        </w:tc>
        <w:tc>
          <w:tcPr>
            <w:tcW w:w="1560"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著作权取得方式</w:t>
            </w:r>
          </w:p>
        </w:tc>
        <w:tc>
          <w:tcPr>
            <w:tcW w:w="1274"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首次发表日期</w:t>
            </w:r>
          </w:p>
        </w:tc>
        <w:tc>
          <w:tcPr>
            <w:tcW w:w="994"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权利人</w:t>
            </w:r>
          </w:p>
        </w:tc>
      </w:tr>
      <w:tr>
        <w:trPr>
          <w:trHeight w:val="659"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1</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卫宁手术麻醉重症监护围术期信息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管理系统</w:t>
            </w:r>
            <w:r>
              <w:rPr>
                <w:rFonts w:ascii="Times New Roman" w:hAnsi="Times New Roman" w:cs="Times New Roman" w:eastAsia="Times New Roman"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sz w:val="18"/>
              </w:rPr>
              <w:t>2012-11-30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2012SR117102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2010-10-20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660"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金仕达卫宁成本效益分析系统应用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2012-06-07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2012SR047737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2011-12-11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金仕达卫宁考核管理系统软件</w:t>
            </w:r>
            <w:r>
              <w:rPr>
                <w:rFonts w:ascii="Times New Roman" w:hAnsi="Times New Roman" w:cs="Times New Roman" w:eastAsia="Times New Roman" w:hint="default"/>
                <w:sz w:val="18"/>
                <w:szCs w:val="18"/>
              </w:rPr>
              <w:t>V4.0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2012-03-29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2012SR024172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2011-09-28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金仕达卫宁移动护理软件</w:t>
            </w:r>
            <w:r>
              <w:rPr>
                <w:rFonts w:ascii="Times New Roman" w:hAnsi="Times New Roman" w:cs="Times New Roman" w:eastAsia="Times New Roman" w:hint="default"/>
                <w:sz w:val="18"/>
                <w:szCs w:val="18"/>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2012-03-29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2012SR024169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2011-10-18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金仕达卫宁移动医生站软件</w:t>
            </w:r>
            <w:r>
              <w:rPr>
                <w:rFonts w:ascii="Times New Roman" w:hAnsi="Times New Roman" w:cs="Times New Roman" w:eastAsia="Times New Roman" w:hint="default"/>
                <w:sz w:val="18"/>
                <w:szCs w:val="18"/>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2012-03-29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2012SR024168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2011-11-28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660"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金仕达卫宁基于区域卫生信息平台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的妇幼保健信息系统应用软件</w:t>
            </w:r>
            <w:r>
              <w:rPr>
                <w:rFonts w:ascii="Times New Roman" w:hAnsi="Times New Roman" w:cs="Times New Roman" w:eastAsia="Times New Roman" w:hint="default"/>
                <w:sz w:val="18"/>
                <w:szCs w:val="18"/>
              </w:rPr>
              <w:t>V4.5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2012-02-13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2012SR008854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2011-10-17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660"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5"/>
              <w:jc w:val="left"/>
              <w:rPr>
                <w:rFonts w:ascii="宋体" w:hAnsi="宋体" w:cs="宋体" w:eastAsia="宋体" w:hint="default"/>
                <w:sz w:val="18"/>
                <w:szCs w:val="18"/>
              </w:rPr>
            </w:pPr>
            <w:r>
              <w:rPr>
                <w:rFonts w:ascii="宋体" w:hAnsi="宋体" w:cs="宋体" w:eastAsia="宋体" w:hint="default"/>
                <w:spacing w:val="7"/>
                <w:sz w:val="18"/>
                <w:szCs w:val="18"/>
              </w:rPr>
              <w:t>金仕达卫宁体检管理系统应用软件</w:t>
            </w:r>
            <w:r>
              <w:rPr>
                <w:rFonts w:ascii="宋体" w:hAnsi="宋体" w:cs="宋体" w:eastAsia="宋体" w:hint="default"/>
                <w:sz w:val="18"/>
                <w:szCs w:val="18"/>
              </w:rPr>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2012-01-04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2012SR000205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2010-06-27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658"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8</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5"/>
              <w:jc w:val="left"/>
              <w:rPr>
                <w:rFonts w:ascii="宋体" w:hAnsi="宋体" w:cs="宋体" w:eastAsia="宋体" w:hint="default"/>
                <w:sz w:val="18"/>
                <w:szCs w:val="18"/>
              </w:rPr>
            </w:pPr>
            <w:r>
              <w:rPr>
                <w:rFonts w:ascii="宋体" w:hAnsi="宋体" w:cs="宋体" w:eastAsia="宋体" w:hint="default"/>
                <w:spacing w:val="7"/>
                <w:sz w:val="18"/>
                <w:szCs w:val="18"/>
              </w:rPr>
              <w:t>金仕达卫宁移动医疗应急监控平台</w:t>
            </w:r>
            <w:r>
              <w:rPr>
                <w:rFonts w:ascii="宋体" w:hAnsi="宋体" w:cs="宋体" w:eastAsia="宋体" w:hint="default"/>
                <w:sz w:val="18"/>
                <w:szCs w:val="18"/>
              </w:rPr>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V4.0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2012-07-10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2012SR061548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2012-06-01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8"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金仕达卫宁超声图文报告软件</w:t>
            </w:r>
            <w:r>
              <w:rPr>
                <w:rFonts w:ascii="Times New Roman" w:hAnsi="Times New Roman" w:cs="Times New Roman" w:eastAsia="Times New Roman" w:hint="default"/>
                <w:sz w:val="18"/>
                <w:szCs w:val="18"/>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2012-01-20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2012SR004643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2011-09-20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6"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金仕达卫宁内镜图文报告软件</w:t>
            </w:r>
            <w:r>
              <w:rPr>
                <w:rFonts w:ascii="Times New Roman" w:hAnsi="Times New Roman" w:cs="Times New Roman" w:eastAsia="Times New Roman" w:hint="default"/>
                <w:sz w:val="18"/>
                <w:szCs w:val="18"/>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2012-01-19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2012SR004252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2011-10-16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江苏卫宁</w:t>
            </w:r>
          </w:p>
        </w:tc>
      </w:tr>
      <w:tr>
        <w:trPr>
          <w:trHeight w:val="660"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11</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5"/>
              <w:jc w:val="left"/>
              <w:rPr>
                <w:rFonts w:ascii="宋体" w:hAnsi="宋体" w:cs="宋体" w:eastAsia="宋体" w:hint="default"/>
                <w:sz w:val="18"/>
                <w:szCs w:val="18"/>
              </w:rPr>
            </w:pPr>
            <w:r>
              <w:rPr>
                <w:rFonts w:ascii="宋体" w:hAnsi="宋体" w:cs="宋体" w:eastAsia="宋体" w:hint="default"/>
                <w:spacing w:val="7"/>
                <w:sz w:val="18"/>
                <w:szCs w:val="18"/>
              </w:rPr>
              <w:t>金仕达卫宁放射影像信息管理软件</w:t>
            </w:r>
            <w:r>
              <w:rPr>
                <w:rFonts w:ascii="宋体" w:hAnsi="宋体" w:cs="宋体" w:eastAsia="宋体" w:hint="default"/>
                <w:sz w:val="18"/>
                <w:szCs w:val="18"/>
              </w:rPr>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2012-01-19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2012SR004215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2011-10-20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8"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金仕达卫宁病理图文报告软件</w:t>
            </w:r>
            <w:r>
              <w:rPr>
                <w:rFonts w:ascii="Times New Roman" w:hAnsi="Times New Roman" w:cs="Times New Roman" w:eastAsia="Times New Roman" w:hint="default"/>
                <w:sz w:val="18"/>
                <w:szCs w:val="18"/>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2012-01-19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2012SR004184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2011-09-20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江苏卫宁</w:t>
            </w:r>
          </w:p>
        </w:tc>
      </w:tr>
    </w:tbl>
    <w:p>
      <w:pPr>
        <w:spacing w:line="240" w:lineRule="auto" w:before="10"/>
        <w:rPr>
          <w:rFonts w:ascii="Times New Roman" w:hAnsi="Times New Roman" w:cs="Times New Roman" w:eastAsia="Times New Roman" w:hint="default"/>
          <w:sz w:val="24"/>
          <w:szCs w:val="24"/>
        </w:rPr>
      </w:pPr>
    </w:p>
    <w:p>
      <w:pPr>
        <w:pStyle w:val="BodyText"/>
        <w:spacing w:line="240" w:lineRule="auto" w:before="44"/>
        <w:ind w:left="512" w:right="0"/>
        <w:jc w:val="left"/>
      </w:pPr>
      <w:r>
        <w:rPr/>
        <w:t>报告期内，公司及全资子公司申请获得</w:t>
      </w:r>
      <w:r>
        <w:rPr>
          <w:rFonts w:ascii="Times New Roman" w:hAnsi="Times New Roman" w:cs="Times New Roman" w:eastAsia="Times New Roman" w:hint="default"/>
        </w:rPr>
        <w:t>31</w:t>
      </w:r>
      <w:r>
        <w:rPr/>
        <w:t>项计算机软件产品登记，具体明细如下：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708"/>
        <w:gridCol w:w="3545"/>
        <w:gridCol w:w="1702"/>
        <w:gridCol w:w="1418"/>
        <w:gridCol w:w="1558"/>
      </w:tblGrid>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软件产品名称</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证书取得日期</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拥有者</w:t>
            </w:r>
            <w:r>
              <w:rPr>
                <w:rFonts w:ascii="宋体" w:hAnsi="宋体" w:cs="宋体" w:eastAsia="宋体" w:hint="default"/>
                <w:sz w:val="18"/>
                <w:szCs w:val="18"/>
              </w:rPr>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w:t>
            </w:r>
            <w:r>
              <w:rPr>
                <w:rFonts w:ascii="Times New Roman" w:hAnsi="Times New Roman" w:cs="Times New Roman" w:eastAsia="Times New Roman" w:hint="default"/>
                <w:sz w:val="18"/>
                <w:szCs w:val="18"/>
              </w:rPr>
              <w:t>HL7</w:t>
            </w:r>
            <w:r>
              <w:rPr>
                <w:rFonts w:ascii="宋体" w:hAnsi="宋体" w:cs="宋体" w:eastAsia="宋体" w:hint="default"/>
                <w:sz w:val="18"/>
                <w:szCs w:val="18"/>
              </w:rPr>
              <w:t>引擎系统应用软件</w:t>
            </w:r>
            <w:r>
              <w:rPr>
                <w:rFonts w:ascii="Times New Roman" w:hAnsi="Times New Roman" w:cs="Times New Roman" w:eastAsia="Times New Roman" w:hint="default"/>
                <w:sz w:val="18"/>
                <w:szCs w:val="18"/>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金仕达卫宁病理信息管理软件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DGY-2012-1714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金仕达卫宁超声信息管理软件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DGY-2012-1713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金仕达卫宁电子病历软件</w:t>
            </w:r>
            <w:r>
              <w:rPr>
                <w:rFonts w:ascii="Times New Roman" w:hAnsi="Times New Roman" w:cs="Times New Roman" w:eastAsia="Times New Roman" w:hint="default"/>
                <w:sz w:val="18"/>
                <w:szCs w:val="18"/>
              </w:rPr>
              <w:t>V4.0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DGY-2012-1669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金仕达卫宁放射信息管理软件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金仕达卫宁公共卫生信息管理软件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DGY-2012-1719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金仕达卫宁公共卫生信息管理软件</w:t>
            </w:r>
            <w:r>
              <w:rPr>
                <w:rFonts w:ascii="Times New Roman" w:hAnsi="Times New Roman" w:cs="Times New Roman" w:eastAsia="Times New Roman" w:hint="default"/>
                <w:spacing w:val="10"/>
                <w:sz w:val="18"/>
                <w:szCs w:val="18"/>
              </w:rPr>
              <w:t>V4.0(</w:t>
            </w:r>
            <w:r>
              <w:rPr>
                <w:rFonts w:ascii="宋体" w:hAnsi="宋体" w:cs="宋体" w:eastAsia="宋体" w:hint="default"/>
                <w:spacing w:val="10"/>
                <w:sz w:val="18"/>
                <w:szCs w:val="18"/>
              </w:rPr>
              <w:t>延</w:t>
            </w:r>
            <w:r>
              <w:rPr>
                <w:rFonts w:ascii="宋体" w:hAnsi="宋体" w:cs="宋体" w:eastAsia="宋体" w:hint="default"/>
                <w:spacing w:val="-76"/>
                <w:sz w:val="18"/>
                <w:szCs w:val="18"/>
              </w:rPr>
              <w:t> </w:t>
            </w:r>
            <w:r>
              <w:rPr>
                <w:rFonts w:ascii="宋体" w:hAnsi="宋体" w:cs="宋体" w:eastAsia="宋体" w:hint="default"/>
                <w:sz w:val="18"/>
                <w:szCs w:val="18"/>
              </w:rPr>
              <w:t>续</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DGY-2007-0974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2012-12-30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金仕达卫宁基于区域卫生信息平台的妇幼保</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健信息系统应用软件</w:t>
            </w:r>
            <w:r>
              <w:rPr>
                <w:rFonts w:ascii="Times New Roman" w:hAnsi="Times New Roman" w:cs="Times New Roman" w:eastAsia="Times New Roman" w:hint="default"/>
                <w:sz w:val="18"/>
                <w:szCs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DGY-2012-1495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卫宁软件</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5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708"/>
        <w:gridCol w:w="3545"/>
        <w:gridCol w:w="1702"/>
        <w:gridCol w:w="1418"/>
        <w:gridCol w:w="1558"/>
      </w:tblGrid>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99"/>
              <w:jc w:val="right"/>
              <w:rPr>
                <w:rFonts w:ascii="Times New Roman" w:hAnsi="Times New Roman" w:cs="Times New Roman" w:eastAsia="Times New Roman" w:hint="default"/>
                <w:sz w:val="18"/>
                <w:szCs w:val="18"/>
              </w:rPr>
            </w:pPr>
            <w:r>
              <w:rPr>
                <w:rFonts w:ascii="Times New Roman"/>
                <w:sz w:val="18"/>
              </w:rPr>
              <w:t>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金仕达卫宁抗菌药物管理系统应用软件</w:t>
            </w:r>
            <w:r>
              <w:rPr>
                <w:rFonts w:ascii="Times New Roman" w:hAnsi="Times New Roman" w:cs="Times New Roman" w:eastAsia="Times New Roman" w:hint="default"/>
                <w:sz w:val="18"/>
                <w:szCs w:val="18"/>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10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6"/>
              <w:jc w:val="left"/>
              <w:rPr>
                <w:rFonts w:ascii="宋体" w:hAnsi="宋体" w:cs="宋体" w:eastAsia="宋体" w:hint="default"/>
                <w:sz w:val="18"/>
                <w:szCs w:val="18"/>
              </w:rPr>
            </w:pPr>
            <w:r>
              <w:rPr>
                <w:rFonts w:ascii="宋体" w:hAnsi="宋体" w:cs="宋体" w:eastAsia="宋体" w:hint="default"/>
                <w:spacing w:val="15"/>
                <w:sz w:val="18"/>
                <w:szCs w:val="18"/>
              </w:rPr>
              <w:t>金仕达卫宁跨机构文档共享系统应用软件</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11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金仕达卫宁临床路径软件</w:t>
            </w:r>
            <w:r>
              <w:rPr>
                <w:rFonts w:ascii="Times New Roman" w:hAnsi="Times New Roman" w:cs="Times New Roman" w:eastAsia="Times New Roman" w:hint="default"/>
                <w:sz w:val="18"/>
                <w:szCs w:val="18"/>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DGY-2012-1668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12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金仕达卫宁内镜信息管理软件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DGY-2012-1712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13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金仕达卫宁农村信息系统应用软件</w:t>
            </w:r>
            <w:r>
              <w:rPr>
                <w:rFonts w:ascii="Times New Roman" w:hAnsi="Times New Roman" w:cs="Times New Roman" w:eastAsia="Times New Roman" w:hint="default"/>
                <w:sz w:val="18"/>
                <w:szCs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14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金仕达卫宁区域卫生决策分析系统应用软件</w:t>
            </w:r>
            <w:r>
              <w:rPr>
                <w:rFonts w:ascii="宋体" w:hAnsi="宋体" w:cs="宋体" w:eastAsia="宋体" w:hint="default"/>
                <w:sz w:val="18"/>
                <w:szCs w:val="18"/>
              </w:rPr>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DGY-2012-1492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15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金仕达卫宁区域卫生信息集成总线软件</w:t>
            </w:r>
            <w:r>
              <w:rPr>
                <w:rFonts w:ascii="Times New Roman" w:hAnsi="Times New Roman" w:cs="Times New Roman" w:eastAsia="Times New Roman" w:hint="default"/>
                <w:sz w:val="18"/>
                <w:szCs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DGY-2012-1497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16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金仕达卫宁区域卫生信息平台软件</w:t>
            </w:r>
            <w:r>
              <w:rPr>
                <w:rFonts w:ascii="Times New Roman" w:hAnsi="Times New Roman" w:cs="Times New Roman" w:eastAsia="Times New Roman" w:hint="default"/>
                <w:sz w:val="18"/>
                <w:szCs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DGY-2012-1491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17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金仕达卫宁区域医疗协同系统应用软件</w:t>
            </w:r>
            <w:r>
              <w:rPr>
                <w:rFonts w:ascii="Times New Roman" w:hAnsi="Times New Roman" w:cs="Times New Roman" w:eastAsia="Times New Roman" w:hint="default"/>
                <w:sz w:val="18"/>
                <w:szCs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DGY-2012-1493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18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金仕达卫宁社区卫生信息系统应用软件</w:t>
            </w:r>
            <w:r>
              <w:rPr>
                <w:rFonts w:ascii="Times New Roman" w:hAnsi="Times New Roman" w:cs="Times New Roman" w:eastAsia="Times New Roman" w:hint="default"/>
                <w:sz w:val="18"/>
                <w:szCs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19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金仕达卫宁实验室信息管理软件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20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金仕达卫宁体检管理系统应用软件</w:t>
            </w:r>
            <w:r>
              <w:rPr>
                <w:rFonts w:ascii="Times New Roman" w:hAnsi="Times New Roman" w:cs="Times New Roman" w:eastAsia="Times New Roman" w:hint="default"/>
                <w:sz w:val="18"/>
                <w:szCs w:val="18"/>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21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金仕达卫宁新型农村合作医疗信息系统应用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软件</w:t>
            </w:r>
            <w:r>
              <w:rPr>
                <w:rFonts w:ascii="Times New Roman" w:hAnsi="Times New Roman" w:cs="Times New Roman" w:eastAsia="Times New Roman" w:hint="default"/>
                <w:sz w:val="18"/>
                <w:szCs w:val="18"/>
              </w:rPr>
              <w:t>V4.5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DGY-2012-1715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22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金仕达卫宁医技信息管理软件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23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金仕达卫宁医技信息管理软件</w:t>
            </w:r>
            <w:r>
              <w:rPr>
                <w:rFonts w:ascii="Times New Roman" w:hAnsi="Times New Roman" w:cs="Times New Roman" w:eastAsia="Times New Roman" w:hint="default"/>
                <w:sz w:val="18"/>
                <w:szCs w:val="18"/>
              </w:rPr>
              <w:t>V4.0(</w:t>
            </w:r>
            <w:r>
              <w:rPr>
                <w:rFonts w:ascii="宋体" w:hAnsi="宋体" w:cs="宋体" w:eastAsia="宋体" w:hint="default"/>
                <w:sz w:val="18"/>
                <w:szCs w:val="18"/>
              </w:rPr>
              <w:t>延续</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DGY-2007-0973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Times New Roman"/>
                <w:sz w:val="18"/>
              </w:rPr>
              <w:t>2012-12-30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24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金仕达卫宁医学影像存档与通讯软件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25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金仕达卫宁移动护理软件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26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金仕达卫宁移动医生部软件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DGY-2012-1671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27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金仕达卫宁中小医院信息管理软件</w:t>
            </w:r>
            <w:r>
              <w:rPr>
                <w:rFonts w:ascii="Times New Roman" w:hAnsi="Times New Roman" w:cs="Times New Roman" w:eastAsia="Times New Roman" w:hint="default"/>
                <w:sz w:val="18"/>
                <w:szCs w:val="18"/>
              </w:rPr>
              <w:t>V1.0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DGY-2012-1705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2012-9-10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卫宁软件</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28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金仕达卫宁区域医疗信息软件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苏</w:t>
            </w:r>
            <w:r>
              <w:rPr>
                <w:rFonts w:ascii="Times New Roman" w:hAnsi="Times New Roman" w:cs="Times New Roman" w:eastAsia="Times New Roman" w:hint="default"/>
                <w:sz w:val="18"/>
                <w:szCs w:val="18"/>
              </w:rPr>
              <w:t>DGY-2012-D0093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2012-7-30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29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金仕达卫宁无线诊疗与护理软件</w:t>
            </w:r>
            <w:r>
              <w:rPr>
                <w:rFonts w:ascii="Times New Roman" w:hAnsi="Times New Roman" w:cs="Times New Roman" w:eastAsia="Times New Roman" w:hint="default"/>
                <w:sz w:val="18"/>
                <w:szCs w:val="18"/>
              </w:rPr>
              <w:t>V4.0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苏</w:t>
            </w:r>
            <w:r>
              <w:rPr>
                <w:rFonts w:ascii="Times New Roman" w:hAnsi="Times New Roman" w:cs="Times New Roman" w:eastAsia="Times New Roman" w:hint="default"/>
                <w:sz w:val="18"/>
                <w:szCs w:val="18"/>
              </w:rPr>
              <w:t>DGY-2012-D0090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2012-7-30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9"/>
              <w:jc w:val="right"/>
              <w:rPr>
                <w:rFonts w:ascii="Times New Roman" w:hAnsi="Times New Roman" w:cs="Times New Roman" w:eastAsia="Times New Roman" w:hint="default"/>
                <w:sz w:val="18"/>
                <w:szCs w:val="18"/>
              </w:rPr>
            </w:pPr>
            <w:r>
              <w:rPr>
                <w:rFonts w:ascii="Times New Roman"/>
                <w:sz w:val="18"/>
              </w:rPr>
              <w:t>30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金仕达卫宁医学影像存储与传输软件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苏</w:t>
            </w:r>
            <w:r>
              <w:rPr>
                <w:rFonts w:ascii="Times New Roman" w:hAnsi="Times New Roman" w:cs="Times New Roman" w:eastAsia="Times New Roman" w:hint="default"/>
                <w:sz w:val="18"/>
                <w:szCs w:val="18"/>
              </w:rPr>
              <w:t>DGY-2012-D0091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2012-7-30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9"/>
              <w:jc w:val="right"/>
              <w:rPr>
                <w:rFonts w:ascii="Times New Roman" w:hAnsi="Times New Roman" w:cs="Times New Roman" w:eastAsia="Times New Roman" w:hint="default"/>
                <w:sz w:val="18"/>
                <w:szCs w:val="18"/>
              </w:rPr>
            </w:pPr>
            <w:r>
              <w:rPr>
                <w:rFonts w:ascii="Times New Roman"/>
                <w:sz w:val="18"/>
              </w:rPr>
              <w:t>31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金仕达卫宁医学实验室信息管理软件</w:t>
            </w:r>
            <w:r>
              <w:rPr>
                <w:rFonts w:ascii="Times New Roman" w:hAnsi="Times New Roman" w:cs="Times New Roman" w:eastAsia="Times New Roman" w:hint="default"/>
                <w:sz w:val="18"/>
                <w:szCs w:val="18"/>
              </w:rPr>
              <w:t>V5.0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苏</w:t>
            </w:r>
            <w:r>
              <w:rPr>
                <w:rFonts w:ascii="Times New Roman" w:hAnsi="Times New Roman" w:cs="Times New Roman" w:eastAsia="Times New Roman" w:hint="default"/>
                <w:sz w:val="18"/>
                <w:szCs w:val="18"/>
              </w:rPr>
              <w:t>DGY-2012-D0092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2012-7-30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江苏卫宁</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bookmarkStart w:name="（1）募集资金总体使用情况" w:id="30"/>
      <w:bookmarkEnd w:id="30"/>
      <w:r>
        <w:rPr>
          <w:b w:val="0"/>
          <w:bCs w:val="0"/>
        </w:rPr>
      </w: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5、投资状况分析" w:id="31"/>
      <w:bookmarkEnd w:id="31"/>
      <w:r>
        <w:rPr/>
      </w: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8"/>
        <w:gridCol w:w="5470"/>
      </w:tblGrid>
      <w:tr>
        <w:trPr>
          <w:trHeight w:val="403" w:hRule="exact"/>
        </w:trPr>
        <w:tc>
          <w:tcPr>
            <w:tcW w:w="4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33,897.98</w:t>
            </w:r>
          </w:p>
        </w:tc>
      </w:tr>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4,959.46</w:t>
            </w:r>
          </w:p>
        </w:tc>
      </w:tr>
      <w:tr>
        <w:trPr>
          <w:trHeight w:val="403" w:hRule="exact"/>
        </w:trPr>
        <w:tc>
          <w:tcPr>
            <w:tcW w:w="4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9,232.04</w:t>
            </w:r>
          </w:p>
        </w:tc>
      </w:tr>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56.400002pt;margin-top:-51.968292pt;width:479.2pt;height:87.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9"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月，公司成功上市，募集资金净额为人民币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338,979,830.08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元，其中，公司原拟募集资金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138,410,000.00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 他与主营业务相关的营运资金（超募资金）</w:t>
                        </w:r>
                        <w:r>
                          <w:rPr>
                            <w:rFonts w:ascii="Times New Roman" w:hAnsi="Times New Roman" w:cs="Times New Roman" w:eastAsia="Times New Roman" w:hint="default"/>
                            <w:sz w:val="18"/>
                            <w:szCs w:val="18"/>
                          </w:rPr>
                          <w:t>200,569,830.08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元，该募集资金到位情况已由中磊会计师事务所有限责任公司 </w:t>
                        </w:r>
                        <w:r>
                          <w:rPr>
                            <w:rFonts w:ascii="宋体" w:hAnsi="宋体" w:cs="宋体" w:eastAsia="宋体" w:hint="default"/>
                            <w:spacing w:val="-2"/>
                            <w:sz w:val="18"/>
                            <w:szCs w:val="18"/>
                          </w:rPr>
                          <w:t>验证，并出具中磊验字</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0067</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号《验资报告》。募集资金（含超募资金）总体使用情况：</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年使用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4,272.58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4,959.46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万元，截止本报告期末已累计使用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9,232.04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4"/>
        <w:ind w:right="0"/>
        <w:jc w:val="left"/>
        <w:rPr>
          <w:b w:val="0"/>
          <w:bCs w:val="0"/>
        </w:rPr>
      </w:pPr>
      <w:r>
        <w:rPr/>
        <w:t>（</w:t>
      </w:r>
      <w:r>
        <w:rPr>
          <w:rFonts w:ascii="Times New Roman" w:hAnsi="Times New Roman" w:cs="Times New Roman" w:eastAsia="Times New Roman" w:hint="default"/>
        </w:rPr>
        <w:t>2</w:t>
      </w:r>
      <w:r>
        <w:rPr/>
        <w:t>）募集资金承诺</w:t>
      </w:r>
      <w:bookmarkStart w:name="（2）募集资金承诺项目情况" w:id="32"/>
      <w:bookmarkEnd w:id="32"/>
      <w:r>
        <w:rPr/>
        <w:t>项目</w:t>
      </w:r>
      <w:r>
        <w:rPr/>
        <w:t>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left="0" w:right="159"/>
        <w:jc w:val="right"/>
      </w:pPr>
      <w:r>
        <w:rPr/>
        <w:pict>
          <v:shape style="position:absolute;margin-left:56.400002pt;margin-top:-507.068268pt;width:479.2pt;height:540.5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4"/>
                    <w:gridCol w:w="784"/>
                    <w:gridCol w:w="780"/>
                    <w:gridCol w:w="780"/>
                    <w:gridCol w:w="780"/>
                    <w:gridCol w:w="784"/>
                    <w:gridCol w:w="772"/>
                    <w:gridCol w:w="788"/>
                    <w:gridCol w:w="776"/>
                    <w:gridCol w:w="780"/>
                  </w:tblGrid>
                  <w:tr>
                    <w:trPr>
                      <w:trHeight w:val="1338"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0" w:right="7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0"/>
                          <w:ind w:left="23"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6" w:right="27"/>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2"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 w:right="2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医院信息管理系统技 术改造项目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1,237.81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3,430.52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68.01%</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医技信息管理系统技 术改造项目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985.19</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1,461.76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43.63%</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公共卫生信息系统技 术改造项目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1,110.67</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1,973.93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营销服务体系建设项 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975.79</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1,715.83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95.43%</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4,309.46</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8,582.04</w:t>
                        </w:r>
                      </w:p>
                    </w:tc>
                    <w:tc>
                      <w:tcPr>
                        <w:tcW w:w="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0" w:space="0" w:color="D4D4D4"/>
                          <w:bottom w:val="single" w:sz="4" w:space="0" w:color="000000"/>
                          <w:right w:val="single" w:sz="10" w:space="0" w:color="D4D4D4"/>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投资子公司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7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tabs>
                            <w:tab w:pos="323" w:val="left" w:leader="none"/>
                          </w:tabs>
                          <w:spacing w:line="240" w:lineRule="auto" w:before="49"/>
                          <w:ind w:left="-128" w:right="3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650</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650</w:t>
                        </w:r>
                      </w:p>
                    </w:tc>
                    <w:tc>
                      <w:tcPr>
                        <w:tcW w:w="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0" w:space="0" w:color="D4D4D4"/>
                          <w:bottom w:val="single" w:sz="4" w:space="0" w:color="000000"/>
                          <w:right w:val="single" w:sz="10" w:space="0" w:color="D4D4D4"/>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4,959.46</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9,232.04</w:t>
                        </w:r>
                      </w:p>
                    </w:tc>
                    <w:tc>
                      <w:tcPr>
                        <w:tcW w:w="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766"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314"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因公司募集资金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月刚到位，募投项目按照轻重缓急次序投资，加之综合考虑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年宏观 经济和公司实际经营情况，公司在募投项目的建设实施过程中，本着对投资者负责的态度，基于审 慎原则推进项目的建设实施，导致四个募投项目的投资进度不完全一致。其中营销服务体系建设项 目的投资进度基本按原计划进行，医院信息管理系统技术改造项目、医技信息管理系统技术改造项 目和公共卫生信息系统技术改造项目的投资进度未能达到原计划进度。未完全按计划投资的主要原 因是随着中国医疗卫生信息化建设的不断深入发展，公司三大系列软件系统之间的协同效应越来越 </w:t>
                        </w:r>
                        <w:r>
                          <w:rPr>
                            <w:rFonts w:ascii="宋体" w:hAnsi="宋体" w:cs="宋体" w:eastAsia="宋体" w:hint="default"/>
                            <w:spacing w:val="-3"/>
                            <w:sz w:val="18"/>
                            <w:szCs w:val="18"/>
                          </w:rPr>
                          <w:t>紧密，三个项目的基础设施和软硬件仿真环境建设需要统筹安排实施，导致投入进度晚于计划进度</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此外三个项目的研究开发及试点项目实施投入虽都已基本完成，但项目实施尚未全面铺开，导致流</w:t>
                        </w:r>
                      </w:p>
                    </w:tc>
                  </w:tr>
                  <w:tr>
                    <w:trPr>
                      <w:trHeight w:val="1015"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10" w:space="0" w:color="D4D4D4"/>
                          <w:right w:val="single" w:sz="4" w:space="0" w:color="000000"/>
                        </w:tcBorders>
                      </w:tcPr>
                      <w:p>
                        <w:pPr/>
                      </w:p>
                    </w:tc>
                  </w:tr>
                  <w:tr>
                    <w:trPr>
                      <w:trHeight w:val="766"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200"/>
        <w:jc w:val="right"/>
      </w:pPr>
      <w:r>
        <w:rPr/>
        <w:pict>
          <v:shape style="position:absolute;margin-left:56.459999pt;margin-top:-152.648285pt;width:479.1pt;height:504.8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动资金投入进度晚于计划进度。</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5"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20,056.98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万元。公司第一届董事会第二十一次会议审议通过了《关于公司对外投资设立</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合资公司的议案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同意公司</w:t>
                        </w:r>
                        <w:r>
                          <w:rPr>
                            <w:rFonts w:ascii="宋体" w:hAnsi="宋体" w:cs="宋体" w:eastAsia="宋体" w:hint="default"/>
                            <w:spacing w:val="2"/>
                            <w:sz w:val="18"/>
                            <w:szCs w:val="18"/>
                          </w:rPr>
                          <w:t>与</w:t>
                        </w:r>
                        <w:r>
                          <w:rPr>
                            <w:rFonts w:ascii="宋体" w:hAnsi="宋体" w:cs="宋体" w:eastAsia="宋体" w:hint="default"/>
                            <w:sz w:val="18"/>
                            <w:szCs w:val="18"/>
                          </w:rPr>
                          <w:t>赵蒙海均以货币资金方式共同出资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万元成立合资公司</w:t>
                        </w:r>
                        <w:r>
                          <w:rPr>
                            <w:rFonts w:ascii="宋体" w:hAnsi="宋体" w:cs="宋体" w:eastAsia="宋体" w:hint="default"/>
                            <w:spacing w:val="-24"/>
                            <w:sz w:val="18"/>
                            <w:szCs w:val="18"/>
                          </w:rPr>
                          <w:t>，</w:t>
                        </w:r>
                        <w:r>
                          <w:rPr>
                            <w:rFonts w:ascii="宋体" w:hAnsi="宋体" w:cs="宋体" w:eastAsia="宋体" w:hint="default"/>
                            <w:sz w:val="18"/>
                            <w:szCs w:val="18"/>
                          </w:rPr>
                          <w:t>其中公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司使用超募资金出资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万元占合资公司注册资本的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，并已于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日完成出资。合</w:t>
                        </w:r>
                      </w:p>
                      <w:p>
                        <w:pPr>
                          <w:pStyle w:val="TableParagraph"/>
                          <w:spacing w:line="30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资公司上海金仕达卫宁软件科技有限公司已于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日注册成立。</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 </w:t>
                        </w:r>
                        <w:r>
                          <w:rPr>
                            <w:rFonts w:ascii="宋体" w:hAnsi="宋体" w:cs="宋体" w:eastAsia="宋体" w:hint="default"/>
                            <w:spacing w:val="-5"/>
                            <w:sz w:val="18"/>
                            <w:szCs w:val="18"/>
                          </w:rPr>
                          <w:t>司第二届董事会第八次会议审议通过了《关于公司使用部分超募资金永久补充流动资金的议案》，拟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使用超募资金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万元永久补充流动资金，截至报告期末公司尚未将上述资金划出超募资金专户 将于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年实施。截至报告期末，超募资金余额为：</w:t>
                        </w:r>
                        <w:r>
                          <w:rPr>
                            <w:rFonts w:ascii="Times New Roman" w:hAnsi="Times New Roman" w:cs="Times New Roman" w:eastAsia="Times New Roman" w:hint="default"/>
                            <w:spacing w:val="-2"/>
                            <w:sz w:val="18"/>
                            <w:szCs w:val="18"/>
                          </w:rPr>
                          <w:t>19,406.98</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万元（不包含该专户利息）。剩余超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募资金将继续在募集资金专项账户管理。</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日，公司累计以自筹资金预先投入募投项目金额为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2072.67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万元。公司第一届 </w:t>
                        </w:r>
                        <w:r>
                          <w:rPr>
                            <w:rFonts w:ascii="宋体" w:hAnsi="宋体" w:cs="宋体" w:eastAsia="宋体" w:hint="default"/>
                            <w:spacing w:val="-3"/>
                            <w:sz w:val="18"/>
                            <w:szCs w:val="18"/>
                          </w:rPr>
                          <w:t>董事会第十九次会议审议通过了《关于使用募集资金置换预先已投入募投项目的自筹资金的议案》</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同意公司使用募集资金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2072.67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万元置换预先已投入募投项目的自筹资金，并已实施完成。</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存放于公司募集资金专项账户管理。</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6、主要控股参股公司分析" w:id="33"/>
      <w:bookmarkEnd w:id="33"/>
      <w:r>
        <w:rPr/>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0" w:right="2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36"/>
        <w:ind w:right="184"/>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4"/>
        <w:jc w:val="left"/>
      </w:pPr>
      <w:r>
        <w:rPr/>
        <w:t>报告期内，公司主要有三家全资子公司上海金仕达卫宁信息技术有限公司</w:t>
      </w:r>
      <w:r>
        <w:rPr>
          <w:rFonts w:ascii="Times New Roman" w:hAnsi="Times New Roman" w:cs="Times New Roman" w:eastAsia="Times New Roman" w:hint="default"/>
        </w:rPr>
        <w:t>("</w:t>
      </w:r>
      <w:r>
        <w:rPr/>
        <w:t>卫宁信息</w:t>
      </w:r>
      <w:r>
        <w:rPr>
          <w:rFonts w:ascii="Times New Roman" w:hAnsi="Times New Roman" w:cs="Times New Roman" w:eastAsia="Times New Roman" w:hint="default"/>
        </w:rPr>
        <w:t>")</w:t>
      </w:r>
      <w:r>
        <w:rPr/>
        <w:t>、江苏金仕达卫宁软件有限公司</w:t>
      </w:r>
    </w:p>
    <w:p>
      <w:pPr>
        <w:pStyle w:val="BodyText"/>
        <w:spacing w:line="300" w:lineRule="auto" w:before="62"/>
        <w:ind w:right="184"/>
        <w:jc w:val="left"/>
      </w:pPr>
      <w:r>
        <w:rPr>
          <w:spacing w:val="-3"/>
        </w:rPr>
        <w:t>（</w:t>
      </w:r>
      <w:r>
        <w:rPr>
          <w:rFonts w:ascii="Times New Roman" w:hAnsi="Times New Roman" w:cs="Times New Roman" w:eastAsia="Times New Roman" w:hint="default"/>
          <w:spacing w:val="-3"/>
        </w:rPr>
        <w:t>“</w:t>
      </w:r>
      <w:r>
        <w:rPr>
          <w:spacing w:val="-3"/>
        </w:rPr>
        <w:t>江苏卫宁</w:t>
      </w:r>
      <w:r>
        <w:rPr>
          <w:rFonts w:ascii="Times New Roman" w:hAnsi="Times New Roman" w:cs="Times New Roman" w:eastAsia="Times New Roman" w:hint="default"/>
          <w:spacing w:val="-3"/>
        </w:rPr>
        <w:t>”</w:t>
      </w:r>
      <w:r>
        <w:rPr>
          <w:spacing w:val="-3"/>
        </w:rPr>
        <w:t>）和西安金仕达卫宁软件有限公司（</w:t>
      </w:r>
      <w:r>
        <w:rPr>
          <w:rFonts w:ascii="Times New Roman" w:hAnsi="Times New Roman" w:cs="Times New Roman" w:eastAsia="Times New Roman" w:hint="default"/>
          <w:spacing w:val="-3"/>
        </w:rPr>
        <w:t>“</w:t>
      </w:r>
      <w:r>
        <w:rPr>
          <w:spacing w:val="-3"/>
        </w:rPr>
        <w:t>西安卫宁</w:t>
      </w:r>
      <w:r>
        <w:rPr>
          <w:rFonts w:ascii="Times New Roman" w:hAnsi="Times New Roman" w:cs="Times New Roman" w:eastAsia="Times New Roman" w:hint="default"/>
          <w:spacing w:val="-3"/>
        </w:rPr>
        <w:t>”</w:t>
      </w:r>
      <w:r>
        <w:rPr>
          <w:spacing w:val="-3"/>
        </w:rPr>
        <w:t>），和一家控股子公司上海金仕达卫宁软件科技有限公司（</w:t>
      </w:r>
      <w:r>
        <w:rPr>
          <w:rFonts w:ascii="Times New Roman" w:hAnsi="Times New Roman" w:cs="Times New Roman" w:eastAsia="Times New Roman" w:hint="default"/>
          <w:spacing w:val="-3"/>
        </w:rPr>
        <w:t>“</w:t>
      </w:r>
      <w:r>
        <w:rPr>
          <w:spacing w:val="-3"/>
        </w:rPr>
        <w:t>卫</w:t>
      </w:r>
      <w:r>
        <w:rPr>
          <w:spacing w:val="-42"/>
        </w:rPr>
        <w:t> </w:t>
      </w:r>
      <w:r>
        <w:rPr/>
        <w:t>宁科技</w:t>
      </w:r>
      <w:r>
        <w:rPr>
          <w:rFonts w:ascii="Times New Roman" w:hAnsi="Times New Roman" w:cs="Times New Roman" w:eastAsia="Times New Roman" w:hint="default"/>
        </w:rPr>
        <w:t>”</w:t>
      </w:r>
      <w:r>
        <w:rPr/>
        <w:t>）。</w:t>
      </w:r>
    </w:p>
    <w:p>
      <w:pPr>
        <w:pStyle w:val="BodyText"/>
        <w:spacing w:line="300" w:lineRule="auto" w:before="13"/>
        <w:ind w:left="512" w:right="184"/>
        <w:jc w:val="left"/>
      </w:pPr>
      <w:r>
        <w:rPr/>
        <w:t>（</w:t>
      </w:r>
      <w:r>
        <w:rPr>
          <w:rFonts w:ascii="Times New Roman" w:hAnsi="Times New Roman" w:cs="Times New Roman" w:eastAsia="Times New Roman" w:hint="default"/>
        </w:rPr>
        <w:t>1</w:t>
      </w:r>
      <w:r>
        <w:rPr/>
        <w:t>）卫宁信息 卫宁信息成立于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日，注册资本及实收资本均为人民币</w:t>
      </w:r>
      <w:r>
        <w:rPr>
          <w:rFonts w:ascii="Times New Roman" w:hAnsi="Times New Roman" w:cs="Times New Roman" w:eastAsia="Times New Roman" w:hint="default"/>
        </w:rPr>
        <w:t>100</w:t>
      </w:r>
      <w:r>
        <w:rPr/>
        <w:t>万元，法定代表人刘宁，企业法人营业执照注册</w:t>
      </w:r>
    </w:p>
    <w:p>
      <w:pPr>
        <w:pStyle w:val="BodyText"/>
        <w:spacing w:line="300" w:lineRule="auto" w:before="13"/>
        <w:ind w:right="184"/>
        <w:jc w:val="left"/>
      </w:pPr>
      <w:r>
        <w:rPr/>
        <w:t>号为</w:t>
      </w:r>
      <w:r>
        <w:rPr>
          <w:rFonts w:ascii="Times New Roman" w:hAnsi="Times New Roman" w:cs="Times New Roman" w:eastAsia="Times New Roman" w:hint="default"/>
        </w:rPr>
        <w:t>310109000471145</w:t>
      </w:r>
      <w:r>
        <w:rPr/>
        <w:t>，住所为上海市武进路</w:t>
      </w:r>
      <w:r>
        <w:rPr>
          <w:rFonts w:ascii="Times New Roman" w:hAnsi="Times New Roman" w:cs="Times New Roman" w:eastAsia="Times New Roman" w:hint="default"/>
        </w:rPr>
        <w:t>289</w:t>
      </w:r>
      <w:r>
        <w:rPr/>
        <w:t>号</w:t>
      </w:r>
      <w:r>
        <w:rPr>
          <w:rFonts w:ascii="Times New Roman" w:hAnsi="Times New Roman" w:cs="Times New Roman" w:eastAsia="Times New Roman" w:hint="default"/>
        </w:rPr>
        <w:t>412</w:t>
      </w:r>
      <w:r>
        <w:rPr/>
        <w:t>室，公司类型为一人有限责任公司（法人独资），经营范围为计算机 软硬件技术专业领域的</w:t>
      </w:r>
      <w:r>
        <w:rPr>
          <w:rFonts w:ascii="Times New Roman" w:hAnsi="Times New Roman" w:cs="Times New Roman" w:eastAsia="Times New Roman" w:hint="default"/>
        </w:rPr>
        <w:t>“</w:t>
      </w:r>
      <w:r>
        <w:rPr/>
        <w:t>四技</w:t>
      </w:r>
      <w:r>
        <w:rPr>
          <w:rFonts w:ascii="Times New Roman" w:hAnsi="Times New Roman" w:cs="Times New Roman" w:eastAsia="Times New Roman" w:hint="default"/>
        </w:rPr>
        <w:t>”</w:t>
      </w:r>
      <w:r>
        <w:rPr/>
        <w:t>服务，销售计算机及配件。</w:t>
      </w:r>
    </w:p>
    <w:p>
      <w:pPr>
        <w:pStyle w:val="BodyText"/>
        <w:spacing w:line="300" w:lineRule="auto" w:before="13"/>
        <w:ind w:right="94" w:firstLine="360"/>
        <w:jc w:val="left"/>
      </w:pPr>
      <w:r>
        <w:rPr>
          <w:spacing w:val="-2"/>
        </w:rPr>
        <w:t>公司为提高管理效率、优化资源配置，于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日第二届董事会第八次会议审议通过了《关于全资子公司上海金</w:t>
      </w:r>
      <w:r>
        <w:rPr/>
        <w:t> 仕达卫信息技术有限公司解散并注销的议案》，将相关业务及人员整合到公司，由公司向客户提供一体化服务，并由刘宁、</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184" w:hanging="360"/>
        <w:jc w:val="left"/>
      </w:pPr>
      <w:r>
        <w:rPr/>
        <w:t>奚冰、应婕组成卫宁信息清算组，负责卫宁信息的清算工作，其中刘宁担任清算组负责人，目前处于</w:t>
      </w:r>
      <w:r>
        <w:rPr>
          <w:spacing w:val="-18"/>
        </w:rPr>
        <w:t> </w:t>
      </w:r>
      <w:r>
        <w:rPr/>
        <w:t>注销流程中。</w:t>
      </w:r>
      <w:r>
        <w:rPr/>
        <w:t> </w:t>
      </w: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日，卫宁信息总资产</w:t>
      </w:r>
      <w:r>
        <w:rPr>
          <w:rFonts w:ascii="Times New Roman" w:hAnsi="Times New Roman" w:cs="Times New Roman" w:eastAsia="Times New Roman" w:hint="default"/>
          <w:spacing w:val="-1"/>
        </w:rPr>
        <w:t>239.49</w:t>
      </w:r>
      <w:r>
        <w:rPr>
          <w:spacing w:val="-1"/>
        </w:rPr>
        <w:t>万元，净资产</w:t>
      </w:r>
      <w:r>
        <w:rPr>
          <w:rFonts w:ascii="Times New Roman" w:hAnsi="Times New Roman" w:cs="Times New Roman" w:eastAsia="Times New Roman" w:hint="default"/>
          <w:spacing w:val="-1"/>
        </w:rPr>
        <w:t>257.46</w:t>
      </w:r>
      <w:r>
        <w:rPr>
          <w:spacing w:val="-1"/>
        </w:rPr>
        <w:t>万元，</w:t>
      </w:r>
      <w:r>
        <w:rPr>
          <w:rFonts w:ascii="Times New Roman" w:hAnsi="Times New Roman" w:cs="Times New Roman" w:eastAsia="Times New Roman" w:hint="default"/>
          <w:spacing w:val="-1"/>
        </w:rPr>
        <w:t>2012</w:t>
      </w:r>
      <w:r>
        <w:rPr>
          <w:spacing w:val="-1"/>
        </w:rPr>
        <w:t>年度实现净利润</w:t>
      </w:r>
      <w:r>
        <w:rPr>
          <w:rFonts w:ascii="Times New Roman" w:hAnsi="Times New Roman" w:cs="Times New Roman" w:eastAsia="Times New Roman" w:hint="default"/>
          <w:spacing w:val="-1"/>
        </w:rPr>
        <w:t>18.04</w:t>
      </w:r>
      <w:r>
        <w:rPr>
          <w:spacing w:val="-1"/>
        </w:rPr>
        <w:t>万元。报告期内，卫</w:t>
      </w:r>
    </w:p>
    <w:p>
      <w:pPr>
        <w:pStyle w:val="BodyText"/>
        <w:spacing w:line="235" w:lineRule="exact"/>
        <w:ind w:right="184"/>
        <w:jc w:val="left"/>
      </w:pPr>
      <w:r>
        <w:rPr/>
        <w:t>宁信息的净利润对公司合并报表的影响较小。</w:t>
      </w:r>
    </w:p>
    <w:p>
      <w:pPr>
        <w:pStyle w:val="BodyText"/>
        <w:spacing w:line="300" w:lineRule="auto" w:before="76"/>
        <w:ind w:left="512" w:right="184"/>
        <w:jc w:val="left"/>
      </w:pPr>
      <w:r>
        <w:rPr/>
        <w:t>（</w:t>
      </w:r>
      <w:r>
        <w:rPr>
          <w:rFonts w:ascii="Times New Roman" w:hAnsi="Times New Roman" w:cs="Times New Roman" w:eastAsia="Times New Roman" w:hint="default"/>
        </w:rPr>
        <w:t>2</w:t>
      </w:r>
      <w:r>
        <w:rPr/>
        <w:t>）江苏卫宁 江苏卫宁成立于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日，注册资本及实收资本均为人民币</w:t>
      </w:r>
      <w:r>
        <w:rPr>
          <w:rFonts w:ascii="Times New Roman" w:hAnsi="Times New Roman" w:cs="Times New Roman" w:eastAsia="Times New Roman" w:hint="default"/>
        </w:rPr>
        <w:t>1,000</w:t>
      </w:r>
      <w:r>
        <w:rPr/>
        <w:t>万元，法定代表人为孙凯，企业法人营业执照注</w:t>
      </w:r>
    </w:p>
    <w:p>
      <w:pPr>
        <w:pStyle w:val="BodyText"/>
        <w:spacing w:line="300" w:lineRule="auto" w:before="13"/>
        <w:ind w:right="184"/>
        <w:jc w:val="left"/>
      </w:pPr>
      <w:r>
        <w:rPr/>
        <w:t>册号为</w:t>
      </w:r>
      <w:r>
        <w:rPr>
          <w:rFonts w:ascii="Times New Roman" w:hAnsi="Times New Roman" w:cs="Times New Roman" w:eastAsia="Times New Roman" w:hint="default"/>
        </w:rPr>
        <w:t>320407000140589</w:t>
      </w:r>
      <w:r>
        <w:rPr/>
        <w:t>，住所为常州市新北区太湖东路</w:t>
      </w:r>
      <w:r>
        <w:rPr>
          <w:rFonts w:ascii="Times New Roman" w:hAnsi="Times New Roman" w:cs="Times New Roman" w:eastAsia="Times New Roman" w:hint="default"/>
        </w:rPr>
        <w:t>9</w:t>
      </w:r>
      <w:r>
        <w:rPr/>
        <w:t>－</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24</w:t>
      </w:r>
      <w:r>
        <w:rPr/>
        <w:t>楼，公司类型为有限公司（法人独资），经营范围为计算 机软件的技术开发、设计和制作、技术咨询和技术服务及计算机配件的销售；计算机网络信息系统集成的维护。</w:t>
      </w:r>
    </w:p>
    <w:p>
      <w:pPr>
        <w:pStyle w:val="BodyText"/>
        <w:spacing w:line="300" w:lineRule="auto" w:before="31"/>
        <w:ind w:right="124" w:firstLine="36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日，江苏卫宁总资产</w:t>
      </w:r>
      <w:r>
        <w:rPr>
          <w:rFonts w:ascii="Times New Roman" w:hAnsi="Times New Roman" w:cs="Times New Roman" w:eastAsia="Times New Roman" w:hint="default"/>
        </w:rPr>
        <w:t>1,776.04</w:t>
      </w:r>
      <w:r>
        <w:rPr/>
        <w:t>万元，净资产</w:t>
      </w:r>
      <w:r>
        <w:rPr>
          <w:rFonts w:ascii="Times New Roman" w:hAnsi="Times New Roman" w:cs="Times New Roman" w:eastAsia="Times New Roman" w:hint="default"/>
        </w:rPr>
        <w:t>546.02</w:t>
      </w:r>
      <w:r>
        <w:rPr/>
        <w:t>万元，</w:t>
      </w:r>
      <w:r>
        <w:rPr>
          <w:rFonts w:ascii="Times New Roman" w:hAnsi="Times New Roman" w:cs="Times New Roman" w:eastAsia="Times New Roman" w:hint="default"/>
        </w:rPr>
        <w:t>2012</w:t>
      </w:r>
      <w:r>
        <w:rPr/>
        <w:t>年度实现净利润</w:t>
      </w:r>
      <w:r>
        <w:rPr>
          <w:rFonts w:ascii="Times New Roman" w:hAnsi="Times New Roman" w:cs="Times New Roman" w:eastAsia="Times New Roman" w:hint="default"/>
        </w:rPr>
        <w:t>-74.86</w:t>
      </w:r>
      <w:r>
        <w:rPr/>
        <w:t>万元。报告期内， 江苏卫宁的净利润对公司合并报表的影响较小。</w:t>
      </w:r>
    </w:p>
    <w:p>
      <w:pPr>
        <w:pStyle w:val="BodyText"/>
        <w:spacing w:line="300" w:lineRule="auto" w:before="31"/>
        <w:ind w:left="512" w:right="184"/>
        <w:jc w:val="left"/>
      </w:pPr>
      <w:r>
        <w:rPr/>
        <w:t>（</w:t>
      </w:r>
      <w:r>
        <w:rPr>
          <w:rFonts w:ascii="Times New Roman" w:hAnsi="Times New Roman" w:cs="Times New Roman" w:eastAsia="Times New Roman" w:hint="default"/>
        </w:rPr>
        <w:t>3</w:t>
      </w:r>
      <w:r>
        <w:rPr/>
        <w:t>）西安卫宁 </w:t>
      </w:r>
      <w:r>
        <w:rPr>
          <w:spacing w:val="-2"/>
        </w:rPr>
        <w:t>西安卫宁成立于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日，注册资本及实收资本均为人民币</w:t>
      </w:r>
      <w:r>
        <w:rPr>
          <w:rFonts w:ascii="Times New Roman" w:hAnsi="Times New Roman" w:cs="Times New Roman" w:eastAsia="Times New Roman" w:hint="default"/>
          <w:spacing w:val="-2"/>
        </w:rPr>
        <w:t>500</w:t>
      </w:r>
      <w:r>
        <w:rPr>
          <w:spacing w:val="-2"/>
        </w:rPr>
        <w:t>万元，法定代表人为孙凯，企业法人营业执照注册</w:t>
      </w:r>
    </w:p>
    <w:p>
      <w:pPr>
        <w:pStyle w:val="BodyText"/>
        <w:spacing w:line="309" w:lineRule="auto" w:before="13"/>
        <w:ind w:right="193" w:hanging="1"/>
        <w:jc w:val="both"/>
      </w:pPr>
      <w:r>
        <w:rPr/>
        <w:t>号为</w:t>
      </w:r>
      <w:r>
        <w:rPr>
          <w:rFonts w:ascii="Times New Roman" w:hAnsi="Times New Roman" w:cs="Times New Roman" w:eastAsia="Times New Roman" w:hint="default"/>
        </w:rPr>
        <w:t>610100100562287</w:t>
      </w:r>
      <w:r>
        <w:rPr/>
        <w:t>，住所为西安市莲湖区高新三路东财富中心</w:t>
      </w:r>
      <w:r>
        <w:rPr>
          <w:rFonts w:ascii="Times New Roman" w:hAnsi="Times New Roman" w:cs="Times New Roman" w:eastAsia="Times New Roman" w:hint="default"/>
        </w:rPr>
        <w:t>2</w:t>
      </w:r>
      <w:r>
        <w:rPr/>
        <w:t>期</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40704</w:t>
      </w:r>
      <w:r>
        <w:rPr/>
        <w:t>、</w:t>
      </w:r>
      <w:r>
        <w:rPr>
          <w:rFonts w:ascii="Times New Roman" w:hAnsi="Times New Roman" w:cs="Times New Roman" w:eastAsia="Times New Roman" w:hint="default"/>
        </w:rPr>
        <w:t>40705</w:t>
      </w:r>
      <w:r>
        <w:rPr/>
        <w:t>室，公司类型为有限责任公司（法人 </w:t>
      </w:r>
      <w:r>
        <w:rPr>
          <w:spacing w:val="-2"/>
        </w:rPr>
        <w:t>独资），经营范围为计算机软硬件的研发、销售；计算机及辅助设备的销售；计算机网络信息系统集成、技术开发、技术转</w:t>
      </w:r>
      <w:r>
        <w:rPr>
          <w:spacing w:val="-74"/>
        </w:rPr>
        <w:t> </w:t>
      </w:r>
      <w:r>
        <w:rPr>
          <w:spacing w:val="-74"/>
        </w:rPr>
      </w:r>
      <w:r>
        <w:rPr/>
        <w:t>让、技术咨询和技术服务。</w:t>
      </w:r>
    </w:p>
    <w:p>
      <w:pPr>
        <w:pStyle w:val="BodyText"/>
        <w:spacing w:line="300" w:lineRule="auto" w:before="24"/>
        <w:ind w:right="184" w:firstLine="360"/>
        <w:jc w:val="left"/>
      </w:pP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日，西安卫宁总资产</w:t>
      </w:r>
      <w:r>
        <w:rPr>
          <w:rFonts w:ascii="Times New Roman" w:hAnsi="Times New Roman" w:cs="Times New Roman" w:eastAsia="Times New Roman" w:hint="default"/>
          <w:spacing w:val="-1"/>
        </w:rPr>
        <w:t>500.59</w:t>
      </w:r>
      <w:r>
        <w:rPr>
          <w:spacing w:val="-1"/>
        </w:rPr>
        <w:t>万元，净资产</w:t>
      </w:r>
      <w:r>
        <w:rPr>
          <w:rFonts w:ascii="Times New Roman" w:hAnsi="Times New Roman" w:cs="Times New Roman" w:eastAsia="Times New Roman" w:hint="default"/>
          <w:spacing w:val="-1"/>
        </w:rPr>
        <w:t>499.59</w:t>
      </w:r>
      <w:r>
        <w:rPr>
          <w:spacing w:val="-1"/>
        </w:rPr>
        <w:t>万元，</w:t>
      </w:r>
      <w:r>
        <w:rPr>
          <w:rFonts w:ascii="Times New Roman" w:hAnsi="Times New Roman" w:cs="Times New Roman" w:eastAsia="Times New Roman" w:hint="default"/>
          <w:spacing w:val="-1"/>
        </w:rPr>
        <w:t>2012</w:t>
      </w:r>
      <w:r>
        <w:rPr>
          <w:spacing w:val="-1"/>
        </w:rPr>
        <w:t>年度实现净利润</w:t>
      </w:r>
      <w:r>
        <w:rPr>
          <w:rFonts w:ascii="Times New Roman" w:hAnsi="Times New Roman" w:cs="Times New Roman" w:eastAsia="Times New Roman" w:hint="default"/>
          <w:spacing w:val="-1"/>
        </w:rPr>
        <w:t>-0.41</w:t>
      </w:r>
      <w:r>
        <w:rPr>
          <w:spacing w:val="-1"/>
        </w:rPr>
        <w:t>万元。报告期内，西</w:t>
      </w:r>
      <w:r>
        <w:rPr/>
        <w:t> 安卫宁的净利润对公司合并报表的影响较小。</w:t>
      </w:r>
    </w:p>
    <w:p>
      <w:pPr>
        <w:pStyle w:val="BodyText"/>
        <w:spacing w:line="300" w:lineRule="auto" w:before="31"/>
        <w:ind w:left="512" w:right="109"/>
        <w:jc w:val="left"/>
      </w:pPr>
      <w:r>
        <w:rPr/>
        <w:t>（</w:t>
      </w:r>
      <w:r>
        <w:rPr>
          <w:rFonts w:ascii="Times New Roman" w:hAnsi="Times New Roman" w:cs="Times New Roman" w:eastAsia="Times New Roman" w:hint="default"/>
        </w:rPr>
        <w:t>4</w:t>
      </w:r>
      <w:r>
        <w:rPr/>
        <w:t>）卫宁科技 卫宁科技成立于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日，注册资本及实收资本均为人民币</w:t>
      </w:r>
      <w:r>
        <w:rPr>
          <w:rFonts w:ascii="Times New Roman" w:hAnsi="Times New Roman" w:cs="Times New Roman" w:eastAsia="Times New Roman" w:hint="default"/>
        </w:rPr>
        <w:t>1,000</w:t>
      </w:r>
      <w:r>
        <w:rPr/>
        <w:t>万元，其中公司占</w:t>
      </w:r>
      <w:r>
        <w:rPr>
          <w:rFonts w:ascii="Times New Roman" w:hAnsi="Times New Roman" w:cs="Times New Roman" w:eastAsia="Times New Roman" w:hint="default"/>
        </w:rPr>
        <w:t>65%</w:t>
      </w:r>
      <w:r>
        <w:rPr/>
        <w:t>股权、赵蒙海占</w:t>
      </w:r>
      <w:r>
        <w:rPr>
          <w:rFonts w:ascii="Times New Roman" w:hAnsi="Times New Roman" w:cs="Times New Roman" w:eastAsia="Times New Roman" w:hint="default"/>
        </w:rPr>
        <w:t>35%</w:t>
      </w:r>
      <w:r>
        <w:rPr/>
        <w:t>股权，</w:t>
      </w:r>
    </w:p>
    <w:p>
      <w:pPr>
        <w:pStyle w:val="BodyText"/>
        <w:spacing w:line="312" w:lineRule="auto" w:before="13"/>
        <w:ind w:right="184"/>
        <w:jc w:val="left"/>
      </w:pPr>
      <w:r>
        <w:rPr/>
        <w:t>法定代表人为周炜，企业法人营业执照注册号为</w:t>
      </w:r>
      <w:r>
        <w:rPr>
          <w:rFonts w:ascii="Times New Roman" w:hAnsi="Times New Roman" w:cs="Times New Roman" w:eastAsia="Times New Roman" w:hint="default"/>
        </w:rPr>
        <w:t>310115001952887</w:t>
      </w:r>
      <w:r>
        <w:rPr/>
        <w:t>，住所为上海市浦东新区环林东路</w:t>
      </w:r>
      <w:r>
        <w:rPr>
          <w:rFonts w:ascii="Times New Roman" w:hAnsi="Times New Roman" w:cs="Times New Roman" w:eastAsia="Times New Roman" w:hint="default"/>
        </w:rPr>
        <w:t>799</w:t>
      </w:r>
      <w:r>
        <w:rPr/>
        <w:t>弄</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1</w:t>
      </w:r>
      <w:r>
        <w:rPr/>
        <w:t>层</w:t>
      </w:r>
      <w:r>
        <w:rPr>
          <w:rFonts w:ascii="Times New Roman" w:hAnsi="Times New Roman" w:cs="Times New Roman" w:eastAsia="Times New Roman" w:hint="default"/>
        </w:rPr>
        <w:t>B168</w:t>
      </w:r>
      <w:r>
        <w:rPr/>
        <w:t>室，</w:t>
      </w:r>
      <w:r>
        <w:rPr>
          <w:spacing w:val="-3"/>
        </w:rPr>
        <w:t> </w:t>
      </w:r>
      <w:r>
        <w:rPr>
          <w:spacing w:val="-2"/>
        </w:rPr>
        <w:t>公司类型为有限责任公司（国内合资），经营范围为计算机软硬件的开发、设计和制作，销售自产产品（除计算机信息系统</w:t>
      </w:r>
      <w:r>
        <w:rPr>
          <w:spacing w:val="-68"/>
        </w:rPr>
        <w:t> </w:t>
      </w:r>
      <w:r>
        <w:rPr>
          <w:spacing w:val="-68"/>
        </w:rPr>
      </w:r>
      <w:r>
        <w:rPr>
          <w:spacing w:val="-2"/>
        </w:rPr>
        <w:t>安全专用产品），计算机及辅助设备的销售，计算机网络信息系统集成及维护，并提供相关的技术开发、技术转让、技术咨</w:t>
      </w:r>
      <w:r>
        <w:rPr>
          <w:spacing w:val="-68"/>
        </w:rPr>
        <w:t> </w:t>
      </w:r>
      <w:r>
        <w:rPr>
          <w:spacing w:val="-68"/>
        </w:rPr>
      </w:r>
      <w:r>
        <w:rPr/>
        <w:t>询和技术服务。</w:t>
      </w:r>
    </w:p>
    <w:p>
      <w:pPr>
        <w:pStyle w:val="BodyText"/>
        <w:spacing w:line="300" w:lineRule="auto" w:before="22"/>
        <w:ind w:right="94" w:firstLine="360"/>
        <w:jc w:val="left"/>
      </w:pPr>
      <w:r>
        <w:rPr>
          <w:spacing w:val="-3"/>
        </w:rPr>
        <w:t>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日，卫宁科技总资产</w:t>
      </w:r>
      <w:r>
        <w:rPr>
          <w:rFonts w:ascii="Times New Roman" w:hAnsi="Times New Roman" w:cs="Times New Roman" w:eastAsia="Times New Roman" w:hint="default"/>
          <w:spacing w:val="-3"/>
        </w:rPr>
        <w:t>1,348.44</w:t>
      </w:r>
      <w:r>
        <w:rPr>
          <w:spacing w:val="-3"/>
        </w:rPr>
        <w:t>万元，净资产</w:t>
      </w:r>
      <w:r>
        <w:rPr>
          <w:rFonts w:ascii="Times New Roman" w:hAnsi="Times New Roman" w:cs="Times New Roman" w:eastAsia="Times New Roman" w:hint="default"/>
          <w:spacing w:val="-3"/>
        </w:rPr>
        <w:t>1,139.67</w:t>
      </w:r>
      <w:r>
        <w:rPr>
          <w:spacing w:val="-3"/>
        </w:rPr>
        <w:t>万元，</w:t>
      </w:r>
      <w:r>
        <w:rPr>
          <w:rFonts w:ascii="Times New Roman" w:hAnsi="Times New Roman" w:cs="Times New Roman" w:eastAsia="Times New Roman" w:hint="default"/>
          <w:spacing w:val="-3"/>
        </w:rPr>
        <w:t>2012</w:t>
      </w:r>
      <w:r>
        <w:rPr>
          <w:spacing w:val="-3"/>
        </w:rPr>
        <w:t>年度实现净利润</w:t>
      </w:r>
      <w:r>
        <w:rPr>
          <w:rFonts w:ascii="Times New Roman" w:hAnsi="Times New Roman" w:cs="Times New Roman" w:eastAsia="Times New Roman" w:hint="default"/>
          <w:spacing w:val="-3"/>
        </w:rPr>
        <w:t>139.67</w:t>
      </w:r>
      <w:r>
        <w:rPr>
          <w:spacing w:val="-3"/>
        </w:rPr>
        <w:t>万元。报告期内，</w:t>
      </w:r>
      <w:r>
        <w:rPr/>
        <w:t> 卫宁科技的净利润对公司合并报表的影响较小。</w:t>
      </w:r>
    </w:p>
    <w:p>
      <w:pPr>
        <w:spacing w:line="240" w:lineRule="auto" w:before="12"/>
        <w:rPr>
          <w:rFonts w:ascii="宋体" w:hAnsi="宋体" w:cs="宋体" w:eastAsia="宋体" w:hint="default"/>
          <w:sz w:val="21"/>
          <w:szCs w:val="21"/>
        </w:rPr>
      </w:pPr>
    </w:p>
    <w:p>
      <w:pPr>
        <w:pStyle w:val="Heading2"/>
        <w:spacing w:line="240" w:lineRule="auto" w:before="0"/>
        <w:ind w:right="184"/>
        <w:jc w:val="left"/>
        <w:rPr>
          <w:b w:val="0"/>
          <w:bCs w:val="0"/>
        </w:rPr>
      </w:pPr>
      <w:r>
        <w:rPr/>
        <w:t>三、公司未来发展的展望</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184"/>
        <w:jc w:val="left"/>
        <w:rPr>
          <w:b w:val="0"/>
          <w:bCs w:val="0"/>
        </w:rPr>
      </w:pPr>
      <w:r>
        <w:rPr/>
        <w:t>（一）公司所处行业的发展前景</w:t>
      </w:r>
      <w:r>
        <w:rPr>
          <w:b w:val="0"/>
          <w:bCs w:val="0"/>
        </w:rPr>
      </w:r>
    </w:p>
    <w:p>
      <w:pPr>
        <w:spacing w:line="240" w:lineRule="auto" w:before="0"/>
        <w:rPr>
          <w:rFonts w:ascii="宋体" w:hAnsi="宋体" w:cs="宋体" w:eastAsia="宋体" w:hint="default"/>
          <w:b/>
          <w:bCs/>
          <w:sz w:val="15"/>
          <w:szCs w:val="15"/>
        </w:rPr>
      </w:pPr>
    </w:p>
    <w:p>
      <w:pPr>
        <w:pStyle w:val="Heading5"/>
        <w:spacing w:line="240" w:lineRule="auto"/>
        <w:ind w:left="575" w:right="184"/>
        <w:jc w:val="left"/>
        <w:rPr>
          <w:b w:val="0"/>
          <w:bCs w:val="0"/>
        </w:rPr>
      </w:pPr>
      <w:r>
        <w:rPr>
          <w:rFonts w:ascii="Times New Roman" w:hAnsi="Times New Roman" w:cs="Times New Roman" w:eastAsia="Times New Roman" w:hint="default"/>
        </w:rPr>
        <w:t>1</w:t>
      </w:r>
      <w:r>
        <w:rPr/>
        <w:t>、政策背景</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93" w:firstLine="420"/>
        <w:jc w:val="both"/>
      </w:pPr>
      <w:r>
        <w:rPr/>
        <w:t>中共中央、国务院于</w:t>
      </w:r>
      <w:r>
        <w:rPr>
          <w:rFonts w:ascii="Times New Roman" w:hAnsi="Times New Roman" w:cs="Times New Roman" w:eastAsia="Times New Roman" w:hint="default"/>
        </w:rPr>
        <w:t>2009</w:t>
      </w:r>
      <w:r>
        <w:rPr/>
        <w:t>年正式发布了《关于深化医药卫生体制改革的意见》（</w:t>
      </w:r>
      <w:r>
        <w:rPr>
          <w:rFonts w:ascii="Times New Roman" w:hAnsi="Times New Roman" w:cs="Times New Roman" w:eastAsia="Times New Roman" w:hint="default"/>
        </w:rPr>
        <w:t>2009-2020</w:t>
      </w:r>
      <w:bookmarkStart w:name="三、公司未来发展的展望" w:id="34"/>
      <w:bookmarkEnd w:id="34"/>
      <w:r>
        <w:rPr>
          <w:rFonts w:ascii="Times New Roman" w:hAnsi="Times New Roman" w:cs="Times New Roman" w:eastAsia="Times New Roman" w:hint="default"/>
        </w:rPr>
      </w:r>
      <w:r>
        <w:rPr/>
        <w:t>）（简称</w:t>
      </w:r>
      <w:r>
        <w:rPr>
          <w:rFonts w:ascii="Times New Roman" w:hAnsi="Times New Roman" w:cs="Times New Roman" w:eastAsia="Times New Roman" w:hint="default"/>
        </w:rPr>
        <w:t>“</w:t>
      </w:r>
      <w:r>
        <w:rPr/>
        <w:t>新医改</w:t>
      </w:r>
      <w:r>
        <w:rPr>
          <w:rFonts w:ascii="Times New Roman" w:hAnsi="Times New Roman" w:cs="Times New Roman" w:eastAsia="Times New Roman" w:hint="default"/>
        </w:rPr>
        <w:t>”</w:t>
      </w:r>
      <w:r>
        <w:rPr/>
        <w:t>），在此 基础上国务院陆续发布了《关于公立医院改革试点的指导意见》（</w:t>
      </w:r>
      <w:r>
        <w:rPr>
          <w:rFonts w:ascii="Times New Roman" w:hAnsi="Times New Roman" w:cs="Times New Roman" w:eastAsia="Times New Roman" w:hint="default"/>
        </w:rPr>
        <w:t>2010-2011</w:t>
      </w:r>
      <w:r>
        <w:rPr/>
        <w:t>）、《医药卫生体制五项重点改革</w:t>
      </w:r>
      <w:r>
        <w:rPr>
          <w:rFonts w:ascii="Times New Roman" w:hAnsi="Times New Roman" w:cs="Times New Roman" w:eastAsia="Times New Roman" w:hint="default"/>
        </w:rPr>
        <w:t>2010</w:t>
      </w:r>
      <w:r>
        <w:rPr/>
        <w:t>年度主</w:t>
      </w:r>
      <w:r>
        <w:rPr>
          <w:spacing w:val="-63"/>
        </w:rPr>
        <w:t> </w:t>
      </w:r>
      <w:r>
        <w:rPr>
          <w:spacing w:val="-2"/>
        </w:rPr>
        <w:t>要工作安排》等。在新医改中，明确提出了建立基本医疗卫生制度的</w:t>
      </w:r>
      <w:r>
        <w:rPr>
          <w:rFonts w:ascii="Times New Roman" w:hAnsi="Times New Roman" w:cs="Times New Roman" w:eastAsia="Times New Roman" w:hint="default"/>
          <w:spacing w:val="-2"/>
        </w:rPr>
        <w:t>“</w:t>
      </w:r>
      <w:r>
        <w:rPr>
          <w:spacing w:val="-2"/>
        </w:rPr>
        <w:t>四梁八柱</w:t>
      </w:r>
      <w:r>
        <w:rPr>
          <w:rFonts w:ascii="Times New Roman" w:hAnsi="Times New Roman" w:cs="Times New Roman" w:eastAsia="Times New Roman" w:hint="default"/>
          <w:spacing w:val="-2"/>
        </w:rPr>
        <w:t>”</w:t>
      </w:r>
      <w:r>
        <w:rPr>
          <w:spacing w:val="-2"/>
        </w:rPr>
        <w:t>构架，信息系统建设第一次成为医药卫生体</w:t>
      </w:r>
      <w:r>
        <w:rPr>
          <w:spacing w:val="-45"/>
        </w:rPr>
        <w:t> </w:t>
      </w:r>
      <w:r>
        <w:rPr>
          <w:spacing w:val="-45"/>
        </w:rPr>
      </w:r>
      <w:r>
        <w:rPr/>
        <w:t>制改革的一个重要环节和唯一的技术支撑。</w:t>
      </w:r>
    </w:p>
    <w:p>
      <w:pPr>
        <w:pStyle w:val="BodyText"/>
        <w:spacing w:line="300" w:lineRule="auto" w:before="151"/>
        <w:ind w:right="94" w:firstLine="420"/>
        <w:jc w:val="left"/>
      </w:pPr>
      <w:r>
        <w:rPr>
          <w:rFonts w:ascii="Times New Roman" w:hAnsi="Times New Roman" w:cs="Times New Roman" w:eastAsia="Times New Roman" w:hint="default"/>
        </w:rPr>
        <w:t>2010</w:t>
      </w:r>
      <w:r>
        <w:rPr/>
        <w:t>年底，卫生部提出卫生事业</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规划（初步意见），</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卫生信息化建设工程规划初步确定了我国卫生</w:t>
      </w:r>
      <w:r>
        <w:rPr>
          <w:spacing w:val="2"/>
        </w:rPr>
        <w:t> </w:t>
      </w:r>
      <w:r>
        <w:rPr>
          <w:spacing w:val="-2"/>
        </w:rPr>
        <w:t>信息化建设路线图，简称</w:t>
      </w:r>
      <w:r>
        <w:rPr>
          <w:rFonts w:ascii="Times New Roman" w:hAnsi="Times New Roman" w:cs="Times New Roman" w:eastAsia="Times New Roman" w:hint="default"/>
          <w:spacing w:val="-2"/>
        </w:rPr>
        <w:t>“3521</w:t>
      </w:r>
      <w:r>
        <w:rPr>
          <w:spacing w:val="-2"/>
        </w:rPr>
        <w:t>工程</w:t>
      </w:r>
      <w:r>
        <w:rPr>
          <w:rFonts w:ascii="Times New Roman" w:hAnsi="Times New Roman" w:cs="Times New Roman" w:eastAsia="Times New Roman" w:hint="default"/>
          <w:spacing w:val="-2"/>
        </w:rPr>
        <w:t>”</w:t>
      </w:r>
      <w:r>
        <w:rPr>
          <w:spacing w:val="-2"/>
        </w:rPr>
        <w:t>，即建设国家级、省级和地市级</w:t>
      </w:r>
      <w:r>
        <w:rPr>
          <w:rFonts w:ascii="Times New Roman" w:hAnsi="Times New Roman" w:cs="Times New Roman" w:eastAsia="Times New Roman" w:hint="default"/>
          <w:spacing w:val="-2"/>
        </w:rPr>
        <w:t>3</w:t>
      </w:r>
      <w:r>
        <w:rPr>
          <w:spacing w:val="-2"/>
        </w:rPr>
        <w:t>级卫生信息平台，加强公共卫生、医疗服务、新农合、</w:t>
      </w:r>
      <w:r>
        <w:rPr>
          <w:spacing w:val="-40"/>
        </w:rPr>
        <w:t> </w:t>
      </w:r>
      <w:r>
        <w:rPr>
          <w:spacing w:val="-40"/>
        </w:rPr>
      </w:r>
      <w:r>
        <w:rPr/>
        <w:t>基本药物制度、综合管理</w:t>
      </w:r>
      <w:r>
        <w:rPr>
          <w:rFonts w:ascii="Times New Roman" w:hAnsi="Times New Roman" w:cs="Times New Roman" w:eastAsia="Times New Roman" w:hint="default"/>
        </w:rPr>
        <w:t>5</w:t>
      </w:r>
      <w:r>
        <w:rPr/>
        <w:t>项业务应用，建设健康档案和电子病历</w:t>
      </w:r>
      <w:r>
        <w:rPr>
          <w:rFonts w:ascii="Times New Roman" w:hAnsi="Times New Roman" w:cs="Times New Roman" w:eastAsia="Times New Roman" w:hint="default"/>
        </w:rPr>
        <w:t>2</w:t>
      </w:r>
      <w:r>
        <w:rPr/>
        <w:t>个基础数据库和</w:t>
      </w:r>
      <w:r>
        <w:rPr>
          <w:rFonts w:ascii="Times New Roman" w:hAnsi="Times New Roman" w:cs="Times New Roman" w:eastAsia="Times New Roman" w:hint="default"/>
        </w:rPr>
        <w:t>1</w:t>
      </w:r>
      <w:r>
        <w:rPr/>
        <w:t>个专用网络建设。</w:t>
      </w:r>
    </w:p>
    <w:p>
      <w:pPr>
        <w:pStyle w:val="BodyText"/>
        <w:spacing w:line="240" w:lineRule="auto" w:before="130"/>
        <w:ind w:left="572" w:right="184"/>
        <w:jc w:val="left"/>
      </w:pPr>
      <w:r>
        <w:rPr/>
        <w:t>期间，国务院办公厅、卫生部等陆续发布了若干推进医疗卫生信息化建设的政策文件。</w:t>
      </w:r>
    </w:p>
    <w:p>
      <w:pPr>
        <w:spacing w:line="240" w:lineRule="auto" w:before="0"/>
        <w:rPr>
          <w:rFonts w:ascii="宋体" w:hAnsi="宋体" w:cs="宋体" w:eastAsia="宋体" w:hint="default"/>
          <w:sz w:val="15"/>
          <w:szCs w:val="15"/>
        </w:rPr>
      </w:pPr>
    </w:p>
    <w:p>
      <w:pPr>
        <w:pStyle w:val="BodyText"/>
        <w:spacing w:line="300" w:lineRule="auto"/>
        <w:ind w:right="94" w:firstLine="41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月，卫生部、国家中医药管理局联合发布《关于加强卫生信息化建设的指导意见》，为贯彻落实新医改，建设 </w:t>
      </w:r>
      <w:r>
        <w:rPr>
          <w:spacing w:val="-4"/>
        </w:rPr>
        <w:t>适应卫生改革与发展需求的信息化体系，提高卫生服务与管理水平，就加强卫生（含中医药）信息化建设提出若干指导意见。</w:t>
      </w:r>
    </w:p>
    <w:p>
      <w:pPr>
        <w:pStyle w:val="BodyText"/>
        <w:spacing w:line="300" w:lineRule="auto" w:before="151"/>
        <w:ind w:right="190"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月，卫生部发布《</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2020”</w:t>
      </w:r>
      <w:r>
        <w:rPr/>
        <w:t>战略研究报告》，提出要加大健康投入，到</w:t>
      </w:r>
      <w:r>
        <w:rPr>
          <w:rFonts w:ascii="Times New Roman" w:hAnsi="Times New Roman" w:cs="Times New Roman" w:eastAsia="Times New Roman" w:hint="default"/>
        </w:rPr>
        <w:t>2020</w:t>
      </w:r>
      <w:r>
        <w:rPr/>
        <w:t>年，卫生总费用占</w:t>
      </w:r>
      <w:r>
        <w:rPr>
          <w:rFonts w:ascii="Times New Roman" w:hAnsi="Times New Roman" w:cs="Times New Roman" w:eastAsia="Times New Roman" w:hint="default"/>
        </w:rPr>
        <w:t>GDP</w:t>
      </w:r>
      <w:r>
        <w:rPr/>
        <w:t>的比 重达到</w:t>
      </w:r>
      <w:r>
        <w:rPr>
          <w:rFonts w:ascii="Times New Roman" w:hAnsi="Times New Roman" w:cs="Times New Roman" w:eastAsia="Times New Roman" w:hint="default"/>
        </w:rPr>
        <w:t>6.5%</w:t>
      </w:r>
      <w:r>
        <w:rPr/>
        <w:t>－</w:t>
      </w:r>
      <w:r>
        <w:rPr>
          <w:rFonts w:ascii="Times New Roman" w:hAnsi="Times New Roman" w:cs="Times New Roman" w:eastAsia="Times New Roman" w:hint="default"/>
        </w:rPr>
        <w:t>7%</w:t>
      </w:r>
      <w:r>
        <w:rPr/>
        <w:t>，将较目前上升两个百分点，相应财政投入也将大幅增加，以保障</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2020”</w:t>
      </w:r>
      <w:r>
        <w:rPr/>
        <w:t>战略目标实现。其中明</w:t>
      </w:r>
      <w:r>
        <w:rPr>
          <w:spacing w:val="-59"/>
        </w:rPr>
        <w:t> </w:t>
      </w:r>
      <w:r>
        <w:rPr>
          <w:spacing w:val="-59"/>
        </w:rPr>
      </w:r>
      <w:r>
        <w:rPr>
          <w:spacing w:val="-2"/>
        </w:rPr>
        <w:t>确指出未来将推出七大医疗体系重大专项，确定中国医疗卫生体系发展优先领域，资金总规模将达</w:t>
      </w:r>
      <w:r>
        <w:rPr>
          <w:rFonts w:ascii="Times New Roman" w:hAnsi="Times New Roman" w:cs="Times New Roman" w:eastAsia="Times New Roman" w:hint="default"/>
          <w:spacing w:val="-2"/>
        </w:rPr>
        <w:t>4000</w:t>
      </w:r>
      <w:r>
        <w:rPr>
          <w:spacing w:val="-2"/>
        </w:rPr>
        <w:t>亿左右。针对医疗信</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3"/>
        <w:jc w:val="both"/>
      </w:pPr>
      <w:r>
        <w:rPr/>
        <w:t>息化，卫生部将推出</w:t>
      </w:r>
      <w:r>
        <w:rPr>
          <w:rFonts w:ascii="Times New Roman" w:hAnsi="Times New Roman" w:cs="Times New Roman" w:eastAsia="Times New Roman" w:hint="default"/>
        </w:rPr>
        <w:t>611</w:t>
      </w:r>
      <w:r>
        <w:rPr/>
        <w:t>亿元预算的全民电子健康系统工程，包括大型综合医院信息化系统的标准化建设、建立全民电子健</w:t>
      </w:r>
      <w:r>
        <w:rPr>
          <w:spacing w:val="-85"/>
        </w:rPr>
        <w:t> </w:t>
      </w:r>
      <w:r>
        <w:rPr>
          <w:spacing w:val="-85"/>
        </w:rPr>
      </w:r>
      <w:r>
        <w:rPr>
          <w:spacing w:val="-2"/>
        </w:rPr>
        <w:t>康档案和区域性医疗信息化平台三项工作，其中</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期间，国家将选择部分省份投入经费先行试点，开展信息化统一标</w:t>
      </w:r>
      <w:r>
        <w:rPr>
          <w:spacing w:val="-46"/>
        </w:rPr>
        <w:t> </w:t>
      </w:r>
      <w:r>
        <w:rPr>
          <w:spacing w:val="-46"/>
        </w:rPr>
      </w:r>
      <w:r>
        <w:rPr/>
        <w:t>准、组织编写健康档案标准等工作，随后逐步向全国推行。</w:t>
      </w:r>
    </w:p>
    <w:p>
      <w:pPr>
        <w:pStyle w:val="Heading5"/>
        <w:spacing w:line="240" w:lineRule="auto" w:before="151"/>
        <w:ind w:right="184"/>
        <w:jc w:val="left"/>
        <w:rPr>
          <w:b w:val="0"/>
          <w:bCs w:val="0"/>
        </w:rPr>
      </w:pPr>
      <w:r>
        <w:rPr>
          <w:rFonts w:ascii="Times New Roman" w:hAnsi="Times New Roman" w:cs="Times New Roman" w:eastAsia="Times New Roman" w:hint="default"/>
        </w:rPr>
        <w:t>2</w:t>
      </w:r>
      <w:r>
        <w:rPr/>
        <w:t>、医疗健康信息服务业未来的主要发展趋势</w:t>
      </w:r>
      <w:r>
        <w:rPr>
          <w:b w:val="0"/>
          <w:bCs w:val="0"/>
        </w:rPr>
      </w:r>
    </w:p>
    <w:p>
      <w:pPr>
        <w:pStyle w:val="BodyText"/>
        <w:spacing w:line="430" w:lineRule="atLeast" w:before="2"/>
        <w:ind w:left="512" w:right="184"/>
        <w:jc w:val="left"/>
      </w:pPr>
      <w:r>
        <w:rPr/>
        <w:t>（</w:t>
      </w:r>
      <w:r>
        <w:rPr>
          <w:rFonts w:ascii="Times New Roman" w:hAnsi="Times New Roman" w:cs="Times New Roman" w:eastAsia="Times New Roman" w:hint="default"/>
        </w:rPr>
        <w:t>1</w:t>
      </w:r>
      <w:r>
        <w:rPr/>
        <w:t>）新医改和医疗健康信息化</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规划进一步刺激市场发展 </w:t>
      </w:r>
      <w:r>
        <w:rPr>
          <w:spacing w:val="-2"/>
        </w:rPr>
        <w:t>结合新医改卫生部进行了卫生信息化的</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规划，规划了信息化的</w:t>
      </w:r>
      <w:r>
        <w:rPr>
          <w:rFonts w:ascii="Times New Roman" w:hAnsi="Times New Roman" w:cs="Times New Roman" w:eastAsia="Times New Roman" w:hint="default"/>
          <w:spacing w:val="-2"/>
        </w:rPr>
        <w:t>3521</w:t>
      </w:r>
      <w:r>
        <w:rPr>
          <w:spacing w:val="-2"/>
        </w:rPr>
        <w:t>工程，在具体实施上，不断出台了诸多的医</w:t>
      </w:r>
    </w:p>
    <w:p>
      <w:pPr>
        <w:pStyle w:val="BodyText"/>
        <w:spacing w:line="316" w:lineRule="auto" w:before="62"/>
        <w:ind w:right="190"/>
        <w:jc w:val="both"/>
      </w:pPr>
      <w:r>
        <w:rPr>
          <w:spacing w:val="-2"/>
        </w:rPr>
        <w:t>疗信息化规范、政策及试点项目，包括公立医院改革信息化、关于公立医院改革国家联系试点城市信息系统建设项目、中西</w:t>
      </w:r>
      <w:r>
        <w:rPr>
          <w:spacing w:val="-65"/>
        </w:rPr>
        <w:t> </w:t>
      </w:r>
      <w:r>
        <w:rPr>
          <w:spacing w:val="-65"/>
        </w:rPr>
      </w:r>
      <w:r>
        <w:rPr>
          <w:spacing w:val="-2"/>
        </w:rPr>
        <w:t>部地区村卫生室信息化建设项目等，涉及医药信息化、公共卫生信息化、区域卫生信息化等方面，加速了行业对医疗信息化</w:t>
      </w:r>
      <w:r>
        <w:rPr>
          <w:spacing w:val="-64"/>
        </w:rPr>
        <w:t> </w:t>
      </w:r>
      <w:r>
        <w:rPr>
          <w:spacing w:val="-64"/>
        </w:rPr>
      </w:r>
      <w:r>
        <w:rPr/>
        <w:t>产品的需求，进一步刺激我国医疗信息化市场的发展。</w:t>
      </w:r>
    </w:p>
    <w:p>
      <w:pPr>
        <w:pStyle w:val="BodyText"/>
        <w:spacing w:line="432" w:lineRule="exact" w:before="3"/>
        <w:ind w:left="512" w:right="184"/>
        <w:jc w:val="left"/>
      </w:pPr>
      <w:r>
        <w:rPr/>
        <w:t>（</w:t>
      </w:r>
      <w:r>
        <w:rPr>
          <w:rFonts w:ascii="Times New Roman" w:hAnsi="Times New Roman" w:cs="Times New Roman" w:eastAsia="Times New Roman" w:hint="default"/>
        </w:rPr>
        <w:t>2</w:t>
      </w:r>
      <w:r>
        <w:rPr/>
        <w:t>）用户需求和新技术革新推动行业发展 </w:t>
      </w:r>
      <w:r>
        <w:rPr>
          <w:spacing w:val="-2"/>
        </w:rPr>
        <w:t>近年来，互联网技术不断发展，</w:t>
      </w:r>
      <w:r>
        <w:rPr>
          <w:rFonts w:ascii="Times New Roman" w:hAnsi="Times New Roman" w:cs="Times New Roman" w:eastAsia="Times New Roman" w:hint="default"/>
          <w:spacing w:val="-2"/>
        </w:rPr>
        <w:t>“</w:t>
      </w:r>
      <w:r>
        <w:rPr>
          <w:spacing w:val="-2"/>
        </w:rPr>
        <w:t>云计算</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移动计算</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物联网</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大数据</w:t>
      </w:r>
      <w:r>
        <w:rPr>
          <w:rFonts w:ascii="Times New Roman" w:hAnsi="Times New Roman" w:cs="Times New Roman" w:eastAsia="Times New Roman" w:hint="default"/>
          <w:spacing w:val="-2"/>
        </w:rPr>
        <w:t>”</w:t>
      </w:r>
      <w:r>
        <w:rPr>
          <w:spacing w:val="-2"/>
        </w:rPr>
        <w:t>等互联网新技术也在不断的得到应用，</w:t>
      </w:r>
      <w:r>
        <w:rPr>
          <w:rFonts w:ascii="Times New Roman" w:hAnsi="Times New Roman" w:cs="Times New Roman" w:eastAsia="Times New Roman" w:hint="default"/>
          <w:spacing w:val="-2"/>
        </w:rPr>
        <w:t>“</w:t>
      </w:r>
      <w:r>
        <w:rPr>
          <w:spacing w:val="-2"/>
        </w:rPr>
        <w:t>十</w:t>
      </w:r>
    </w:p>
    <w:p>
      <w:pPr>
        <w:pStyle w:val="BodyText"/>
        <w:spacing w:line="300" w:lineRule="auto" w:before="15"/>
        <w:ind w:right="193"/>
        <w:jc w:val="both"/>
      </w:pPr>
      <w:r>
        <w:rPr/>
        <w:t>二五</w:t>
      </w:r>
      <w:r>
        <w:rPr>
          <w:rFonts w:ascii="Times New Roman" w:hAnsi="Times New Roman" w:cs="Times New Roman" w:eastAsia="Times New Roman" w:hint="default"/>
        </w:rPr>
        <w:t>”</w:t>
      </w:r>
      <w:r>
        <w:rPr/>
        <w:t>期间，随着我国信息化水平的不断提高，由技术进步带来的新应用将推动医疗信息化的产品和服务不断创新，大幅拓</w:t>
      </w:r>
      <w:r>
        <w:rPr>
          <w:spacing w:val="-76"/>
        </w:rPr>
        <w:t> </w:t>
      </w:r>
      <w:r>
        <w:rPr>
          <w:spacing w:val="-76"/>
        </w:rPr>
      </w:r>
      <w:r>
        <w:rPr/>
        <w:t>宽行业的市场空间。</w:t>
      </w:r>
    </w:p>
    <w:p>
      <w:pPr>
        <w:pStyle w:val="BodyText"/>
        <w:spacing w:line="300" w:lineRule="auto" w:before="151"/>
        <w:ind w:right="184" w:firstLine="360"/>
        <w:jc w:val="left"/>
      </w:pPr>
      <w:r>
        <w:rPr>
          <w:spacing w:val="-2"/>
        </w:rPr>
        <w:t>与此同时，随着市场的不断发展和成熟，用户需求多元化的特征进一步凸显，鉴于</w:t>
      </w:r>
      <w:r>
        <w:rPr>
          <w:rFonts w:ascii="Times New Roman" w:hAnsi="Times New Roman" w:cs="Times New Roman" w:eastAsia="Times New Roman" w:hint="default"/>
          <w:spacing w:val="-2"/>
        </w:rPr>
        <w:t>“</w:t>
      </w:r>
      <w:r>
        <w:rPr>
          <w:spacing w:val="-2"/>
        </w:rPr>
        <w:t>用户为王</w:t>
      </w:r>
      <w:r>
        <w:rPr>
          <w:rFonts w:ascii="Times New Roman" w:hAnsi="Times New Roman" w:cs="Times New Roman" w:eastAsia="Times New Roman" w:hint="default"/>
          <w:spacing w:val="-2"/>
        </w:rPr>
        <w:t>”</w:t>
      </w:r>
      <w:r>
        <w:rPr>
          <w:spacing w:val="-2"/>
        </w:rPr>
        <w:t>的行业本质，服务产品的</w:t>
      </w:r>
      <w:r>
        <w:rPr/>
        <w:t> 内容和形式也将多元化，与新技术新应用相结合的产品和服务将不断涌现，以适应市场新形势满足用户需求的变化。</w:t>
      </w:r>
    </w:p>
    <w:p>
      <w:pPr>
        <w:pStyle w:val="BodyText"/>
        <w:spacing w:line="432" w:lineRule="exact" w:before="16"/>
        <w:ind w:left="512" w:right="94"/>
        <w:jc w:val="left"/>
      </w:pPr>
      <w:r>
        <w:rPr/>
        <w:t>（</w:t>
      </w:r>
      <w:r>
        <w:rPr>
          <w:rFonts w:ascii="Times New Roman" w:hAnsi="Times New Roman" w:cs="Times New Roman" w:eastAsia="Times New Roman" w:hint="default"/>
        </w:rPr>
        <w:t>3</w:t>
      </w:r>
      <w:r>
        <w:rPr/>
        <w:t>）无线移动医疗发展潜力进一步凸显，产品不断成熟 随着无线互联网技术和移动通信技术的不断革新，手机等无线终端已经逐步突破了上网速度慢等技术瓶颈，智能手机、</w:t>
      </w:r>
    </w:p>
    <w:p>
      <w:pPr>
        <w:pStyle w:val="BodyText"/>
        <w:spacing w:line="316" w:lineRule="auto" w:before="15"/>
        <w:ind w:right="94"/>
        <w:jc w:val="left"/>
      </w:pPr>
      <w:r>
        <w:rPr>
          <w:spacing w:val="-2"/>
        </w:rPr>
        <w:t>平板电脑、超级本等成为新趋势，为这些智能无线终端量身打造的产品和服务得到了良好的应用与普及，使得用户能够突破</w:t>
      </w:r>
      <w:r>
        <w:rPr>
          <w:spacing w:val="-63"/>
        </w:rPr>
        <w:t> </w:t>
      </w:r>
      <w:r>
        <w:rPr>
          <w:spacing w:val="-63"/>
        </w:rPr>
      </w:r>
      <w:r>
        <w:rPr>
          <w:spacing w:val="-4"/>
        </w:rPr>
        <w:t>电脑终端的限制，充分利用更多的碎片化的时间，随时随地使用产品或者接受服务，更大程度地满足了用户对医疗健康资讯、</w:t>
      </w:r>
      <w:r>
        <w:rPr>
          <w:spacing w:val="-44"/>
        </w:rPr>
        <w:t> </w:t>
      </w:r>
      <w:r>
        <w:rPr>
          <w:spacing w:val="-44"/>
        </w:rPr>
      </w:r>
      <w:r>
        <w:rPr/>
        <w:t>信息和服务及时性需求，用户体验大大增强。</w:t>
      </w:r>
    </w:p>
    <w:p>
      <w:pPr>
        <w:pStyle w:val="BodyText"/>
        <w:spacing w:line="316" w:lineRule="auto" w:before="139"/>
        <w:ind w:right="184" w:firstLine="360"/>
        <w:jc w:val="left"/>
      </w:pPr>
      <w:r>
        <w:rPr>
          <w:spacing w:val="-2"/>
        </w:rPr>
        <w:t>目前，移动医疗服务以其及时性、便捷性等优势已经成为医疗信息服务的最佳互补和新的平台。未来，移动医疗服务将</w:t>
      </w:r>
      <w:r>
        <w:rPr/>
        <w:t> 可能进一步实现大规模普及和增长，为医疗信息化行业提供极具潜力的增长点。</w:t>
      </w:r>
    </w:p>
    <w:p>
      <w:pPr>
        <w:pStyle w:val="BodyText"/>
        <w:spacing w:line="316" w:lineRule="auto" w:before="139"/>
        <w:ind w:right="184" w:firstLine="360"/>
        <w:jc w:val="left"/>
      </w:pPr>
      <w:r>
        <w:rPr>
          <w:spacing w:val="-2"/>
        </w:rPr>
        <w:t>主要产品涉及面向医护人员的无线医生站、无线护理、无线输液、无线药品管理、无线健康随访、面向居民的无线医疗</w:t>
      </w:r>
      <w:r>
        <w:rPr/>
        <w:t> 资讯、无线医疗协同、无线医疗服务等。</w:t>
      </w:r>
    </w:p>
    <w:p>
      <w:pPr>
        <w:pStyle w:val="BodyText"/>
        <w:spacing w:line="432" w:lineRule="exact" w:before="3"/>
        <w:ind w:left="512" w:right="94"/>
        <w:jc w:val="left"/>
      </w:pPr>
      <w:r>
        <w:rPr/>
        <w:t>（</w:t>
      </w:r>
      <w:r>
        <w:rPr>
          <w:rFonts w:ascii="Times New Roman" w:hAnsi="Times New Roman" w:cs="Times New Roman" w:eastAsia="Times New Roman" w:hint="default"/>
        </w:rPr>
        <w:t>4</w:t>
      </w:r>
      <w:r>
        <w:rPr/>
        <w:t>）大数据分析及智慧医疗应用空间无限 </w:t>
      </w:r>
      <w:r>
        <w:rPr>
          <w:spacing w:val="-4"/>
        </w:rPr>
        <w:t>医疗行业经过</w:t>
      </w:r>
      <w:r>
        <w:rPr>
          <w:rFonts w:ascii="Times New Roman" w:hAnsi="Times New Roman" w:cs="Times New Roman" w:eastAsia="Times New Roman" w:hint="default"/>
          <w:spacing w:val="-4"/>
        </w:rPr>
        <w:t>20</w:t>
      </w:r>
      <w:r>
        <w:rPr>
          <w:spacing w:val="-4"/>
        </w:rPr>
        <w:t>多年的发展，特别是大型三级医院、区域医疗的数据中心，积累了大量的数据，这些数据具有数据量大、</w:t>
      </w:r>
    </w:p>
    <w:p>
      <w:pPr>
        <w:pStyle w:val="BodyText"/>
        <w:spacing w:line="316" w:lineRule="auto" w:before="15"/>
        <w:ind w:right="94"/>
        <w:jc w:val="left"/>
      </w:pPr>
      <w:r>
        <w:rPr/>
        <w:t>数据类型多、蕴含巨大价值、要求实时性强等大数据特点，是典型的大数据中心，对这些大数据的深入挖掘、分析和利用， </w:t>
      </w:r>
      <w:r>
        <w:rPr>
          <w:spacing w:val="-2"/>
        </w:rPr>
        <w:t>具有巨大的医学意义和社会意义，能够产生非常多的能够提升科研、智能决策的分析应用，其应用空间和市场前景无限，目</w:t>
      </w:r>
      <w:r>
        <w:rPr>
          <w:spacing w:val="-64"/>
        </w:rPr>
        <w:t> </w:t>
      </w:r>
      <w:r>
        <w:rPr>
          <w:spacing w:val="-64"/>
        </w:rPr>
      </w:r>
      <w:r>
        <w:rPr/>
        <w:t>前，有关医疗大数据分析及智慧医疗的应用已开始落地。</w:t>
      </w:r>
    </w:p>
    <w:p>
      <w:pPr>
        <w:pStyle w:val="BodyText"/>
        <w:spacing w:line="432" w:lineRule="exact" w:before="3"/>
        <w:ind w:left="512" w:right="184"/>
        <w:jc w:val="left"/>
      </w:pPr>
      <w:r>
        <w:rPr/>
        <w:t>（</w:t>
      </w:r>
      <w:r>
        <w:rPr>
          <w:rFonts w:ascii="Times New Roman" w:hAnsi="Times New Roman" w:cs="Times New Roman" w:eastAsia="Times New Roman" w:hint="default"/>
        </w:rPr>
        <w:t>5</w:t>
      </w:r>
      <w:r>
        <w:rPr/>
        <w:t>）未来行业存在兼并收购和上下游延伸发展的需求和可能 </w:t>
      </w:r>
      <w:r>
        <w:rPr>
          <w:spacing w:val="-2"/>
        </w:rPr>
        <w:t>从行业发展来看，医疗健康信息化行业还处于发展初级阶段，大量的国内公司在从事这个行业，市场极其分散，随着医</w:t>
      </w:r>
    </w:p>
    <w:p>
      <w:pPr>
        <w:pStyle w:val="BodyText"/>
        <w:spacing w:line="316" w:lineRule="auto" w:before="15"/>
        <w:ind w:right="190"/>
        <w:jc w:val="both"/>
      </w:pPr>
      <w:r>
        <w:rPr>
          <w:spacing w:val="-2"/>
        </w:rPr>
        <w:t>疗体制改革，医疗信息化行业将进一步飞速发展，对外开放程度将不断提高，国内外市场参与者不断增加，竞争也将越来越</w:t>
      </w:r>
      <w:r>
        <w:rPr>
          <w:spacing w:val="-65"/>
        </w:rPr>
        <w:t> </w:t>
      </w:r>
      <w:r>
        <w:rPr>
          <w:spacing w:val="-65"/>
        </w:rPr>
      </w:r>
      <w:r>
        <w:rPr>
          <w:spacing w:val="-2"/>
        </w:rPr>
        <w:t>激烈，现存的产品同质且不具有核心竞争力的服务商，将随着投资者个性化要求而逐步退出市场，而一些产品互补的服务提</w:t>
      </w:r>
      <w:r>
        <w:rPr>
          <w:spacing w:val="-63"/>
        </w:rPr>
        <w:t> </w:t>
      </w:r>
      <w:r>
        <w:rPr>
          <w:spacing w:val="-63"/>
        </w:rPr>
      </w:r>
      <w:r>
        <w:rPr/>
        <w:t>供商也可能相互融合，行业存在横向、上下游兼并收购及延伸发展的需求和可能。</w:t>
      </w:r>
    </w:p>
    <w:p>
      <w:pPr>
        <w:pStyle w:val="Heading5"/>
        <w:spacing w:line="240" w:lineRule="auto" w:before="140"/>
        <w:ind w:right="184"/>
        <w:jc w:val="left"/>
        <w:rPr>
          <w:b w:val="0"/>
          <w:bCs w:val="0"/>
        </w:rPr>
      </w:pPr>
      <w:r>
        <w:rPr/>
        <w:t>（二）公司的主要竞争优势、面临的主要困难及市场格局</w:t>
      </w:r>
      <w:r>
        <w:rPr>
          <w:b w:val="0"/>
          <w:bCs w:val="0"/>
        </w:rPr>
      </w:r>
    </w:p>
    <w:p>
      <w:pPr>
        <w:spacing w:line="240" w:lineRule="auto" w:before="0"/>
        <w:rPr>
          <w:rFonts w:ascii="宋体" w:hAnsi="宋体" w:cs="宋体" w:eastAsia="宋体" w:hint="default"/>
          <w:b/>
          <w:bCs/>
          <w:sz w:val="15"/>
          <w:szCs w:val="15"/>
        </w:rPr>
      </w:pPr>
    </w:p>
    <w:p>
      <w:pPr>
        <w:pStyle w:val="Heading5"/>
        <w:spacing w:line="240" w:lineRule="auto"/>
        <w:ind w:right="184"/>
        <w:jc w:val="left"/>
        <w:rPr>
          <w:b w:val="0"/>
          <w:bCs w:val="0"/>
        </w:rPr>
      </w:pPr>
      <w:r>
        <w:rPr>
          <w:rFonts w:ascii="Times New Roman" w:hAnsi="Times New Roman" w:cs="Times New Roman" w:eastAsia="Times New Roman" w:hint="default"/>
        </w:rPr>
        <w:t>1</w:t>
      </w:r>
      <w:r>
        <w:rPr/>
        <w:t>、主要竞争优势</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2" w:right="184"/>
        <w:jc w:val="left"/>
      </w:pPr>
      <w:r>
        <w:rPr/>
        <w:t>（</w:t>
      </w:r>
      <w:r>
        <w:rPr>
          <w:rFonts w:ascii="Times New Roman" w:hAnsi="Times New Roman" w:cs="Times New Roman" w:eastAsia="Times New Roman" w:hint="default"/>
        </w:rPr>
        <w:t>1</w:t>
      </w:r>
      <w:r>
        <w:rPr/>
        <w:t>）领先的行业地位和提供整体解决方案的能力</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7" w:lineRule="auto" w:before="44"/>
        <w:ind w:right="191" w:firstLine="360"/>
        <w:jc w:val="both"/>
      </w:pPr>
      <w:r>
        <w:rPr>
          <w:spacing w:val="-2"/>
        </w:rPr>
        <w:t>公司在医疗卫生信息化行业定位于以医疗卫生领域应用软件的研究开发、销售和技术服务为主，并为医疗卫生行业信息</w:t>
      </w:r>
      <w:r>
        <w:rPr/>
        <w:t> </w:t>
      </w:r>
      <w:r>
        <w:rPr>
          <w:spacing w:val="-2"/>
        </w:rPr>
        <w:t>化提供整体解决方案的软件企业。公司产品涵盖了医院系统和公共卫生领域的众多系统，报告期内公司进一步拓展产品和解</w:t>
      </w:r>
      <w:r>
        <w:rPr>
          <w:spacing w:val="-64"/>
        </w:rPr>
        <w:t> </w:t>
      </w:r>
      <w:r>
        <w:rPr>
          <w:spacing w:val="-64"/>
        </w:rPr>
      </w:r>
      <w:r>
        <w:rPr/>
        <w:t>决方案，实现产品向深度和广度延伸，并成熟应用于各类医疗机构和卫生管理机构。自</w:t>
      </w:r>
      <w:r>
        <w:rPr>
          <w:rFonts w:ascii="Times New Roman" w:hAnsi="Times New Roman" w:cs="Times New Roman" w:eastAsia="Times New Roman" w:hint="default"/>
        </w:rPr>
        <w:t>2009</w:t>
      </w:r>
      <w:r>
        <w:rPr/>
        <w:t>年以来，公司陆续中标</w:t>
      </w:r>
      <w:r>
        <w:rPr>
          <w:rFonts w:ascii="Times New Roman" w:hAnsi="Times New Roman" w:cs="Times New Roman" w:eastAsia="Times New Roman" w:hint="default"/>
        </w:rPr>
        <w:t>“</w:t>
      </w:r>
      <w:r>
        <w:rPr/>
        <w:t>湖南省</w:t>
      </w:r>
      <w:r>
        <w:rPr>
          <w:spacing w:val="-77"/>
        </w:rPr>
        <w:t> </w:t>
      </w:r>
      <w:r>
        <w:rPr>
          <w:spacing w:val="-77"/>
        </w:rPr>
      </w:r>
      <w:r>
        <w:rPr>
          <w:spacing w:val="-1"/>
        </w:rPr>
        <w:t>卫生厅社区卫生信息化项目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浦东新区区域医疗信息化项目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奉贤区区域医疗信息化项目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金山区区域医疗信息化项</w:t>
      </w:r>
      <w:r>
        <w:rPr>
          <w:spacing w:val="-59"/>
        </w:rPr>
        <w:t> </w:t>
      </w:r>
      <w:r>
        <w:rPr>
          <w:spacing w:val="-59"/>
        </w:rPr>
      </w:r>
      <w:r>
        <w:rPr/>
        <w:t>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湖北省鄂州市区域卫生信息化项目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呼伦贝尔市区域医疗信息化项目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嘉定区区域医疗信息化项目</w:t>
      </w:r>
      <w:r>
        <w:rPr>
          <w:rFonts w:ascii="Times New Roman" w:hAnsi="Times New Roman" w:cs="Times New Roman" w:eastAsia="Times New Roman" w:hint="default"/>
        </w:rPr>
        <w:t>”</w:t>
      </w:r>
      <w:r>
        <w:rPr/>
        <w:t>等医疗卫生</w:t>
      </w:r>
      <w:r>
        <w:rPr>
          <w:spacing w:val="-26"/>
        </w:rPr>
        <w:t> </w:t>
      </w:r>
      <w:r>
        <w:rPr>
          <w:spacing w:val="-26"/>
        </w:rPr>
      </w:r>
      <w:r>
        <w:rPr/>
        <w:t>领域大型综合信息化项目，体现了公司在行业内领先的整体解决方案能力和综合实力。</w:t>
      </w:r>
    </w:p>
    <w:p>
      <w:pPr>
        <w:pStyle w:val="BodyText"/>
        <w:spacing w:line="309" w:lineRule="auto" w:before="146"/>
        <w:ind w:right="94" w:firstLine="360"/>
        <w:jc w:val="left"/>
      </w:pPr>
      <w:r>
        <w:rPr>
          <w:spacing w:val="-2"/>
        </w:rPr>
        <w:t>依托完备的产品线，丰富的项目运作能力和突出的研发实力，公司成为国内领先的为实现医疗卫生领域全方位的信息化</w:t>
      </w:r>
      <w:r>
        <w:rPr/>
        <w:t> 管理提供完整解决方案的主要软件商之一。公司在医疗卫生软件行业具有较高的知名度和行业地位。</w:t>
      </w:r>
      <w:r>
        <w:rPr>
          <w:rFonts w:ascii="Times New Roman" w:hAnsi="Times New Roman" w:cs="Times New Roman" w:eastAsia="Times New Roman" w:hint="default"/>
        </w:rPr>
        <w:t>2011</w:t>
      </w:r>
      <w:r>
        <w:rPr/>
        <w:t>年公司成功上市， 行业地位和品牌影响力得到进一步提高。</w:t>
      </w:r>
    </w:p>
    <w:p>
      <w:pPr>
        <w:pStyle w:val="BodyText"/>
        <w:spacing w:line="432" w:lineRule="exact" w:before="9"/>
        <w:ind w:left="512" w:right="184"/>
        <w:jc w:val="left"/>
      </w:pPr>
      <w:r>
        <w:rPr/>
        <w:t>（</w:t>
      </w:r>
      <w:r>
        <w:rPr>
          <w:rFonts w:ascii="Times New Roman" w:hAnsi="Times New Roman" w:cs="Times New Roman" w:eastAsia="Times New Roman" w:hint="default"/>
        </w:rPr>
        <w:t>2</w:t>
      </w:r>
      <w:r>
        <w:rPr/>
        <w:t>）丰富的技术积累和复合型人才储备优势 </w:t>
      </w:r>
      <w:r>
        <w:rPr>
          <w:spacing w:val="-2"/>
        </w:rPr>
        <w:t>医疗信息系统自身的复杂性以及其作为涉及民生健康的行业特质，要求开发人员具备丰富的行业经验、复合的知识结构</w:t>
      </w:r>
    </w:p>
    <w:p>
      <w:pPr>
        <w:pStyle w:val="BodyText"/>
        <w:spacing w:line="240" w:lineRule="auto" w:before="15"/>
        <w:ind w:right="184"/>
        <w:jc w:val="left"/>
      </w:pPr>
      <w:r>
        <w:rPr/>
        <w:t>以及技术积累。</w:t>
      </w:r>
    </w:p>
    <w:p>
      <w:pPr>
        <w:spacing w:line="240" w:lineRule="auto" w:before="0"/>
        <w:rPr>
          <w:rFonts w:ascii="宋体" w:hAnsi="宋体" w:cs="宋体" w:eastAsia="宋体" w:hint="default"/>
          <w:sz w:val="15"/>
          <w:szCs w:val="15"/>
        </w:rPr>
      </w:pPr>
    </w:p>
    <w:p>
      <w:pPr>
        <w:pStyle w:val="BodyText"/>
        <w:spacing w:line="307" w:lineRule="auto"/>
        <w:ind w:right="172" w:firstLine="360"/>
        <w:jc w:val="both"/>
      </w:pPr>
      <w:r>
        <w:rPr>
          <w:spacing w:val="-2"/>
        </w:rPr>
        <w:t>本公司设立以来一直坚持研发优先和人才优先战略，重视自主研发、技术积累和优秀人才储备。目前公司拥有多项核心</w:t>
      </w:r>
      <w:r>
        <w:rPr/>
        <w:t> 技术和全部产品的自主知识产权，在同行业中具有一定的技术领先优势。在</w:t>
      </w:r>
      <w:r>
        <w:rPr>
          <w:rFonts w:ascii="Times New Roman" w:hAnsi="Times New Roman" w:cs="Times New Roman" w:eastAsia="Times New Roman" w:hint="default"/>
        </w:rPr>
        <w:t>2007</w:t>
      </w:r>
      <w:r>
        <w:rPr/>
        <w:t>年国内首届</w:t>
      </w:r>
      <w:r>
        <w:rPr>
          <w:rFonts w:ascii="Times New Roman" w:hAnsi="Times New Roman" w:cs="Times New Roman" w:eastAsia="Times New Roman" w:hint="default"/>
        </w:rPr>
        <w:t>IHE</w:t>
      </w:r>
      <w:r>
        <w:rPr/>
        <w:t>医疗信息系统互联测试中， </w:t>
      </w:r>
      <w:r>
        <w:rPr>
          <w:spacing w:val="-2"/>
        </w:rPr>
        <w:t>成为唯一通过测试的国内医疗软件企业；在</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2009</w:t>
      </w:r>
      <w:r>
        <w:rPr>
          <w:spacing w:val="-2"/>
        </w:rPr>
        <w:t>年测试中又成为通过项目数量最多的医疗软件公司，在</w:t>
      </w:r>
      <w:r>
        <w:rPr>
          <w:rFonts w:ascii="Times New Roman" w:hAnsi="Times New Roman" w:cs="Times New Roman" w:eastAsia="Times New Roman" w:hint="default"/>
          <w:spacing w:val="-2"/>
        </w:rPr>
        <w:t>2012</w:t>
      </w:r>
      <w:r>
        <w:rPr>
          <w:spacing w:val="-2"/>
        </w:rPr>
        <w:t>年的测</w:t>
      </w:r>
      <w:r>
        <w:rPr>
          <w:spacing w:val="-66"/>
        </w:rPr>
        <w:t> </w:t>
      </w:r>
      <w:r>
        <w:rPr/>
        <w:t>试中，通过了区域医疗信息化平台规范性测试的全部内容。</w:t>
      </w:r>
    </w:p>
    <w:p>
      <w:pPr>
        <w:pStyle w:val="BodyText"/>
        <w:spacing w:line="309" w:lineRule="auto" w:before="146"/>
        <w:ind w:right="193" w:firstLine="360"/>
        <w:jc w:val="both"/>
      </w:pPr>
      <w:r>
        <w:rPr>
          <w:spacing w:val="-2"/>
        </w:rPr>
        <w:t>本公司核心团队长期服务于医疗卫生行业的信息化工作，对医疗卫生行业的管理模式、业务流程等有长期、深入、全面</w:t>
      </w:r>
      <w:r>
        <w:rPr/>
        <w:t> </w:t>
      </w:r>
      <w:r>
        <w:rPr>
          <w:spacing w:val="-2"/>
        </w:rPr>
        <w:t>的理解，公司长期以来培养了一支融合了</w:t>
      </w:r>
      <w:r>
        <w:rPr>
          <w:rFonts w:ascii="Times New Roman" w:hAnsi="Times New Roman" w:cs="Times New Roman" w:eastAsia="Times New Roman" w:hint="default"/>
          <w:spacing w:val="-2"/>
        </w:rPr>
        <w:t>IT</w:t>
      </w:r>
      <w:r>
        <w:rPr>
          <w:spacing w:val="-2"/>
        </w:rPr>
        <w:t>技术、医疗卫生知识及行业管理经验的复合型人才队伍，对于高度复杂的医院信</w:t>
      </w:r>
      <w:r>
        <w:rPr>
          <w:spacing w:val="-52"/>
        </w:rPr>
        <w:t> </w:t>
      </w:r>
      <w:r>
        <w:rPr>
          <w:spacing w:val="-52"/>
        </w:rPr>
      </w:r>
      <w:r>
        <w:rPr/>
        <w:t>息系统开发具有持续的创新能力。</w:t>
      </w:r>
    </w:p>
    <w:p>
      <w:pPr>
        <w:pStyle w:val="BodyText"/>
        <w:spacing w:line="300" w:lineRule="auto" w:before="144"/>
        <w:ind w:right="193" w:firstLine="360"/>
        <w:jc w:val="both"/>
      </w:pPr>
      <w:r>
        <w:rPr>
          <w:spacing w:val="-2"/>
        </w:rPr>
        <w:t>报告期内，公司取得了</w:t>
      </w:r>
      <w:r>
        <w:rPr>
          <w:rFonts w:ascii="Times New Roman" w:hAnsi="Times New Roman" w:cs="Times New Roman" w:eastAsia="Times New Roman" w:hint="default"/>
          <w:spacing w:val="-2"/>
        </w:rPr>
        <w:t>12</w:t>
      </w:r>
      <w:r>
        <w:rPr>
          <w:spacing w:val="-2"/>
        </w:rPr>
        <w:t>项软件著作权和</w:t>
      </w:r>
      <w:r>
        <w:rPr>
          <w:rFonts w:ascii="Times New Roman" w:hAnsi="Times New Roman" w:cs="Times New Roman" w:eastAsia="Times New Roman" w:hint="default"/>
          <w:spacing w:val="-2"/>
        </w:rPr>
        <w:t>31</w:t>
      </w:r>
      <w:r>
        <w:rPr>
          <w:spacing w:val="-2"/>
        </w:rPr>
        <w:t>项软件产品登记证书，涉及医院管理信息化新产品、医院临床信息化、医院</w:t>
      </w:r>
      <w:r>
        <w:rPr/>
        <w:t> 医技信息化、区域医疗等方面，并不断扩大复合型人才的锻炼、培养和考核机制。</w:t>
      </w:r>
    </w:p>
    <w:p>
      <w:pPr>
        <w:pStyle w:val="BodyText"/>
        <w:spacing w:line="432" w:lineRule="exact" w:before="16"/>
        <w:ind w:left="512" w:right="184"/>
        <w:jc w:val="left"/>
      </w:pPr>
      <w:r>
        <w:rPr/>
        <w:t>（</w:t>
      </w:r>
      <w:r>
        <w:rPr>
          <w:rFonts w:ascii="Times New Roman" w:hAnsi="Times New Roman" w:cs="Times New Roman" w:eastAsia="Times New Roman" w:hint="default"/>
        </w:rPr>
        <w:t>3</w:t>
      </w:r>
      <w:r>
        <w:rPr/>
        <w:t>）持续的创新能力 </w:t>
      </w:r>
      <w:r>
        <w:rPr>
          <w:spacing w:val="-2"/>
        </w:rPr>
        <w:t>本公司高度重视创新能力，坚持通过技术创新</w:t>
      </w:r>
      <w:r>
        <w:rPr>
          <w:rFonts w:ascii="Times New Roman" w:hAnsi="Times New Roman" w:cs="Times New Roman" w:eastAsia="Times New Roman" w:hint="default"/>
          <w:spacing w:val="-2"/>
        </w:rPr>
        <w:t>——</w:t>
      </w:r>
      <w:r>
        <w:rPr>
          <w:spacing w:val="-2"/>
        </w:rPr>
        <w:t>产品创新</w:t>
      </w:r>
      <w:r>
        <w:rPr>
          <w:rFonts w:ascii="Times New Roman" w:hAnsi="Times New Roman" w:cs="Times New Roman" w:eastAsia="Times New Roman" w:hint="default"/>
          <w:spacing w:val="-2"/>
        </w:rPr>
        <w:t>——</w:t>
      </w:r>
      <w:r>
        <w:rPr>
          <w:spacing w:val="-2"/>
        </w:rPr>
        <w:t>业务创新的循环传导体系，不断丰富完善技术、产品和</w:t>
      </w:r>
    </w:p>
    <w:p>
      <w:pPr>
        <w:pStyle w:val="BodyText"/>
        <w:spacing w:line="312" w:lineRule="auto" w:before="15"/>
        <w:ind w:right="94"/>
        <w:jc w:val="left"/>
      </w:pPr>
      <w:r>
        <w:rPr>
          <w:spacing w:val="-2"/>
        </w:rPr>
        <w:t>创新业务模式，引领市场发展。公司设立以来不断推出新的技术和产品，在市场上率先推出包括自助胶片打印系统、基于语</w:t>
      </w:r>
      <w:r>
        <w:rPr>
          <w:spacing w:val="-65"/>
        </w:rPr>
        <w:t> </w:t>
      </w:r>
      <w:r>
        <w:rPr>
          <w:spacing w:val="-65"/>
        </w:rPr>
      </w:r>
      <w:r>
        <w:rPr>
          <w:spacing w:val="-2"/>
        </w:rPr>
        <w:t>义的结构化电子病历系统、一站式门诊自助优化流程、移动医疗系统、医疗决策分析等产品。公司还率先在行业内开发并营</w:t>
      </w:r>
      <w:r>
        <w:rPr>
          <w:spacing w:val="-65"/>
        </w:rPr>
        <w:t> </w:t>
      </w:r>
      <w:r>
        <w:rPr>
          <w:spacing w:val="-65"/>
        </w:rPr>
      </w:r>
      <w:r>
        <w:rPr/>
        <w:t>运基于</w:t>
      </w:r>
      <w:r>
        <w:rPr>
          <w:rFonts w:ascii="Times New Roman" w:hAnsi="Times New Roman" w:cs="Times New Roman" w:eastAsia="Times New Roman" w:hint="default"/>
        </w:rPr>
        <w:t>SaaS</w:t>
      </w:r>
      <w:r>
        <w:rPr/>
        <w:t>模式的产品，有效地解决了我国中小医院特别是广大基层及农村医疗卫生机构信息化的问题。持续的创新能力， 保证了公司产品的先进性，也保证了公司多年来的行业领先地位。</w:t>
      </w:r>
    </w:p>
    <w:p>
      <w:pPr>
        <w:pStyle w:val="BodyText"/>
        <w:spacing w:line="316" w:lineRule="auto" w:before="142"/>
        <w:ind w:right="104" w:firstLine="360"/>
        <w:jc w:val="both"/>
      </w:pPr>
      <w:r>
        <w:rPr>
          <w:spacing w:val="-4"/>
        </w:rPr>
        <w:t>报告期内，公司持续追踪新需求、新技术趋势，开展新型技术研发和实践，主要包括移动医疗、电子病历、抗菌素管理、</w:t>
      </w:r>
      <w:r>
        <w:rPr/>
        <w:t> 医院集成引擎、临床数据中心即</w:t>
      </w:r>
      <w:r>
        <w:rPr>
          <w:rFonts w:ascii="Times New Roman" w:hAnsi="Times New Roman" w:cs="Times New Roman" w:eastAsia="Times New Roman" w:hint="default"/>
        </w:rPr>
        <w:t>CDR</w:t>
      </w:r>
      <w:r>
        <w:rPr/>
        <w:t>、临床决策系统、智慧医疗、大数据分布式分析处理等技术和系统。</w:t>
      </w:r>
    </w:p>
    <w:p>
      <w:pPr>
        <w:pStyle w:val="BodyText"/>
        <w:spacing w:line="415" w:lineRule="auto" w:before="119"/>
        <w:ind w:left="512" w:right="184"/>
        <w:jc w:val="left"/>
      </w:pPr>
      <w:r>
        <w:rPr/>
        <w:t>（</w:t>
      </w:r>
      <w:r>
        <w:rPr>
          <w:rFonts w:ascii="Times New Roman" w:hAnsi="Times New Roman" w:cs="Times New Roman" w:eastAsia="Times New Roman" w:hint="default"/>
        </w:rPr>
        <w:t>4</w:t>
      </w:r>
      <w:r>
        <w:rPr/>
        <w:t>）先进的研发模式和理念 </w:t>
      </w:r>
      <w:r>
        <w:rPr>
          <w:spacing w:val="-2"/>
        </w:rPr>
        <w:t>本公司紧密结合实践，深化了项目化运作的内涵，创造性地建立了适应未来发展的柔性产品化研发管理模式，建立了整</w:t>
      </w:r>
    </w:p>
    <w:p>
      <w:pPr>
        <w:pStyle w:val="BodyText"/>
        <w:spacing w:line="194" w:lineRule="exact"/>
        <w:ind w:right="94"/>
        <w:jc w:val="left"/>
      </w:pPr>
      <w:r>
        <w:rPr/>
        <w:t>个产品体系保持台阶式上升的结构。多年来</w:t>
      </w:r>
      <w:r>
        <w:rPr>
          <w:rFonts w:ascii="Times New Roman" w:hAnsi="Times New Roman" w:cs="Times New Roman" w:eastAsia="Times New Roman" w:hint="default"/>
        </w:rPr>
        <w:t>“</w:t>
      </w:r>
      <w:r>
        <w:rPr/>
        <w:t>柔性产品化</w:t>
      </w:r>
      <w:r>
        <w:rPr>
          <w:rFonts w:ascii="Times New Roman" w:hAnsi="Times New Roman" w:cs="Times New Roman" w:eastAsia="Times New Roman" w:hint="default"/>
        </w:rPr>
        <w:t>”</w:t>
      </w:r>
      <w:r>
        <w:rPr/>
        <w:t>研发的实施，保证了公司基线产品模块功能的齐全性和领先性，并</w:t>
      </w:r>
    </w:p>
    <w:p>
      <w:pPr>
        <w:pStyle w:val="BodyText"/>
        <w:spacing w:line="309" w:lineRule="auto" w:before="62"/>
        <w:ind w:right="191"/>
        <w:jc w:val="both"/>
      </w:pPr>
      <w:r>
        <w:rPr>
          <w:spacing w:val="-2"/>
        </w:rPr>
        <w:t>且有利于系统维护，大大降低了开发成本并提高了定制开发的效率。该研发模式不但保持了项目化的灵活特性，并且大大提</w:t>
      </w:r>
      <w:r>
        <w:rPr>
          <w:spacing w:val="-63"/>
        </w:rPr>
        <w:t> </w:t>
      </w:r>
      <w:r>
        <w:rPr>
          <w:spacing w:val="-63"/>
        </w:rPr>
      </w:r>
      <w:r>
        <w:rPr>
          <w:spacing w:val="-2"/>
        </w:rPr>
        <w:t>高研发人力资源、实施周期、系统维护的效率。本公司</w:t>
      </w:r>
      <w:r>
        <w:rPr>
          <w:rFonts w:ascii="Times New Roman" w:hAnsi="Times New Roman" w:cs="Times New Roman" w:eastAsia="Times New Roman" w:hint="default"/>
          <w:spacing w:val="-2"/>
        </w:rPr>
        <w:t>“</w:t>
      </w:r>
      <w:r>
        <w:rPr>
          <w:spacing w:val="-2"/>
        </w:rPr>
        <w:t>柔性产品化研发模式</w:t>
      </w:r>
      <w:r>
        <w:rPr>
          <w:rFonts w:ascii="Times New Roman" w:hAnsi="Times New Roman" w:cs="Times New Roman" w:eastAsia="Times New Roman" w:hint="default"/>
          <w:spacing w:val="-2"/>
        </w:rPr>
        <w:t>”</w:t>
      </w:r>
      <w:r>
        <w:rPr>
          <w:spacing w:val="-2"/>
        </w:rPr>
        <w:t>提升了产品化程度，将促进我国未来医疗卫生</w:t>
      </w:r>
      <w:r>
        <w:rPr>
          <w:spacing w:val="-44"/>
        </w:rPr>
        <w:t> </w:t>
      </w:r>
      <w:r>
        <w:rPr>
          <w:spacing w:val="-44"/>
        </w:rPr>
      </w:r>
      <w:r>
        <w:rPr/>
        <w:t>行业信息化产品的标准化发展，推动行业整体质量水平。</w:t>
      </w:r>
    </w:p>
    <w:p>
      <w:pPr>
        <w:pStyle w:val="BodyText"/>
        <w:spacing w:line="300" w:lineRule="auto" w:before="144"/>
        <w:ind w:right="193" w:firstLine="360"/>
        <w:jc w:val="both"/>
      </w:pPr>
      <w:r>
        <w:rPr>
          <w:spacing w:val="-2"/>
        </w:rPr>
        <w:t>报告期内公司进一步完善提升研发体系，坚持通过技术创新</w:t>
      </w:r>
      <w:r>
        <w:rPr>
          <w:rFonts w:ascii="Times New Roman" w:hAnsi="Times New Roman" w:cs="Times New Roman" w:eastAsia="Times New Roman" w:hint="default"/>
          <w:spacing w:val="-2"/>
        </w:rPr>
        <w:t>——</w:t>
      </w:r>
      <w:r>
        <w:rPr>
          <w:spacing w:val="-2"/>
        </w:rPr>
        <w:t>产品创新</w:t>
      </w:r>
      <w:r>
        <w:rPr>
          <w:rFonts w:ascii="Times New Roman" w:hAnsi="Times New Roman" w:cs="Times New Roman" w:eastAsia="Times New Roman" w:hint="default"/>
          <w:spacing w:val="-2"/>
        </w:rPr>
        <w:t>——</w:t>
      </w:r>
      <w:r>
        <w:rPr>
          <w:spacing w:val="-2"/>
        </w:rPr>
        <w:t>业务创新的循环传导体系，不断丰富完善</w:t>
      </w:r>
      <w:r>
        <w:rPr/>
        <w:t> 技术、产品和创新业务模式，引领市场发展。</w:t>
      </w:r>
    </w:p>
    <w:p>
      <w:pPr>
        <w:pStyle w:val="BodyText"/>
        <w:spacing w:line="300" w:lineRule="auto" w:before="151"/>
        <w:ind w:right="193" w:firstLine="360"/>
        <w:jc w:val="both"/>
      </w:pPr>
      <w:r>
        <w:rPr>
          <w:spacing w:val="-1"/>
        </w:rPr>
        <w:t>同时，本公司提出了</w:t>
      </w:r>
      <w:r>
        <w:rPr>
          <w:rFonts w:ascii="Times New Roman" w:hAnsi="Times New Roman" w:cs="Times New Roman" w:eastAsia="Times New Roman" w:hint="default"/>
          <w:spacing w:val="-1"/>
        </w:rPr>
        <w:t>“</w:t>
      </w:r>
      <w:r>
        <w:rPr>
          <w:spacing w:val="-1"/>
        </w:rPr>
        <w:t>以人为中心</w:t>
      </w:r>
      <w:r>
        <w:rPr>
          <w:rFonts w:ascii="Times New Roman" w:hAnsi="Times New Roman" w:cs="Times New Roman" w:eastAsia="Times New Roman" w:hint="default"/>
          <w:spacing w:val="-1"/>
        </w:rPr>
        <w:t>”</w:t>
      </w:r>
      <w:r>
        <w:rPr>
          <w:spacing w:val="-1"/>
        </w:rPr>
        <w:t>的人性化医疗管理理念，实现了从</w:t>
      </w:r>
      <w:r>
        <w:rPr>
          <w:rFonts w:ascii="Times New Roman" w:hAnsi="Times New Roman" w:cs="Times New Roman" w:eastAsia="Times New Roman" w:hint="default"/>
          <w:spacing w:val="-1"/>
        </w:rPr>
        <w:t>“</w:t>
      </w:r>
      <w:r>
        <w:rPr>
          <w:spacing w:val="-1"/>
        </w:rPr>
        <w:t>以病人为中心</w:t>
      </w:r>
      <w:r>
        <w:rPr>
          <w:rFonts w:ascii="Times New Roman" w:hAnsi="Times New Roman" w:cs="Times New Roman" w:eastAsia="Times New Roman" w:hint="default"/>
          <w:spacing w:val="-1"/>
        </w:rPr>
        <w:t>”</w:t>
      </w:r>
      <w:r>
        <w:rPr>
          <w:spacing w:val="-1"/>
        </w:rPr>
        <w:t>的医疗模式到</w:t>
      </w:r>
      <w:r>
        <w:rPr>
          <w:rFonts w:ascii="Times New Roman" w:hAnsi="Times New Roman" w:cs="Times New Roman" w:eastAsia="Times New Roman" w:hint="default"/>
          <w:spacing w:val="-1"/>
        </w:rPr>
        <w:t>“</w:t>
      </w:r>
      <w:r>
        <w:rPr>
          <w:spacing w:val="-1"/>
        </w:rPr>
        <w:t>全民健康</w:t>
      </w:r>
      <w:r>
        <w:rPr>
          <w:rFonts w:ascii="Times New Roman" w:hAnsi="Times New Roman" w:cs="Times New Roman" w:eastAsia="Times New Roman" w:hint="default"/>
          <w:spacing w:val="-1"/>
        </w:rPr>
        <w:t>”</w:t>
      </w:r>
      <w:r>
        <w:rPr>
          <w:spacing w:val="-1"/>
        </w:rPr>
        <w:t>医疗保健</w:t>
      </w:r>
      <w:r>
        <w:rPr/>
        <w:t> 模式的过渡。</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2" w:right="184"/>
        <w:jc w:val="left"/>
      </w:pPr>
      <w:r>
        <w:rPr/>
        <w:t>（</w:t>
      </w:r>
      <w:r>
        <w:rPr>
          <w:rFonts w:ascii="Times New Roman" w:hAnsi="Times New Roman" w:cs="Times New Roman" w:eastAsia="Times New Roman" w:hint="default"/>
        </w:rPr>
        <w:t>5</w:t>
      </w:r>
      <w:r>
        <w:rPr/>
        <w:t>）专业的营销能力和高效的服务体系</w:t>
      </w:r>
    </w:p>
    <w:p>
      <w:pPr>
        <w:spacing w:line="240" w:lineRule="auto" w:before="13"/>
        <w:rPr>
          <w:rFonts w:ascii="宋体" w:hAnsi="宋体" w:cs="宋体" w:eastAsia="宋体" w:hint="default"/>
          <w:sz w:val="13"/>
          <w:szCs w:val="13"/>
        </w:rPr>
      </w:pPr>
    </w:p>
    <w:p>
      <w:pPr>
        <w:pStyle w:val="BodyText"/>
        <w:spacing w:line="300" w:lineRule="auto"/>
        <w:ind w:right="150" w:firstLine="360"/>
        <w:jc w:val="both"/>
      </w:pPr>
      <w:r>
        <w:rPr/>
        <w:t>本公司坚持</w:t>
      </w:r>
      <w:r>
        <w:rPr>
          <w:rFonts w:ascii="Times New Roman" w:hAnsi="Times New Roman" w:cs="Times New Roman" w:eastAsia="Times New Roman" w:hint="default"/>
        </w:rPr>
        <w:t>“</w:t>
      </w:r>
      <w:r>
        <w:rPr/>
        <w:t>以客户为本</w:t>
      </w:r>
      <w:r>
        <w:rPr>
          <w:rFonts w:ascii="Times New Roman" w:hAnsi="Times New Roman" w:cs="Times New Roman" w:eastAsia="Times New Roman" w:hint="default"/>
        </w:rPr>
        <w:t>”</w:t>
      </w:r>
      <w:r>
        <w:rPr/>
        <w:t>营销理念，推行</w:t>
      </w:r>
      <w:r>
        <w:rPr>
          <w:rFonts w:ascii="Times New Roman" w:hAnsi="Times New Roman" w:cs="Times New Roman" w:eastAsia="Times New Roman" w:hint="default"/>
        </w:rPr>
        <w:t>“</w:t>
      </w:r>
      <w:r>
        <w:rPr/>
        <w:t>技术营销</w:t>
      </w:r>
      <w:r>
        <w:rPr>
          <w:rFonts w:ascii="Times New Roman" w:hAnsi="Times New Roman" w:cs="Times New Roman" w:eastAsia="Times New Roman" w:hint="default"/>
        </w:rPr>
        <w:t>”</w:t>
      </w:r>
      <w:r>
        <w:rPr/>
        <w:t>的路线，尤其注重售前技术服务工作，为客户提供整体解决方案， 引导客户需求，并通过高效的服务体系促进产品的销售。</w:t>
      </w:r>
    </w:p>
    <w:p>
      <w:pPr>
        <w:pStyle w:val="BodyText"/>
        <w:spacing w:line="316" w:lineRule="auto" w:before="151"/>
        <w:ind w:right="190" w:firstLine="360"/>
        <w:jc w:val="both"/>
      </w:pPr>
      <w:r>
        <w:rPr>
          <w:spacing w:val="-2"/>
        </w:rPr>
        <w:t>本公司成立伊始就建立了专业的服务队伍，将服务从实施部门独立出来，成立了服务事业部，以专业、高素质、经验丰</w:t>
      </w:r>
      <w:r>
        <w:rPr/>
        <w:t> </w:t>
      </w:r>
      <w:r>
        <w:rPr>
          <w:spacing w:val="-2"/>
        </w:rPr>
        <w:t>富的客户工程师为主体，为客户提供全面的服务解决方案，以保证客户的利益。公司深入了解医疗行业客户特点，定制了多</w:t>
      </w:r>
      <w:r>
        <w:rPr>
          <w:spacing w:val="-65"/>
        </w:rPr>
        <w:t> </w:t>
      </w:r>
      <w:r>
        <w:rPr>
          <w:spacing w:val="-65"/>
        </w:rPr>
      </w:r>
      <w:r>
        <w:rPr/>
        <w:t>种服务套餐，适应不同客户的需求。</w:t>
      </w:r>
    </w:p>
    <w:p>
      <w:pPr>
        <w:pStyle w:val="BodyText"/>
        <w:spacing w:line="316" w:lineRule="auto" w:before="139"/>
        <w:ind w:right="190" w:firstLine="360"/>
        <w:jc w:val="both"/>
      </w:pPr>
      <w:r>
        <w:rPr>
          <w:spacing w:val="-2"/>
        </w:rPr>
        <w:t>本公司还通过定期回访、质量跟踪，建立客户档案等多种措施，随时与客户保持联系。根据客户反馈意见的通用性与专</w:t>
      </w:r>
      <w:r>
        <w:rPr/>
        <w:t> 用性，主动做好产品售前、售中、售后服务，提升新老客户的满意度以及客户粘性。</w:t>
      </w:r>
    </w:p>
    <w:p>
      <w:pPr>
        <w:pStyle w:val="BodyText"/>
        <w:spacing w:line="316" w:lineRule="auto" w:before="139"/>
        <w:ind w:right="193" w:firstLine="360"/>
        <w:jc w:val="both"/>
      </w:pPr>
      <w:r>
        <w:rPr>
          <w:spacing w:val="-2"/>
        </w:rPr>
        <w:t>上市后，为配合募集资金投资项目的顺利执行，公司还改组了内部组织结构，撤销了服务事业部，在多个重点区域城市</w:t>
      </w:r>
      <w:r>
        <w:rPr/>
        <w:t> 成立了销售实施服务一体化的区域营销服务中心，以进一步提高公司的营销能力和服务效率。</w:t>
      </w:r>
    </w:p>
    <w:p>
      <w:pPr>
        <w:spacing w:line="432" w:lineRule="exact" w:before="3"/>
        <w:ind w:left="512" w:right="18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、面临的主要困难及市场格局</w:t>
      </w:r>
      <w:r>
        <w:rPr>
          <w:rFonts w:ascii="宋体" w:hAnsi="宋体" w:cs="宋体" w:eastAsia="宋体" w:hint="default"/>
          <w:b/>
          <w:bCs/>
          <w:w w:val="99"/>
          <w:sz w:val="18"/>
          <w:szCs w:val="18"/>
        </w:rPr>
        <w:t> </w:t>
      </w:r>
      <w:r>
        <w:rPr>
          <w:rFonts w:ascii="宋体" w:hAnsi="宋体" w:cs="宋体" w:eastAsia="宋体" w:hint="default"/>
          <w:spacing w:val="-2"/>
          <w:sz w:val="18"/>
          <w:szCs w:val="18"/>
        </w:rPr>
        <w:t>一是高端人才比较紧缺，如何吸引和培养更多的高端研发技术人才，同时保持核心研发技术团队的稳定性，对企业持续</w:t>
      </w:r>
    </w:p>
    <w:p>
      <w:pPr>
        <w:pStyle w:val="BodyText"/>
        <w:spacing w:line="316" w:lineRule="auto" w:before="15"/>
        <w:ind w:right="191"/>
        <w:jc w:val="both"/>
      </w:pPr>
      <w:r>
        <w:rPr>
          <w:spacing w:val="-2"/>
        </w:rPr>
        <w:t>健康发展至关重要；二是行业相关技术规范更新迅速，技术标准更新频繁，公司运营过程中所采用的技术方案，面临被新技</w:t>
      </w:r>
      <w:r>
        <w:rPr>
          <w:spacing w:val="-65"/>
        </w:rPr>
        <w:t> </w:t>
      </w:r>
      <w:r>
        <w:rPr>
          <w:spacing w:val="-65"/>
        </w:rPr>
      </w:r>
      <w:r>
        <w:rPr/>
        <w:t>术标准、规范替换的可能性，技术研发压力较大。</w:t>
      </w:r>
    </w:p>
    <w:p>
      <w:pPr>
        <w:pStyle w:val="BodyText"/>
        <w:spacing w:line="316" w:lineRule="auto" w:before="139"/>
        <w:ind w:right="104" w:firstLine="360"/>
        <w:jc w:val="both"/>
      </w:pPr>
      <w:r>
        <w:rPr>
          <w:spacing w:val="-4"/>
        </w:rPr>
        <w:t>同时，面对巨大的市场潜力和发展机遇以及对外开放程度的不断提高，市场参与者将不断增加，市场竞争将进一步加剧。</w:t>
      </w:r>
      <w:r>
        <w:rPr/>
        <w:t> </w:t>
      </w:r>
      <w:r>
        <w:rPr>
          <w:spacing w:val="-4"/>
        </w:rPr>
        <w:t>为了巩固行业地位，在竞争中立于不败之地，公司需要付出更大的精力和成本，进一步加大投入，拓展新业务和开发新产品，</w:t>
      </w:r>
      <w:r>
        <w:rPr>
          <w:spacing w:val="-46"/>
        </w:rPr>
        <w:t> </w:t>
      </w:r>
      <w:r>
        <w:rPr>
          <w:spacing w:val="-46"/>
        </w:rPr>
      </w:r>
      <w:r>
        <w:rPr/>
        <w:t>这也给公司的发展带来一定的压力。</w:t>
      </w:r>
    </w:p>
    <w:p>
      <w:pPr>
        <w:pStyle w:val="BodyText"/>
        <w:spacing w:line="316" w:lineRule="auto" w:before="139"/>
        <w:ind w:right="191" w:firstLine="360"/>
        <w:jc w:val="both"/>
      </w:pPr>
      <w:r>
        <w:rPr>
          <w:spacing w:val="-2"/>
        </w:rPr>
        <w:t>但目前国内医疗信息化市场还非常分散，随着医疗体制改革的不断深入和加强，医疗信息化行业将进一步快速发展，对</w:t>
      </w:r>
      <w:r>
        <w:rPr/>
        <w:t> </w:t>
      </w:r>
      <w:r>
        <w:rPr>
          <w:spacing w:val="-2"/>
        </w:rPr>
        <w:t>外开放程度也将不断提高，公司依托在行业内具有较高的知名度和领先的市场地位，以及为实现医疗卫生领域全方位的信息</w:t>
      </w:r>
      <w:r>
        <w:rPr>
          <w:spacing w:val="-64"/>
        </w:rPr>
        <w:t> </w:t>
      </w:r>
      <w:r>
        <w:rPr>
          <w:spacing w:val="-64"/>
        </w:rPr>
      </w:r>
      <w:r>
        <w:rPr/>
        <w:t>化管理提供完整解决方案的能力，未来将有广阔的发展空间。</w:t>
      </w:r>
    </w:p>
    <w:p>
      <w:pPr>
        <w:pStyle w:val="Heading5"/>
        <w:spacing w:line="240" w:lineRule="auto" w:before="139"/>
        <w:ind w:right="184"/>
        <w:jc w:val="left"/>
        <w:rPr>
          <w:b w:val="0"/>
          <w:bCs w:val="0"/>
        </w:rPr>
      </w:pPr>
      <w:r>
        <w:rPr/>
        <w:t>（三）公司未来发展战略规划及</w:t>
      </w:r>
      <w:r>
        <w:rPr>
          <w:rFonts w:ascii="Times New Roman" w:hAnsi="Times New Roman" w:cs="Times New Roman" w:eastAsia="Times New Roman" w:hint="default"/>
        </w:rPr>
        <w:t>2013</w:t>
      </w:r>
      <w:r>
        <w:rPr/>
        <w:t>年经营计划</w:t>
      </w:r>
      <w:r>
        <w:rPr>
          <w:b w:val="0"/>
          <w:bCs w:val="0"/>
        </w:rPr>
      </w:r>
    </w:p>
    <w:p>
      <w:pPr>
        <w:pStyle w:val="BodyText"/>
        <w:spacing w:line="430" w:lineRule="atLeast" w:before="2"/>
        <w:ind w:left="512" w:right="184" w:hanging="1"/>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、未来发展战略规划</w:t>
      </w:r>
      <w:r>
        <w:rPr>
          <w:rFonts w:ascii="宋体" w:hAnsi="宋体" w:cs="宋体" w:eastAsia="宋体" w:hint="default"/>
          <w:b/>
          <w:bCs/>
          <w:w w:val="99"/>
        </w:rPr>
        <w:t> </w:t>
      </w:r>
      <w:r>
        <w:rPr>
          <w:spacing w:val="-2"/>
        </w:rPr>
        <w:t>公司坚持以人为本，积极探索和实施医院信息自动化、信息化、网络化管理模式，倡导以</w:t>
      </w:r>
      <w:r>
        <w:rPr>
          <w:rFonts w:ascii="Times New Roman" w:hAnsi="Times New Roman" w:cs="Times New Roman" w:eastAsia="Times New Roman" w:hint="default"/>
          <w:spacing w:val="-2"/>
        </w:rPr>
        <w:t>“</w:t>
      </w:r>
      <w:r>
        <w:rPr>
          <w:spacing w:val="-2"/>
        </w:rPr>
        <w:t>完美打造医疗行业解决方案</w:t>
      </w:r>
      <w:r>
        <w:rPr>
          <w:rFonts w:ascii="Times New Roman" w:hAnsi="Times New Roman" w:cs="Times New Roman" w:eastAsia="Times New Roman" w:hint="default"/>
          <w:spacing w:val="-2"/>
        </w:rPr>
        <w:t>”</w:t>
      </w:r>
    </w:p>
    <w:p>
      <w:pPr>
        <w:pStyle w:val="BodyText"/>
        <w:spacing w:line="300" w:lineRule="auto" w:before="62"/>
        <w:ind w:right="190"/>
        <w:jc w:val="both"/>
      </w:pPr>
      <w:r>
        <w:rPr>
          <w:spacing w:val="-2"/>
        </w:rPr>
        <w:t>为核心的企业文化，秉承</w:t>
      </w:r>
      <w:r>
        <w:rPr>
          <w:rFonts w:ascii="Times New Roman" w:hAnsi="Times New Roman" w:cs="Times New Roman" w:eastAsia="Times New Roman" w:hint="default"/>
          <w:spacing w:val="-2"/>
        </w:rPr>
        <w:t>“</w:t>
      </w:r>
      <w:r>
        <w:rPr>
          <w:spacing w:val="-2"/>
        </w:rPr>
        <w:t>追求高效，崇尚简洁，以创新为矛，以务实为盾，脚踏实地，开拓未来</w:t>
      </w:r>
      <w:r>
        <w:rPr>
          <w:rFonts w:ascii="Times New Roman" w:hAnsi="Times New Roman" w:cs="Times New Roman" w:eastAsia="Times New Roman" w:hint="default"/>
          <w:spacing w:val="-2"/>
        </w:rPr>
        <w:t>”</w:t>
      </w:r>
      <w:r>
        <w:rPr>
          <w:spacing w:val="-2"/>
        </w:rPr>
        <w:t>的理念，公司软件开发坚</w:t>
      </w:r>
      <w:r>
        <w:rPr>
          <w:spacing w:val="-45"/>
        </w:rPr>
        <w:t> </w:t>
      </w:r>
      <w:r>
        <w:rPr>
          <w:spacing w:val="-45"/>
        </w:rPr>
      </w:r>
      <w:r>
        <w:rPr>
          <w:spacing w:val="-1"/>
        </w:rPr>
        <w:t>持</w:t>
      </w:r>
      <w:r>
        <w:rPr>
          <w:rFonts w:ascii="Times New Roman" w:hAnsi="Times New Roman" w:cs="Times New Roman" w:eastAsia="Times New Roman" w:hint="default"/>
          <w:spacing w:val="-1"/>
        </w:rPr>
        <w:t>“</w:t>
      </w:r>
      <w:r>
        <w:rPr>
          <w:spacing w:val="-1"/>
        </w:rPr>
        <w:t>以人为中心</w:t>
      </w:r>
      <w:r>
        <w:rPr>
          <w:rFonts w:ascii="Times New Roman" w:hAnsi="Times New Roman" w:cs="Times New Roman" w:eastAsia="Times New Roman" w:hint="default"/>
          <w:spacing w:val="-1"/>
        </w:rPr>
        <w:t>”</w:t>
      </w:r>
      <w:r>
        <w:rPr>
          <w:spacing w:val="-1"/>
        </w:rPr>
        <w:t>全新的人性化医疗管理理念，使产品开发逐步从</w:t>
      </w:r>
      <w:r>
        <w:rPr>
          <w:rFonts w:ascii="Times New Roman" w:hAnsi="Times New Roman" w:cs="Times New Roman" w:eastAsia="Times New Roman" w:hint="default"/>
          <w:spacing w:val="-1"/>
        </w:rPr>
        <w:t>“</w:t>
      </w:r>
      <w:r>
        <w:rPr>
          <w:spacing w:val="-1"/>
        </w:rPr>
        <w:t>以病人为中心</w:t>
      </w:r>
      <w:r>
        <w:rPr>
          <w:rFonts w:ascii="Times New Roman" w:hAnsi="Times New Roman" w:cs="Times New Roman" w:eastAsia="Times New Roman" w:hint="default"/>
          <w:spacing w:val="-1"/>
        </w:rPr>
        <w:t>”</w:t>
      </w:r>
      <w:r>
        <w:rPr>
          <w:spacing w:val="-1"/>
        </w:rPr>
        <w:t>的医疗模式到</w:t>
      </w:r>
      <w:r>
        <w:rPr>
          <w:rFonts w:ascii="Times New Roman" w:hAnsi="Times New Roman" w:cs="Times New Roman" w:eastAsia="Times New Roman" w:hint="default"/>
          <w:spacing w:val="-1"/>
        </w:rPr>
        <w:t>“</w:t>
      </w:r>
      <w:r>
        <w:rPr>
          <w:spacing w:val="-1"/>
        </w:rPr>
        <w:t>全民健康</w:t>
      </w:r>
      <w:r>
        <w:rPr>
          <w:rFonts w:ascii="Times New Roman" w:hAnsi="Times New Roman" w:cs="Times New Roman" w:eastAsia="Times New Roman" w:hint="default"/>
          <w:spacing w:val="-1"/>
        </w:rPr>
        <w:t>”</w:t>
      </w:r>
      <w:r>
        <w:rPr>
          <w:spacing w:val="-1"/>
        </w:rPr>
        <w:t>医疗保健模式的全</w:t>
      </w:r>
      <w:r>
        <w:rPr>
          <w:spacing w:val="-55"/>
        </w:rPr>
        <w:t> </w:t>
      </w:r>
      <w:r>
        <w:rPr>
          <w:spacing w:val="-55"/>
        </w:rPr>
      </w:r>
      <w:r>
        <w:rPr/>
        <w:t>面过渡，最终实现从医疗卫生软件开发商发展成为医疗行业整体解决方案提供商的战略目标。</w:t>
      </w:r>
    </w:p>
    <w:p>
      <w:pPr>
        <w:pStyle w:val="BodyText"/>
        <w:spacing w:line="432" w:lineRule="exact" w:before="16"/>
        <w:ind w:left="512" w:right="184"/>
        <w:jc w:val="left"/>
      </w:pPr>
      <w:r>
        <w:rPr/>
        <w:t>（</w:t>
      </w:r>
      <w:r>
        <w:rPr>
          <w:rFonts w:ascii="Times New Roman" w:hAnsi="Times New Roman" w:cs="Times New Roman" w:eastAsia="Times New Roman" w:hint="default"/>
        </w:rPr>
        <w:t>1</w:t>
      </w:r>
      <w:r>
        <w:rPr/>
        <w:t>）未来三年业务发展目标 </w:t>
      </w:r>
      <w:r>
        <w:rPr>
          <w:spacing w:val="-2"/>
        </w:rPr>
        <w:t>公司未来三年的发展目标是继续保持在传统医院信息管理系统和医技信息管理系统产品的市场领先优势，大力发展公共</w:t>
      </w:r>
    </w:p>
    <w:p>
      <w:pPr>
        <w:pStyle w:val="BodyText"/>
        <w:spacing w:line="316" w:lineRule="auto" w:before="15"/>
        <w:ind w:right="193"/>
        <w:jc w:val="both"/>
      </w:pPr>
      <w:r>
        <w:rPr>
          <w:spacing w:val="-2"/>
        </w:rPr>
        <w:t>卫生信息产品，逐步实现从单纯的软件开发商向医疗行业整体解决方案提供商的战略转型，成为中国医疗卫生信息行业的绝</w:t>
      </w:r>
      <w:r>
        <w:rPr>
          <w:spacing w:val="-64"/>
        </w:rPr>
        <w:t> </w:t>
      </w:r>
      <w:r>
        <w:rPr>
          <w:spacing w:val="-64"/>
        </w:rPr>
      </w:r>
      <w:r>
        <w:rPr/>
        <w:t>对领先企业。</w:t>
      </w:r>
    </w:p>
    <w:p>
      <w:pPr>
        <w:pStyle w:val="BodyText"/>
        <w:spacing w:line="432" w:lineRule="exact" w:before="3"/>
        <w:ind w:left="512" w:right="184"/>
        <w:jc w:val="left"/>
      </w:pPr>
      <w:r>
        <w:rPr/>
        <w:t>（</w:t>
      </w:r>
      <w:r>
        <w:rPr>
          <w:rFonts w:ascii="Times New Roman" w:hAnsi="Times New Roman" w:cs="Times New Roman" w:eastAsia="Times New Roman" w:hint="default"/>
        </w:rPr>
        <w:t>2</w:t>
      </w:r>
      <w:r>
        <w:rPr/>
        <w:t>）未来三年业务发展规划 </w:t>
      </w:r>
      <w:r>
        <w:rPr>
          <w:spacing w:val="-2"/>
        </w:rPr>
        <w:t>为了实现以上发展目标，进一步增强本公司成长性、增进自主创新能力和提升核心竞争优势，未来三年将采取如下发展</w:t>
      </w:r>
    </w:p>
    <w:p>
      <w:pPr>
        <w:pStyle w:val="BodyText"/>
        <w:spacing w:line="240" w:lineRule="auto" w:before="15"/>
        <w:ind w:right="0"/>
        <w:jc w:val="both"/>
      </w:pPr>
      <w:r>
        <w:rPr/>
        <w:t>规划及措施：</w:t>
      </w:r>
    </w:p>
    <w:p>
      <w:pPr>
        <w:spacing w:line="240" w:lineRule="auto" w:before="0"/>
        <w:rPr>
          <w:rFonts w:ascii="宋体" w:hAnsi="宋体" w:cs="宋体" w:eastAsia="宋体" w:hint="default"/>
          <w:sz w:val="15"/>
          <w:szCs w:val="15"/>
        </w:rPr>
      </w:pPr>
    </w:p>
    <w:p>
      <w:pPr>
        <w:pStyle w:val="BodyText"/>
        <w:spacing w:line="240" w:lineRule="auto"/>
        <w:ind w:left="512" w:right="184"/>
        <w:jc w:val="left"/>
      </w:pPr>
      <w:r>
        <w:rPr/>
        <w:t>公司将采取如下发展规划及措施：</w:t>
      </w:r>
    </w:p>
    <w:p>
      <w:pPr>
        <w:pStyle w:val="BodyText"/>
        <w:spacing w:line="420" w:lineRule="atLeast" w:before="25"/>
        <w:ind w:left="512" w:right="184" w:hanging="1"/>
        <w:jc w:val="left"/>
      </w:pPr>
      <w:r>
        <w:rPr>
          <w:rFonts w:ascii="Times New Roman" w:hAnsi="Times New Roman" w:cs="Times New Roman" w:eastAsia="Times New Roman" w:hint="default"/>
        </w:rPr>
        <w:t>A</w:t>
      </w:r>
      <w:r>
        <w:rPr/>
        <w:t>、研发战略 </w:t>
      </w:r>
      <w:r>
        <w:rPr>
          <w:spacing w:val="-2"/>
        </w:rPr>
        <w:t>进一步提升公司的研发能力，保持产品的技术和市场竞争优势。公司产品及研发部将积极参与国家级医疗卫生行业的相</w:t>
      </w:r>
    </w:p>
    <w:p>
      <w:pPr>
        <w:pStyle w:val="BodyText"/>
        <w:spacing w:line="240" w:lineRule="auto" w:before="76"/>
        <w:ind w:right="0"/>
        <w:jc w:val="both"/>
      </w:pPr>
      <w:r>
        <w:rPr>
          <w:spacing w:val="-4"/>
        </w:rPr>
        <w:t>关课题项目、国家卫生信息化相关标准研制，研发部门研究并把握国内外医疗卫生信息化趋势，进行超前开发、应用和储备，</w:t>
      </w:r>
    </w:p>
    <w:p>
      <w:pPr>
        <w:spacing w:after="0" w:line="24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0"/>
        <w:jc w:val="both"/>
      </w:pPr>
      <w:r>
        <w:rPr>
          <w:spacing w:val="-2"/>
        </w:rPr>
        <w:t>将网络、通讯、软件等信息技术领域的先进技术与行业应用紧密结合，创造性地研发适应行业发展的领先核心技术。公司事</w:t>
      </w:r>
      <w:r>
        <w:rPr>
          <w:spacing w:val="-64"/>
        </w:rPr>
        <w:t> </w:t>
      </w:r>
      <w:r>
        <w:rPr>
          <w:spacing w:val="-64"/>
        </w:rPr>
      </w:r>
      <w:r>
        <w:rPr/>
        <w:t>业部下属开发部将重点结合客户的需求，进一步完善产品结构和产品性能，保持产品的先进性。</w:t>
      </w:r>
    </w:p>
    <w:p>
      <w:pPr>
        <w:pStyle w:val="BodyText"/>
        <w:spacing w:line="432" w:lineRule="exact" w:before="3"/>
        <w:ind w:left="512" w:right="194"/>
        <w:jc w:val="left"/>
      </w:pPr>
      <w:r>
        <w:rPr/>
        <w:t>同时，对于最新的研发成果，新开发的系统，将积极申请著作权证书和软件产品证书，保护公司的自主知识产权。 </w:t>
      </w:r>
      <w:r>
        <w:rPr>
          <w:rFonts w:ascii="Times New Roman" w:hAnsi="Times New Roman" w:cs="Times New Roman" w:eastAsia="Times New Roman" w:hint="default"/>
        </w:rPr>
        <w:t>B</w:t>
      </w:r>
      <w:r>
        <w:rPr/>
        <w:t>、人力资源战略 作为一家软件公司，人才是最核心的竞争力。公司根据总体战略和目标，围绕核心竞争力，进一步丰富</w:t>
      </w:r>
      <w:r>
        <w:rPr>
          <w:rFonts w:ascii="Times New Roman" w:hAnsi="Times New Roman" w:cs="Times New Roman" w:eastAsia="Times New Roman" w:hint="default"/>
        </w:rPr>
        <w:t>“</w:t>
      </w:r>
      <w:r>
        <w:rPr/>
        <w:t>完美打造医疗</w:t>
      </w:r>
    </w:p>
    <w:p>
      <w:pPr>
        <w:pStyle w:val="BodyText"/>
        <w:spacing w:line="309" w:lineRule="auto" w:before="15"/>
        <w:ind w:right="193"/>
        <w:jc w:val="both"/>
      </w:pPr>
      <w:r>
        <w:rPr/>
        <w:t>行业解决方案</w:t>
      </w:r>
      <w:r>
        <w:rPr>
          <w:rFonts w:ascii="Times New Roman" w:hAnsi="Times New Roman" w:cs="Times New Roman" w:eastAsia="Times New Roman" w:hint="default"/>
        </w:rPr>
        <w:t>”</w:t>
      </w:r>
      <w:r>
        <w:rPr/>
        <w:t>为核心的企业文化；优化组织架构及制度流程；加强人才储备，形成合理的人才梯队。公司将结合中长期的</w:t>
      </w:r>
      <w:r>
        <w:rPr>
          <w:spacing w:val="-76"/>
        </w:rPr>
        <w:t> </w:t>
      </w:r>
      <w:r>
        <w:rPr>
          <w:spacing w:val="-76"/>
        </w:rPr>
      </w:r>
      <w:r>
        <w:rPr>
          <w:spacing w:val="-2"/>
        </w:rPr>
        <w:t>业务发展战略，通过与医科大学的合作，有计划地做好人才储备，同时，有选择地引进其他包括市场、管理等紧缺人才。公</w:t>
      </w:r>
      <w:r>
        <w:rPr>
          <w:spacing w:val="-70"/>
        </w:rPr>
        <w:t> </w:t>
      </w:r>
      <w:r>
        <w:rPr>
          <w:spacing w:val="-70"/>
        </w:rPr>
      </w:r>
      <w:r>
        <w:rPr/>
        <w:t>司通过建立高效的培训体系，优化薪酬激励机制，满足各层级、各专业对人才的需要，发挥人力资源的整体效能。</w:t>
      </w:r>
    </w:p>
    <w:p>
      <w:pPr>
        <w:pStyle w:val="BodyText"/>
        <w:spacing w:line="432" w:lineRule="exact" w:before="9"/>
        <w:ind w:left="512" w:right="184"/>
        <w:jc w:val="left"/>
      </w:pPr>
      <w:r>
        <w:rPr>
          <w:rFonts w:ascii="Times New Roman" w:hAnsi="Times New Roman" w:cs="Times New Roman" w:eastAsia="Times New Roman" w:hint="default"/>
        </w:rPr>
        <w:t>C</w:t>
      </w:r>
      <w:r>
        <w:rPr/>
        <w:t>、品牌战略 公司依托已经注册的</w:t>
      </w:r>
      <w:r>
        <w:rPr>
          <w:rFonts w:ascii="Times New Roman" w:hAnsi="Times New Roman" w:cs="Times New Roman" w:eastAsia="Times New Roman" w:hint="default"/>
        </w:rPr>
        <w:t>“WinningSoft”</w:t>
      </w:r>
      <w:r>
        <w:rPr/>
        <w:t>商标，未来将借助于产品的优势，逐步开拓品牌优势，全面提升专业形象，目标是</w:t>
      </w:r>
    </w:p>
    <w:p>
      <w:pPr>
        <w:pStyle w:val="BodyText"/>
        <w:spacing w:line="240" w:lineRule="auto" w:before="15"/>
        <w:ind w:right="0"/>
        <w:jc w:val="both"/>
      </w:pPr>
      <w:r>
        <w:rPr/>
        <w:t>把</w:t>
      </w:r>
      <w:r>
        <w:rPr>
          <w:rFonts w:ascii="Times New Roman" w:hAnsi="Times New Roman" w:cs="Times New Roman" w:eastAsia="Times New Roman" w:hint="default"/>
        </w:rPr>
        <w:t>“</w:t>
      </w:r>
      <w:r>
        <w:rPr/>
        <w:t>卫宁</w:t>
      </w:r>
      <w:r>
        <w:rPr>
          <w:rFonts w:ascii="Times New Roman" w:hAnsi="Times New Roman" w:cs="Times New Roman" w:eastAsia="Times New Roman" w:hint="default"/>
        </w:rPr>
        <w:t>”</w:t>
      </w:r>
      <w:r>
        <w:rPr/>
        <w:t>打造成为国内医疗卫生应用软件第一品牌。</w:t>
      </w:r>
    </w:p>
    <w:p>
      <w:pPr>
        <w:spacing w:line="240" w:lineRule="auto" w:before="13"/>
        <w:rPr>
          <w:rFonts w:ascii="宋体" w:hAnsi="宋体" w:cs="宋体" w:eastAsia="宋体" w:hint="default"/>
          <w:sz w:val="13"/>
          <w:szCs w:val="13"/>
        </w:rPr>
      </w:pPr>
    </w:p>
    <w:p>
      <w:pPr>
        <w:pStyle w:val="Heading5"/>
        <w:spacing w:line="240" w:lineRule="auto"/>
        <w:ind w:right="184"/>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年经营计划</w:t>
      </w:r>
      <w:r>
        <w:rPr>
          <w:b w:val="0"/>
          <w:bCs w:val="0"/>
        </w:rPr>
      </w:r>
    </w:p>
    <w:p>
      <w:pPr>
        <w:pStyle w:val="BodyText"/>
        <w:spacing w:line="420" w:lineRule="atLeast" w:before="12"/>
        <w:ind w:left="512" w:right="184"/>
        <w:jc w:val="left"/>
      </w:pPr>
      <w:r>
        <w:rPr/>
        <w:t>（</w:t>
      </w:r>
      <w:r>
        <w:rPr>
          <w:rFonts w:ascii="Times New Roman" w:hAnsi="Times New Roman" w:cs="Times New Roman" w:eastAsia="Times New Roman" w:hint="default"/>
        </w:rPr>
        <w:t>1</w:t>
      </w:r>
      <w:r>
        <w:rPr/>
        <w:t>）主要产品线的发展计划 </w:t>
      </w:r>
      <w:r>
        <w:rPr>
          <w:spacing w:val="-2"/>
        </w:rPr>
        <w:t>公司是目前国内医疗卫生应用软件行业产品线最齐全的企业之一，也是国内少数拥有全部三大产品线自主知识产权的公</w:t>
      </w:r>
    </w:p>
    <w:p>
      <w:pPr>
        <w:pStyle w:val="BodyText"/>
        <w:spacing w:line="316" w:lineRule="auto" w:before="76"/>
        <w:ind w:right="104"/>
        <w:jc w:val="both"/>
      </w:pPr>
      <w:r>
        <w:rPr>
          <w:spacing w:val="-4"/>
        </w:rPr>
        <w:t>司之一，在同行业中拥有较为明显的产品优势。公司将致力于巩固壮大现有产品线的优势，进一步丰富和完善产品线；同时，</w:t>
      </w:r>
      <w:r>
        <w:rPr>
          <w:spacing w:val="-46"/>
        </w:rPr>
        <w:t> </w:t>
      </w:r>
      <w:r>
        <w:rPr>
          <w:spacing w:val="-46"/>
        </w:rPr>
      </w:r>
      <w:r>
        <w:rPr/>
        <w:t>进一步发挥</w:t>
      </w:r>
      <w:r>
        <w:rPr>
          <w:rFonts w:ascii="Times New Roman" w:hAnsi="Times New Roman" w:cs="Times New Roman" w:eastAsia="Times New Roman" w:hint="default"/>
        </w:rPr>
        <w:t>“</w:t>
      </w:r>
      <w:r>
        <w:rPr/>
        <w:t>柔性产品化</w:t>
      </w:r>
      <w:r>
        <w:rPr>
          <w:rFonts w:ascii="Times New Roman" w:hAnsi="Times New Roman" w:cs="Times New Roman" w:eastAsia="Times New Roman" w:hint="default"/>
        </w:rPr>
        <w:t>”</w:t>
      </w:r>
      <w:r>
        <w:rPr/>
        <w:t>研发优势，开展前瞻性技术的研究，及时将先进技术转换为应用产品。</w:t>
      </w:r>
    </w:p>
    <w:p>
      <w:pPr>
        <w:pStyle w:val="BodyText"/>
        <w:spacing w:line="240" w:lineRule="auto" w:before="119"/>
        <w:ind w:left="512" w:right="184"/>
        <w:jc w:val="left"/>
      </w:pPr>
      <w:r>
        <w:rPr>
          <w:rFonts w:ascii="Times New Roman" w:hAnsi="Times New Roman" w:cs="Times New Roman" w:eastAsia="Times New Roman" w:hint="default"/>
        </w:rPr>
        <w:t>A</w:t>
      </w:r>
      <w:r>
        <w:rPr/>
        <w:t>、医院信息管理系统和医技信息管理系统产品线</w:t>
      </w:r>
    </w:p>
    <w:p>
      <w:pPr>
        <w:spacing w:line="240" w:lineRule="auto" w:before="13"/>
        <w:rPr>
          <w:rFonts w:ascii="宋体" w:hAnsi="宋体" w:cs="宋体" w:eastAsia="宋体" w:hint="default"/>
          <w:sz w:val="13"/>
          <w:szCs w:val="13"/>
        </w:rPr>
      </w:pPr>
    </w:p>
    <w:p>
      <w:pPr>
        <w:pStyle w:val="BodyText"/>
        <w:spacing w:line="316" w:lineRule="auto"/>
        <w:ind w:right="190" w:firstLine="360"/>
        <w:jc w:val="both"/>
      </w:pPr>
      <w:r>
        <w:rPr>
          <w:spacing w:val="-2"/>
        </w:rPr>
        <w:t>目前，医院信息管理系统和医技信息管理系统是公司的传统核心产品，在客户中得到了充分的应用，具有一定的市场地</w:t>
      </w:r>
      <w:r>
        <w:rPr/>
        <w:t> </w:t>
      </w:r>
      <w:r>
        <w:rPr>
          <w:spacing w:val="-2"/>
        </w:rPr>
        <w:t>位，公司将进一步巩固传统核心产品的市场优势，重点开发以医院管理和电子病历为核心的医院信息系统（包括医院信息管</w:t>
      </w:r>
      <w:r>
        <w:rPr>
          <w:spacing w:val="-63"/>
        </w:rPr>
        <w:t> </w:t>
      </w:r>
      <w:r>
        <w:rPr>
          <w:spacing w:val="-63"/>
        </w:rPr>
      </w:r>
      <w:r>
        <w:rPr>
          <w:spacing w:val="-2"/>
        </w:rPr>
        <w:t>理系统、医技信息管理系统）；同时，结合医疗卫生行业的发展，不断完善产品功能，补充新的产品模块，并开发出适应新</w:t>
      </w:r>
      <w:r>
        <w:rPr>
          <w:spacing w:val="-73"/>
        </w:rPr>
        <w:t> </w:t>
      </w:r>
      <w:r>
        <w:rPr>
          <w:spacing w:val="-73"/>
        </w:rPr>
      </w:r>
      <w:r>
        <w:rPr/>
        <w:t>的无线、网络等计算机技术发展的产品，保证为用户提供更完善的系统解决方案。</w:t>
      </w:r>
    </w:p>
    <w:p>
      <w:pPr>
        <w:pStyle w:val="BodyText"/>
        <w:spacing w:line="432" w:lineRule="exact" w:before="3"/>
        <w:ind w:left="512" w:right="133"/>
        <w:jc w:val="left"/>
      </w:pPr>
      <w:r>
        <w:rPr>
          <w:rFonts w:ascii="Times New Roman" w:hAnsi="Times New Roman" w:cs="Times New Roman" w:eastAsia="Times New Roman" w:hint="default"/>
        </w:rPr>
        <w:t>2013</w:t>
      </w:r>
      <w:r>
        <w:rPr/>
        <w:t>年度的研发重点： </w:t>
      </w:r>
      <w:r>
        <w:rPr>
          <w:rFonts w:ascii="Times New Roman" w:hAnsi="Times New Roman" w:cs="Times New Roman" w:eastAsia="Times New Roman" w:hint="default"/>
        </w:rPr>
        <w:t>PACS</w:t>
      </w:r>
      <w:r>
        <w:rPr/>
        <w:t>产品：进一步完善三维重建、远程会诊、远程协作功能和区域影像功能，包括维三维同步、曲面</w:t>
      </w:r>
      <w:r>
        <w:rPr>
          <w:rFonts w:ascii="Times New Roman" w:hAnsi="Times New Roman" w:cs="Times New Roman" w:eastAsia="Times New Roman" w:hint="default"/>
        </w:rPr>
        <w:t>CPR</w:t>
      </w:r>
      <w:r>
        <w:rPr/>
        <w:t>、</w:t>
      </w:r>
      <w:r>
        <w:rPr>
          <w:rFonts w:ascii="Times New Roman" w:hAnsi="Times New Roman" w:cs="Times New Roman" w:eastAsia="Times New Roman" w:hint="default"/>
        </w:rPr>
        <w:t>VR</w:t>
      </w:r>
      <w:r>
        <w:rPr/>
        <w:t>去骨、</w:t>
      </w:r>
    </w:p>
    <w:p>
      <w:pPr>
        <w:pStyle w:val="BodyText"/>
        <w:spacing w:line="240" w:lineRule="auto" w:before="15"/>
        <w:ind w:right="0"/>
        <w:jc w:val="both"/>
      </w:pPr>
      <w:r>
        <w:rPr/>
        <w:t>心脏功能包（冠脉提取、血管拉直），以及</w:t>
      </w:r>
      <w:r>
        <w:rPr>
          <w:rFonts w:ascii="Times New Roman" w:hAnsi="Times New Roman" w:cs="Times New Roman" w:eastAsia="Times New Roman" w:hint="default"/>
        </w:rPr>
        <w:t>PACS</w:t>
      </w:r>
      <w:r>
        <w:rPr/>
        <w:t>服务器版本（后台自动计算）等功能。</w:t>
      </w:r>
    </w:p>
    <w:p>
      <w:pPr>
        <w:spacing w:line="240" w:lineRule="auto" w:before="13"/>
        <w:rPr>
          <w:rFonts w:ascii="宋体" w:hAnsi="宋体" w:cs="宋体" w:eastAsia="宋体" w:hint="default"/>
          <w:sz w:val="13"/>
          <w:szCs w:val="13"/>
        </w:rPr>
      </w:pPr>
    </w:p>
    <w:p>
      <w:pPr>
        <w:pStyle w:val="BodyText"/>
        <w:spacing w:line="300" w:lineRule="auto"/>
        <w:ind w:right="198" w:firstLine="359"/>
        <w:jc w:val="both"/>
      </w:pPr>
      <w:r>
        <w:rPr>
          <w:rFonts w:ascii="Times New Roman" w:hAnsi="Times New Roman" w:cs="Times New Roman" w:eastAsia="Times New Roman" w:hint="default"/>
        </w:rPr>
        <w:t>LIMS</w:t>
      </w:r>
      <w:r>
        <w:rPr/>
        <w:t>产品：进一步完善完成区域</w:t>
      </w:r>
      <w:r>
        <w:rPr>
          <w:rFonts w:ascii="Times New Roman" w:hAnsi="Times New Roman" w:cs="Times New Roman" w:eastAsia="Times New Roman" w:hint="default"/>
        </w:rPr>
        <w:t>LIS</w:t>
      </w:r>
      <w:r>
        <w:rPr/>
        <w:t>，实现人机法能换等全面质控管理即区域</w:t>
      </w:r>
      <w:r>
        <w:rPr>
          <w:rFonts w:ascii="Times New Roman" w:hAnsi="Times New Roman" w:cs="Times New Roman" w:eastAsia="Times New Roman" w:hint="default"/>
        </w:rPr>
        <w:t>LIMS</w:t>
      </w:r>
      <w:r>
        <w:rPr/>
        <w:t>系统，为构建转换医学信息平台， 启动生物样本库信息平台研发。</w:t>
      </w:r>
    </w:p>
    <w:p>
      <w:pPr>
        <w:pStyle w:val="BodyText"/>
        <w:spacing w:line="432" w:lineRule="exact" w:before="16"/>
        <w:ind w:left="513" w:right="184" w:hanging="1"/>
        <w:jc w:val="left"/>
      </w:pPr>
      <w:r>
        <w:rPr>
          <w:rFonts w:ascii="Times New Roman" w:hAnsi="Times New Roman" w:cs="Times New Roman" w:eastAsia="Times New Roman" w:hint="default"/>
        </w:rPr>
        <w:t>MISS</w:t>
      </w:r>
      <w:r>
        <w:rPr/>
        <w:t>产品：进一步完善</w:t>
      </w:r>
      <w:r>
        <w:rPr>
          <w:rFonts w:ascii="Times New Roman" w:hAnsi="Times New Roman" w:cs="Times New Roman" w:eastAsia="Times New Roman" w:hint="default"/>
        </w:rPr>
        <w:t>MIIS</w:t>
      </w:r>
      <w:r>
        <w:rPr/>
        <w:t>报功能，实现</w:t>
      </w:r>
      <w:r>
        <w:rPr>
          <w:rFonts w:ascii="Times New Roman" w:hAnsi="Times New Roman" w:cs="Times New Roman" w:eastAsia="Times New Roman" w:hint="default"/>
        </w:rPr>
        <w:t>MIIS</w:t>
      </w:r>
      <w:r>
        <w:rPr/>
        <w:t>的院内全流程功能。 </w:t>
      </w:r>
      <w:r>
        <w:rPr>
          <w:spacing w:val="-1"/>
        </w:rPr>
        <w:t>医院信息系统：进一步在</w:t>
      </w:r>
      <w:r>
        <w:rPr>
          <w:rFonts w:ascii="Times New Roman" w:hAnsi="Times New Roman" w:cs="Times New Roman" w:eastAsia="Times New Roman" w:hint="default"/>
          <w:spacing w:val="-1"/>
        </w:rPr>
        <w:t>HIS</w:t>
      </w:r>
      <w:r>
        <w:rPr>
          <w:spacing w:val="-1"/>
        </w:rPr>
        <w:t>、</w:t>
      </w:r>
      <w:r>
        <w:rPr>
          <w:rFonts w:ascii="Times New Roman" w:hAnsi="Times New Roman" w:cs="Times New Roman" w:eastAsia="Times New Roman" w:hint="default"/>
          <w:spacing w:val="-1"/>
        </w:rPr>
        <w:t>CIS</w:t>
      </w:r>
      <w:r>
        <w:rPr>
          <w:spacing w:val="-1"/>
        </w:rPr>
        <w:t>、</w:t>
      </w:r>
      <w:r>
        <w:rPr>
          <w:rFonts w:ascii="Times New Roman" w:hAnsi="Times New Roman" w:cs="Times New Roman" w:eastAsia="Times New Roman" w:hint="default"/>
          <w:spacing w:val="-1"/>
        </w:rPr>
        <w:t>HRP</w:t>
      </w:r>
      <w:r>
        <w:rPr>
          <w:spacing w:val="-1"/>
        </w:rPr>
        <w:t>、</w:t>
      </w:r>
      <w:r>
        <w:rPr>
          <w:rFonts w:ascii="Times New Roman" w:hAnsi="Times New Roman" w:cs="Times New Roman" w:eastAsia="Times New Roman" w:hint="default"/>
          <w:spacing w:val="-1"/>
        </w:rPr>
        <w:t>BI</w:t>
      </w:r>
      <w:r>
        <w:rPr>
          <w:spacing w:val="-1"/>
        </w:rPr>
        <w:t>、集成平台等</w:t>
      </w:r>
      <w:r>
        <w:rPr>
          <w:rFonts w:ascii="Times New Roman" w:hAnsi="Times New Roman" w:cs="Times New Roman" w:eastAsia="Times New Roman" w:hint="default"/>
          <w:spacing w:val="-1"/>
        </w:rPr>
        <w:t>5</w:t>
      </w:r>
      <w:r>
        <w:rPr>
          <w:spacing w:val="-1"/>
        </w:rPr>
        <w:t>大产品系进行深入改造研发，打造智慧医疗信息平台，这</w:t>
      </w:r>
    </w:p>
    <w:p>
      <w:pPr>
        <w:pStyle w:val="BodyText"/>
        <w:spacing w:line="300" w:lineRule="auto" w:before="15"/>
        <w:ind w:left="153" w:right="192"/>
        <w:jc w:val="both"/>
      </w:pPr>
      <w:r>
        <w:rPr>
          <w:spacing w:val="-1"/>
        </w:rPr>
        <w:t>包括在</w:t>
      </w:r>
      <w:r>
        <w:rPr>
          <w:rFonts w:ascii="Times New Roman" w:hAnsi="Times New Roman" w:cs="Times New Roman" w:eastAsia="Times New Roman" w:hint="default"/>
          <w:spacing w:val="-1"/>
        </w:rPr>
        <w:t>HIS</w:t>
      </w:r>
      <w:r>
        <w:rPr>
          <w:spacing w:val="-1"/>
        </w:rPr>
        <w:t>方面，有新一代护理信息系统，物资及高值耗材系统改造，日间手术管理系统，导诊信息系统，医保费用控制系</w:t>
      </w:r>
      <w:r>
        <w:rPr>
          <w:spacing w:val="-51"/>
        </w:rPr>
        <w:t> </w:t>
      </w:r>
      <w:r>
        <w:rPr>
          <w:spacing w:val="-51"/>
        </w:rPr>
      </w:r>
      <w:r>
        <w:rPr/>
        <w:t>统改造；在</w:t>
      </w:r>
      <w:r>
        <w:rPr>
          <w:rFonts w:ascii="Times New Roman" w:hAnsi="Times New Roman" w:cs="Times New Roman" w:eastAsia="Times New Roman" w:hint="default"/>
        </w:rPr>
        <w:t>CIS</w:t>
      </w:r>
      <w:r>
        <w:rPr/>
        <w:t>方面，有临床质控管理系统，门诊住院临床系统整合；在</w:t>
      </w:r>
      <w:r>
        <w:rPr>
          <w:rFonts w:ascii="Times New Roman" w:hAnsi="Times New Roman" w:cs="Times New Roman" w:eastAsia="Times New Roman" w:hint="default"/>
        </w:rPr>
        <w:t>BI</w:t>
      </w:r>
      <w:r>
        <w:rPr/>
        <w:t>方面，数据仓库后台管理系统，改进完善院长决 策系统，成本核算系统；在医院集成平台方面，实现业务系统</w:t>
      </w:r>
      <w:r>
        <w:rPr>
          <w:rFonts w:ascii="Times New Roman" w:hAnsi="Times New Roman" w:cs="Times New Roman" w:eastAsia="Times New Roman" w:hint="default"/>
        </w:rPr>
        <w:t>HL7</w:t>
      </w:r>
      <w:r>
        <w:rPr/>
        <w:t>封装及构建基于平台和</w:t>
      </w:r>
      <w:r>
        <w:rPr>
          <w:rFonts w:ascii="Times New Roman" w:hAnsi="Times New Roman" w:cs="Times New Roman" w:eastAsia="Times New Roman" w:hint="default"/>
        </w:rPr>
        <w:t>CDR</w:t>
      </w:r>
      <w:r>
        <w:rPr/>
        <w:t>的</w:t>
      </w:r>
      <w:r>
        <w:rPr>
          <w:rFonts w:ascii="Times New Roman" w:hAnsi="Times New Roman" w:cs="Times New Roman" w:eastAsia="Times New Roman" w:hint="default"/>
        </w:rPr>
        <w:t>portal</w:t>
      </w:r>
      <w:r>
        <w:rPr/>
        <w:t>系统。</w:t>
      </w:r>
    </w:p>
    <w:p>
      <w:pPr>
        <w:pStyle w:val="BodyText"/>
        <w:spacing w:line="300" w:lineRule="auto" w:before="133"/>
        <w:ind w:left="153" w:right="197" w:firstLine="360"/>
        <w:jc w:val="both"/>
      </w:pPr>
      <w:r>
        <w:rPr/>
        <w:t>移动医疗信息系统：继续完善、深入研发移动护理、移动医生站、移动输液等系统，同时研发家庭医生站、</w:t>
      </w:r>
      <w:r>
        <w:rPr>
          <w:rFonts w:ascii="Times New Roman" w:hAnsi="Times New Roman" w:cs="Times New Roman" w:eastAsia="Times New Roman" w:hint="default"/>
        </w:rPr>
        <w:t>3G</w:t>
      </w:r>
      <w:r>
        <w:rPr/>
        <w:t>领导决 策和</w:t>
      </w:r>
      <w:r>
        <w:rPr>
          <w:rFonts w:ascii="Times New Roman" w:hAnsi="Times New Roman" w:cs="Times New Roman" w:eastAsia="Times New Roman" w:hint="default"/>
        </w:rPr>
        <w:t>e-Care</w:t>
      </w:r>
      <w:r>
        <w:rPr/>
        <w:t>（医讯通）。</w:t>
      </w:r>
    </w:p>
    <w:p>
      <w:pPr>
        <w:pStyle w:val="BodyText"/>
        <w:spacing w:line="316" w:lineRule="auto" w:before="133"/>
        <w:ind w:left="153" w:right="104" w:firstLine="360"/>
        <w:jc w:val="both"/>
      </w:pPr>
      <w:r>
        <w:rPr>
          <w:spacing w:val="-2"/>
        </w:rPr>
        <w:t>智慧医疗信息系统一期工程：贯彻智慧医疗理念，面向医生智能决策，分别从临床医生、医技医生、家庭医生三类医生</w:t>
      </w:r>
      <w:r>
        <w:rPr/>
        <w:t> </w:t>
      </w:r>
      <w:r>
        <w:rPr>
          <w:spacing w:val="-2"/>
        </w:rPr>
        <w:t>出发，构建智慧医疗基础平台，开发面向临床医生的单病种管理专家系统和健康风险评估专家系统，开发面向医技医生的基</w:t>
      </w:r>
      <w:r>
        <w:rPr>
          <w:spacing w:val="-63"/>
        </w:rPr>
        <w:t> </w:t>
      </w:r>
      <w:r>
        <w:rPr>
          <w:spacing w:val="-63"/>
        </w:rPr>
      </w:r>
      <w:r>
        <w:rPr>
          <w:spacing w:val="-2"/>
        </w:rPr>
        <w:t>于</w:t>
      </w:r>
      <w:r>
        <w:rPr>
          <w:rFonts w:ascii="Times New Roman" w:hAnsi="Times New Roman" w:cs="Times New Roman" w:eastAsia="Times New Roman" w:hint="default"/>
          <w:spacing w:val="-2"/>
        </w:rPr>
        <w:t>PACS</w:t>
      </w:r>
      <w:r>
        <w:rPr>
          <w:spacing w:val="-2"/>
        </w:rPr>
        <w:t>的智能化计算机辅助诊断（</w:t>
      </w:r>
      <w:r>
        <w:rPr>
          <w:rFonts w:ascii="Times New Roman" w:hAnsi="Times New Roman" w:cs="Times New Roman" w:eastAsia="Times New Roman" w:hint="default"/>
          <w:spacing w:val="-2"/>
        </w:rPr>
        <w:t>CAD</w:t>
      </w:r>
      <w:r>
        <w:rPr>
          <w:spacing w:val="-2"/>
        </w:rPr>
        <w:t>）功能，实现肿瘤性质自动判断，开发面向家庭医生的家庭医生业务支撑信息平台。</w:t>
      </w:r>
    </w:p>
    <w:p>
      <w:pPr>
        <w:pStyle w:val="BodyText"/>
        <w:spacing w:line="240" w:lineRule="auto" w:before="119"/>
        <w:ind w:left="513" w:right="184"/>
        <w:jc w:val="left"/>
      </w:pPr>
      <w:r>
        <w:rPr>
          <w:rFonts w:ascii="Times New Roman" w:hAnsi="Times New Roman" w:cs="Times New Roman" w:eastAsia="Times New Roman" w:hint="default"/>
        </w:rPr>
        <w:t>B</w:t>
      </w:r>
      <w:r>
        <w:rPr/>
        <w:t>、公共卫生信息管理系统产品线</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3" w:firstLine="360"/>
        <w:jc w:val="both"/>
      </w:pPr>
      <w:r>
        <w:rPr>
          <w:spacing w:val="-2"/>
        </w:rPr>
        <w:t>公共卫生信息管理系统产品是公司未来的主要竞争产品。公司将加大力度开发和完善公共卫生信息管理产品，重点开发</w:t>
      </w:r>
      <w:r>
        <w:rPr/>
        <w:t> </w:t>
      </w:r>
      <w:r>
        <w:rPr>
          <w:spacing w:val="-2"/>
        </w:rPr>
        <w:t>以疾病控制网络为主体的公共卫生信息系统；以建立居民健康档案为主体的乡村和社区卫生信息网络平台；实现城市医院与</w:t>
      </w:r>
      <w:r>
        <w:rPr>
          <w:spacing w:val="-64"/>
        </w:rPr>
        <w:t> </w:t>
      </w:r>
      <w:r>
        <w:rPr>
          <w:spacing w:val="-64"/>
        </w:rPr>
      </w:r>
      <w:r>
        <w:rPr/>
        <w:t>社区卫生服务机构合作的网络支撑信息系统；与医疗保障信息系统配套的新型农村合作医疗信息平台以及药品相关信息系</w:t>
      </w:r>
      <w:r>
        <w:rPr>
          <w:spacing w:val="-11"/>
        </w:rPr>
        <w:t> </w:t>
      </w:r>
      <w:r>
        <w:rPr>
          <w:spacing w:val="-11"/>
        </w:rPr>
      </w:r>
      <w:r>
        <w:rPr/>
        <w:t>统。使公司的公共卫生信息产品覆盖到医疗机构、公共卫生、社区卫生等医疗卫生机构。</w:t>
      </w:r>
    </w:p>
    <w:p>
      <w:pPr>
        <w:pStyle w:val="BodyText"/>
        <w:spacing w:line="432" w:lineRule="exact" w:before="3"/>
        <w:ind w:left="512" w:right="184"/>
        <w:jc w:val="left"/>
      </w:pPr>
      <w:r>
        <w:rPr>
          <w:rFonts w:ascii="Times New Roman" w:hAnsi="Times New Roman" w:cs="Times New Roman" w:eastAsia="Times New Roman" w:hint="default"/>
        </w:rPr>
        <w:t>2013</w:t>
      </w:r>
      <w:r>
        <w:rPr/>
        <w:t>年度的研发重点为： </w:t>
      </w:r>
      <w:r>
        <w:rPr>
          <w:spacing w:val="-2"/>
        </w:rPr>
        <w:t>区域信息平台产品方面：继续完善区域信息平台，主要包括扩充完善区域卫生数据标准及规范，使其更好的实现电子健</w:t>
      </w:r>
    </w:p>
    <w:p>
      <w:pPr>
        <w:pStyle w:val="BodyText"/>
        <w:spacing w:line="316" w:lineRule="auto" w:before="15"/>
        <w:ind w:right="191"/>
        <w:jc w:val="both"/>
      </w:pPr>
      <w:r>
        <w:rPr>
          <w:spacing w:val="-2"/>
        </w:rPr>
        <w:t>康档案数据库和电子病历数据库建设；加强区域卫生数据交换共享平台中数据质量控制管理系统，提高数据采集的质量；区</w:t>
      </w:r>
      <w:r>
        <w:rPr>
          <w:spacing w:val="-63"/>
        </w:rPr>
        <w:t> </w:t>
      </w:r>
      <w:r>
        <w:rPr>
          <w:spacing w:val="-63"/>
        </w:rPr>
      </w:r>
      <w:r>
        <w:rPr>
          <w:spacing w:val="-2"/>
        </w:rPr>
        <w:t>域平台协同共享基础服务平台，实现区域内医疗机构之间协同业务信息的联动，建立统一高效、资源整合、互联互通、信息</w:t>
      </w:r>
      <w:r>
        <w:rPr>
          <w:spacing w:val="-65"/>
        </w:rPr>
        <w:t> </w:t>
      </w:r>
      <w:r>
        <w:rPr>
          <w:spacing w:val="-65"/>
        </w:rPr>
      </w:r>
      <w:r>
        <w:rPr/>
        <w:t>共享、使用便捷的区域卫生信息平台。</w:t>
      </w:r>
    </w:p>
    <w:p>
      <w:pPr>
        <w:pStyle w:val="BodyText"/>
        <w:spacing w:line="316" w:lineRule="auto" w:before="139"/>
        <w:ind w:right="191" w:firstLine="360"/>
        <w:jc w:val="both"/>
      </w:pPr>
      <w:r>
        <w:rPr>
          <w:spacing w:val="-2"/>
        </w:rPr>
        <w:t>基于区域信息平台的业务应用系统方面：继续扩展研发各种实用共享的业务子系统，夯实区域信息化业务生态系统，主</w:t>
      </w:r>
      <w:r>
        <w:rPr/>
        <w:t> </w:t>
      </w:r>
      <w:r>
        <w:rPr>
          <w:spacing w:val="-2"/>
        </w:rPr>
        <w:t>要包括基于区域卫生信息平台的疾病预防控制系统，实现疾病报病、核实、管理、随访的区域化协同管理；基于区域卫生信</w:t>
      </w:r>
      <w:r>
        <w:rPr>
          <w:spacing w:val="-65"/>
        </w:rPr>
        <w:t> </w:t>
      </w:r>
      <w:r>
        <w:rPr>
          <w:spacing w:val="-65"/>
        </w:rPr>
      </w:r>
      <w:r>
        <w:rPr>
          <w:spacing w:val="-2"/>
        </w:rPr>
        <w:t>息平台的妇幼保健管理系统，实现孕产妇建卡、产前检查、分娩记录、产后访视以及儿童定期体检的区域化协同管理；基于</w:t>
      </w:r>
      <w:r>
        <w:rPr>
          <w:spacing w:val="-67"/>
        </w:rPr>
        <w:t> </w:t>
      </w:r>
      <w:r>
        <w:rPr>
          <w:spacing w:val="-67"/>
        </w:rPr>
      </w:r>
      <w:r>
        <w:rPr/>
        <w:t>区域卫生信息平台的精神卫生管理系统，实现精神疾病的报病、核实、管理、随访的区域化协同管理。</w:t>
      </w:r>
    </w:p>
    <w:p>
      <w:pPr>
        <w:pStyle w:val="BodyText"/>
        <w:spacing w:line="316" w:lineRule="auto" w:before="139"/>
        <w:ind w:right="94" w:firstLine="360"/>
        <w:jc w:val="left"/>
      </w:pPr>
      <w:r>
        <w:rPr>
          <w:spacing w:val="-2"/>
        </w:rPr>
        <w:t>基层医疗卫生信息系统方面：整合区域诊疗信息系统和社区卫生服务信息系统研发符合国家《基层医疗卫生信息系统功</w:t>
      </w:r>
      <w:r>
        <w:rPr/>
        <w:t> </w:t>
      </w:r>
      <w:r>
        <w:rPr>
          <w:spacing w:val="-4"/>
        </w:rPr>
        <w:t>能规范》要求的基层医疗卫生信息系统，主要包括基于区域卫生信息平台的疾病预防控制系统，实现疾病报病、核实、管理、</w:t>
      </w:r>
      <w:r>
        <w:rPr>
          <w:spacing w:val="-43"/>
        </w:rPr>
        <w:t> </w:t>
      </w:r>
      <w:r>
        <w:rPr>
          <w:spacing w:val="-43"/>
        </w:rPr>
      </w:r>
      <w:r>
        <w:rPr>
          <w:spacing w:val="-2"/>
        </w:rPr>
        <w:t>随访的区域化协同管理；基于区域卫生信息平台的妇幼保健管理系统，实现孕产妇建卡、产前检查、分娩记录、产后访视以</w:t>
      </w:r>
      <w:r>
        <w:rPr>
          <w:spacing w:val="-67"/>
        </w:rPr>
        <w:t> </w:t>
      </w:r>
      <w:r>
        <w:rPr>
          <w:spacing w:val="-67"/>
        </w:rPr>
      </w:r>
      <w:r>
        <w:rPr>
          <w:spacing w:val="-2"/>
        </w:rPr>
        <w:t>及儿童定期体检的区域化协同管理；基于区域卫生信息平台的精神卫生管理系统，实现精神疾病的报病、核实、管理、随访</w:t>
      </w:r>
      <w:r>
        <w:rPr>
          <w:spacing w:val="-65"/>
        </w:rPr>
        <w:t> </w:t>
      </w:r>
      <w:r>
        <w:rPr>
          <w:spacing w:val="-65"/>
        </w:rPr>
      </w:r>
      <w:r>
        <w:rPr/>
        <w:t>的区域化协同管理。</w:t>
      </w:r>
    </w:p>
    <w:p>
      <w:pPr>
        <w:pStyle w:val="BodyText"/>
        <w:spacing w:line="309" w:lineRule="auto" w:before="139"/>
        <w:ind w:right="193" w:firstLine="360"/>
        <w:jc w:val="both"/>
      </w:pPr>
      <w:r>
        <w:rPr>
          <w:spacing w:val="-2"/>
        </w:rPr>
        <w:t>医疗保障系统方面：基于前期新型农村合作医疗信息系统，研发完善实时结算（即时结报）平台，结合国家医改政策开</w:t>
      </w:r>
      <w:r>
        <w:rPr/>
        <w:t> </w:t>
      </w:r>
      <w:r>
        <w:rPr>
          <w:spacing w:val="-2"/>
        </w:rPr>
        <w:t>发相应支付方式改革系统，包括多类型医疗救助</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信息管理系统，实现新农合系统向民政救助等医疗费用救助相关系</w:t>
      </w:r>
      <w:r>
        <w:rPr>
          <w:spacing w:val="-44"/>
        </w:rPr>
        <w:t> </w:t>
      </w:r>
      <w:r>
        <w:rPr>
          <w:spacing w:val="-44"/>
        </w:rPr>
      </w:r>
      <w:r>
        <w:rPr/>
        <w:t>统的扩展；改造实时结算（即时结报）前置机系统使其满足多类型医疗救助</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信息管理系统要求。</w:t>
      </w:r>
    </w:p>
    <w:p>
      <w:pPr>
        <w:pStyle w:val="BodyText"/>
        <w:spacing w:line="240" w:lineRule="auto" w:before="125"/>
        <w:ind w:left="512" w:right="184"/>
        <w:jc w:val="left"/>
      </w:pPr>
      <w:r>
        <w:rPr/>
        <w:t>医疗大数据处理系统方面：继续加强大数据处理系统相关产品系列的研发、分析处理系统。</w:t>
      </w:r>
    </w:p>
    <w:p>
      <w:pPr>
        <w:pStyle w:val="BodyText"/>
        <w:spacing w:line="420" w:lineRule="atLeast" w:before="25"/>
        <w:ind w:left="512" w:right="184"/>
        <w:jc w:val="left"/>
      </w:pPr>
      <w:r>
        <w:rPr/>
        <w:t>（</w:t>
      </w:r>
      <w:r>
        <w:rPr>
          <w:rFonts w:ascii="Times New Roman" w:hAnsi="Times New Roman" w:cs="Times New Roman" w:eastAsia="Times New Roman" w:hint="default"/>
        </w:rPr>
        <w:t>2</w:t>
      </w:r>
      <w:r>
        <w:rPr/>
        <w:t>）技术创新计划 </w:t>
      </w:r>
      <w:r>
        <w:rPr>
          <w:spacing w:val="-2"/>
        </w:rPr>
        <w:t>公司将着力于重大课题的超前开发、应用和储备，为全面提升综合竞争力、实现产业升级和主业拓展提供支撑，增强在</w:t>
      </w:r>
    </w:p>
    <w:p>
      <w:pPr>
        <w:pStyle w:val="BodyText"/>
        <w:spacing w:line="240" w:lineRule="auto" w:before="76"/>
        <w:ind w:right="0"/>
        <w:jc w:val="both"/>
      </w:pPr>
      <w:r>
        <w:rPr/>
        <w:t>高技术含量项目上的竞争力。</w:t>
      </w:r>
    </w:p>
    <w:p>
      <w:pPr>
        <w:spacing w:line="240" w:lineRule="auto" w:before="0"/>
        <w:rPr>
          <w:rFonts w:ascii="宋体" w:hAnsi="宋体" w:cs="宋体" w:eastAsia="宋体" w:hint="default"/>
          <w:sz w:val="15"/>
          <w:szCs w:val="15"/>
        </w:rPr>
      </w:pPr>
    </w:p>
    <w:p>
      <w:pPr>
        <w:pStyle w:val="BodyText"/>
        <w:spacing w:line="316" w:lineRule="auto"/>
        <w:ind w:right="195" w:firstLine="360"/>
        <w:jc w:val="both"/>
      </w:pPr>
      <w:r>
        <w:rPr>
          <w:spacing w:val="-2"/>
        </w:rPr>
        <w:t>未来公司将重点研究开发和应用医院集成应用服务平台、工作流引擎、消息引擎、语义医疗知识库、大数据处理、智慧</w:t>
      </w:r>
      <w:r>
        <w:rPr/>
        <w:t> 医疗等技术，有效提高原有软件的功能和使用便捷性，从而推动软件的更新换代。</w:t>
      </w:r>
    </w:p>
    <w:p>
      <w:pPr>
        <w:pStyle w:val="BodyText"/>
        <w:spacing w:line="316" w:lineRule="auto" w:before="139"/>
        <w:ind w:right="193" w:firstLine="360"/>
        <w:jc w:val="both"/>
      </w:pPr>
      <w:r>
        <w:rPr>
          <w:spacing w:val="-2"/>
        </w:rPr>
        <w:t>此外，公司将建立推动技术创新的体制保障，持续关注和引入新技术，把技术创新放在公司发展的重要地位，以提高产</w:t>
      </w:r>
      <w:r>
        <w:rPr/>
        <w:t> 品研发效率。</w:t>
      </w:r>
    </w:p>
    <w:p>
      <w:pPr>
        <w:pStyle w:val="BodyText"/>
        <w:spacing w:line="432" w:lineRule="exact" w:before="3"/>
        <w:ind w:left="512" w:right="184"/>
        <w:jc w:val="left"/>
      </w:pPr>
      <w:r>
        <w:rPr/>
        <w:t>（</w:t>
      </w:r>
      <w:r>
        <w:rPr>
          <w:rFonts w:ascii="Times New Roman" w:hAnsi="Times New Roman" w:cs="Times New Roman" w:eastAsia="Times New Roman" w:hint="default"/>
        </w:rPr>
        <w:t>3</w:t>
      </w:r>
      <w:r>
        <w:rPr/>
        <w:t>）市场开发计划 未来，公司将重点加强营销网络的建设，做好市场推广工作，完善客户关系管理，并提高技术支持和服务水平。 </w:t>
      </w:r>
      <w:r>
        <w:rPr>
          <w:rFonts w:ascii="Times New Roman" w:hAnsi="Times New Roman" w:cs="Times New Roman" w:eastAsia="Times New Roman" w:hint="default"/>
        </w:rPr>
        <w:t>A</w:t>
      </w:r>
      <w:r>
        <w:rPr/>
        <w:t>、建立完善客户服务中心 </w:t>
      </w:r>
      <w:r>
        <w:rPr>
          <w:spacing w:val="-2"/>
        </w:rPr>
        <w:t>在公司总部建立完善一个反应迅速、服务高效的客户服务中心，保障公司营销服务体系良好运行，为客户提供迅速、准</w:t>
      </w:r>
    </w:p>
    <w:p>
      <w:pPr>
        <w:pStyle w:val="BodyText"/>
        <w:spacing w:line="240" w:lineRule="auto" w:before="15"/>
        <w:ind w:right="0"/>
        <w:jc w:val="both"/>
      </w:pPr>
      <w:r>
        <w:rPr/>
        <w:t>确的咨询信息以及业务受理和投诉等服务，密切公司与客户的合作关系。</w:t>
      </w:r>
    </w:p>
    <w:p>
      <w:pPr>
        <w:pStyle w:val="BodyText"/>
        <w:spacing w:line="420" w:lineRule="atLeast" w:before="25"/>
        <w:ind w:left="512" w:right="184"/>
        <w:jc w:val="left"/>
      </w:pPr>
      <w:r>
        <w:rPr>
          <w:rFonts w:ascii="Times New Roman" w:hAnsi="Times New Roman" w:cs="Times New Roman" w:eastAsia="Times New Roman" w:hint="default"/>
        </w:rPr>
        <w:t>B</w:t>
      </w:r>
      <w:r>
        <w:rPr/>
        <w:t>、建立完善销售和服务网络 </w:t>
      </w:r>
      <w:r>
        <w:rPr>
          <w:spacing w:val="-2"/>
        </w:rPr>
        <w:t>结合公司品牌战略，在全国重点市场区域建立完善分支机构。公司分支机构承担营销和本地实施服务功能，使服务平台</w:t>
      </w:r>
    </w:p>
    <w:p>
      <w:pPr>
        <w:pStyle w:val="BodyText"/>
        <w:spacing w:line="316" w:lineRule="auto" w:before="76"/>
        <w:ind w:right="195"/>
        <w:jc w:val="both"/>
      </w:pPr>
      <w:r>
        <w:rPr>
          <w:spacing w:val="-2"/>
        </w:rPr>
        <w:t>延伸到全国各地，充分实现资源信息的共享，努力实现服务标准化、规范化，从而提升用户满意度，以巩固老用户和拓展新</w:t>
      </w:r>
      <w:r>
        <w:rPr>
          <w:spacing w:val="-67"/>
        </w:rPr>
        <w:t> </w:t>
      </w:r>
      <w:r>
        <w:rPr>
          <w:spacing w:val="-67"/>
        </w:rPr>
      </w:r>
      <w:r>
        <w:rPr/>
        <w:t>用户，不断占有和扩大市场。</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2" w:right="184"/>
        <w:jc w:val="left"/>
      </w:pPr>
      <w:r>
        <w:rPr/>
        <w:t>（</w:t>
      </w:r>
      <w:r>
        <w:rPr>
          <w:rFonts w:ascii="Times New Roman" w:hAnsi="Times New Roman" w:cs="Times New Roman" w:eastAsia="Times New Roman" w:hint="default"/>
        </w:rPr>
        <w:t>4</w:t>
      </w:r>
      <w:r>
        <w:rPr/>
        <w:t>）制度和组织机构建设计划</w:t>
      </w:r>
    </w:p>
    <w:p>
      <w:pPr>
        <w:spacing w:line="240" w:lineRule="auto" w:before="13"/>
        <w:rPr>
          <w:rFonts w:ascii="宋体" w:hAnsi="宋体" w:cs="宋体" w:eastAsia="宋体" w:hint="default"/>
          <w:sz w:val="13"/>
          <w:szCs w:val="13"/>
        </w:rPr>
      </w:pPr>
    </w:p>
    <w:p>
      <w:pPr>
        <w:pStyle w:val="BodyText"/>
        <w:spacing w:line="316" w:lineRule="auto"/>
        <w:ind w:right="94" w:firstLine="360"/>
        <w:jc w:val="left"/>
      </w:pPr>
      <w:r>
        <w:rPr>
          <w:spacing w:val="-2"/>
        </w:rPr>
        <w:t>目前，公司已经基本具备建立完善的现代企业制度的基础，随着经营规模扩大和业务发展的需要，未来将定期调整和优</w:t>
      </w:r>
      <w:r>
        <w:rPr/>
        <w:t> 化组织机构，不断完善法人治理结构和内部控制制度，包括完善董事会运行机制，发挥外部独立董事和各方面专家的作用， </w:t>
      </w:r>
      <w:r>
        <w:rPr>
          <w:spacing w:val="-2"/>
        </w:rPr>
        <w:t>确定决策者的责任制度，保证决策的科学性；规范公司的监事会制度建设，以有效监督为目的，健全公司内部控制制度与综</w:t>
      </w:r>
      <w:r>
        <w:rPr>
          <w:spacing w:val="-65"/>
        </w:rPr>
        <w:t> </w:t>
      </w:r>
      <w:r>
        <w:rPr>
          <w:spacing w:val="-65"/>
        </w:rPr>
      </w:r>
      <w:r>
        <w:rPr>
          <w:spacing w:val="-2"/>
        </w:rPr>
        <w:t>合考核机制，加强对财务活动和经营行为的监督，确保股东权益不受侵犯；全面引入竞争上岗机制、企业经营者业绩评估机</w:t>
      </w:r>
      <w:r>
        <w:rPr>
          <w:spacing w:val="-65"/>
        </w:rPr>
        <w:t> </w:t>
      </w:r>
      <w:r>
        <w:rPr>
          <w:spacing w:val="-65"/>
        </w:rPr>
      </w:r>
      <w:r>
        <w:rPr/>
        <w:t>制和</w:t>
      </w:r>
      <w:r>
        <w:rPr>
          <w:rFonts w:ascii="Times New Roman" w:hAnsi="Times New Roman" w:cs="Times New Roman" w:eastAsia="Times New Roman" w:hint="default"/>
        </w:rPr>
        <w:t>“</w:t>
      </w:r>
      <w:r>
        <w:rPr/>
        <w:t>下课</w:t>
      </w:r>
      <w:r>
        <w:rPr>
          <w:rFonts w:ascii="Times New Roman" w:hAnsi="Times New Roman" w:cs="Times New Roman" w:eastAsia="Times New Roman" w:hint="default"/>
        </w:rPr>
        <w:t>”</w:t>
      </w:r>
      <w:r>
        <w:rPr/>
        <w:t>机制等，把企业经营者的利益与公司持续发展的目标结合起来。</w:t>
      </w:r>
    </w:p>
    <w:p>
      <w:pPr>
        <w:pStyle w:val="BodyText"/>
        <w:spacing w:line="300" w:lineRule="auto" w:before="119"/>
        <w:ind w:right="96" w:firstLine="360"/>
        <w:jc w:val="left"/>
      </w:pPr>
      <w:r>
        <w:rPr>
          <w:spacing w:val="-3"/>
        </w:rPr>
        <w:t>公司将进一步强化和丰富</w:t>
      </w:r>
      <w:r>
        <w:rPr>
          <w:rFonts w:ascii="Times New Roman" w:hAnsi="Times New Roman" w:cs="Times New Roman" w:eastAsia="Times New Roman" w:hint="default"/>
          <w:spacing w:val="-3"/>
        </w:rPr>
        <w:t>“</w:t>
      </w:r>
      <w:r>
        <w:rPr>
          <w:spacing w:val="-3"/>
        </w:rPr>
        <w:t>完美打造医疗行业解决方案</w:t>
      </w:r>
      <w:r>
        <w:rPr>
          <w:rFonts w:ascii="Times New Roman" w:hAnsi="Times New Roman" w:cs="Times New Roman" w:eastAsia="Times New Roman" w:hint="default"/>
          <w:spacing w:val="-3"/>
        </w:rPr>
        <w:t>”</w:t>
      </w:r>
      <w:r>
        <w:rPr>
          <w:spacing w:val="-3"/>
        </w:rPr>
        <w:t>为核心的企业文化，持续总结、提炼企业的文化精髓，进行固化，</w:t>
      </w:r>
      <w:r>
        <w:rPr/>
        <w:t> </w:t>
      </w:r>
      <w:r>
        <w:rPr>
          <w:spacing w:val="-4"/>
        </w:rPr>
        <w:t>自上而下、层级式地进行推广，广泛宣传；建立员工行为符合企业文化的保障制度，确保企业文化助推公司战略目标的实施。</w:t>
      </w:r>
    </w:p>
    <w:p>
      <w:pPr>
        <w:pStyle w:val="BodyText"/>
        <w:spacing w:line="316" w:lineRule="auto" w:before="151"/>
        <w:ind w:right="184" w:firstLine="360"/>
        <w:jc w:val="left"/>
      </w:pPr>
      <w:r>
        <w:rPr>
          <w:spacing w:val="-2"/>
        </w:rPr>
        <w:t>公司将建立高效、有序的组织架构和流程制度，通过调整组织和流程，不断规范各部门职责和相互间的配合关系，理顺</w:t>
      </w:r>
      <w:r>
        <w:rPr/>
        <w:t> 分工合作和业务流程，实现高效管理。</w:t>
      </w:r>
    </w:p>
    <w:p>
      <w:pPr>
        <w:pStyle w:val="BodyText"/>
        <w:spacing w:line="415" w:lineRule="auto" w:before="139"/>
        <w:ind w:left="512" w:right="184"/>
        <w:jc w:val="left"/>
      </w:pPr>
      <w:r>
        <w:rPr/>
        <w:t>（</w:t>
      </w:r>
      <w:r>
        <w:rPr>
          <w:rFonts w:ascii="Times New Roman" w:hAnsi="Times New Roman" w:cs="Times New Roman" w:eastAsia="Times New Roman" w:hint="default"/>
        </w:rPr>
        <w:t>5</w:t>
      </w:r>
      <w:r>
        <w:rPr/>
        <w:t>）人力资源发展计划 </w:t>
      </w:r>
      <w:r>
        <w:rPr>
          <w:spacing w:val="-2"/>
        </w:rPr>
        <w:t>公司将结合发展战略和目标，并根据企业外部环境的发展，制订未来人力资源发展计划。在人力资源结构的优化调整中</w:t>
      </w:r>
    </w:p>
    <w:p>
      <w:pPr>
        <w:pStyle w:val="BodyText"/>
        <w:spacing w:line="194" w:lineRule="exact"/>
        <w:ind w:right="94"/>
        <w:jc w:val="left"/>
      </w:pPr>
      <w:r>
        <w:rPr/>
        <w:t>突出</w:t>
      </w:r>
      <w:r>
        <w:rPr>
          <w:rFonts w:ascii="Times New Roman" w:hAnsi="Times New Roman" w:cs="Times New Roman" w:eastAsia="Times New Roman" w:hint="default"/>
        </w:rPr>
        <w:t>“</w:t>
      </w:r>
      <w:r>
        <w:rPr/>
        <w:t>以人为本，开发、培养和使用并重</w:t>
      </w:r>
      <w:r>
        <w:rPr>
          <w:rFonts w:ascii="Times New Roman" w:hAnsi="Times New Roman" w:cs="Times New Roman" w:eastAsia="Times New Roman" w:hint="default"/>
        </w:rPr>
        <w:t>”</w:t>
      </w:r>
      <w:r>
        <w:rPr/>
        <w:t>的方针，实现人才资源的优化配置和合理流动。以重大软件开发项目为依托，塑造</w:t>
      </w:r>
    </w:p>
    <w:p>
      <w:pPr>
        <w:pStyle w:val="BodyText"/>
        <w:spacing w:line="316" w:lineRule="auto" w:before="62"/>
        <w:ind w:right="184"/>
        <w:jc w:val="left"/>
      </w:pPr>
      <w:r>
        <w:rPr>
          <w:spacing w:val="-2"/>
        </w:rPr>
        <w:t>新的用人机制和激励机制，逐步形成符合产业发展需要的团队。公司的人才发展计划主要通过高效培训、人才储备、体制建</w:t>
      </w:r>
      <w:r>
        <w:rPr>
          <w:spacing w:val="-64"/>
        </w:rPr>
        <w:t> </w:t>
      </w:r>
      <w:r>
        <w:rPr>
          <w:spacing w:val="-64"/>
        </w:rPr>
      </w:r>
      <w:r>
        <w:rPr/>
        <w:t>设等措施实施：</w:t>
      </w:r>
    </w:p>
    <w:p>
      <w:pPr>
        <w:pStyle w:val="BodyText"/>
        <w:spacing w:line="432" w:lineRule="exact" w:before="3"/>
        <w:ind w:left="512" w:right="94"/>
        <w:jc w:val="left"/>
      </w:pPr>
      <w:r>
        <w:rPr>
          <w:rFonts w:ascii="Times New Roman" w:hAnsi="Times New Roman" w:cs="Times New Roman" w:eastAsia="Times New Roman" w:hint="default"/>
        </w:rPr>
        <w:t>A</w:t>
      </w:r>
      <w:r>
        <w:rPr/>
        <w:t>、高效培训 </w:t>
      </w:r>
      <w:r>
        <w:rPr>
          <w:spacing w:val="-4"/>
        </w:rPr>
        <w:t>医疗卫生应用软件公司需要培养既懂计算机开发技术又懂医疗卫生机构运作的复合性人才，需要较长的融合、学习过程。</w:t>
      </w:r>
    </w:p>
    <w:p>
      <w:pPr>
        <w:pStyle w:val="BodyText"/>
        <w:spacing w:line="240" w:lineRule="auto" w:before="15"/>
        <w:ind w:right="184"/>
        <w:jc w:val="left"/>
      </w:pPr>
      <w:r>
        <w:rPr/>
        <w:t>公司通过建立知识库，总结行业经验，建立规范的培训模型，可以高效地培训各技术岗位的人才。</w:t>
      </w:r>
    </w:p>
    <w:p>
      <w:pPr>
        <w:pStyle w:val="BodyText"/>
        <w:spacing w:line="420" w:lineRule="atLeast" w:before="25"/>
        <w:ind w:left="512" w:right="184"/>
        <w:jc w:val="left"/>
      </w:pPr>
      <w:r>
        <w:rPr>
          <w:rFonts w:ascii="Times New Roman" w:hAnsi="Times New Roman" w:cs="Times New Roman" w:eastAsia="Times New Roman" w:hint="default"/>
        </w:rPr>
        <w:t>B</w:t>
      </w:r>
      <w:r>
        <w:rPr/>
        <w:t>、人才储备 </w:t>
      </w:r>
      <w:r>
        <w:rPr>
          <w:spacing w:val="-2"/>
        </w:rPr>
        <w:t>根据不同发展阶段对人力资源的需求，以及不同层级的职位对于人员能力的要求，公司建立人才梯队，确定人才能力要</w:t>
      </w:r>
    </w:p>
    <w:p>
      <w:pPr>
        <w:pStyle w:val="BodyText"/>
        <w:spacing w:line="240" w:lineRule="auto" w:before="76"/>
        <w:ind w:right="184"/>
        <w:jc w:val="left"/>
      </w:pPr>
      <w:r>
        <w:rPr/>
        <w:t>求模型，从引进人才、培养人才、塑造人才三方面着手，建立有层次的技术人才库、管理人才库、营销人才库。</w:t>
      </w:r>
    </w:p>
    <w:p>
      <w:pPr>
        <w:pStyle w:val="BodyText"/>
        <w:spacing w:line="420" w:lineRule="atLeast" w:before="25"/>
        <w:ind w:left="512" w:right="94"/>
        <w:jc w:val="left"/>
      </w:pPr>
      <w:r>
        <w:rPr>
          <w:rFonts w:ascii="Times New Roman" w:hAnsi="Times New Roman" w:cs="Times New Roman" w:eastAsia="Times New Roman" w:hint="default"/>
        </w:rPr>
        <w:t>C</w:t>
      </w:r>
      <w:r>
        <w:rPr/>
        <w:t>、建立和优化薪酬体系和激励机制 在现有薪酬制度和激励制度的基础上，根据公司各发展阶段的要求，制定更透明、更合理、层级清晰、对外有竞争力、</w:t>
      </w:r>
    </w:p>
    <w:p>
      <w:pPr>
        <w:pStyle w:val="BodyText"/>
        <w:spacing w:line="316" w:lineRule="auto" w:before="76"/>
        <w:ind w:right="94"/>
        <w:jc w:val="left"/>
      </w:pPr>
      <w:r>
        <w:rPr/>
        <w:t>对内公平的薪酬制度，制定符合岗位能力的职位评定方案；建立对各类人才有持久吸引力、调动人才创新能力的激励机制， 实现公司人力资源的可持续发展。</w:t>
      </w:r>
    </w:p>
    <w:p>
      <w:pPr>
        <w:pStyle w:val="BodyText"/>
        <w:spacing w:line="240" w:lineRule="auto" w:before="139"/>
        <w:ind w:left="512" w:right="184"/>
        <w:jc w:val="left"/>
      </w:pPr>
      <w:r>
        <w:rPr/>
        <w:t>（</w:t>
      </w:r>
      <w:r>
        <w:rPr>
          <w:rFonts w:ascii="Times New Roman" w:hAnsi="Times New Roman" w:cs="Times New Roman" w:eastAsia="Times New Roman" w:hint="default"/>
        </w:rPr>
        <w:t>6</w:t>
      </w:r>
      <w:r>
        <w:rPr/>
        <w:t>）投资者关系计划</w:t>
      </w:r>
    </w:p>
    <w:p>
      <w:pPr>
        <w:spacing w:line="240" w:lineRule="auto" w:before="13"/>
        <w:rPr>
          <w:rFonts w:ascii="宋体" w:hAnsi="宋体" w:cs="宋体" w:eastAsia="宋体" w:hint="default"/>
          <w:sz w:val="13"/>
          <w:szCs w:val="13"/>
        </w:rPr>
      </w:pPr>
    </w:p>
    <w:p>
      <w:pPr>
        <w:pStyle w:val="BodyText"/>
        <w:spacing w:line="312" w:lineRule="auto"/>
        <w:ind w:right="94" w:firstLine="360"/>
        <w:jc w:val="left"/>
      </w:pPr>
      <w:r>
        <w:rPr>
          <w:rFonts w:ascii="Times New Roman" w:hAnsi="Times New Roman" w:cs="Times New Roman" w:eastAsia="Times New Roman" w:hint="default"/>
          <w:spacing w:val="-2"/>
        </w:rPr>
        <w:t>2013</w:t>
      </w:r>
      <w:r>
        <w:rPr>
          <w:spacing w:val="-2"/>
        </w:rPr>
        <w:t>年公司将进一步完善公司的治理结构，建立和健全投资者沟通平台，充分利用深交所的互动平台与广大投资者沟通</w:t>
      </w:r>
      <w:r>
        <w:rPr/>
        <w:t> 和交流，规范公司投资者关系工作，提高工作人员在投资者关系管理方面的水平和能力，加深投资者对公司的了解和认同， </w:t>
      </w:r>
      <w:r>
        <w:rPr>
          <w:spacing w:val="-2"/>
        </w:rPr>
        <w:t>促进公司与投资者之间长期、良好、稳定的关系，提升公司的诚信度、核心竞争能力和持续发展能力，实现公司价值最大化</w:t>
      </w:r>
      <w:r>
        <w:rPr>
          <w:spacing w:val="-67"/>
        </w:rPr>
        <w:t> </w:t>
      </w:r>
      <w:r>
        <w:rPr>
          <w:spacing w:val="-67"/>
        </w:rPr>
      </w:r>
      <w:r>
        <w:rPr/>
        <w:t>和股东利益最大化。</w:t>
      </w:r>
    </w:p>
    <w:p>
      <w:pPr>
        <w:spacing w:line="432" w:lineRule="exact" w:before="8"/>
        <w:ind w:left="512" w:right="188" w:firstLine="0"/>
        <w:jc w:val="left"/>
        <w:rPr>
          <w:rFonts w:ascii="宋体" w:hAnsi="宋体" w:cs="宋体" w:eastAsia="宋体" w:hint="default"/>
          <w:sz w:val="18"/>
          <w:szCs w:val="18"/>
        </w:rPr>
      </w:pPr>
      <w:r>
        <w:rPr>
          <w:rFonts w:ascii="宋体" w:hAnsi="宋体" w:cs="宋体" w:eastAsia="宋体" w:hint="default"/>
          <w:b/>
          <w:bCs/>
          <w:sz w:val="18"/>
          <w:szCs w:val="18"/>
        </w:rPr>
        <w:t>（四）对公司未来发展战略和经营目标的实现产生不利影响的风险因素分析</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、公司规模的迅速扩张带来人才上的瓶颈</w:t>
      </w:r>
      <w:r>
        <w:rPr>
          <w:rFonts w:ascii="宋体" w:hAnsi="宋体" w:cs="宋体" w:eastAsia="宋体" w:hint="default"/>
          <w:b/>
          <w:bCs/>
          <w:w w:val="99"/>
          <w:sz w:val="18"/>
          <w:szCs w:val="18"/>
        </w:rPr>
        <w:t> </w:t>
      </w:r>
      <w:r>
        <w:rPr>
          <w:rFonts w:ascii="宋体" w:hAnsi="宋体" w:cs="宋体" w:eastAsia="宋体" w:hint="default"/>
          <w:spacing w:val="-2"/>
          <w:sz w:val="18"/>
          <w:szCs w:val="18"/>
        </w:rPr>
        <w:t>高端人才比较紧缺仍然是公司目前存在的主要困难，特别是研发人员扩张速度跟不上公司业务规模的扩张，导致公司潜</w:t>
      </w:r>
    </w:p>
    <w:p>
      <w:pPr>
        <w:pStyle w:val="BodyText"/>
        <w:spacing w:line="240" w:lineRule="auto" w:before="15"/>
        <w:ind w:right="184"/>
        <w:jc w:val="left"/>
      </w:pPr>
      <w:r>
        <w:rPr/>
        <w:t>在的新用户的需求得不到很好的满足，这可能会使公司失去一些市场机会。</w:t>
      </w:r>
    </w:p>
    <w:p>
      <w:pPr>
        <w:spacing w:line="240" w:lineRule="auto" w:before="0"/>
        <w:rPr>
          <w:rFonts w:ascii="宋体" w:hAnsi="宋体" w:cs="宋体" w:eastAsia="宋体" w:hint="default"/>
          <w:sz w:val="15"/>
          <w:szCs w:val="15"/>
        </w:rPr>
      </w:pPr>
    </w:p>
    <w:p>
      <w:pPr>
        <w:pStyle w:val="BodyText"/>
        <w:spacing w:line="316" w:lineRule="auto"/>
        <w:ind w:right="184" w:firstLine="360"/>
        <w:jc w:val="left"/>
      </w:pPr>
      <w:r>
        <w:rPr>
          <w:spacing w:val="-2"/>
        </w:rPr>
        <w:t>随着公司产品线扩充、市场扩大和客户增加，公司目前面临的最大问题是人才，特别是研发和销售类的高端人才较难招</w:t>
      </w:r>
      <w:r>
        <w:rPr/>
        <w:t> 聘，这可能会导致公司目前的一些潜在项目流失。</w:t>
      </w:r>
    </w:p>
    <w:p>
      <w:pPr>
        <w:pStyle w:val="BodyText"/>
        <w:spacing w:line="240" w:lineRule="auto" w:before="139"/>
        <w:ind w:left="512" w:right="0"/>
        <w:jc w:val="left"/>
      </w:pPr>
      <w:r>
        <w:rPr/>
        <w:t>应对措施：公司已在合肥、常州以及西安设立区域研发中心，未来还将根据发展需要在其他地区设立区域研发中心。公</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92"/>
        <w:jc w:val="both"/>
      </w:pPr>
      <w:r>
        <w:rPr/>
        <w:t>司报告期末员工数量为</w:t>
      </w:r>
      <w:r>
        <w:rPr>
          <w:rFonts w:ascii="Times New Roman" w:hAnsi="Times New Roman" w:cs="Times New Roman" w:eastAsia="Times New Roman" w:hint="default"/>
        </w:rPr>
        <w:t>883</w:t>
      </w:r>
      <w:r>
        <w:rPr/>
        <w:t>人，预计在未来几年内公司的总人数将扩张到</w:t>
      </w:r>
      <w:r>
        <w:rPr>
          <w:rFonts w:ascii="Times New Roman" w:hAnsi="Times New Roman" w:cs="Times New Roman" w:eastAsia="Times New Roman" w:hint="default"/>
        </w:rPr>
        <w:t>1500</w:t>
      </w:r>
      <w:r>
        <w:rPr/>
        <w:t>人以上，因此一方面建立多层次培训体系和薪</w:t>
      </w:r>
      <w:r>
        <w:rPr>
          <w:spacing w:val="-85"/>
        </w:rPr>
        <w:t> </w:t>
      </w:r>
      <w:r>
        <w:rPr>
          <w:spacing w:val="-85"/>
        </w:rPr>
      </w:r>
      <w:r>
        <w:rPr>
          <w:spacing w:val="-2"/>
        </w:rPr>
        <w:t>酬体系，满足研发技术类的人才需求，另一方面，开展营销服务体系的建设，构筑全国性的销售服务体系，实现客户的近距</w:t>
      </w:r>
      <w:r>
        <w:rPr>
          <w:spacing w:val="-67"/>
        </w:rPr>
        <w:t> </w:t>
      </w:r>
      <w:r>
        <w:rPr>
          <w:spacing w:val="-67"/>
        </w:rPr>
      </w:r>
      <w:r>
        <w:rPr/>
        <w:t>离本地化服务。</w:t>
      </w:r>
    </w:p>
    <w:p>
      <w:pPr>
        <w:spacing w:line="432" w:lineRule="exact" w:before="9"/>
        <w:ind w:left="512" w:right="18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、新技术、新需求带来的不确定性风险</w:t>
      </w:r>
      <w:r>
        <w:rPr>
          <w:rFonts w:ascii="宋体" w:hAnsi="宋体" w:cs="宋体" w:eastAsia="宋体" w:hint="default"/>
          <w:b/>
          <w:bCs/>
          <w:w w:val="99"/>
          <w:sz w:val="18"/>
          <w:szCs w:val="18"/>
        </w:rPr>
        <w:t> </w:t>
      </w:r>
      <w:r>
        <w:rPr>
          <w:rFonts w:ascii="宋体" w:hAnsi="宋体" w:cs="宋体" w:eastAsia="宋体" w:hint="default"/>
          <w:spacing w:val="-2"/>
          <w:sz w:val="18"/>
          <w:szCs w:val="18"/>
        </w:rPr>
        <w:t>基于云计算的软件服务模式、大数据处理系统、临床决策系统等快速发展，这些系统所涉及的技术，都是比较新型的技</w:t>
      </w:r>
    </w:p>
    <w:p>
      <w:pPr>
        <w:pStyle w:val="BodyText"/>
        <w:spacing w:line="240" w:lineRule="auto" w:before="15"/>
        <w:ind w:right="0"/>
        <w:jc w:val="both"/>
      </w:pPr>
      <w:r>
        <w:rPr/>
        <w:t>术，这些技术是否能产生良好的效果，具有不确定性风险。</w:t>
      </w:r>
    </w:p>
    <w:p>
      <w:pPr>
        <w:spacing w:line="240" w:lineRule="auto" w:before="0"/>
        <w:rPr>
          <w:rFonts w:ascii="宋体" w:hAnsi="宋体" w:cs="宋体" w:eastAsia="宋体" w:hint="default"/>
          <w:sz w:val="15"/>
          <w:szCs w:val="15"/>
        </w:rPr>
      </w:pPr>
    </w:p>
    <w:p>
      <w:pPr>
        <w:pStyle w:val="BodyText"/>
        <w:spacing w:line="316" w:lineRule="auto"/>
        <w:ind w:right="190" w:firstLine="360"/>
        <w:jc w:val="both"/>
      </w:pPr>
      <w:r>
        <w:rPr>
          <w:spacing w:val="-2"/>
        </w:rPr>
        <w:t>应对措施：产品及研发部预研各种技术，进行概念验证和典型用户示范，并与各高等院校、专业研究机构、客户及政府</w:t>
      </w:r>
      <w:r>
        <w:rPr/>
        <w:t> </w:t>
      </w:r>
      <w:r>
        <w:rPr>
          <w:spacing w:val="-2"/>
        </w:rPr>
        <w:t>部门合作，将新技术、新需求有效应用于各个示范应用点，然后争取得到行业权威机构的支持和认可，进一步扩大推广应用</w:t>
      </w:r>
      <w:r>
        <w:rPr>
          <w:spacing w:val="-64"/>
        </w:rPr>
        <w:t> </w:t>
      </w:r>
      <w:r>
        <w:rPr>
          <w:spacing w:val="-64"/>
        </w:rPr>
      </w:r>
      <w:r>
        <w:rPr/>
        <w:t>范围。</w:t>
      </w:r>
    </w:p>
    <w:p>
      <w:pPr>
        <w:spacing w:line="432" w:lineRule="exact" w:before="3"/>
        <w:ind w:left="512" w:right="18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、行业竞争进一步加剧的风险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医疗信息化行业处于快速发展阶段，国内外市场参与者不断增加，竞争也将越来越激烈，鉴于行业广阔的发展前景和国</w:t>
      </w:r>
    </w:p>
    <w:p>
      <w:pPr>
        <w:pStyle w:val="BodyText"/>
        <w:spacing w:line="316" w:lineRule="auto" w:before="15"/>
        <w:ind w:right="191"/>
        <w:jc w:val="both"/>
      </w:pPr>
      <w:r>
        <w:rPr>
          <w:spacing w:val="-2"/>
        </w:rPr>
        <w:t>内资本市场的进一步开放，缺乏竞争力和核心优势的企业将会被市场淘汰。如果公司不能紧跟行业发展方向，提高公司的竞</w:t>
      </w:r>
      <w:r>
        <w:rPr>
          <w:spacing w:val="-63"/>
        </w:rPr>
        <w:t> </w:t>
      </w:r>
      <w:r>
        <w:rPr>
          <w:spacing w:val="-63"/>
        </w:rPr>
      </w:r>
      <w:r>
        <w:rPr/>
        <w:t>争力和核心优势，将无法适应激烈的行业竞争。</w:t>
      </w:r>
    </w:p>
    <w:p>
      <w:pPr>
        <w:pStyle w:val="BodyText"/>
        <w:spacing w:line="316" w:lineRule="auto" w:before="139"/>
        <w:ind w:right="191" w:firstLine="360"/>
        <w:jc w:val="both"/>
      </w:pPr>
      <w:r>
        <w:rPr>
          <w:spacing w:val="-2"/>
        </w:rPr>
        <w:t>应对措施：公司需采取更加积极的经营管理措施，加大研发投入，密切跟踪行业发展趋势和前沿创新技术，并积极关注</w:t>
      </w:r>
      <w:r>
        <w:rPr/>
        <w:t> </w:t>
      </w:r>
      <w:r>
        <w:rPr>
          <w:spacing w:val="-2"/>
        </w:rPr>
        <w:t>行业竞争所带来的整合机遇，从而维持并加强公司在用户数量、用户粘性及技术方面的核心竞争优势，促进公司持续健康发</w:t>
      </w:r>
      <w:r>
        <w:rPr>
          <w:spacing w:val="-63"/>
        </w:rPr>
        <w:t> </w:t>
      </w:r>
      <w:r>
        <w:rPr>
          <w:spacing w:val="-63"/>
        </w:rPr>
      </w:r>
      <w:r>
        <w:rPr/>
        <w:t>展。</w:t>
      </w:r>
    </w:p>
    <w:p>
      <w:pPr>
        <w:pStyle w:val="BodyText"/>
        <w:spacing w:line="432" w:lineRule="exact" w:before="3"/>
        <w:ind w:left="512" w:right="184"/>
        <w:jc w:val="left"/>
      </w:pPr>
      <w:r>
        <w:rPr>
          <w:rFonts w:ascii="Times New Roman" w:hAnsi="Times New Roman" w:cs="Times New Roman" w:eastAsia="Times New Roman" w:hint="default"/>
          <w:b/>
          <w:bCs/>
        </w:rPr>
        <w:t>4</w:t>
      </w:r>
      <w:r>
        <w:rPr>
          <w:rFonts w:ascii="宋体" w:hAnsi="宋体" w:cs="宋体" w:eastAsia="宋体" w:hint="default"/>
          <w:b/>
          <w:bCs/>
        </w:rPr>
        <w:t>、公司业务规模较小的风险</w:t>
      </w:r>
      <w:r>
        <w:rPr>
          <w:rFonts w:ascii="宋体" w:hAnsi="宋体" w:cs="宋体" w:eastAsia="宋体" w:hint="default"/>
          <w:b/>
          <w:bCs/>
          <w:w w:val="99"/>
        </w:rPr>
        <w:t> </w:t>
      </w:r>
      <w:r>
        <w:rPr/>
        <w:t>公司的利润主要来源于软件及技术服务业务，最近</w:t>
      </w:r>
      <w:r>
        <w:rPr>
          <w:rFonts w:ascii="Times New Roman" w:hAnsi="Times New Roman" w:cs="Times New Roman" w:eastAsia="Times New Roman" w:hint="default"/>
        </w:rPr>
        <w:t>3</w:t>
      </w:r>
      <w:r>
        <w:rPr/>
        <w:t>年，公司软件收入分别为</w:t>
      </w:r>
      <w:r>
        <w:rPr>
          <w:rFonts w:ascii="Times New Roman" w:hAnsi="Times New Roman" w:cs="Times New Roman" w:eastAsia="Times New Roman" w:hint="default"/>
        </w:rPr>
        <w:t>6,788.74</w:t>
      </w:r>
      <w:r>
        <w:rPr/>
        <w:t>万元、</w:t>
      </w:r>
      <w:r>
        <w:rPr>
          <w:rFonts w:ascii="Times New Roman" w:hAnsi="Times New Roman" w:cs="Times New Roman" w:eastAsia="Times New Roman" w:hint="default"/>
        </w:rPr>
        <w:t>9,100.49</w:t>
      </w:r>
      <w:r>
        <w:rPr/>
        <w:t>万元、</w:t>
      </w:r>
      <w:r>
        <w:rPr>
          <w:rFonts w:ascii="Times New Roman" w:hAnsi="Times New Roman" w:cs="Times New Roman" w:eastAsia="Times New Roman" w:hint="default"/>
        </w:rPr>
        <w:t>13,665.89</w:t>
      </w:r>
      <w:r>
        <w:rPr/>
        <w:t>万</w:t>
      </w:r>
    </w:p>
    <w:p>
      <w:pPr>
        <w:pStyle w:val="BodyText"/>
        <w:spacing w:line="307" w:lineRule="auto" w:before="15"/>
        <w:ind w:right="190"/>
        <w:jc w:val="both"/>
      </w:pPr>
      <w:r>
        <w:rPr/>
        <w:t>元，技术服务收入分别为</w:t>
      </w:r>
      <w:r>
        <w:rPr>
          <w:rFonts w:ascii="Times New Roman" w:hAnsi="Times New Roman" w:cs="Times New Roman" w:eastAsia="Times New Roman" w:hint="default"/>
        </w:rPr>
        <w:t>2,080.32</w:t>
      </w:r>
      <w:r>
        <w:rPr/>
        <w:t>万元、</w:t>
      </w:r>
      <w:r>
        <w:rPr>
          <w:rFonts w:ascii="Times New Roman" w:hAnsi="Times New Roman" w:cs="Times New Roman" w:eastAsia="Times New Roman" w:hint="default"/>
        </w:rPr>
        <w:t>3,365.08</w:t>
      </w:r>
      <w:r>
        <w:rPr/>
        <w:t>万元、</w:t>
      </w:r>
      <w:r>
        <w:rPr>
          <w:rFonts w:ascii="Times New Roman" w:hAnsi="Times New Roman" w:cs="Times New Roman" w:eastAsia="Times New Roman" w:hint="default"/>
        </w:rPr>
        <w:t>5,795.84</w:t>
      </w:r>
      <w:r>
        <w:rPr/>
        <w:t>万元，净利润分别为</w:t>
      </w:r>
      <w:r>
        <w:rPr>
          <w:rFonts w:ascii="Times New Roman" w:hAnsi="Times New Roman" w:cs="Times New Roman" w:eastAsia="Times New Roman" w:hint="default"/>
        </w:rPr>
        <w:t>3,534.65</w:t>
      </w:r>
      <w:r>
        <w:rPr/>
        <w:t>万元、</w:t>
      </w:r>
      <w:r>
        <w:rPr>
          <w:rFonts w:ascii="Times New Roman" w:hAnsi="Times New Roman" w:cs="Times New Roman" w:eastAsia="Times New Roman" w:hint="default"/>
        </w:rPr>
        <w:t>4,429.29</w:t>
      </w:r>
      <w:r>
        <w:rPr/>
        <w:t>万元、</w:t>
      </w:r>
      <w:r>
        <w:rPr>
          <w:rFonts w:ascii="Times New Roman" w:hAnsi="Times New Roman" w:cs="Times New Roman" w:eastAsia="Times New Roman" w:hint="default"/>
        </w:rPr>
        <w:t>5,284.99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1"/>
        </w:rPr>
        <w:t>万元。最近</w:t>
      </w:r>
      <w:r>
        <w:rPr>
          <w:rFonts w:ascii="Times New Roman" w:hAnsi="Times New Roman" w:cs="Times New Roman" w:eastAsia="Times New Roman" w:hint="default"/>
          <w:spacing w:val="-1"/>
        </w:rPr>
        <w:t>3</w:t>
      </w:r>
      <w:r>
        <w:rPr>
          <w:spacing w:val="-1"/>
        </w:rPr>
        <w:t>年，公司软件及技术服务收入年均复合增长</w:t>
      </w:r>
      <w:r>
        <w:rPr>
          <w:rFonts w:ascii="Times New Roman" w:hAnsi="Times New Roman" w:cs="Times New Roman" w:eastAsia="Times New Roman" w:hint="default"/>
          <w:spacing w:val="-1"/>
        </w:rPr>
        <w:t>48.13%</w:t>
      </w:r>
      <w:r>
        <w:rPr>
          <w:spacing w:val="-1"/>
        </w:rPr>
        <w:t>，公司净利润年均复合增长</w:t>
      </w:r>
      <w:r>
        <w:rPr>
          <w:rFonts w:ascii="Times New Roman" w:hAnsi="Times New Roman" w:cs="Times New Roman" w:eastAsia="Times New Roman" w:hint="default"/>
          <w:spacing w:val="-1"/>
        </w:rPr>
        <w:t>22.28%</w:t>
      </w:r>
      <w:r>
        <w:rPr>
          <w:spacing w:val="-1"/>
        </w:rPr>
        <w:t>，已成长为国内领先的医</w:t>
      </w:r>
      <w:r>
        <w:rPr>
          <w:spacing w:val="-56"/>
        </w:rPr>
        <w:t> </w:t>
      </w:r>
      <w:r>
        <w:rPr>
          <w:spacing w:val="-56"/>
        </w:rPr>
      </w:r>
      <w:r>
        <w:rPr>
          <w:spacing w:val="-2"/>
        </w:rPr>
        <w:t>疗软件企业。但与国内其他行业知名软件企业、国际知名医疗软件企业相比，公司的业务规模较小，存在抵御错综复杂市场</w:t>
      </w:r>
      <w:r>
        <w:rPr>
          <w:spacing w:val="-65"/>
        </w:rPr>
        <w:t> </w:t>
      </w:r>
      <w:r>
        <w:rPr>
          <w:spacing w:val="-65"/>
        </w:rPr>
      </w:r>
      <w:r>
        <w:rPr/>
        <w:t>风险能力较小的风险。</w:t>
      </w:r>
    </w:p>
    <w:p>
      <w:pPr>
        <w:pStyle w:val="BodyText"/>
        <w:spacing w:line="316" w:lineRule="auto" w:before="146"/>
        <w:ind w:right="193" w:firstLine="360"/>
        <w:jc w:val="both"/>
      </w:pPr>
      <w:r>
        <w:rPr>
          <w:spacing w:val="-2"/>
        </w:rPr>
        <w:t>应对措施：公司将借助上市带来的资本优势、品牌优势，抓住目前国内医疗信息化快速发展的大好时机，加大研发和市</w:t>
      </w:r>
      <w:r>
        <w:rPr/>
        <w:t> 场营销投入，尽快覆盖全国市场，并在条件成熟的情况下，积极推动行业整合，加快公司发展。</w:t>
      </w:r>
    </w:p>
    <w:p>
      <w:pPr>
        <w:spacing w:line="432" w:lineRule="exact" w:before="3"/>
        <w:ind w:left="512" w:right="94" w:hanging="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、收款及经营业绩的季节性波动风险</w:t>
      </w:r>
      <w:r>
        <w:rPr>
          <w:rFonts w:ascii="宋体" w:hAnsi="宋体" w:cs="宋体" w:eastAsia="宋体" w:hint="default"/>
          <w:b/>
          <w:bCs/>
          <w:w w:val="99"/>
          <w:sz w:val="18"/>
          <w:szCs w:val="18"/>
        </w:rPr>
        <w:t> </w:t>
      </w:r>
      <w:r>
        <w:rPr>
          <w:rFonts w:ascii="宋体" w:hAnsi="宋体" w:cs="宋体" w:eastAsia="宋体" w:hint="default"/>
          <w:sz w:val="18"/>
          <w:szCs w:val="18"/>
        </w:rPr>
        <w:t>由于公司客户以国内的公立医院、卫生管理部门等机构为主，其对信息产品的采购一般遵守较为严格的预算管理制度，</w:t>
      </w:r>
    </w:p>
    <w:p>
      <w:pPr>
        <w:pStyle w:val="BodyText"/>
        <w:spacing w:line="316" w:lineRule="auto" w:before="15"/>
        <w:ind w:right="104"/>
        <w:jc w:val="both"/>
      </w:pPr>
      <w:r>
        <w:rPr>
          <w:spacing w:val="-4"/>
        </w:rPr>
        <w:t>通常在每年上半年制定投资计划，需要通过预算、审批、招标、合同签订等流程，许多项目还需要纳入财政预算、政府采购，</w:t>
      </w:r>
      <w:r>
        <w:rPr>
          <w:spacing w:val="-44"/>
        </w:rPr>
        <w:t> </w:t>
      </w:r>
      <w:r>
        <w:rPr>
          <w:spacing w:val="-44"/>
        </w:rPr>
      </w:r>
      <w:r>
        <w:rPr/>
        <w:t>周期相对较长。公司客户年度资本开支主要集中在下半年尤其是第四季度，对公司的项目验收和付款也集中在下半年。</w:t>
      </w:r>
    </w:p>
    <w:p>
      <w:pPr>
        <w:pStyle w:val="BodyText"/>
        <w:spacing w:line="309" w:lineRule="auto" w:before="139"/>
        <w:ind w:right="171" w:firstLine="360"/>
        <w:jc w:val="right"/>
      </w:pPr>
      <w:r>
        <w:rPr>
          <w:spacing w:val="-2"/>
        </w:rPr>
        <w:t>由于受上述因素的影响，导致公司营业收入、净利润、经营性现金流量呈不均衡的季节性分布：最近三年，公司上半年</w:t>
      </w:r>
      <w:r>
        <w:rPr/>
        <w:t> </w:t>
      </w:r>
      <w:r>
        <w:rPr>
          <w:spacing w:val="-2"/>
        </w:rPr>
        <w:t>收款一般只占全年的</w:t>
      </w:r>
      <w:r>
        <w:rPr>
          <w:rFonts w:ascii="Times New Roman" w:hAnsi="Times New Roman" w:cs="Times New Roman" w:eastAsia="Times New Roman" w:hint="default"/>
          <w:spacing w:val="-2"/>
        </w:rPr>
        <w:t>20-30%</w:t>
      </w:r>
      <w:r>
        <w:rPr>
          <w:spacing w:val="-2"/>
        </w:rPr>
        <w:t>，而第四季度能达到全年的</w:t>
      </w:r>
      <w:r>
        <w:rPr>
          <w:rFonts w:ascii="Times New Roman" w:hAnsi="Times New Roman" w:cs="Times New Roman" w:eastAsia="Times New Roman" w:hint="default"/>
          <w:spacing w:val="-2"/>
        </w:rPr>
        <w:t>50%</w:t>
      </w:r>
      <w:r>
        <w:rPr>
          <w:spacing w:val="-2"/>
        </w:rPr>
        <w:t>以上；公司的收入和利润存在一定的季节性，软件及技术服务收</w:t>
      </w:r>
      <w:r>
        <w:rPr/>
        <w:t> </w:t>
      </w:r>
      <w:r>
        <w:rPr>
          <w:spacing w:val="-1"/>
        </w:rPr>
        <w:t>入、净利润在上、下半年分别占比平均约为</w:t>
      </w:r>
      <w:r>
        <w:rPr>
          <w:rFonts w:ascii="Times New Roman" w:hAnsi="Times New Roman" w:cs="Times New Roman" w:eastAsia="Times New Roman" w:hint="default"/>
          <w:spacing w:val="-1"/>
        </w:rPr>
        <w:t>40%</w:t>
      </w:r>
      <w:r>
        <w:rPr>
          <w:spacing w:val="-1"/>
        </w:rPr>
        <w:t>、</w:t>
      </w:r>
      <w:r>
        <w:rPr>
          <w:rFonts w:ascii="Times New Roman" w:hAnsi="Times New Roman" w:cs="Times New Roman" w:eastAsia="Times New Roman" w:hint="default"/>
          <w:spacing w:val="-1"/>
        </w:rPr>
        <w:t>60%</w:t>
      </w:r>
      <w:r>
        <w:rPr>
          <w:spacing w:val="-1"/>
        </w:rPr>
        <w:t>。投资者不宜以公司季度或者半年度业绩作为投资判断的主要依据。</w:t>
      </w:r>
    </w:p>
    <w:p>
      <w:pPr>
        <w:pStyle w:val="BodyText"/>
        <w:spacing w:line="316" w:lineRule="auto" w:before="125"/>
        <w:ind w:right="94" w:firstLine="360"/>
        <w:jc w:val="left"/>
      </w:pPr>
      <w:r>
        <w:rPr>
          <w:spacing w:val="-2"/>
        </w:rPr>
        <w:t>应对措施：公司将加大市场工作力度，及时了解、掌握和引导客户的投资计划，在不违反相关规定的前提下尽早介入项</w:t>
      </w:r>
      <w:r>
        <w:rPr/>
        <w:t> </w:t>
      </w:r>
      <w:r>
        <w:rPr>
          <w:spacing w:val="-4"/>
        </w:rPr>
        <w:t>目前期规划工作，同时合理调配人力资源，使得项目实施尽量能够均衡开展，减少因自身因素造成的项目实施时间集中问题；</w:t>
      </w:r>
      <w:r>
        <w:rPr>
          <w:spacing w:val="-44"/>
        </w:rPr>
        <w:t> </w:t>
      </w:r>
      <w:r>
        <w:rPr>
          <w:spacing w:val="-44"/>
        </w:rPr>
      </w:r>
      <w:r>
        <w:rPr/>
        <w:t>同时，加大收款考核力度，与客户保持及时有效沟通，减少因人为因素造成的收款时间集中问题。</w:t>
      </w:r>
    </w:p>
    <w:p>
      <w:pPr>
        <w:pStyle w:val="Heading5"/>
        <w:spacing w:line="240" w:lineRule="auto" w:before="139"/>
        <w:ind w:right="184"/>
        <w:jc w:val="left"/>
        <w:rPr>
          <w:b w:val="0"/>
          <w:bCs w:val="0"/>
        </w:rPr>
      </w:pPr>
      <w:r>
        <w:rPr/>
        <w:t>（五）管理层所关注的发展机遇和挑战</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11" w:firstLine="360"/>
        <w:jc w:val="both"/>
      </w:pPr>
      <w:r>
        <w:rPr>
          <w:rFonts w:ascii="Times New Roman" w:hAnsi="Times New Roman" w:cs="Times New Roman" w:eastAsia="Times New Roman" w:hint="default"/>
        </w:rPr>
        <w:t>1</w:t>
      </w:r>
      <w:r>
        <w:rPr/>
        <w:t>、随着新医改的深入，医疗信息化市场需求旺盛，而随着公司成功上市，公司的品牌知名度进一步提高，募投项目的 实施也将使公司产品线更为齐全，营销服务网络更加完善，有利于将公司的产品迅速拓展到全国，从而形成新的竞争优势。</w:t>
      </w:r>
    </w:p>
    <w:p>
      <w:pPr>
        <w:pStyle w:val="BodyText"/>
        <w:spacing w:line="240" w:lineRule="auto" w:before="151"/>
        <w:ind w:left="512" w:right="94"/>
        <w:jc w:val="left"/>
      </w:pPr>
      <w:r>
        <w:rPr>
          <w:rFonts w:ascii="Times New Roman" w:hAnsi="Times New Roman" w:cs="Times New Roman" w:eastAsia="Times New Roman" w:hint="default"/>
        </w:rPr>
        <w:t>2</w:t>
      </w:r>
      <w:r>
        <w:rPr/>
        <w:t>、紧密配合卫生部等国家部委，积极参与医疗信息化的规范标准的制定及推进工作，从而规范市场，形成健康的行业</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84"/>
        <w:jc w:val="left"/>
      </w:pPr>
      <w:r>
        <w:rPr/>
        <w:t>发展局面。</w:t>
      </w:r>
    </w:p>
    <w:p>
      <w:pPr>
        <w:spacing w:line="240" w:lineRule="auto" w:before="0"/>
        <w:rPr>
          <w:rFonts w:ascii="宋体" w:hAnsi="宋体" w:cs="宋体" w:eastAsia="宋体" w:hint="default"/>
          <w:sz w:val="15"/>
          <w:szCs w:val="15"/>
        </w:rPr>
      </w:pPr>
    </w:p>
    <w:p>
      <w:pPr>
        <w:pStyle w:val="BodyText"/>
        <w:spacing w:line="309" w:lineRule="auto"/>
        <w:ind w:right="193" w:firstLine="360"/>
        <w:jc w:val="both"/>
      </w:pPr>
      <w:r>
        <w:rPr>
          <w:rFonts w:ascii="Times New Roman" w:hAnsi="Times New Roman" w:cs="Times New Roman" w:eastAsia="Times New Roman" w:hint="default"/>
        </w:rPr>
        <w:t>3</w:t>
      </w:r>
      <w:r>
        <w:rPr/>
        <w:t>、云计算的软件服务模式、大数据处理系统、临床决策系统、知识库系统、健康档案、电子病历、全国性的居民健康 </w:t>
      </w:r>
      <w:r>
        <w:rPr>
          <w:spacing w:val="-2"/>
        </w:rPr>
        <w:t>卡、公立医院改革的信息化、智慧医疗等都是管理层高度关注的公司发展机遇，公司将不断深入研发，借助现有的基础，进</w:t>
      </w:r>
      <w:r>
        <w:rPr>
          <w:spacing w:val="-67"/>
        </w:rPr>
        <w:t> </w:t>
      </w:r>
      <w:r>
        <w:rPr>
          <w:spacing w:val="-67"/>
        </w:rPr>
      </w:r>
      <w:r>
        <w:rPr/>
        <w:t>一步扩大竞争优势。</w:t>
      </w:r>
    </w:p>
    <w:p>
      <w:pPr>
        <w:pStyle w:val="BodyText"/>
        <w:spacing w:line="309" w:lineRule="auto" w:before="144"/>
        <w:ind w:right="193" w:firstLine="360"/>
        <w:jc w:val="both"/>
      </w:pPr>
      <w:r>
        <w:rPr>
          <w:rFonts w:ascii="Times New Roman" w:hAnsi="Times New Roman" w:cs="Times New Roman" w:eastAsia="Times New Roman" w:hint="default"/>
        </w:rPr>
        <w:t>4</w:t>
      </w:r>
      <w:r>
        <w:rPr/>
        <w:t>、在政府行政体制下，任何事情的推广都不可能一帆风顺，所以医疗信息化的推广也将存在各种难点。比如各种卫生 </w:t>
      </w:r>
      <w:r>
        <w:rPr>
          <w:spacing w:val="-2"/>
        </w:rPr>
        <w:t>机构信息化水平的差异就会造成区域卫生信息化项目周期长、各机构之间容易形成互相推诿的局面。为此，公司充分分析这</w:t>
      </w:r>
      <w:r>
        <w:rPr>
          <w:spacing w:val="-66"/>
        </w:rPr>
        <w:t> </w:t>
      </w:r>
      <w:r>
        <w:rPr>
          <w:spacing w:val="-66"/>
        </w:rPr>
      </w:r>
      <w:r>
        <w:rPr/>
        <w:t>些难点，使产品规划、设计、研发、市场营销及服务等符合医疗信息化发展特征，以保证公司市场规模的不断扩大。</w:t>
      </w:r>
    </w:p>
    <w:p>
      <w:pPr>
        <w:spacing w:line="240" w:lineRule="auto" w:before="4"/>
        <w:rPr>
          <w:rFonts w:ascii="宋体" w:hAnsi="宋体" w:cs="宋体" w:eastAsia="宋体" w:hint="default"/>
          <w:sz w:val="21"/>
          <w:szCs w:val="21"/>
        </w:rPr>
      </w:pPr>
    </w:p>
    <w:p>
      <w:pPr>
        <w:pStyle w:val="Heading2"/>
        <w:spacing w:line="240" w:lineRule="auto" w:before="0"/>
        <w:ind w:right="184"/>
        <w:jc w:val="left"/>
        <w:rPr>
          <w:b w:val="0"/>
          <w:bCs w:val="0"/>
        </w:rPr>
      </w:pPr>
      <w:r>
        <w:rPr/>
        <w:t>四、董事会对会计师事务</w:t>
      </w:r>
      <w:bookmarkStart w:name="四、董事会对会计师事务所本报告期“非标准审计报告”的说明" w:id="35"/>
      <w:bookmarkEnd w:id="35"/>
      <w:r>
        <w:rPr/>
        <w:t>所</w:t>
      </w:r>
      <w:r>
        <w:rPr/>
        <w:t>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4"/>
        <w:jc w:val="left"/>
      </w:pPr>
      <w:r>
        <w:rPr/>
        <w:t>不适用。</w:t>
      </w:r>
    </w:p>
    <w:p>
      <w:pPr>
        <w:spacing w:line="240" w:lineRule="auto" w:before="3"/>
        <w:rPr>
          <w:rFonts w:ascii="宋体" w:hAnsi="宋体" w:cs="宋体" w:eastAsia="宋体" w:hint="default"/>
          <w:sz w:val="25"/>
          <w:szCs w:val="25"/>
        </w:rPr>
      </w:pPr>
    </w:p>
    <w:p>
      <w:pPr>
        <w:pStyle w:val="Heading2"/>
        <w:spacing w:line="240" w:lineRule="auto" w:before="0"/>
        <w:ind w:right="184"/>
        <w:jc w:val="left"/>
        <w:rPr>
          <w:b w:val="0"/>
          <w:bCs w:val="0"/>
        </w:rPr>
      </w:pPr>
      <w:r>
        <w:rPr/>
        <w:t>五、董事会关于报告期会计政策、会</w:t>
      </w:r>
      <w:bookmarkStart w:name="五、董事会关于报告期会计政策、会计估计变更或重要前期差错更正的说明" w:id="36"/>
      <w:bookmarkEnd w:id="36"/>
      <w:r>
        <w:rPr/>
        <w:t>计</w:t>
      </w:r>
      <w:r>
        <w:rPr/>
        <w:t>估计变更或重要前期差错更正的说明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4"/>
        <w:jc w:val="left"/>
      </w:pPr>
      <w:r>
        <w:rPr/>
        <w:t>不适用。</w:t>
      </w:r>
    </w:p>
    <w:p>
      <w:pPr>
        <w:spacing w:line="240" w:lineRule="auto" w:before="3"/>
        <w:rPr>
          <w:rFonts w:ascii="宋体" w:hAnsi="宋体" w:cs="宋体" w:eastAsia="宋体" w:hint="default"/>
          <w:sz w:val="25"/>
          <w:szCs w:val="25"/>
        </w:rPr>
      </w:pPr>
    </w:p>
    <w:p>
      <w:pPr>
        <w:pStyle w:val="Heading2"/>
        <w:spacing w:line="240" w:lineRule="auto" w:before="0"/>
        <w:ind w:right="184"/>
        <w:jc w:val="left"/>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4"/>
        <w:jc w:val="left"/>
      </w:pPr>
      <w:bookmarkStart w:name="六、公司利润分配及分红派息情况" w:id="37"/>
      <w:bookmarkEnd w:id="37"/>
      <w:r>
        <w:rPr/>
      </w:r>
      <w:r>
        <w:rPr/>
        <w:t>报告期内利润分配政策特别是现金分红政策的制定、执行或调整情况</w:t>
      </w:r>
    </w:p>
    <w:p>
      <w:pPr>
        <w:pStyle w:val="BodyText"/>
        <w:spacing w:line="328" w:lineRule="auto" w:before="115"/>
        <w:ind w:right="94"/>
        <w:jc w:val="left"/>
      </w:pPr>
      <w:r>
        <w:rPr>
          <w:rFonts w:ascii="Times New Roman" w:hAnsi="Times New Roman" w:cs="Times New Roman" w:eastAsia="Times New Roman" w:hint="default"/>
          <w:b/>
          <w:bCs/>
        </w:rPr>
        <w:t>1</w:t>
      </w:r>
      <w:r>
        <w:rPr>
          <w:rFonts w:ascii="宋体" w:hAnsi="宋体" w:cs="宋体" w:eastAsia="宋体" w:hint="default"/>
          <w:b/>
          <w:bCs/>
        </w:rPr>
        <w:t>、公司制定的现金分红政策</w:t>
      </w:r>
      <w:r>
        <w:rPr>
          <w:rFonts w:ascii="宋体" w:hAnsi="宋体" w:cs="宋体" w:eastAsia="宋体" w:hint="default"/>
          <w:b/>
          <w:bCs/>
          <w:w w:val="99"/>
        </w:rPr>
        <w:t> </w:t>
      </w:r>
      <w:r>
        <w:rPr>
          <w:spacing w:val="-2"/>
        </w:rPr>
        <w:t>为了明确公司首次公开发行股票并上市后的利润分配政策、进一步发展和维护公司全体股东权益，公司董事会对《上海金仕</w:t>
      </w:r>
      <w:r>
        <w:rPr>
          <w:spacing w:val="-66"/>
        </w:rPr>
        <w:t> </w:t>
      </w:r>
      <w:r>
        <w:rPr>
          <w:spacing w:val="-66"/>
        </w:rPr>
      </w:r>
      <w:r>
        <w:rPr/>
        <w:t>达卫宁软件股份有限公司章程》中的部分条款进行了修改，并于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日经公司</w:t>
      </w:r>
      <w:r>
        <w:rPr>
          <w:rFonts w:ascii="Times New Roman" w:hAnsi="Times New Roman" w:cs="Times New Roman" w:eastAsia="Times New Roman" w:hint="default"/>
        </w:rPr>
        <w:t>2012</w:t>
      </w:r>
      <w:r>
        <w:rPr/>
        <w:t>年第一次临时股东大会审议通过。</w:t>
      </w:r>
    </w:p>
    <w:p>
      <w:pPr>
        <w:pStyle w:val="BodyText"/>
        <w:spacing w:line="316" w:lineRule="auto" w:before="30"/>
        <w:ind w:right="94"/>
        <w:jc w:val="left"/>
      </w:pPr>
      <w:r>
        <w:rPr/>
        <w:t>《公司章程》第一百五十五条规定：公司实施积极的利润分配政策，重视对股东的合理投资回报并兼顾公司的可持续发展， 利润分配政策保持连续性和稳定性。公司实施利润分配，应当遵循以下规定：</w:t>
      </w:r>
    </w:p>
    <w:p>
      <w:pPr>
        <w:pStyle w:val="BodyText"/>
        <w:spacing w:line="240" w:lineRule="auto" w:before="57"/>
        <w:ind w:right="184"/>
        <w:jc w:val="left"/>
      </w:pPr>
      <w:r>
        <w:rPr/>
        <w:t>（</w:t>
      </w:r>
      <w:r>
        <w:rPr>
          <w:rFonts w:ascii="Times New Roman" w:hAnsi="Times New Roman" w:cs="Times New Roman" w:eastAsia="Times New Roman" w:hint="default"/>
        </w:rPr>
        <w:t>1</w:t>
      </w:r>
      <w:r>
        <w:rPr/>
        <w:t>）公司可采取现金或股票与现金相结合的方式分配股利。</w:t>
      </w:r>
    </w:p>
    <w:p>
      <w:pPr>
        <w:pStyle w:val="BodyText"/>
        <w:spacing w:line="309" w:lineRule="auto" w:before="103"/>
        <w:ind w:right="191"/>
        <w:jc w:val="both"/>
      </w:pPr>
      <w:r>
        <w:rPr/>
        <w:t>（</w:t>
      </w:r>
      <w:r>
        <w:rPr>
          <w:rFonts w:ascii="Times New Roman" w:hAnsi="Times New Roman" w:cs="Times New Roman" w:eastAsia="Times New Roman" w:hint="default"/>
        </w:rPr>
        <w:t>2</w:t>
      </w:r>
      <w:r>
        <w:rPr/>
        <w:t>）公司应每年至少进行一次利润分配。公司董事会可以根据公司的盈利及资金需求状况提议公司进行中期分红并提交公 </w:t>
      </w:r>
      <w:r>
        <w:rPr>
          <w:spacing w:val="-2"/>
        </w:rPr>
        <w:t>司股东大会批准；公司对留存的未分配利润使用计划作出调整时，应重新报经董事会、股东大会批准，并在相关提案中详细</w:t>
      </w:r>
      <w:r>
        <w:rPr>
          <w:spacing w:val="-64"/>
        </w:rPr>
        <w:t> </w:t>
      </w:r>
      <w:r>
        <w:rPr>
          <w:spacing w:val="-64"/>
        </w:rPr>
      </w:r>
      <w:r>
        <w:rPr/>
        <w:t>论证和说明调整的原因，独立董事应当对此发表独立意见。</w:t>
      </w:r>
    </w:p>
    <w:p>
      <w:pPr>
        <w:pStyle w:val="BodyText"/>
        <w:spacing w:line="300" w:lineRule="auto" w:before="65"/>
        <w:ind w:right="184"/>
        <w:jc w:val="left"/>
      </w:pPr>
      <w:r>
        <w:rPr/>
        <w:t>（</w:t>
      </w:r>
      <w:r>
        <w:rPr>
          <w:rFonts w:ascii="Times New Roman" w:hAnsi="Times New Roman" w:cs="Times New Roman" w:eastAsia="Times New Roman" w:hint="default"/>
        </w:rPr>
        <w:t>3</w:t>
      </w:r>
      <w:r>
        <w:rPr/>
        <w:t>）公司重视对投资者的合理投资回报，每连续三年以现金方式累计分配的利润不少于连续三年实现的年均可分配利润的 百分之三十；每年以现金方式分配的利润不少于当年实现的可分配利润的</w:t>
      </w:r>
      <w:r>
        <w:rPr>
          <w:rFonts w:ascii="Times New Roman" w:hAnsi="Times New Roman" w:cs="Times New Roman" w:eastAsia="Times New Roman" w:hint="default"/>
        </w:rPr>
        <w:t>10%</w:t>
      </w:r>
      <w:r>
        <w:rPr/>
        <w:t>。</w:t>
      </w:r>
    </w:p>
    <w:p>
      <w:pPr>
        <w:pStyle w:val="BodyText"/>
        <w:spacing w:line="314" w:lineRule="auto" w:before="51"/>
        <w:ind w:right="193"/>
        <w:jc w:val="both"/>
      </w:pPr>
      <w:r>
        <w:rPr/>
        <w:t>（</w:t>
      </w:r>
      <w:r>
        <w:rPr>
          <w:rFonts w:ascii="Times New Roman" w:hAnsi="Times New Roman" w:cs="Times New Roman" w:eastAsia="Times New Roman" w:hint="default"/>
        </w:rPr>
        <w:t>4</w:t>
      </w:r>
      <w:r>
        <w:rPr/>
        <w:t>）公司对股利分配政策进行决策或因公司外部经营环境或自身经营状况发生较大变化而需要调整分红政策时，应首先经 </w:t>
      </w:r>
      <w:r>
        <w:rPr>
          <w:spacing w:val="-2"/>
        </w:rPr>
        <w:t>独立董事同意并发表明确独立意见，然后分别提交董事会和监事会审议；在董事会和监事会审议通过后提交股东大会审议批</w:t>
      </w:r>
      <w:r>
        <w:rPr>
          <w:spacing w:val="-64"/>
        </w:rPr>
        <w:t> </w:t>
      </w:r>
      <w:r>
        <w:rPr>
          <w:spacing w:val="-64"/>
        </w:rPr>
      </w:r>
      <w:r>
        <w:rPr/>
        <w:t>准；如果调整利润分配政策，调整后的利润分配政策不得违反中国证监会和证券交易所的有关规定。</w:t>
      </w:r>
      <w:r>
        <w:rPr>
          <w:spacing w:val="-18"/>
        </w:rPr>
        <w:t> </w:t>
      </w:r>
      <w:r>
        <w:rPr/>
        <w:t>对于公司盈利但董事</w:t>
      </w:r>
      <w:r>
        <w:rPr/>
        <w:t> </w:t>
      </w:r>
      <w:r>
        <w:rPr>
          <w:spacing w:val="-2"/>
        </w:rPr>
        <w:t>会在年度利润分配方案中未作出现金利润分配预案的，应征询监事会的意见，并在定期报告中披露原因及未用于分红的资金</w:t>
      </w:r>
      <w:r>
        <w:rPr>
          <w:spacing w:val="-64"/>
        </w:rPr>
        <w:t> </w:t>
      </w:r>
      <w:r>
        <w:rPr>
          <w:spacing w:val="-64"/>
        </w:rPr>
      </w:r>
      <w:r>
        <w:rPr/>
        <w:t>留存公司的用途，独立董事应当对此发表独立意见。</w:t>
      </w:r>
    </w:p>
    <w:p>
      <w:pPr>
        <w:pStyle w:val="BodyText"/>
        <w:spacing w:line="240" w:lineRule="auto" w:before="61"/>
        <w:ind w:right="184"/>
        <w:jc w:val="left"/>
      </w:pPr>
      <w:r>
        <w:rPr/>
        <w:t>（</w:t>
      </w:r>
      <w:r>
        <w:rPr>
          <w:rFonts w:ascii="Times New Roman" w:hAnsi="Times New Roman" w:cs="Times New Roman" w:eastAsia="Times New Roman" w:hint="default"/>
        </w:rPr>
        <w:t>5</w:t>
      </w:r>
      <w:r>
        <w:rPr/>
        <w:t>）存在股东违规占用公司资金情况的，公司应当扣减该股东所分配的现金红利，以偿还其占用的资金。</w:t>
      </w:r>
    </w:p>
    <w:p>
      <w:pPr>
        <w:pStyle w:val="Heading5"/>
        <w:spacing w:line="240" w:lineRule="auto" w:before="104"/>
        <w:ind w:left="152" w:right="184"/>
        <w:jc w:val="left"/>
        <w:rPr>
          <w:b w:val="0"/>
          <w:bCs w:val="0"/>
        </w:rPr>
      </w:pPr>
      <w:r>
        <w:rPr>
          <w:rFonts w:ascii="Times New Roman" w:hAnsi="Times New Roman" w:cs="Times New Roman" w:eastAsia="Times New Roman" w:hint="default"/>
        </w:rPr>
        <w:t>2</w:t>
      </w:r>
      <w:r>
        <w:rPr/>
        <w:t>、利润分红政策执行情况</w:t>
      </w:r>
      <w:r>
        <w:rPr>
          <w:b w:val="0"/>
          <w:bCs w:val="0"/>
        </w:rPr>
      </w:r>
    </w:p>
    <w:p>
      <w:pPr>
        <w:pStyle w:val="BodyText"/>
        <w:spacing w:line="300" w:lineRule="auto" w:before="101"/>
        <w:ind w:right="184"/>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1</w:t>
      </w:r>
      <w:r>
        <w:rPr>
          <w:spacing w:val="-2"/>
        </w:rPr>
        <w:t>）报告期内，公司严格执行《公司章程》有关现金分红政策，</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日召开第二届董事会第二次会议和第二届监事</w:t>
      </w:r>
      <w:r>
        <w:rPr>
          <w:spacing w:val="-61"/>
        </w:rPr>
        <w:t> </w:t>
      </w:r>
      <w:r>
        <w:rPr>
          <w:spacing w:val="-61"/>
        </w:rPr>
      </w:r>
      <w:r>
        <w:rPr>
          <w:spacing w:val="-2"/>
        </w:rPr>
        <w:t>会第二次会议，分别审议通过了《关于公司</w:t>
      </w:r>
      <w:r>
        <w:rPr>
          <w:rFonts w:ascii="Times New Roman" w:hAnsi="Times New Roman" w:cs="Times New Roman" w:eastAsia="Times New Roman" w:hint="default"/>
          <w:spacing w:val="-2"/>
        </w:rPr>
        <w:t>2011</w:t>
      </w:r>
      <w:r>
        <w:rPr>
          <w:spacing w:val="-2"/>
        </w:rPr>
        <w:t>年度利润分配及资本公积转增股本预案的议案》，公司董事会作出了充分论</w:t>
      </w:r>
      <w:r>
        <w:rPr>
          <w:spacing w:val="-61"/>
        </w:rPr>
        <w:t> </w:t>
      </w:r>
      <w:r>
        <w:rPr>
          <w:spacing w:val="-61"/>
        </w:rPr>
      </w:r>
      <w:r>
        <w:rPr/>
        <w:t>证和说明，独立董事发表了独立意见；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2011</w:t>
      </w:r>
      <w:r>
        <w:rPr/>
        <w:t>年度股东大会审议通过了《关于公司</w:t>
      </w:r>
      <w:r>
        <w:rPr>
          <w:rFonts w:ascii="Times New Roman" w:hAnsi="Times New Roman" w:cs="Times New Roman" w:eastAsia="Times New Roman" w:hint="default"/>
        </w:rPr>
        <w:t>2011</w:t>
      </w:r>
      <w:r>
        <w:rPr/>
        <w:t>年度利润分配及 </w:t>
      </w:r>
      <w:r>
        <w:rPr>
          <w:spacing w:val="-7"/>
        </w:rPr>
        <w:t>资本公积转增股本预案的议案》，以公司</w:t>
      </w:r>
      <w:r>
        <w:rPr>
          <w:rFonts w:ascii="Times New Roman" w:hAnsi="Times New Roman" w:cs="Times New Roman" w:eastAsia="Times New Roman" w:hint="default"/>
          <w:spacing w:val="-7"/>
        </w:rPr>
        <w:t>2011</w:t>
      </w:r>
      <w:r>
        <w:rPr>
          <w:spacing w:val="-7"/>
        </w:rPr>
        <w:t>年末总股本</w:t>
      </w:r>
      <w:r>
        <w:rPr>
          <w:rFonts w:ascii="Times New Roman" w:hAnsi="Times New Roman" w:cs="Times New Roman" w:eastAsia="Times New Roman" w:hint="default"/>
          <w:spacing w:val="-7"/>
        </w:rPr>
        <w:t>5,350</w:t>
      </w:r>
      <w:r>
        <w:rPr>
          <w:spacing w:val="-7"/>
        </w:rPr>
        <w:t>万股为基数，向全体股东每</w:t>
      </w:r>
      <w:r>
        <w:rPr>
          <w:rFonts w:ascii="Times New Roman" w:hAnsi="Times New Roman" w:cs="Times New Roman" w:eastAsia="Times New Roman" w:hint="default"/>
          <w:spacing w:val="-7"/>
        </w:rPr>
        <w:t>10</w:t>
      </w:r>
      <w:r>
        <w:rPr>
          <w:spacing w:val="-7"/>
        </w:rPr>
        <w:t>股派发现金股利人民币</w:t>
      </w:r>
      <w:r>
        <w:rPr>
          <w:rFonts w:ascii="Times New Roman" w:hAnsi="Times New Roman" w:cs="Times New Roman" w:eastAsia="Times New Roman" w:hint="default"/>
          <w:spacing w:val="-7"/>
        </w:rPr>
        <w:t>1.00</w:t>
      </w:r>
      <w:r>
        <w:rPr>
          <w:spacing w:val="-7"/>
        </w:rPr>
        <w:t>元（含</w:t>
      </w:r>
      <w:r>
        <w:rPr>
          <w:spacing w:val="-44"/>
        </w:rPr>
        <w:t> </w:t>
      </w:r>
      <w:r>
        <w:rPr/>
        <w:t>税），合计派发现金</w:t>
      </w:r>
      <w:r>
        <w:rPr>
          <w:rFonts w:ascii="Times New Roman" w:hAnsi="Times New Roman" w:cs="Times New Roman" w:eastAsia="Times New Roman" w:hint="default"/>
        </w:rPr>
        <w:t>5,350,000.00</w:t>
      </w:r>
      <w:r>
        <w:rPr/>
        <w:t>元，剩余未分配利润结转下一年度；同时，以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5,350</w:t>
      </w:r>
      <w:r>
        <w:rPr/>
        <w:t>万股为基数，以资本公 </w:t>
      </w:r>
      <w:r>
        <w:rPr>
          <w:spacing w:val="-5"/>
        </w:rPr>
        <w:t>积每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股，共计转增</w:t>
      </w:r>
      <w:r>
        <w:rPr>
          <w:rFonts w:ascii="Times New Roman" w:hAnsi="Times New Roman" w:cs="Times New Roman" w:eastAsia="Times New Roman" w:hint="default"/>
          <w:spacing w:val="-5"/>
        </w:rPr>
        <w:t>5,350</w:t>
      </w:r>
      <w:r>
        <w:rPr>
          <w:spacing w:val="-5"/>
        </w:rPr>
        <w:t>万股，转增后公司总股本将增加至</w:t>
      </w:r>
      <w:r>
        <w:rPr>
          <w:rFonts w:ascii="Times New Roman" w:hAnsi="Times New Roman" w:cs="Times New Roman" w:eastAsia="Times New Roman" w:hint="default"/>
          <w:spacing w:val="-5"/>
        </w:rPr>
        <w:t>10,700</w:t>
      </w:r>
      <w:r>
        <w:rPr>
          <w:spacing w:val="-5"/>
        </w:rPr>
        <w:t>万股。根据</w:t>
      </w:r>
      <w:r>
        <w:rPr>
          <w:rFonts w:ascii="Times New Roman" w:hAnsi="Times New Roman" w:cs="Times New Roman" w:eastAsia="Times New Roman" w:hint="default"/>
          <w:spacing w:val="-5"/>
        </w:rPr>
        <w:t>2011</w:t>
      </w:r>
      <w:r>
        <w:rPr>
          <w:spacing w:val="-5"/>
        </w:rPr>
        <w:t>年度股东大会决议，公司已于</w:t>
      </w:r>
      <w:r>
        <w:rPr>
          <w:rFonts w:ascii="Times New Roman" w:hAnsi="Times New Roman" w:cs="Times New Roman" w:eastAsia="Times New Roman" w:hint="default"/>
          <w:spacing w:val="-5"/>
        </w:rPr>
        <w:t>2012</w:t>
      </w:r>
      <w:r>
        <w:rPr>
          <w:rFonts w:ascii="Times New Roman" w:hAnsi="Times New Roman" w:cs="Times New Roman" w:eastAsia="Times New Roman" w:hint="default"/>
        </w:rPr>
      </w:r>
    </w:p>
    <w:p>
      <w:pPr>
        <w:spacing w:after="0" w:line="300" w:lineRule="auto"/>
        <w:jc w:val="left"/>
        <w:rPr>
          <w:rFonts w:ascii="Times New Roman" w:hAnsi="Times New Roman" w:cs="Times New Roman" w:eastAsia="Times New Roman" w:hint="default"/>
        </w:rPr>
        <w:sectPr>
          <w:pgSz w:w="11910" w:h="16840"/>
          <w:pgMar w:header="745" w:footer="982" w:top="1060" w:bottom="118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84"/>
        <w:jc w:val="left"/>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日实施完成了上述</w:t>
      </w:r>
      <w:r>
        <w:rPr>
          <w:rFonts w:ascii="Times New Roman" w:hAnsi="Times New Roman" w:cs="Times New Roman" w:eastAsia="Times New Roman" w:hint="default"/>
        </w:rPr>
        <w:t>2011</w:t>
      </w:r>
      <w:r>
        <w:rPr/>
        <w:t>年度权益分派。</w:t>
      </w:r>
    </w:p>
    <w:p>
      <w:pPr>
        <w:pStyle w:val="BodyText"/>
        <w:spacing w:line="300" w:lineRule="auto" w:before="103"/>
        <w:ind w:right="192" w:hanging="1"/>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日第二届董事会第十次会议和第二届监事会第十一次会议分别审议通过了《关于公司</w:t>
      </w:r>
      <w:r>
        <w:rPr>
          <w:rFonts w:ascii="Times New Roman" w:hAnsi="Times New Roman" w:cs="Times New Roman" w:eastAsia="Times New Roman" w:hint="default"/>
          <w:spacing w:val="-2"/>
        </w:rPr>
        <w:t>2012</w:t>
      </w:r>
      <w:r>
        <w:rPr>
          <w:spacing w:val="-2"/>
        </w:rPr>
        <w:t>年度利润分配预</w:t>
      </w:r>
      <w:r>
        <w:rPr>
          <w:spacing w:val="-58"/>
        </w:rPr>
        <w:t> </w:t>
      </w:r>
      <w:r>
        <w:rPr>
          <w:spacing w:val="-58"/>
        </w:rPr>
      </w:r>
      <w:r>
        <w:rPr/>
        <w:t>案的议案》，公司拟以</w:t>
      </w:r>
      <w:r>
        <w:rPr>
          <w:rFonts w:ascii="Times New Roman" w:hAnsi="Times New Roman" w:cs="Times New Roman" w:eastAsia="Times New Roman" w:hint="default"/>
        </w:rPr>
        <w:t>2012</w:t>
      </w:r>
      <w:r>
        <w:rPr/>
        <w:t>年末的总股本</w:t>
      </w:r>
      <w:r>
        <w:rPr>
          <w:rFonts w:ascii="Times New Roman" w:hAnsi="Times New Roman" w:cs="Times New Roman" w:eastAsia="Times New Roman" w:hint="default"/>
        </w:rPr>
        <w:t>10,700</w:t>
      </w:r>
      <w:r>
        <w:rPr/>
        <w:t>万股为基数，向全体股东每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0.70</w:t>
      </w:r>
      <w:r>
        <w:rPr/>
        <w:t>元（含税），合计 派发现金</w:t>
      </w:r>
      <w:r>
        <w:rPr>
          <w:rFonts w:ascii="Times New Roman" w:hAnsi="Times New Roman" w:cs="Times New Roman" w:eastAsia="Times New Roman" w:hint="default"/>
        </w:rPr>
        <w:t>7,490,000.00</w:t>
      </w:r>
      <w:r>
        <w:rPr/>
        <w:t>元，剩余未分配利润结转下一年度。公司独立董事对此事项发表了同意意见，该议案尚需提交</w:t>
      </w:r>
      <w:r>
        <w:rPr>
          <w:rFonts w:ascii="Times New Roman" w:hAnsi="Times New Roman" w:cs="Times New Roman" w:eastAsia="Times New Roman" w:hint="default"/>
        </w:rPr>
        <w:t>2012</w:t>
      </w:r>
      <w:r>
        <w:rPr/>
        <w:t>年</w:t>
      </w:r>
      <w:r>
        <w:rPr>
          <w:spacing w:val="-51"/>
        </w:rPr>
        <w:t> </w:t>
      </w:r>
      <w:r>
        <w:rPr/>
        <w:t>度股东大会审议。</w:t>
      </w:r>
    </w:p>
    <w:p>
      <w:pPr>
        <w:pStyle w:val="BodyText"/>
        <w:spacing w:line="240" w:lineRule="auto" w:before="70"/>
        <w:ind w:right="184"/>
        <w:jc w:val="left"/>
      </w:pPr>
      <w:r>
        <w:rPr/>
        <w:t>公司报告期利润分配预案及资本公积金转增股本预案与公司章程和分红管理办法等的相关规定一致</w:t>
      </w:r>
    </w:p>
    <w:p>
      <w:pPr>
        <w:pStyle w:val="BodyText"/>
        <w:spacing w:line="357" w:lineRule="auto" w:before="117"/>
        <w:ind w:left="153" w:right="3333" w:hanging="1"/>
        <w:jc w:val="left"/>
      </w:pPr>
      <w:r>
        <w:rPr/>
        <w:t>√ 是 □ 否 □</w:t>
      </w:r>
      <w:r>
        <w:rPr>
          <w:spacing w:val="2"/>
        </w:rPr>
        <w:t> </w:t>
      </w:r>
      <w:r>
        <w:rPr/>
        <w:t>不适用</w:t>
      </w:r>
      <w:r>
        <w:rPr/>
        <w:t>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107,000,000.00</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7,490,000.00</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117,523,083.77</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5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3"/>
                <w:sz w:val="18"/>
                <w:szCs w:val="18"/>
              </w:rPr>
              <w:t>总</w:t>
            </w:r>
            <w:r>
              <w:rPr>
                <w:rFonts w:ascii="宋体" w:hAnsi="宋体" w:cs="宋体" w:eastAsia="宋体" w:hint="default"/>
                <w:sz w:val="18"/>
                <w:szCs w:val="18"/>
              </w:rPr>
              <w:t>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w:t>
            </w:r>
            <w:r>
              <w:rPr>
                <w:rFonts w:ascii="宋体" w:hAnsi="宋体" w:cs="宋体" w:eastAsia="宋体" w:hint="default"/>
                <w:spacing w:val="-10"/>
                <w:sz w:val="18"/>
                <w:szCs w:val="18"/>
              </w:rPr>
              <w:t>，</w:t>
            </w:r>
            <w:r>
              <w:rPr>
                <w:rFonts w:ascii="宋体" w:hAnsi="宋体" w:cs="宋体" w:eastAsia="宋体" w:hint="default"/>
                <w:sz w:val="18"/>
                <w:szCs w:val="18"/>
              </w:rPr>
              <w:t>向</w:t>
            </w:r>
            <w:r>
              <w:rPr>
                <w:rFonts w:ascii="宋体" w:hAnsi="宋体" w:cs="宋体" w:eastAsia="宋体" w:hint="default"/>
                <w:spacing w:val="-3"/>
                <w:sz w:val="18"/>
                <w:szCs w:val="18"/>
              </w:rPr>
              <w:t>全</w:t>
            </w: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3"/>
                <w:sz w:val="18"/>
                <w:szCs w:val="18"/>
              </w:rPr>
              <w:t>人</w:t>
            </w: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合</w:t>
            </w:r>
            <w:r>
              <w:rPr>
                <w:rFonts w:ascii="宋体" w:hAnsi="宋体" w:cs="宋体" w:eastAsia="宋体" w:hint="default"/>
                <w:spacing w:val="-3"/>
                <w:sz w:val="18"/>
                <w:szCs w:val="18"/>
              </w:rPr>
              <w:t>计</w:t>
            </w:r>
            <w:r>
              <w:rPr>
                <w:rFonts w:ascii="宋体" w:hAnsi="宋体" w:cs="宋体" w:eastAsia="宋体" w:hint="default"/>
                <w:sz w:val="18"/>
                <w:szCs w:val="18"/>
              </w:rPr>
              <w:t>派</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发现金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7,490,000.00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元，剩余未分配利润结转下一年度。</w:t>
            </w:r>
          </w:p>
        </w:tc>
      </w:tr>
    </w:tbl>
    <w:p>
      <w:pPr>
        <w:pStyle w:val="BodyText"/>
        <w:spacing w:line="319" w:lineRule="auto" w:before="70"/>
        <w:ind w:right="4057"/>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年度利润分配方案及资本公积金转增股本方案 公司未进行现金分红或送红股，也未使用资本公积转增股本。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年度利润分配方案及资本公积金转增股本方案</w:t>
      </w:r>
    </w:p>
    <w:p>
      <w:pPr>
        <w:pStyle w:val="BodyText"/>
        <w:spacing w:line="300" w:lineRule="auto"/>
        <w:ind w:right="9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2011</w:t>
      </w:r>
      <w:r>
        <w:rPr/>
        <w:t>年度股东大会审议通过了《关于公司</w:t>
      </w:r>
      <w:r>
        <w:rPr>
          <w:rFonts w:ascii="Times New Roman" w:hAnsi="Times New Roman" w:cs="Times New Roman" w:eastAsia="Times New Roman" w:hint="default"/>
        </w:rPr>
        <w:t>2011</w:t>
      </w:r>
      <w:r>
        <w:rPr/>
        <w:t>年度利润分配及资本公积转增股本预案的议案》，以公 </w:t>
      </w:r>
      <w:r>
        <w:rPr>
          <w:spacing w:val="-1"/>
        </w:rPr>
        <w:t>司</w:t>
      </w:r>
      <w:r>
        <w:rPr>
          <w:rFonts w:ascii="Times New Roman" w:hAnsi="Times New Roman" w:cs="Times New Roman" w:eastAsia="Times New Roman" w:hint="default"/>
          <w:spacing w:val="-1"/>
        </w:rPr>
        <w:t>2011</w:t>
      </w:r>
      <w:r>
        <w:rPr>
          <w:spacing w:val="-1"/>
        </w:rPr>
        <w:t>年末总股本</w:t>
      </w:r>
      <w:r>
        <w:rPr>
          <w:rFonts w:ascii="Times New Roman" w:hAnsi="Times New Roman" w:cs="Times New Roman" w:eastAsia="Times New Roman" w:hint="default"/>
          <w:spacing w:val="-1"/>
        </w:rPr>
        <w:t>5,350</w:t>
      </w:r>
      <w:r>
        <w:rPr>
          <w:spacing w:val="-1"/>
        </w:rPr>
        <w:t>万股为基数，向全体股东每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1.00</w:t>
      </w:r>
      <w:r>
        <w:rPr>
          <w:spacing w:val="-1"/>
        </w:rPr>
        <w:t>元（含税），合计派发现金</w:t>
      </w:r>
      <w:r>
        <w:rPr>
          <w:rFonts w:ascii="Times New Roman" w:hAnsi="Times New Roman" w:cs="Times New Roman" w:eastAsia="Times New Roman" w:hint="default"/>
          <w:spacing w:val="-1"/>
        </w:rPr>
        <w:t>5,350,000.00</w:t>
      </w:r>
      <w:r>
        <w:rPr>
          <w:spacing w:val="-1"/>
        </w:rPr>
        <w:t>元，</w:t>
      </w:r>
      <w:r>
        <w:rPr>
          <w:spacing w:val="-75"/>
        </w:rPr>
        <w:t> </w:t>
      </w:r>
      <w:r>
        <w:rPr/>
        <w:t>剩余未分配利润结转下一年度；同时，以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5,350</w:t>
      </w:r>
      <w:r>
        <w:rPr/>
        <w:t>万股为基数，以资本公积每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5,350</w:t>
      </w:r>
      <w:r>
        <w:rPr/>
        <w:t>万 股，转增后公司总股本将增加至</w:t>
      </w:r>
      <w:r>
        <w:rPr>
          <w:rFonts w:ascii="Times New Roman" w:hAnsi="Times New Roman" w:cs="Times New Roman" w:eastAsia="Times New Roman" w:hint="default"/>
        </w:rPr>
        <w:t>10,700</w:t>
      </w:r>
      <w:r>
        <w:rPr/>
        <w:t>万股。公司已于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日实施完成了上述</w:t>
      </w:r>
      <w:r>
        <w:rPr>
          <w:rFonts w:ascii="Times New Roman" w:hAnsi="Times New Roman" w:cs="Times New Roman" w:eastAsia="Times New Roman" w:hint="default"/>
        </w:rPr>
        <w:t>2011</w:t>
      </w:r>
      <w:r>
        <w:rPr/>
        <w:t>年度权益分派。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年度利润分配预案</w:t>
      </w:r>
    </w:p>
    <w:p>
      <w:pPr>
        <w:pStyle w:val="BodyText"/>
        <w:spacing w:line="300" w:lineRule="auto" w:before="13"/>
        <w:ind w:right="94"/>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日第二届董事会第十次会议和第二届监事会第十一次会议分别审议通过了《关于公司</w:t>
      </w:r>
      <w:r>
        <w:rPr>
          <w:rFonts w:ascii="Times New Roman" w:hAnsi="Times New Roman" w:cs="Times New Roman" w:eastAsia="Times New Roman" w:hint="default"/>
        </w:rPr>
        <w:t>2012</w:t>
      </w:r>
      <w:r>
        <w:rPr/>
        <w:t>年度利润分配预案的 议案》，</w:t>
      </w:r>
      <w:r>
        <w:rPr>
          <w:rFonts w:ascii="Times New Roman" w:hAnsi="Times New Roman" w:cs="Times New Roman" w:eastAsia="Times New Roman" w:hint="default"/>
        </w:rPr>
        <w:t>2012</w:t>
      </w:r>
      <w:r>
        <w:rPr/>
        <w:t>年利润分配预案为：以公司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10,700</w:t>
      </w:r>
      <w:r>
        <w:rPr/>
        <w:t>万股为基数，向全体股东每</w:t>
      </w:r>
      <w:r>
        <w:rPr>
          <w:rFonts w:ascii="Times New Roman" w:hAnsi="Times New Roman" w:cs="Times New Roman" w:eastAsia="Times New Roman" w:hint="default"/>
        </w:rPr>
        <w:t>10</w:t>
      </w:r>
      <w:r>
        <w:rPr/>
        <w:t>股派发现金股利人民 币</w:t>
      </w:r>
      <w:r>
        <w:rPr>
          <w:rFonts w:ascii="Times New Roman" w:hAnsi="Times New Roman" w:cs="Times New Roman" w:eastAsia="Times New Roman" w:hint="default"/>
        </w:rPr>
        <w:t>0.70</w:t>
      </w:r>
      <w:r>
        <w:rPr/>
        <w:t>元（含税），合计派发现金</w:t>
      </w:r>
      <w:r>
        <w:rPr>
          <w:rFonts w:ascii="Times New Roman" w:hAnsi="Times New Roman" w:cs="Times New Roman" w:eastAsia="Times New Roman" w:hint="default"/>
        </w:rPr>
        <w:t>7,490,000.00</w:t>
      </w:r>
      <w:r>
        <w:rPr/>
        <w:t>元，剩余未分配利润结转下一年度。公司独立董事对此事项发表了同意意见， 该议案尚需提交</w:t>
      </w:r>
      <w:r>
        <w:rPr>
          <w:rFonts w:ascii="Times New Roman" w:hAnsi="Times New Roman" w:cs="Times New Roman" w:eastAsia="Times New Roman" w:hint="default"/>
        </w:rPr>
        <w:t>2012</w:t>
      </w:r>
      <w:r>
        <w:rPr/>
        <w:t>年度股东大会审议。</w:t>
      </w:r>
    </w:p>
    <w:p>
      <w:pPr>
        <w:pStyle w:val="BodyText"/>
        <w:spacing w:line="240" w:lineRule="auto" w:before="53"/>
        <w:ind w:right="184"/>
        <w:jc w:val="left"/>
      </w:pPr>
      <w:r>
        <w:rPr/>
        <w:t>公司近三年现金分红情况表</w:t>
      </w:r>
    </w:p>
    <w:p>
      <w:pPr>
        <w:pStyle w:val="BodyText"/>
        <w:spacing w:line="240" w:lineRule="auto" w:before="117"/>
        <w:ind w:left="0" w:right="193"/>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163" w:hRule="exact"/>
        </w:trPr>
        <w:tc>
          <w:tcPr>
            <w:tcW w:w="2369" w:type="dxa"/>
            <w:tcBorders>
              <w:top w:val="single" w:sz="4" w:space="0" w:color="000000"/>
              <w:left w:val="single" w:sz="4" w:space="0" w:color="000000"/>
              <w:bottom w:val="nil" w:sz="6" w:space="0" w:color="auto"/>
              <w:right w:val="single" w:sz="4" w:space="0" w:color="000000"/>
            </w:tcBorders>
            <w:shd w:val="clear" w:color="auto" w:fill="D4D4D4"/>
          </w:tcPr>
          <w:p>
            <w:pPr/>
          </w:p>
        </w:tc>
        <w:tc>
          <w:tcPr>
            <w:tcW w:w="2402"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290" w:right="110"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4D4D4"/>
          </w:tcPr>
          <w:p>
            <w:pP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4D4D4"/>
          </w:tcPr>
          <w:p>
            <w:pPr/>
          </w:p>
        </w:tc>
        <w:tc>
          <w:tcPr>
            <w:tcW w:w="2402"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7,490,000.00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52,849,948.41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5,350,000.00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44,292,891.86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12.08%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35,346,503.46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84"/>
        <w:jc w:val="left"/>
      </w:pPr>
      <w:r>
        <w:rPr/>
        <w:t>公司报告期内盈利且母公司未分配利润为正但未提出现金红利分配预案</w:t>
      </w:r>
    </w:p>
    <w:p>
      <w:pPr>
        <w:spacing w:after="0" w:line="240" w:lineRule="auto"/>
        <w:jc w:val="left"/>
        <w:sectPr>
          <w:footerReference w:type="default" r:id="rId12"/>
          <w:pgSz w:w="11910" w:h="16840"/>
          <w:pgMar w:footer="982" w:header="745" w:top="1060" w:bottom="1180" w:left="980" w:right="940"/>
          <w:pgNumType w:start="31"/>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bookmarkStart w:name="八、报告期内接待调研、沟通、采访等活动登记表" w:id="38"/>
      <w:bookmarkEnd w:id="38"/>
      <w:r>
        <w:rPr/>
      </w: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七</w:t>
      </w:r>
      <w:bookmarkStart w:name="七、内幕信息知情人管理制度的建立和执行情况" w:id="39"/>
      <w:bookmarkEnd w:id="39"/>
      <w:r>
        <w:rPr/>
        <w:t>、</w:t>
      </w:r>
      <w:r>
        <w:rPr/>
        <w:t>内幕信息知情人管理制度的建立和执行情况</w:t>
      </w:r>
      <w:r>
        <w:rPr>
          <w:b w:val="0"/>
          <w:bCs w:val="0"/>
        </w:rPr>
      </w:r>
    </w:p>
    <w:p>
      <w:pPr>
        <w:spacing w:line="420" w:lineRule="atLeast" w:before="175"/>
        <w:ind w:left="572" w:right="184" w:hanging="6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、内幕信息知情人管理制度的建设情况</w:t>
      </w:r>
      <w:r>
        <w:rPr>
          <w:rFonts w:ascii="宋体" w:hAnsi="宋体" w:cs="宋体" w:eastAsia="宋体" w:hint="default"/>
          <w:b/>
          <w:bCs/>
          <w:w w:val="99"/>
          <w:sz w:val="18"/>
          <w:szCs w:val="18"/>
        </w:rPr>
        <w:t> </w:t>
      </w:r>
      <w:r>
        <w:rPr>
          <w:rFonts w:ascii="宋体" w:hAnsi="宋体" w:cs="宋体" w:eastAsia="宋体" w:hint="default"/>
          <w:sz w:val="18"/>
          <w:szCs w:val="18"/>
        </w:rPr>
        <w:t>为了规范公司的内幕信息管理，加强内幕信息保密工作，维护信息披露公开、公平、公正原则，保护广大投资者的合</w:t>
      </w:r>
    </w:p>
    <w:p>
      <w:pPr>
        <w:pStyle w:val="BodyText"/>
        <w:spacing w:line="307" w:lineRule="auto" w:before="76"/>
        <w:ind w:right="190"/>
        <w:jc w:val="both"/>
      </w:pPr>
      <w:r>
        <w:rPr>
          <w:spacing w:val="-2"/>
        </w:rPr>
        <w:t>法权益，根据《公司法》、《证券法》、《上市公司信息披露管理办法》、《深圳证券交易所创业板股票上市规则》等有关</w:t>
      </w:r>
      <w:r>
        <w:rPr>
          <w:spacing w:val="-69"/>
        </w:rPr>
        <w:t> </w:t>
      </w:r>
      <w:r>
        <w:rPr>
          <w:spacing w:val="-69"/>
        </w:rPr>
      </w:r>
      <w:r>
        <w:rPr/>
        <w:t>法律、法规、规范性文件及《公司章程》的有关规定，公司专门制定了《内幕信息知情人登记管理制度》于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26"/>
        </w:rPr>
        <w:t> </w:t>
      </w:r>
      <w:r>
        <w:rPr/>
        <w:t>日经公司第一届董事会第二十次会议审议通过，报告期内进行了修订并经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日第一届董事会第二十一次会议审议</w:t>
      </w:r>
      <w:r>
        <w:rPr>
          <w:spacing w:val="-86"/>
        </w:rPr>
        <w:t> </w:t>
      </w:r>
      <w:r>
        <w:rPr>
          <w:spacing w:val="-86"/>
        </w:rPr>
      </w:r>
      <w:r>
        <w:rPr/>
        <w:t>通过。</w:t>
      </w:r>
    </w:p>
    <w:p>
      <w:pPr>
        <w:pStyle w:val="Heading5"/>
        <w:spacing w:line="240" w:lineRule="auto" w:before="146"/>
        <w:ind w:left="505" w:right="184"/>
        <w:jc w:val="left"/>
        <w:rPr>
          <w:b w:val="0"/>
          <w:bCs w:val="0"/>
        </w:rPr>
      </w:pPr>
      <w:r>
        <w:rPr>
          <w:rFonts w:ascii="Times New Roman" w:hAnsi="Times New Roman" w:cs="Times New Roman" w:eastAsia="Times New Roman" w:hint="default"/>
        </w:rPr>
        <w:t>2</w:t>
      </w:r>
      <w:r>
        <w:rPr/>
        <w:t>、内幕信息知情人管理制度的执行情况</w:t>
      </w:r>
      <w:r>
        <w:rPr>
          <w:b w:val="0"/>
          <w:bCs w:val="0"/>
        </w:rPr>
      </w:r>
    </w:p>
    <w:p>
      <w:pPr>
        <w:spacing w:line="420" w:lineRule="atLeast" w:before="12"/>
        <w:ind w:left="572" w:right="184" w:hanging="68"/>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）定期报告披露期间的信息保密工作</w:t>
      </w:r>
      <w:r>
        <w:rPr>
          <w:rFonts w:ascii="宋体" w:hAnsi="宋体" w:cs="宋体" w:eastAsia="宋体" w:hint="default"/>
          <w:b/>
          <w:bCs/>
          <w:w w:val="99"/>
          <w:sz w:val="18"/>
          <w:szCs w:val="18"/>
        </w:rPr>
        <w:t> </w:t>
      </w:r>
      <w:r>
        <w:rPr>
          <w:rFonts w:ascii="宋体" w:hAnsi="宋体" w:cs="宋体" w:eastAsia="宋体" w:hint="default"/>
          <w:sz w:val="18"/>
          <w:szCs w:val="18"/>
        </w:rPr>
        <w:t>报告期内，公司严格执行内幕信息保密制度，严格规范信息传递流程，在定期报告披露期间，对于未公开信息，公司</w:t>
      </w:r>
    </w:p>
    <w:p>
      <w:pPr>
        <w:pStyle w:val="BodyText"/>
        <w:spacing w:line="316" w:lineRule="auto" w:before="76"/>
        <w:ind w:right="190"/>
        <w:jc w:val="both"/>
      </w:pPr>
      <w:r>
        <w:rPr>
          <w:spacing w:val="-2"/>
        </w:rPr>
        <w:t>总经理办公室都会严格控制知情人范围并组织相关内幕信息知情人填写《内幕信息知情人档案》，如实、完整记录上述信息</w:t>
      </w:r>
      <w:r>
        <w:rPr>
          <w:spacing w:val="-66"/>
        </w:rPr>
        <w:t> </w:t>
      </w:r>
      <w:r>
        <w:rPr>
          <w:spacing w:val="-66"/>
        </w:rPr>
      </w:r>
      <w:r>
        <w:rPr>
          <w:spacing w:val="-2"/>
        </w:rPr>
        <w:t>在公开前的所有内幕信息知情人名单，以及知情人知悉内幕信息的时间等。经公司总经理办公室核实无误后，按照相关规定</w:t>
      </w:r>
      <w:r>
        <w:rPr>
          <w:spacing w:val="-63"/>
        </w:rPr>
        <w:t> </w:t>
      </w:r>
      <w:r>
        <w:rPr>
          <w:spacing w:val="-63"/>
        </w:rPr>
      </w:r>
      <w:r>
        <w:rPr/>
        <w:t>在向深交所报送定期报告相关资料的同时报备内幕信息知情人登记情况。</w:t>
      </w:r>
    </w:p>
    <w:p>
      <w:pPr>
        <w:spacing w:line="432" w:lineRule="exact" w:before="3"/>
        <w:ind w:left="572" w:right="184" w:hanging="68"/>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）投资者调研期间的信息保密工作</w:t>
      </w:r>
      <w:r>
        <w:rPr>
          <w:rFonts w:ascii="宋体" w:hAnsi="宋体" w:cs="宋体" w:eastAsia="宋体" w:hint="default"/>
          <w:b/>
          <w:bCs/>
          <w:w w:val="99"/>
          <w:sz w:val="18"/>
          <w:szCs w:val="18"/>
        </w:rPr>
        <w:t> </w:t>
      </w:r>
      <w:r>
        <w:rPr>
          <w:rFonts w:ascii="宋体" w:hAnsi="宋体" w:cs="宋体" w:eastAsia="宋体" w:hint="default"/>
          <w:sz w:val="18"/>
          <w:szCs w:val="18"/>
        </w:rPr>
        <w:t>在定期报告及重大事项披露期间，公司尽量避免接待投资者的调研，努力做好定期报告及重大事项披露期间的信息保</w:t>
      </w:r>
    </w:p>
    <w:p>
      <w:pPr>
        <w:pStyle w:val="BodyText"/>
        <w:spacing w:line="316" w:lineRule="auto" w:before="15"/>
        <w:ind w:right="94"/>
        <w:jc w:val="left"/>
      </w:pPr>
      <w:r>
        <w:rPr>
          <w:spacing w:val="-2"/>
        </w:rPr>
        <w:t>密工作。在日常接待投资者调研时，公司总经理办公室负责履行相关的信息保密工作程序。在进行调研前，先对调研人员的</w:t>
      </w:r>
      <w:r>
        <w:rPr>
          <w:spacing w:val="-64"/>
        </w:rPr>
        <w:t> </w:t>
      </w:r>
      <w:r>
        <w:rPr>
          <w:spacing w:val="-64"/>
        </w:rPr>
      </w:r>
      <w:r>
        <w:rPr/>
        <w:t>个人信息进行备案，同时要求签署投资者调研登记表与保密承诺书，并承诺在对外出具报告前需经公司总经理办公室确认。 在调研过程中，总经理办公室人员认真做好相关会议记录，并按照相关法规规定向深交所报备。</w:t>
      </w:r>
    </w:p>
    <w:p>
      <w:pPr>
        <w:spacing w:line="432" w:lineRule="exact" w:before="3"/>
        <w:ind w:left="572" w:right="184" w:hanging="68"/>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）其他重大事件的信息保密工作</w:t>
      </w:r>
      <w:r>
        <w:rPr>
          <w:rFonts w:ascii="宋体" w:hAnsi="宋体" w:cs="宋体" w:eastAsia="宋体" w:hint="default"/>
          <w:b/>
          <w:bCs/>
          <w:w w:val="99"/>
          <w:sz w:val="18"/>
          <w:szCs w:val="18"/>
        </w:rPr>
        <w:t> </w:t>
      </w:r>
      <w:r>
        <w:rPr>
          <w:rFonts w:ascii="宋体" w:hAnsi="宋体" w:cs="宋体" w:eastAsia="宋体" w:hint="default"/>
          <w:sz w:val="18"/>
          <w:szCs w:val="18"/>
        </w:rPr>
        <w:t>在其他重大事项（如对外投资等）未披露前，公司及相关信息披露义务人采取保密措施，签订相关保密协议，以保证</w:t>
      </w:r>
    </w:p>
    <w:p>
      <w:pPr>
        <w:pStyle w:val="BodyText"/>
        <w:spacing w:line="240" w:lineRule="auto" w:before="15"/>
        <w:ind w:right="0"/>
        <w:jc w:val="both"/>
      </w:pPr>
      <w:r>
        <w:rPr/>
        <w:t>信息处于可控范围。</w:t>
      </w:r>
    </w:p>
    <w:p>
      <w:pPr>
        <w:spacing w:line="420" w:lineRule="atLeast" w:before="25"/>
        <w:ind w:left="572" w:right="184" w:hanging="6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、报告期内自查内幕信息知情人涉嫌内幕交易以及监管部门的查处和整改情况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报告期内，公司董事、监事及高级管理人员和其他相关知情人严格遵守了内幕信息知情人管理制度，未发现有内幕信</w:t>
      </w:r>
    </w:p>
    <w:p>
      <w:pPr>
        <w:pStyle w:val="BodyText"/>
        <w:spacing w:line="240" w:lineRule="auto" w:before="76"/>
        <w:ind w:right="0"/>
        <w:jc w:val="both"/>
      </w:pPr>
      <w:r>
        <w:rPr/>
        <w:t>息知情人利用内幕信息买卖本公司股份的情况。报告期内公司也未发生受到监管部门查处和整改的情形。</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5" w:hRule="exact"/>
        </w:trPr>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中信证券及其客户</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年度主要经 营业绩及公司未来发展战 略等</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国泰君安证券及其 客户</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年主要经营 业绩及公司未来发展战略 等</w:t>
            </w:r>
          </w:p>
        </w:tc>
      </w:tr>
      <w:tr>
        <w:trPr>
          <w:trHeight w:val="40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招商证券及其客户</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了解行业发展趋势、市场</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1298"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both"/>
              <w:rPr>
                <w:rFonts w:ascii="宋体" w:hAnsi="宋体" w:cs="宋体" w:eastAsia="宋体" w:hint="default"/>
                <w:sz w:val="18"/>
                <w:szCs w:val="18"/>
              </w:rPr>
            </w:pPr>
            <w:r>
              <w:rPr>
                <w:rFonts w:ascii="宋体" w:hAnsi="宋体" w:cs="宋体" w:eastAsia="宋体" w:hint="default"/>
                <w:sz w:val="18"/>
                <w:szCs w:val="18"/>
              </w:rPr>
              <w:t>竞争状况、公司竞争优劣 </w:t>
            </w:r>
            <w:r>
              <w:rPr>
                <w:rFonts w:ascii="宋体" w:hAnsi="宋体" w:cs="宋体" w:eastAsia="宋体" w:hint="default"/>
                <w:spacing w:val="-5"/>
                <w:sz w:val="18"/>
                <w:szCs w:val="18"/>
              </w:rPr>
              <w:t>势等，介绍公司</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年报 情况及公司未来发展战略 等</w:t>
            </w:r>
          </w:p>
        </w:tc>
      </w:tr>
      <w:tr>
        <w:trPr>
          <w:trHeight w:val="164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民生证券及其客户</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了解行业发展趋势、市场 竞争状况、公司竞争优劣 </w:t>
            </w:r>
            <w:r>
              <w:rPr>
                <w:rFonts w:ascii="宋体" w:hAnsi="宋体" w:cs="宋体" w:eastAsia="宋体" w:hint="default"/>
                <w:spacing w:val="-5"/>
                <w:sz w:val="18"/>
                <w:szCs w:val="18"/>
              </w:rPr>
              <w:t>势等，介绍公司</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年报 情况及公司未来发展战略 等</w:t>
            </w:r>
          </w:p>
        </w:tc>
      </w:tr>
      <w:tr>
        <w:trPr>
          <w:trHeight w:val="165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安信证券及其客户</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了解行业发展趋势、市场 竞争状况、公司竞争优劣 </w:t>
            </w:r>
            <w:r>
              <w:rPr>
                <w:rFonts w:ascii="宋体" w:hAnsi="宋体" w:cs="宋体" w:eastAsia="宋体" w:hint="default"/>
                <w:spacing w:val="-5"/>
                <w:sz w:val="18"/>
                <w:szCs w:val="18"/>
              </w:rPr>
              <w:t>势等，介绍公司</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年报 情况及公司未来发展战略 等</w:t>
            </w:r>
          </w:p>
        </w:tc>
      </w:tr>
      <w:tr>
        <w:trPr>
          <w:trHeight w:val="164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第一创业证券及其 客户</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了解行业发展趋势、市场 竞争状况、公司竞争优劣 </w:t>
            </w:r>
            <w:r>
              <w:rPr>
                <w:rFonts w:ascii="宋体" w:hAnsi="宋体" w:cs="宋体" w:eastAsia="宋体" w:hint="default"/>
                <w:spacing w:val="-5"/>
                <w:sz w:val="18"/>
                <w:szCs w:val="18"/>
              </w:rPr>
              <w:t>势等，介绍公司</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年报 情况及公司未来发展战略 等</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博时基金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了解行业发展趋势、市场 竞争状况、公司竞争优劣 势、未来发展战略等</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上海国际会议中心</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95"/>
              <w:jc w:val="left"/>
              <w:rPr>
                <w:rFonts w:ascii="宋体" w:hAnsi="宋体" w:cs="宋体" w:eastAsia="宋体" w:hint="default"/>
                <w:sz w:val="18"/>
                <w:szCs w:val="18"/>
              </w:rPr>
            </w:pPr>
            <w:r>
              <w:rPr>
                <w:rFonts w:ascii="宋体" w:hAnsi="宋体" w:cs="宋体" w:eastAsia="宋体" w:hint="default"/>
                <w:sz w:val="18"/>
                <w:szCs w:val="18"/>
              </w:rPr>
              <w:t>民生证券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TMT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投 资策略会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年半年报主 要经营业绩及公司未来发 展战略等</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民生证券会议室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95"/>
              <w:jc w:val="left"/>
              <w:rPr>
                <w:rFonts w:ascii="宋体" w:hAnsi="宋体" w:cs="宋体" w:eastAsia="宋体" w:hint="default"/>
                <w:sz w:val="18"/>
                <w:szCs w:val="18"/>
              </w:rPr>
            </w:pPr>
            <w:r>
              <w:rPr>
                <w:rFonts w:ascii="宋体" w:hAnsi="宋体" w:cs="宋体" w:eastAsia="宋体" w:hint="default"/>
                <w:sz w:val="18"/>
                <w:szCs w:val="18"/>
              </w:rPr>
              <w:t>民生证券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TMT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投 资策略会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年三季报主 要经营业绩及公司未来发 展战略等</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上海浦东星河湾酒 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108"/>
              <w:jc w:val="left"/>
              <w:rPr>
                <w:rFonts w:ascii="宋体" w:hAnsi="宋体" w:cs="宋体" w:eastAsia="宋体" w:hint="default"/>
                <w:sz w:val="18"/>
                <w:szCs w:val="18"/>
              </w:rPr>
            </w:pPr>
            <w:r>
              <w:rPr>
                <w:rFonts w:ascii="宋体" w:hAnsi="宋体" w:cs="宋体" w:eastAsia="宋体" w:hint="default"/>
                <w:sz w:val="18"/>
                <w:szCs w:val="18"/>
              </w:rPr>
              <w:t>光大证券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投资策略会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年三季报主 要经营业绩及公司未来发 展战略等</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上海浦东香格里拉 大酒店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108"/>
              <w:jc w:val="left"/>
              <w:rPr>
                <w:rFonts w:ascii="宋体" w:hAnsi="宋体" w:cs="宋体" w:eastAsia="宋体" w:hint="default"/>
                <w:sz w:val="18"/>
                <w:szCs w:val="18"/>
              </w:rPr>
            </w:pPr>
            <w:r>
              <w:rPr>
                <w:rFonts w:ascii="宋体" w:hAnsi="宋体" w:cs="宋体" w:eastAsia="宋体" w:hint="default"/>
                <w:sz w:val="18"/>
                <w:szCs w:val="18"/>
              </w:rPr>
              <w:t>安信证券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投资策略会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年三季报主 要经营业绩及公司未来发 展战略等</w:t>
            </w:r>
          </w:p>
        </w:tc>
      </w:tr>
    </w:tbl>
    <w:p>
      <w:pPr>
        <w:spacing w:after="0" w:line="309"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627"/>
        <w:jc w:val="center"/>
        <w:rPr>
          <w:b w:val="0"/>
          <w:bCs w:val="0"/>
        </w:rPr>
      </w:pPr>
      <w:bookmarkStart w:name="第五节 重要事项" w:id="40"/>
      <w:bookmarkEnd w:id="40"/>
      <w:r>
        <w:rPr>
          <w:b w:val="0"/>
          <w:bCs w:val="0"/>
        </w:rPr>
      </w:r>
      <w:bookmarkStart w:name="_bookmark4" w:id="41"/>
      <w:bookmarkEnd w:id="41"/>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184"/>
        <w:jc w:val="left"/>
        <w:rPr>
          <w:b w:val="0"/>
          <w:bCs w:val="0"/>
        </w:rPr>
      </w:pPr>
      <w:r>
        <w:rPr/>
        <w:t>一、上市公司</w:t>
      </w:r>
      <w:bookmarkStart w:name="一、上市公司发生控股股东及其关联方非经营性占用资金情况" w:id="42"/>
      <w:bookmarkEnd w:id="42"/>
      <w:r>
        <w:rPr/>
        <w:t>发</w:t>
      </w:r>
      <w:r>
        <w:rPr/>
        <w:t>生控股股东及其关联方非经营性占用资金情况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74" w:hanging="1"/>
        <w:jc w:val="left"/>
      </w:pPr>
      <w:r>
        <w:rPr/>
        <w:t>□ 适用 √</w:t>
      </w:r>
      <w:r>
        <w:rPr>
          <w:spacing w:val="3"/>
        </w:rPr>
        <w:t> </w:t>
      </w:r>
      <w:r>
        <w:rPr/>
        <w:t>不适用</w:t>
      </w:r>
      <w:r>
        <w:rPr/>
        <w:t> 会计师事务所对资金占用的专项审核意见</w:t>
      </w:r>
    </w:p>
    <w:p>
      <w:pPr>
        <w:pStyle w:val="BodyText"/>
        <w:spacing w:line="240" w:lineRule="auto" w:before="25"/>
        <w:ind w:right="184"/>
        <w:jc w:val="left"/>
      </w:pPr>
      <w:r>
        <w:rPr/>
        <w:t>不存在上市公司控股股东及其关联方非经营性占用资金情况。</w:t>
      </w:r>
    </w:p>
    <w:p>
      <w:pPr>
        <w:spacing w:line="240" w:lineRule="auto" w:before="3"/>
        <w:rPr>
          <w:rFonts w:ascii="宋体" w:hAnsi="宋体" w:cs="宋体" w:eastAsia="宋体" w:hint="default"/>
          <w:sz w:val="25"/>
          <w:szCs w:val="25"/>
        </w:rPr>
      </w:pPr>
    </w:p>
    <w:p>
      <w:pPr>
        <w:pStyle w:val="Heading2"/>
        <w:spacing w:line="240" w:lineRule="auto" w:before="0"/>
        <w:ind w:right="184"/>
        <w:jc w:val="left"/>
        <w:rPr>
          <w:b w:val="0"/>
          <w:bCs w:val="0"/>
        </w:rPr>
      </w:pPr>
      <w:r>
        <w:rPr/>
        <w:t>二、公司股权激励的实施情况</w:t>
      </w:r>
      <w:bookmarkStart w:name="二、公司股权激励的实施情况及其影响" w:id="43"/>
      <w:bookmarkEnd w:id="43"/>
      <w:r>
        <w:rPr/>
        <w:t>及其</w:t>
      </w:r>
      <w:r>
        <w:rPr/>
        <w:t>影响</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94" w:firstLine="360"/>
        <w:jc w:val="left"/>
      </w:pPr>
      <w:r>
        <w:rPr/>
        <w:t>为进一步完善公司法人治理结构，促进公司建立健全激励约束机制，实现公司和股东价值最大化，公司于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2"/>
        </w:rPr>
        <w:t>日分别召开第一届董事会第二十一次会议和第一届监事会第十一次会议，审议通过了《上海金仕达卫宁软件股份有限公司股</w:t>
      </w:r>
      <w:r>
        <w:rPr>
          <w:spacing w:val="-64"/>
        </w:rPr>
        <w:t> </w:t>
      </w:r>
      <w:r>
        <w:rPr>
          <w:spacing w:val="-64"/>
        </w:rPr>
      </w:r>
      <w:r>
        <w:rPr/>
        <w:t>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及其摘要的议案》。其后，根据中国证监会的反馈意见，公司对《上海金仕达卫宁软件股份有限公司 股票期权激励计划（草案）》进行了修订，并于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日召开第二届董事会第四次会议和第二届监事会第四次会议， </w:t>
      </w:r>
      <w:r>
        <w:rPr>
          <w:spacing w:val="-3"/>
        </w:rPr>
        <w:t>审议通过了《上海金仕达卫宁软件股份有限公司股票期权激励计划（草案修订稿）》（以下简称</w:t>
      </w:r>
      <w:r>
        <w:rPr>
          <w:rFonts w:ascii="Times New Roman" w:hAnsi="Times New Roman" w:cs="Times New Roman" w:eastAsia="Times New Roman" w:hint="default"/>
          <w:spacing w:val="-3"/>
        </w:rPr>
        <w:t>“</w:t>
      </w:r>
      <w:r>
        <w:rPr>
          <w:spacing w:val="-3"/>
        </w:rPr>
        <w:t>激励计划</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本激励计划</w:t>
      </w:r>
      <w:r>
        <w:rPr>
          <w:rFonts w:ascii="Times New Roman" w:hAnsi="Times New Roman" w:cs="Times New Roman" w:eastAsia="Times New Roman" w:hint="default"/>
          <w:spacing w:val="-3"/>
        </w:rPr>
        <w:t>”</w:t>
      </w:r>
      <w:r>
        <w:rPr>
          <w:spacing w:val="-3"/>
        </w:rPr>
        <w:t>）</w:t>
      </w:r>
      <w:r>
        <w:rPr>
          <w:spacing w:val="-55"/>
        </w:rPr>
        <w:t> </w:t>
      </w:r>
      <w:r>
        <w:rPr/>
        <w:t>及其摘要。激励计划经中国证监会备案无异议后，公司于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日，以现场投票、网络投票以及独立董事征集投票相 </w:t>
      </w:r>
      <w:r>
        <w:rPr>
          <w:spacing w:val="-2"/>
        </w:rPr>
        <w:t>结合的方式召开了</w:t>
      </w:r>
      <w:r>
        <w:rPr>
          <w:rFonts w:ascii="Times New Roman" w:hAnsi="Times New Roman" w:cs="Times New Roman" w:eastAsia="Times New Roman" w:hint="default"/>
          <w:spacing w:val="-2"/>
        </w:rPr>
        <w:t>2012</w:t>
      </w:r>
      <w:r>
        <w:rPr>
          <w:spacing w:val="-2"/>
        </w:rPr>
        <w:t>年第二次临时股东大会，会议以特别决议审议通过了《上海金仕达卫宁软件股份有限公司股票期权激</w:t>
      </w:r>
      <w:r>
        <w:rPr>
          <w:spacing w:val="-62"/>
        </w:rPr>
        <w:t> </w:t>
      </w:r>
      <w:r>
        <w:rPr>
          <w:spacing w:val="-62"/>
        </w:rPr>
      </w:r>
      <w:r>
        <w:rPr/>
        <w:t>励计划（草案修订稿）及其摘要的议案》等。之后，公司于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日分别召开第二届董事会第七次会议和第二届监事 </w:t>
      </w:r>
      <w:r>
        <w:rPr>
          <w:spacing w:val="-2"/>
        </w:rPr>
        <w:t>会第七次会议，审议通过了《关于调整股票期权激励计划股票期权数量和行权价格的议案》、《关于公司股票期权激励计划</w:t>
      </w:r>
      <w:r>
        <w:rPr>
          <w:spacing w:val="-65"/>
        </w:rPr>
        <w:t> </w:t>
      </w:r>
      <w:r>
        <w:rPr>
          <w:spacing w:val="-65"/>
        </w:rPr>
      </w:r>
      <w:r>
        <w:rPr/>
        <w:t>授予相关事项的议案》，鉴于公司实施了每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1.00</w:t>
      </w:r>
      <w:r>
        <w:rPr/>
        <w:t>元（含税）的分红派息方案和每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股的资本公积 转增股本方案；首次股票期权授予前，原激励对象黄继、汪国亮、施樱花、李桃、王虎共</w:t>
      </w:r>
      <w:r>
        <w:rPr>
          <w:rFonts w:ascii="Times New Roman" w:hAnsi="Times New Roman" w:cs="Times New Roman" w:eastAsia="Times New Roman" w:hint="default"/>
        </w:rPr>
        <w:t>5</w:t>
      </w:r>
      <w:r>
        <w:rPr/>
        <w:t>人因个人原因离职，不再满足成 </w:t>
      </w:r>
      <w:r>
        <w:rPr>
          <w:spacing w:val="-2"/>
        </w:rPr>
        <w:t>为股权激励对象的条件，股票期权数量和行权价格按激励计划规定应作相应调整；经上述调整后，首次授予股票期权数量由</w:t>
      </w:r>
      <w:r>
        <w:rPr>
          <w:spacing w:val="-63"/>
        </w:rPr>
        <w:t> </w:t>
      </w:r>
      <w:r>
        <w:rPr>
          <w:spacing w:val="-63"/>
        </w:rPr>
      </w:r>
      <w:r>
        <w:rPr>
          <w:rFonts w:ascii="Times New Roman" w:hAnsi="Times New Roman" w:cs="Times New Roman" w:eastAsia="Times New Roman" w:hint="default"/>
        </w:rPr>
        <w:t>225</w:t>
      </w:r>
      <w:r>
        <w:rPr/>
        <w:t>万份调整至</w:t>
      </w:r>
      <w:r>
        <w:rPr>
          <w:rFonts w:ascii="Times New Roman" w:hAnsi="Times New Roman" w:cs="Times New Roman" w:eastAsia="Times New Roman" w:hint="default"/>
        </w:rPr>
        <w:t>441.6</w:t>
      </w:r>
      <w:r>
        <w:rPr/>
        <w:t>万份；预留部分股票期权由</w:t>
      </w:r>
      <w:r>
        <w:rPr>
          <w:rFonts w:ascii="Times New Roman" w:hAnsi="Times New Roman" w:cs="Times New Roman" w:eastAsia="Times New Roman" w:hint="default"/>
        </w:rPr>
        <w:t>25</w:t>
      </w:r>
      <w:r>
        <w:rPr/>
        <w:t>万份调整至</w:t>
      </w:r>
      <w:r>
        <w:rPr>
          <w:rFonts w:ascii="Times New Roman" w:hAnsi="Times New Roman" w:cs="Times New Roman" w:eastAsia="Times New Roman" w:hint="default"/>
        </w:rPr>
        <w:t>50</w:t>
      </w:r>
      <w:r>
        <w:rPr/>
        <w:t>万份，行权价格由</w:t>
      </w:r>
      <w:r>
        <w:rPr>
          <w:rFonts w:ascii="Times New Roman" w:hAnsi="Times New Roman" w:cs="Times New Roman" w:eastAsia="Times New Roman" w:hint="default"/>
        </w:rPr>
        <w:t>37.80</w:t>
      </w:r>
      <w:r>
        <w:rPr/>
        <w:t>元调整为</w:t>
      </w:r>
      <w:r>
        <w:rPr>
          <w:rFonts w:ascii="Times New Roman" w:hAnsi="Times New Roman" w:cs="Times New Roman" w:eastAsia="Times New Roman" w:hint="default"/>
        </w:rPr>
        <w:t>18.85</w:t>
      </w:r>
      <w:r>
        <w:rPr/>
        <w:t>元，激励对象由</w:t>
      </w:r>
      <w:r>
        <w:rPr>
          <w:rFonts w:ascii="Times New Roman" w:hAnsi="Times New Roman" w:cs="Times New Roman" w:eastAsia="Times New Roman" w:hint="default"/>
        </w:rPr>
        <w:t>173</w:t>
      </w:r>
      <w:r>
        <w:rPr/>
        <w:t>人 </w:t>
      </w:r>
      <w:r>
        <w:rPr>
          <w:spacing w:val="-2"/>
        </w:rPr>
        <w:t>调整为</w:t>
      </w:r>
      <w:r>
        <w:rPr>
          <w:rFonts w:ascii="Times New Roman" w:hAnsi="Times New Roman" w:cs="Times New Roman" w:eastAsia="Times New Roman" w:hint="default"/>
          <w:spacing w:val="-2"/>
        </w:rPr>
        <w:t>168</w:t>
      </w:r>
      <w:r>
        <w:rPr>
          <w:spacing w:val="-2"/>
        </w:rPr>
        <w:t>人。会议同时确定了本次激励计划的股权期权授予日为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日。经中国证券登记结算有限责任公司深圳分</w:t>
      </w:r>
      <w:r>
        <w:rPr>
          <w:spacing w:val="-63"/>
        </w:rPr>
        <w:t> </w:t>
      </w:r>
      <w:r>
        <w:rPr>
          <w:spacing w:val="-63"/>
        </w:rPr>
      </w:r>
      <w:r>
        <w:rPr/>
        <w:t>公司审核确认，公司已完成激励计划所涉首次授予</w:t>
      </w:r>
      <w:r>
        <w:rPr>
          <w:rFonts w:ascii="Times New Roman" w:hAnsi="Times New Roman" w:cs="Times New Roman" w:eastAsia="Times New Roman" w:hint="default"/>
        </w:rPr>
        <w:t>441.6</w:t>
      </w:r>
      <w:r>
        <w:rPr/>
        <w:t>万份期权的登记工作，期权简称：卫宁</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036051</w:t>
      </w:r>
      <w:r>
        <w:rPr/>
        <w:t>。</w:t>
      </w:r>
    </w:p>
    <w:p>
      <w:pPr>
        <w:pStyle w:val="BodyText"/>
        <w:spacing w:line="240" w:lineRule="auto" w:before="50"/>
        <w:ind w:right="184"/>
        <w:jc w:val="left"/>
      </w:pPr>
      <w:r>
        <w:rPr/>
        <w:t>股权激励事项临时报告披露网站查询</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第一届董事会第二十一次会议决议公告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第一届监事会第十一次会议决议公告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关于股权激励计划（草案）获得中国证 监会备案无异议的公告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第二届监事会第四次会议决议公告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第二届监事会第七次会议决议公告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董事会关于股票期权授予相关事项的公 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r>
        <w:rPr/>
        <w:pict>
          <v:shape style="position:absolute;margin-left:447.720001pt;margin-top:577.079956pt;width:87.15pt;height:178.45pt;mso-position-horizontal-relative:page;mso-position-vertical-relative:page;z-index:-7495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2"/>
                      <w:szCs w:val="22"/>
                    </w:rPr>
                  </w:pPr>
                </w:p>
                <w:p>
                  <w:pPr>
                    <w:pStyle w:val="BodyText"/>
                    <w:spacing w:line="240" w:lineRule="auto"/>
                    <w:ind w:left="0" w:right="0"/>
                    <w:jc w:val="left"/>
                  </w:pPr>
                  <w:r>
                    <w:rPr/>
                    <w:t>孙凯、</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关于对股票期权数量和行权价格进行调 整的公告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关于股票期权激励计划首次授予股票期 权登记完成的公告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三、承诺事项</w:t>
      </w:r>
      <w:bookmarkStart w:name="三、承诺事项履行情况" w:id="44"/>
      <w:bookmarkEnd w:id="44"/>
      <w:r>
        <w:rPr/>
        <w:t>履</w:t>
      </w:r>
      <w:r>
        <w:rPr/>
        <w:t>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3"/>
        </w:rPr>
        <w:t> </w:t>
      </w:r>
      <w:r>
        <w:rPr>
          <w:rFonts w:ascii="Times New Roman" w:hAnsi="Times New Roman" w:cs="Times New Roman" w:eastAsia="Times New Roman" w:hint="default"/>
        </w:rPr>
        <w:t>5%</w:t>
      </w:r>
      <w:bookmarkStart w:name="1、公司或持股5%以上股东在报告期内或持续到报告期内的承诺事项" w:id="45"/>
      <w:bookmarkEnd w:id="45"/>
      <w:r>
        <w:rPr>
          <w:rFonts w:ascii="Times New Roman" w:hAnsi="Times New Roman" w:cs="Times New Roman" w:eastAsia="Times New Roman" w:hint="default"/>
        </w:rPr>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4"/>
        <w:gridCol w:w="1286"/>
        <w:gridCol w:w="1265"/>
        <w:gridCol w:w="1277"/>
        <w:gridCol w:w="1277"/>
        <w:gridCol w:w="1270"/>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786"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7"/>
                <w:sz w:val="18"/>
                <w:szCs w:val="18"/>
              </w:rPr>
              <w:t>周炜、王英、刘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宁、孙凯、张士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英、陈建国、贾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按师、凌红、胡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美珍、范钧、曾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刚琴、韩伟、黄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晓怡、靳茂、周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洪、付春林、付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晖、黄克华、孙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超仁、邓荣华、 陈军华、熊海 </w:t>
            </w:r>
            <w:r>
              <w:rPr>
                <w:rFonts w:ascii="宋体" w:hAnsi="宋体" w:cs="宋体" w:eastAsia="宋体" w:hint="default"/>
                <w:spacing w:val="-7"/>
                <w:sz w:val="18"/>
                <w:szCs w:val="18"/>
              </w:rPr>
              <w:t>浪、艾国光、汪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国亮、阚家平、 李继东</w:t>
            </w:r>
          </w:p>
        </w:tc>
        <w:tc>
          <w:tcPr>
            <w:tcW w:w="1265" w:type="dxa"/>
            <w:tcBorders>
              <w:top w:val="single" w:sz="4" w:space="0" w:color="000000"/>
              <w:left w:val="single" w:sz="13" w:space="0" w:color="FFFFFF"/>
              <w:bottom w:val="single" w:sz="4" w:space="0" w:color="000000"/>
              <w:right w:val="single" w:sz="10" w:space="0" w:color="FFFFFF"/>
            </w:tcBorders>
          </w:tcPr>
          <w:p>
            <w:pPr>
              <w:pStyle w:val="TableParagraph"/>
              <w:spacing w:line="314" w:lineRule="auto" w:before="49"/>
              <w:ind w:right="12"/>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（一）避免同业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竞争的承诺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发行人控股股 </w:t>
            </w:r>
            <w:r>
              <w:rPr>
                <w:rFonts w:ascii="宋体" w:hAnsi="宋体" w:cs="宋体" w:eastAsia="宋体" w:hint="default"/>
                <w:spacing w:val="-6"/>
                <w:sz w:val="18"/>
                <w:szCs w:val="18"/>
              </w:rPr>
              <w:t>东、实际控制人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周炜、王英夫妇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关于避免同业 竞争的承诺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316" w:lineRule="auto" w:before="1"/>
              <w:ind w:right="-4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日，本公司控股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股东、实际控制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人周炜、王英夫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妇向公司出具 了避免同业竞 </w:t>
            </w:r>
            <w:r>
              <w:rPr>
                <w:rFonts w:ascii="宋体" w:hAnsi="宋体" w:cs="宋体" w:eastAsia="宋体" w:hint="default"/>
                <w:spacing w:val="-21"/>
                <w:sz w:val="18"/>
                <w:szCs w:val="18"/>
              </w:rPr>
              <w:t>争的《承诺函》。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、持股超过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的其他主要股 东关于避免同 业竞争的承诺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316" w:lineRule="auto"/>
              <w:ind w:right="-25"/>
              <w:jc w:val="left"/>
              <w:rPr>
                <w:rFonts w:ascii="宋体" w:hAnsi="宋体" w:cs="宋体" w:eastAsia="宋体" w:hint="default"/>
                <w:sz w:val="18"/>
                <w:szCs w:val="18"/>
              </w:rPr>
            </w:pPr>
            <w:r>
              <w:rPr>
                <w:rFonts w:ascii="宋体" w:hAnsi="宋体" w:cs="宋体" w:eastAsia="宋体" w:hint="default"/>
                <w:spacing w:val="-6"/>
                <w:sz w:val="18"/>
                <w:szCs w:val="18"/>
              </w:rPr>
              <w:t>日，本公司持股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的其他 主要股东刘宁、 孙凯、张士英、 </w:t>
            </w:r>
            <w:r>
              <w:rPr>
                <w:rFonts w:ascii="宋体" w:hAnsi="宋体" w:cs="宋体" w:eastAsia="宋体" w:hint="default"/>
                <w:spacing w:val="-6"/>
                <w:sz w:val="18"/>
                <w:szCs w:val="18"/>
              </w:rPr>
              <w:t>陈建国、贾按师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均分别向公司 出具了避免同 </w:t>
            </w:r>
            <w:r>
              <w:rPr>
                <w:rFonts w:ascii="宋体" w:hAnsi="宋体" w:cs="宋体" w:eastAsia="宋体" w:hint="default"/>
                <w:spacing w:val="-6"/>
                <w:sz w:val="18"/>
                <w:szCs w:val="18"/>
              </w:rPr>
              <w:t>业竞争的《承诺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函》。（二）发行</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352" w:lineRule="exact"/>
              <w:ind w:left="16"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61.1pt;height:17.650pt;mso-position-horizontal-relative:char;mso-position-vertical-relative:line" coordorigin="0,0" coordsize="1222,353">
                  <v:group style="position:absolute;left:0;top:0;width:1222;height:353" coordorigin="0,0" coordsize="1222,353">
                    <v:shape style="position:absolute;left:0;top:0;width:1222;height:353" coordorigin="0,0" coordsize="1222,353" path="m0,353l1222,353,1222,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12"/>
              <w:jc w:val="left"/>
              <w:rPr>
                <w:rFonts w:ascii="宋体" w:hAnsi="宋体" w:cs="宋体" w:eastAsia="宋体" w:hint="default"/>
                <w:sz w:val="18"/>
                <w:szCs w:val="18"/>
              </w:rPr>
            </w:pPr>
            <w:r>
              <w:rPr>
                <w:rFonts w:ascii="宋体" w:hAnsi="宋体" w:cs="宋体" w:eastAsia="宋体" w:hint="default"/>
                <w:spacing w:val="-6"/>
                <w:sz w:val="18"/>
                <w:szCs w:val="18"/>
              </w:rPr>
              <w:t>一）避免同业竞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争的承诺：长 </w:t>
            </w:r>
            <w:r>
              <w:rPr>
                <w:rFonts w:ascii="宋体" w:hAnsi="宋体" w:cs="宋体" w:eastAsia="宋体" w:hint="default"/>
                <w:spacing w:val="-14"/>
                <w:sz w:val="18"/>
                <w:szCs w:val="18"/>
              </w:rPr>
              <w:t>期。（二）发行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人控股股东、实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际控制人关于 公司对外担保 和资金往来的 承诺：长期。</w:t>
            </w:r>
          </w:p>
          <w:p>
            <w:pPr>
              <w:pStyle w:val="TableParagraph"/>
              <w:spacing w:line="314" w:lineRule="auto" w:before="19"/>
              <w:ind w:left="23" w:right="-25"/>
              <w:jc w:val="left"/>
              <w:rPr>
                <w:rFonts w:ascii="宋体" w:hAnsi="宋体" w:cs="宋体" w:eastAsia="宋体" w:hint="default"/>
                <w:sz w:val="18"/>
                <w:szCs w:val="18"/>
              </w:rPr>
            </w:pPr>
            <w:r>
              <w:rPr>
                <w:rFonts w:ascii="宋体" w:hAnsi="宋体" w:cs="宋体" w:eastAsia="宋体" w:hint="default"/>
                <w:spacing w:val="-6"/>
                <w:sz w:val="18"/>
                <w:szCs w:val="18"/>
              </w:rPr>
              <w:t>（三）首次公开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发行前股东所 持股份的流通 限制和自愿锁 定股份的承诺：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、本公司控股 </w:t>
            </w:r>
            <w:r>
              <w:rPr>
                <w:rFonts w:ascii="宋体" w:hAnsi="宋体" w:cs="宋体" w:eastAsia="宋体" w:hint="default"/>
                <w:spacing w:val="-6"/>
                <w:sz w:val="18"/>
                <w:szCs w:val="18"/>
              </w:rPr>
              <w:t>股东周炜、王英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夫妇和股东刘 宁三十六个月；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、其他股东十 二个月；</w:t>
            </w:r>
            <w:r>
              <w:rPr>
                <w:rFonts w:ascii="Times New Roman" w:hAnsi="Times New Roman" w:cs="Times New Roman" w:eastAsia="Times New Roman" w:hint="default"/>
                <w:sz w:val="18"/>
                <w:szCs w:val="18"/>
              </w:rPr>
              <w:t>3</w:t>
            </w:r>
            <w:r>
              <w:rPr>
                <w:rFonts w:ascii="宋体" w:hAnsi="宋体" w:cs="宋体" w:eastAsia="宋体" w:hint="default"/>
                <w:sz w:val="18"/>
                <w:szCs w:val="18"/>
              </w:rPr>
              <w:t>、同 </w:t>
            </w:r>
            <w:r>
              <w:rPr>
                <w:rFonts w:ascii="宋体" w:hAnsi="宋体" w:cs="宋体" w:eastAsia="宋体" w:hint="default"/>
                <w:spacing w:val="-6"/>
                <w:sz w:val="18"/>
                <w:szCs w:val="18"/>
              </w:rPr>
              <w:t>时，担任公司董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事、监事、高级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管理人员的周 </w:t>
            </w:r>
            <w:r>
              <w:rPr>
                <w:rFonts w:ascii="宋体" w:hAnsi="宋体" w:cs="宋体" w:eastAsia="宋体" w:hint="default"/>
                <w:spacing w:val="-13"/>
                <w:sz w:val="18"/>
                <w:szCs w:val="18"/>
              </w:rPr>
              <w:t>炜、刘宁、</w:t>
            </w:r>
            <w:r>
              <w:rPr>
                <w:rFonts w:ascii="宋体" w:hAnsi="宋体" w:cs="宋体" w:eastAsia="宋体" w:hint="default"/>
                <w:sz w:val="18"/>
                <w:szCs w:val="18"/>
              </w:rPr>
              <w:t> 靳茂、张士英、 黄克华还承诺： 除前述锁定期 </w:t>
            </w:r>
            <w:r>
              <w:rPr>
                <w:rFonts w:ascii="宋体" w:hAnsi="宋体" w:cs="宋体" w:eastAsia="宋体" w:hint="default"/>
                <w:spacing w:val="-6"/>
                <w:sz w:val="18"/>
                <w:szCs w:val="18"/>
              </w:rPr>
              <w:t>外，在其任职期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间每年转让的</w:t>
            </w:r>
          </w:p>
        </w:tc>
        <w:tc>
          <w:tcPr>
            <w:tcW w:w="127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6" w:right="-25"/>
              <w:jc w:val="left"/>
              <w:rPr>
                <w:rFonts w:ascii="宋体" w:hAnsi="宋体" w:cs="宋体" w:eastAsia="宋体" w:hint="default"/>
                <w:sz w:val="18"/>
                <w:szCs w:val="18"/>
              </w:rPr>
            </w:pPr>
            <w:r>
              <w:rPr>
                <w:rFonts w:ascii="宋体" w:hAnsi="宋体" w:cs="宋体" w:eastAsia="宋体" w:hint="default"/>
                <w:sz w:val="18"/>
                <w:szCs w:val="18"/>
              </w:rPr>
              <w:t>截至本报告期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未发现违反上 述承诺的情况。</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3568" w:lineRule="exact"/>
              <w:ind w:left="-8" w:right="-50"/>
              <w:jc w:val="left"/>
              <w:rPr>
                <w:rFonts w:ascii="宋体" w:hAnsi="宋体" w:cs="宋体" w:eastAsia="宋体" w:hint="default"/>
                <w:sz w:val="20"/>
                <w:szCs w:val="20"/>
              </w:rPr>
            </w:pPr>
            <w:r>
              <w:rPr>
                <w:rFonts w:ascii="宋体" w:hAnsi="宋体" w:cs="宋体" w:eastAsia="宋体" w:hint="default"/>
                <w:position w:val="-70"/>
                <w:sz w:val="20"/>
                <w:szCs w:val="20"/>
              </w:rPr>
              <w:pict>
                <v:group style="width:63pt;height:178.45pt;mso-position-horizontal-relative:char;mso-position-vertical-relative:line" coordorigin="0,0" coordsize="1260,3569">
                  <v:group style="position:absolute;left:0;top:0;width:1260;height:3569" coordorigin="0,0" coordsize="1260,3569">
                    <v:shape style="position:absolute;left:0;top:0;width:1260;height:3569" coordorigin="0,0" coordsize="1260,3569" path="m0,3569l1260,3569,1260,0,0,0,0,3569xe" filled="true" fillcolor="#ffffff" stroked="false">
                      <v:path arrowok="t"/>
                      <v:fill type="solid"/>
                    </v:shape>
                  </v:group>
                </v:group>
              </w:pict>
            </w:r>
            <w:r>
              <w:rPr>
                <w:rFonts w:ascii="宋体" w:hAnsi="宋体" w:cs="宋体" w:eastAsia="宋体" w:hint="default"/>
                <w:position w:val="-70"/>
                <w:sz w:val="20"/>
                <w:szCs w:val="20"/>
              </w:rPr>
            </w:r>
          </w:p>
        </w:tc>
      </w:tr>
    </w:tbl>
    <w:p>
      <w:pPr>
        <w:spacing w:after="0" w:line="3568" w:lineRule="exact"/>
        <w:jc w:val="left"/>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5" w:footer="982" w:top="1060" w:bottom="1180" w:left="980" w:right="980"/>
        </w:sectPr>
      </w:pPr>
    </w:p>
    <w:p>
      <w:pPr>
        <w:pStyle w:val="BodyText"/>
        <w:spacing w:line="316" w:lineRule="auto" w:before="44"/>
        <w:ind w:left="4650" w:right="22"/>
        <w:jc w:val="left"/>
        <w:rPr>
          <w:rFonts w:ascii="Times New Roman" w:hAnsi="Times New Roman" w:cs="Times New Roman" w:eastAsia="Times New Roman" w:hint="default"/>
        </w:rPr>
      </w:pPr>
      <w:r>
        <w:rPr/>
        <w:pict>
          <v:shape style="position:absolute;margin-left:328.920013pt;margin-top:72.47998pt;width:78.6pt;height:686.4pt;mso-position-horizontal-relative:page;mso-position-vertical-relative:page;z-index:-7494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6"/>
                    <w:ind w:left="0" w:right="1211"/>
                    <w:jc w:val="center"/>
                  </w:pPr>
                  <w:r>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spacing w:line="240" w:lineRule="auto"/>
                    <w:ind w:left="0" w:right="1020"/>
                    <w:jc w:val="center"/>
                  </w:pPr>
                  <w:r>
                    <w:rPr/>
                    <w:t>、</w:t>
                  </w:r>
                </w:p>
              </w:txbxContent>
            </v:textbox>
            <w10:wrap type="none"/>
          </v:shape>
        </w:pict>
      </w:r>
      <w:r>
        <w:rPr/>
        <w:pict>
          <v:shape style="position:absolute;margin-left:447.720001pt;margin-top:72.47998pt;width:87.15pt;height:686.4pt;mso-position-horizontal-relative:page;mso-position-vertical-relative:page;z-index:-7494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0" w:right="0"/>
                    <w:jc w:val="left"/>
                  </w:pPr>
                  <w:r>
                    <w:rPr/>
                    <w:t>（四）</w:t>
                  </w:r>
                </w:p>
              </w:txbxContent>
            </v:textbox>
            <w10:wrap type="none"/>
          </v:shape>
        </w:pict>
      </w:r>
      <w:r>
        <w:rPr/>
        <w:pict>
          <v:group style="position:absolute;margin-left:56.400002pt;margin-top:71.759979pt;width:478.95pt;height:687.85pt;mso-position-horizontal-relative:page;mso-position-vertical-relative:page;z-index:-749440" coordorigin="1128,1435" coordsize="9579,13757">
            <v:group style="position:absolute;left:6883;top:1450;width:1268;height:13728" coordorigin="6883,1450" coordsize="1268,13728">
              <v:shape style="position:absolute;left:6883;top:1450;width:1268;height:13728" coordorigin="6883,1450" coordsize="1268,13728" path="m6883,15178l8150,15178,8150,1450,6883,1450,6883,15178xe" filled="true" fillcolor="#ffffff" stroked="false">
                <v:path arrowok="t"/>
                <v:fill type="solid"/>
              </v:shape>
            </v:group>
            <v:group style="position:absolute;left:1138;top:1445;width:3185;height:2" coordorigin="1138,1445" coordsize="3185,2">
              <v:shape style="position:absolute;left:1138;top:1445;width:3185;height:2" coordorigin="1138,1445" coordsize="3185,0" path="m1138,1445l4322,1445e" filled="false" stroked="true" strokeweight=".48pt" strokecolor="#000000">
                <v:path arrowok="t"/>
              </v:shape>
            </v:group>
            <v:group style="position:absolute;left:4332;top:1445;width:1265;height:2" coordorigin="4332,1445" coordsize="1265,2">
              <v:shape style="position:absolute;left:4332;top:1445;width:1265;height:2" coordorigin="4332,1445" coordsize="1265,0" path="m4332,1445l5597,1445e" filled="false" stroked="true" strokeweight=".48pt" strokecolor="#000000">
                <v:path arrowok="t"/>
              </v:shape>
            </v:group>
            <v:group style="position:absolute;left:5606;top:1445;width:1268;height:2" coordorigin="5606,1445" coordsize="1268,2">
              <v:shape style="position:absolute;left:5606;top:1445;width:1268;height:2" coordorigin="5606,1445" coordsize="1268,0" path="m5606,1445l6874,1445e" filled="false" stroked="true" strokeweight=".48pt" strokecolor="#000000">
                <v:path arrowok="t"/>
              </v:shape>
            </v:group>
            <v:group style="position:absolute;left:6883;top:1445;width:1268;height:2" coordorigin="6883,1445" coordsize="1268,2">
              <v:shape style="position:absolute;left:6883;top:1445;width:1268;height:2" coordorigin="6883,1445" coordsize="1268,0" path="m6883,1445l8150,1445e" filled="false" stroked="true" strokeweight=".48pt" strokecolor="#000000">
                <v:path arrowok="t"/>
              </v:shape>
            </v:group>
            <v:group style="position:absolute;left:9437;top:1450;width:1260;height:13728" coordorigin="9437,1450" coordsize="1260,13728">
              <v:shape style="position:absolute;left:9437;top:1450;width:1260;height:13728" coordorigin="9437,1450" coordsize="1260,13728" path="m9437,15178l10697,15178,10697,1450,9437,1450,9437,15178xe" filled="true" fillcolor="#ffffff" stroked="false">
                <v:path arrowok="t"/>
                <v:fill type="solid"/>
              </v:shape>
            </v:group>
            <v:group style="position:absolute;left:8160;top:1445;width:1268;height:2" coordorigin="8160,1445" coordsize="1268,2">
              <v:shape style="position:absolute;left:8160;top:1445;width:1268;height:2" coordorigin="8160,1445" coordsize="1268,0" path="m8160,1445l9427,1445e" filled="false" stroked="true" strokeweight=".48pt" strokecolor="#000000">
                <v:path arrowok="t"/>
              </v:shape>
            </v:group>
            <v:group style="position:absolute;left:9437;top:1445;width:1260;height:2" coordorigin="9437,1445" coordsize="1260,2">
              <v:shape style="position:absolute;left:9437;top:1445;width:1260;height:2" coordorigin="9437,1445" coordsize="1260,0" path="m9437,1445l10697,1445e" filled="false" stroked="true" strokeweight=".48pt" strokecolor="#000000">
                <v:path arrowok="t"/>
              </v:shape>
            </v:group>
            <v:group style="position:absolute;left:1133;top:1440;width:2;height:13748" coordorigin="1133,1440" coordsize="2,13748">
              <v:shape style="position:absolute;left:1133;top:1440;width:2;height:13748" coordorigin="1133,1440" coordsize="0,13748" path="m1133,1440l1133,15187e" filled="false" stroked="true" strokeweight=".48pt" strokecolor="#000000">
                <v:path arrowok="t"/>
              </v:shape>
            </v:group>
            <v:group style="position:absolute;left:1138;top:15182;width:3185;height:2" coordorigin="1138,15182" coordsize="3185,2">
              <v:shape style="position:absolute;left:1138;top:15182;width:3185;height:2" coordorigin="1138,15182" coordsize="3185,0" path="m1138,15182l4322,15182e" filled="false" stroked="true" strokeweight=".48pt" strokecolor="#000000">
                <v:path arrowok="t"/>
              </v:shape>
            </v:group>
            <v:group style="position:absolute;left:4327;top:1440;width:2;height:13748" coordorigin="4327,1440" coordsize="2,13748">
              <v:shape style="position:absolute;left:4327;top:1440;width:2;height:13748" coordorigin="4327,1440" coordsize="0,13748" path="m4327,1440l4327,15187e" filled="false" stroked="true" strokeweight=".48pt" strokecolor="#000000">
                <v:path arrowok="t"/>
              </v:shape>
            </v:group>
            <v:group style="position:absolute;left:4332;top:15182;width:1265;height:2" coordorigin="4332,15182" coordsize="1265,2">
              <v:shape style="position:absolute;left:4332;top:15182;width:1265;height:2" coordorigin="4332,15182" coordsize="1265,0" path="m4332,15182l5597,15182e" filled="false" stroked="true" strokeweight=".48pt" strokecolor="#000000">
                <v:path arrowok="t"/>
              </v:shape>
            </v:group>
            <v:group style="position:absolute;left:5602;top:1440;width:2;height:13748" coordorigin="5602,1440" coordsize="2,13748">
              <v:shape style="position:absolute;left:5602;top:1440;width:2;height:13748" coordorigin="5602,1440" coordsize="0,13748" path="m5602,1440l5602,15187e" filled="false" stroked="true" strokeweight=".48pt" strokecolor="#000000">
                <v:path arrowok="t"/>
              </v:shape>
            </v:group>
            <v:group style="position:absolute;left:5606;top:15182;width:1268;height:2" coordorigin="5606,15182" coordsize="1268,2">
              <v:shape style="position:absolute;left:5606;top:15182;width:1268;height:2" coordorigin="5606,15182" coordsize="1268,0" path="m5606,15182l6874,15182e" filled="false" stroked="true" strokeweight=".48pt" strokecolor="#000000">
                <v:path arrowok="t"/>
              </v:shape>
            </v:group>
            <v:group style="position:absolute;left:6878;top:1440;width:2;height:13748" coordorigin="6878,1440" coordsize="2,13748">
              <v:shape style="position:absolute;left:6878;top:1440;width:2;height:13748" coordorigin="6878,1440" coordsize="0,13748" path="m6878,1440l6878,15187e" filled="false" stroked="true" strokeweight=".48pt" strokecolor="#000000">
                <v:path arrowok="t"/>
              </v:shape>
            </v:group>
            <v:group style="position:absolute;left:6883;top:15182;width:1268;height:2" coordorigin="6883,15182" coordsize="1268,2">
              <v:shape style="position:absolute;left:6883;top:15182;width:1268;height:2" coordorigin="6883,15182" coordsize="1268,0" path="m6883,15182l8150,15182e" filled="false" stroked="true" strokeweight=".48pt" strokecolor="#000000">
                <v:path arrowok="t"/>
              </v:shape>
            </v:group>
            <v:group style="position:absolute;left:8155;top:1440;width:2;height:13748" coordorigin="8155,1440" coordsize="2,13748">
              <v:shape style="position:absolute;left:8155;top:1440;width:2;height:13748" coordorigin="8155,1440" coordsize="0,13748" path="m8155,1440l8155,15187e" filled="false" stroked="true" strokeweight=".48pt" strokecolor="#000000">
                <v:path arrowok="t"/>
              </v:shape>
            </v:group>
            <v:group style="position:absolute;left:8160;top:15182;width:1268;height:2" coordorigin="8160,15182" coordsize="1268,2">
              <v:shape style="position:absolute;left:8160;top:15182;width:1268;height:2" coordorigin="8160,15182" coordsize="1268,0" path="m8160,15182l9427,15182e" filled="false" stroked="true" strokeweight=".48pt" strokecolor="#000000">
                <v:path arrowok="t"/>
              </v:shape>
            </v:group>
            <v:group style="position:absolute;left:9432;top:1440;width:2;height:13748" coordorigin="9432,1440" coordsize="2,13748">
              <v:shape style="position:absolute;left:9432;top:1440;width:2;height:13748" coordorigin="9432,1440" coordsize="0,13748" path="m9432,1440l9432,15187e" filled="false" stroked="true" strokeweight=".48pt" strokecolor="#000000">
                <v:path arrowok="t"/>
              </v:shape>
            </v:group>
            <v:group style="position:absolute;left:9437;top:15182;width:1260;height:2" coordorigin="9437,15182" coordsize="1260,2">
              <v:shape style="position:absolute;left:9437;top:15182;width:1260;height:2" coordorigin="9437,15182" coordsize="1260,0" path="m9437,15182l10697,15182e" filled="false" stroked="true" strokeweight=".48pt" strokecolor="#000000">
                <v:path arrowok="t"/>
              </v:shape>
            </v:group>
            <v:group style="position:absolute;left:10702;top:1440;width:2;height:13748" coordorigin="10702,1440" coordsize="2,13748">
              <v:shape style="position:absolute;left:10702;top:1440;width:2;height:13748" coordorigin="10702,1440" coordsize="0,13748" path="m10702,1440l10702,15187e" filled="false" stroked="true" strokeweight=".48pt" strokecolor="#000000">
                <v:path arrowok="t"/>
              </v:shape>
            </v:group>
            <w10:wrap type="none"/>
          </v:group>
        </w:pict>
      </w:r>
      <w:r>
        <w:rPr>
          <w:spacing w:val="-6"/>
        </w:rPr>
        <w:t>人控股股东、实</w:t>
      </w:r>
      <w:r>
        <w:rPr>
          <w:spacing w:val="-87"/>
        </w:rPr>
        <w:t> </w:t>
      </w:r>
      <w:r>
        <w:rPr>
          <w:spacing w:val="-87"/>
        </w:rPr>
      </w:r>
      <w:r>
        <w:rPr/>
        <w:t>际控制人关于 公司对外担保 和资金往来的 承诺</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p>
    <w:p>
      <w:pPr>
        <w:pStyle w:val="BodyText"/>
        <w:spacing w:line="314" w:lineRule="auto"/>
        <w:ind w:left="4650" w:right="19"/>
        <w:jc w:val="left"/>
      </w:pP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8"/>
        </w:rPr>
        <w:t>日，本公司</w:t>
      </w:r>
      <w:r>
        <w:rPr/>
        <w:t> </w:t>
      </w:r>
      <w:r>
        <w:rPr>
          <w:spacing w:val="-6"/>
        </w:rPr>
        <w:t>控股股东、实际</w:t>
      </w:r>
      <w:r>
        <w:rPr>
          <w:spacing w:val="-87"/>
        </w:rPr>
        <w:t> </w:t>
      </w:r>
      <w:r>
        <w:rPr>
          <w:spacing w:val="-87"/>
        </w:rPr>
      </w:r>
      <w:r>
        <w:rPr>
          <w:spacing w:val="-6"/>
        </w:rPr>
        <w:t>控制人周炜、王</w:t>
      </w:r>
      <w:r>
        <w:rPr>
          <w:spacing w:val="-87"/>
        </w:rPr>
        <w:t> </w:t>
      </w:r>
      <w:r>
        <w:rPr>
          <w:spacing w:val="-87"/>
        </w:rPr>
      </w:r>
      <w:r>
        <w:rPr/>
        <w:t>英夫妇就关于 公司对外担保 和资金往来作 </w:t>
      </w:r>
      <w:r>
        <w:rPr>
          <w:spacing w:val="-6"/>
        </w:rPr>
        <w:t>出《关于严格执</w:t>
      </w:r>
      <w:r>
        <w:rPr>
          <w:spacing w:val="-87"/>
        </w:rPr>
        <w:t> </w:t>
      </w:r>
      <w:r>
        <w:rPr>
          <w:spacing w:val="-87"/>
        </w:rPr>
      </w:r>
      <w:r>
        <w:rPr/>
        <w:t>行中国证监会</w:t>
      </w:r>
    </w:p>
    <w:p>
      <w:pPr>
        <w:pStyle w:val="BodyText"/>
        <w:spacing w:line="240" w:lineRule="auto" w:before="20"/>
        <w:ind w:left="0" w:right="538"/>
        <w:jc w:val="right"/>
      </w:pPr>
      <w:r>
        <w:rPr/>
        <w:t>【证监发</w:t>
      </w:r>
    </w:p>
    <w:p>
      <w:pPr>
        <w:pStyle w:val="BodyText"/>
        <w:spacing w:line="240" w:lineRule="auto" w:before="76"/>
        <w:ind w:left="0" w:right="358"/>
        <w:jc w:val="right"/>
        <w:rPr>
          <w:rFonts w:ascii="Times New Roman" w:hAnsi="Times New Roman" w:cs="Times New Roman" w:eastAsia="Times New Roman" w:hint="default"/>
        </w:rPr>
      </w:pPr>
      <w:r>
        <w:rPr>
          <w:spacing w:val="-1"/>
        </w:rPr>
        <w:t>（</w:t>
      </w:r>
      <w:r>
        <w:rPr>
          <w:rFonts w:ascii="Times New Roman" w:hAnsi="Times New Roman" w:cs="Times New Roman" w:eastAsia="Times New Roman" w:hint="default"/>
          <w:spacing w:val="-1"/>
        </w:rPr>
        <w:t>2003</w:t>
      </w:r>
      <w:r>
        <w:rPr>
          <w:spacing w:val="-1"/>
        </w:rPr>
        <w:t>）</w:t>
      </w:r>
      <w:r>
        <w:rPr>
          <w:rFonts w:ascii="Times New Roman" w:hAnsi="Times New Roman" w:cs="Times New Roman" w:eastAsia="Times New Roman" w:hint="default"/>
          <w:spacing w:val="-1"/>
        </w:rPr>
        <w:t>56</w:t>
      </w:r>
      <w:r>
        <w:rPr>
          <w:rFonts w:ascii="Times New Roman" w:hAnsi="Times New Roman" w:cs="Times New Roman" w:eastAsia="Times New Roman" w:hint="default"/>
        </w:rPr>
      </w:r>
    </w:p>
    <w:p>
      <w:pPr>
        <w:pStyle w:val="BodyText"/>
        <w:spacing w:line="316" w:lineRule="auto" w:before="63"/>
        <w:ind w:left="4650" w:right="-20"/>
        <w:jc w:val="left"/>
      </w:pPr>
      <w:r>
        <w:rPr/>
        <w:t>文有关规定的 </w:t>
      </w:r>
      <w:r>
        <w:rPr>
          <w:spacing w:val="-23"/>
        </w:rPr>
        <w:t>承诺函》。（三）</w:t>
      </w:r>
      <w:r>
        <w:rPr/>
        <w:t> 首次公开发行 前股东所持股 份的流通限制 和自愿锁定股 份的承诺</w:t>
      </w:r>
      <w:r>
        <w:rPr>
          <w:spacing w:val="-45"/>
        </w:rPr>
        <w:t> </w:t>
      </w:r>
      <w:r>
        <w:rPr>
          <w:rFonts w:ascii="Times New Roman" w:hAnsi="Times New Roman" w:cs="Times New Roman" w:eastAsia="Times New Roman" w:hint="default"/>
        </w:rPr>
        <w:t>1</w:t>
      </w:r>
      <w:r>
        <w:rPr/>
        <w:t>、本 公司控股股东 </w:t>
      </w:r>
      <w:r>
        <w:rPr>
          <w:spacing w:val="-6"/>
        </w:rPr>
        <w:t>周炜、王英夫妇</w:t>
      </w:r>
      <w:r>
        <w:rPr>
          <w:spacing w:val="-87"/>
        </w:rPr>
        <w:t> </w:t>
      </w:r>
      <w:r>
        <w:rPr>
          <w:spacing w:val="-87"/>
        </w:rPr>
      </w:r>
      <w:r>
        <w:rPr/>
        <w:t>和股东刘宁承 </w:t>
      </w:r>
      <w:r>
        <w:rPr>
          <w:spacing w:val="-6"/>
        </w:rPr>
        <w:t>诺：自发行人股</w:t>
      </w:r>
      <w:r>
        <w:rPr>
          <w:spacing w:val="-87"/>
        </w:rPr>
        <w:t> </w:t>
      </w:r>
      <w:r>
        <w:rPr>
          <w:spacing w:val="-87"/>
        </w:rPr>
      </w:r>
      <w:r>
        <w:rPr/>
        <w:t>票上市之日起 三十六个月内， 不转让或者委 托他人管理其 直接或者间接 持有的发行人 公开发行股票 前已发行的股 </w:t>
      </w:r>
      <w:r>
        <w:rPr>
          <w:spacing w:val="-6"/>
        </w:rPr>
        <w:t>份，也不由发行</w:t>
      </w:r>
      <w:r>
        <w:rPr>
          <w:spacing w:val="-87"/>
        </w:rPr>
        <w:t> </w:t>
      </w:r>
      <w:r>
        <w:rPr>
          <w:spacing w:val="-87"/>
        </w:rPr>
      </w:r>
      <w:r>
        <w:rPr/>
        <w:t>人回购其直接 或者间接持有 的发行人公开 发行股票前已 </w:t>
      </w:r>
      <w:r>
        <w:rPr>
          <w:spacing w:val="-6"/>
        </w:rPr>
        <w:t>发行的股份。</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42"/>
        </w:rPr>
        <w:t> </w:t>
      </w:r>
      <w:r>
        <w:rPr/>
        <w:t>本公司股东孙 </w:t>
      </w:r>
      <w:r>
        <w:rPr>
          <w:spacing w:val="-6"/>
        </w:rPr>
        <w:t>凯、张士英、陈</w:t>
      </w:r>
      <w:r>
        <w:rPr>
          <w:spacing w:val="-88"/>
        </w:rPr>
        <w:t> </w:t>
      </w:r>
      <w:r>
        <w:rPr>
          <w:spacing w:val="-88"/>
        </w:rPr>
      </w:r>
      <w:r>
        <w:rPr/>
        <w:t>建国、贾按师、 凌红、胡美珍、</w:t>
      </w:r>
    </w:p>
    <w:p>
      <w:pPr>
        <w:pStyle w:val="BodyText"/>
        <w:spacing w:line="316" w:lineRule="auto" w:before="44"/>
        <w:ind w:left="1253" w:right="1463"/>
        <w:jc w:val="left"/>
      </w:pPr>
      <w:r>
        <w:rPr/>
        <w:br w:type="column"/>
      </w:r>
      <w:r>
        <w:rPr/>
        <w:t>股份不超过其 所持有发行人 股份总数的百 </w:t>
      </w:r>
      <w:r>
        <w:rPr>
          <w:spacing w:val="-6"/>
        </w:rPr>
        <w:t>分之二十五，离</w:t>
      </w:r>
      <w:r>
        <w:rPr>
          <w:spacing w:val="-87"/>
        </w:rPr>
        <w:t> </w:t>
      </w:r>
      <w:r>
        <w:rPr>
          <w:spacing w:val="-87"/>
        </w:rPr>
      </w:r>
      <w:r>
        <w:rPr/>
        <w:t>职后六个月内， 不转让其所持 有的发行人股 </w:t>
      </w:r>
      <w:r>
        <w:rPr>
          <w:spacing w:val="-6"/>
        </w:rPr>
        <w:t>份。在首次公开</w:t>
      </w:r>
      <w:r>
        <w:rPr>
          <w:spacing w:val="-87"/>
        </w:rPr>
        <w:t> </w:t>
      </w:r>
      <w:r>
        <w:rPr>
          <w:spacing w:val="-87"/>
        </w:rPr>
      </w:r>
      <w:r>
        <w:rPr/>
        <w:t>发行股票上市 之日起六个月 内申报离职的， 自申报离职之 日起十八个月 内不得转让其 直接持有的公 </w:t>
      </w:r>
      <w:r>
        <w:rPr>
          <w:spacing w:val="-6"/>
        </w:rPr>
        <w:t>司股份；在首次</w:t>
      </w:r>
      <w:r>
        <w:rPr>
          <w:spacing w:val="-87"/>
        </w:rPr>
        <w:t> </w:t>
      </w:r>
      <w:r>
        <w:rPr>
          <w:spacing w:val="-87"/>
        </w:rPr>
      </w:r>
      <w:r>
        <w:rPr/>
        <w:t>公开发行股票 上市之日起第 七个月至第十 二个月之间申 </w:t>
      </w:r>
      <w:r>
        <w:rPr>
          <w:spacing w:val="-6"/>
        </w:rPr>
        <w:t>报离职的，自申</w:t>
      </w:r>
      <w:r>
        <w:rPr>
          <w:spacing w:val="-87"/>
        </w:rPr>
        <w:t> </w:t>
      </w:r>
      <w:r>
        <w:rPr>
          <w:spacing w:val="-87"/>
        </w:rPr>
      </w:r>
      <w:r>
        <w:rPr/>
        <w:t>报离职之日起 十二个月内不 得转让其直接 持有的公司股 </w:t>
      </w:r>
      <w:r>
        <w:rPr>
          <w:spacing w:val="-6"/>
        </w:rPr>
        <w:t>份。公司董事周</w:t>
      </w:r>
      <w:r>
        <w:rPr>
          <w:spacing w:val="-87"/>
        </w:rPr>
        <w:t> </w:t>
      </w:r>
      <w:r>
        <w:rPr>
          <w:spacing w:val="-87"/>
        </w:rPr>
      </w:r>
      <w:r>
        <w:rPr/>
        <w:t>炜之关联方王 </w:t>
      </w:r>
      <w:r>
        <w:rPr>
          <w:spacing w:val="-6"/>
        </w:rPr>
        <w:t>英还承诺：在周</w:t>
      </w:r>
      <w:r>
        <w:rPr>
          <w:spacing w:val="-87"/>
        </w:rPr>
        <w:t> </w:t>
      </w:r>
      <w:r>
        <w:rPr>
          <w:spacing w:val="-87"/>
        </w:rPr>
      </w:r>
      <w:r>
        <w:rPr/>
        <w:t>炜担任公司董 </w:t>
      </w:r>
      <w:r>
        <w:rPr>
          <w:spacing w:val="-6"/>
        </w:rPr>
        <w:t>事、监事或高级</w:t>
      </w:r>
      <w:r>
        <w:rPr>
          <w:spacing w:val="-87"/>
        </w:rPr>
        <w:t> </w:t>
      </w:r>
      <w:r>
        <w:rPr>
          <w:spacing w:val="-87"/>
        </w:rPr>
      </w:r>
      <w:r>
        <w:rPr/>
        <w:t>管理人员期间， 其持有的公司 股份按照对公 </w:t>
      </w:r>
      <w:r>
        <w:rPr>
          <w:spacing w:val="-6"/>
        </w:rPr>
        <w:t>司董事、监事及</w:t>
      </w:r>
      <w:r>
        <w:rPr>
          <w:spacing w:val="-87"/>
        </w:rPr>
        <w:t> </w:t>
      </w:r>
      <w:r>
        <w:rPr>
          <w:spacing w:val="-87"/>
        </w:rPr>
      </w:r>
      <w:r>
        <w:rPr/>
        <w:t>高级管理人员 的股份减持的 规定执行。 主要股东关于 承担发行人相 关税收补缴责 任的承诺：长 期。</w:t>
      </w:r>
    </w:p>
    <w:p>
      <w:pPr>
        <w:spacing w:after="0" w:line="316" w:lineRule="auto"/>
        <w:jc w:val="left"/>
        <w:sectPr>
          <w:type w:val="continuous"/>
          <w:pgSz w:w="11910" w:h="16840"/>
          <w:pgMar w:top="1060" w:bottom="1180" w:left="980" w:right="980"/>
          <w:cols w:num="2" w:equalWidth="0">
            <w:col w:w="5911" w:space="40"/>
            <w:col w:w="3999"/>
          </w:cols>
        </w:sectPr>
      </w:pPr>
    </w:p>
    <w:p>
      <w:pPr>
        <w:spacing w:line="240" w:lineRule="auto" w:before="0"/>
        <w:rPr>
          <w:rFonts w:ascii="Times New Roman" w:hAnsi="Times New Roman" w:cs="Times New Roman" w:eastAsia="Times New Roman" w:hint="default"/>
          <w:sz w:val="20"/>
          <w:szCs w:val="20"/>
        </w:rPr>
      </w:pPr>
      <w:r>
        <w:rPr/>
        <w:pict>
          <v:shape style="position:absolute;margin-left:320.040009pt;margin-top:72.47998pt;width:87.5pt;height:686.4pt;mso-position-horizontal-relative:page;mso-position-vertical-relative:page;z-index:-749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3"/>
                    <w:ind w:left="0" w:right="0"/>
                    <w:jc w:val="left"/>
                  </w:pPr>
                  <w:r>
                    <w:rPr/>
                    <w:t>孙凯、</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范钧、曾刚琴、</w:t>
            </w:r>
          </w:p>
        </w:tc>
        <w:tc>
          <w:tcPr>
            <w:tcW w:w="1277" w:type="dxa"/>
            <w:vMerge w:val="restart"/>
            <w:tcBorders>
              <w:top w:val="single" w:sz="4" w:space="0" w:color="000000"/>
              <w:left w:val="single" w:sz="4" w:space="0" w:color="000000"/>
              <w:right w:val="single" w:sz="4" w:space="0" w:color="000000"/>
            </w:tcBorders>
          </w:tcPr>
          <w:p>
            <w:pPr>
              <w:pStyle w:val="TableParagraph"/>
              <w:spacing w:line="137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4pt;mso-position-horizontal-relative:char;mso-position-vertical-relative:line" coordorigin="0,0" coordsize="1268,13728">
                  <v:group style="position:absolute;left:0;top:0;width:1268;height:13728" coordorigin="0,0" coordsize="1268,13728">
                    <v:shape style="position:absolute;left:0;top:0;width:1268;height:13728" coordorigin="0,0" coordsize="1268,13728" path="m0,13728l1267,13728,1267,0,0,0,0,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韩伟、黄晓怡、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靳茂、周洪、付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春林、付晖、黄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克华、孙超仁、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邓荣华、陈军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华、熊海浪、艾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国光、汪国亮、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阚家平、李继东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均承诺：自股票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二个月内，不转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让或者委托他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人管理其直接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或者间接持有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的发行人公开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发行股票前已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发行的股份，也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不由发行人回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购其直接或者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间接持有的发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行人公开发行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股票前已发行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w:t>
            </w:r>
            <w:r>
              <w:rPr>
                <w:rFonts w:ascii="Times New Roman" w:hAnsi="Times New Roman" w:cs="Times New Roman" w:eastAsia="Times New Roman" w:hint="default"/>
                <w:sz w:val="18"/>
                <w:szCs w:val="18"/>
              </w:rPr>
              <w:t>3</w:t>
            </w:r>
            <w:r>
              <w:rPr>
                <w:rFonts w:ascii="宋体" w:hAnsi="宋体" w:cs="宋体" w:eastAsia="宋体" w:hint="default"/>
                <w:sz w:val="18"/>
                <w:szCs w:val="18"/>
              </w:rPr>
              <w:t>、同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时，担任公司董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2"/>
                <w:sz w:val="18"/>
                <w:szCs w:val="18"/>
              </w:rPr>
              <w:t>事、监事、高级</w:t>
            </w:r>
            <w:r>
              <w:rPr>
                <w:rFonts w:ascii="宋体" w:hAnsi="宋体" w:cs="宋体" w:eastAsia="宋体" w:hint="default"/>
                <w:sz w:val="18"/>
                <w:szCs w:val="18"/>
              </w:rPr>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管理人员的周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3"/>
                <w:sz w:val="18"/>
                <w:szCs w:val="18"/>
              </w:rPr>
              <w:t>炜、刘宁、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靳茂、张士英、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黄克华还承诺：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除前述锁定期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外，在其任职期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间每年转让的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股份不超过其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所持有发行人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股份总数的百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分之二十五，离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职后六个月内，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不转让其所持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有的发行人股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份。在首次公开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发行股票上市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之日起六个月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内申报离职的，</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0.040009pt;margin-top:72.47998pt;width:87.5pt;height:686.4pt;mso-position-horizontal-relative:page;mso-position-vertical-relative:page;z-index:-749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0"/>
                    <w:ind w:left="0" w:right="0"/>
                    <w:jc w:val="left"/>
                  </w:pPr>
                  <w:r>
                    <w:rPr/>
                    <w:t>（四）</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7"/>
                      <w:szCs w:val="17"/>
                    </w:rPr>
                  </w:pPr>
                </w:p>
                <w:p>
                  <w:pPr>
                    <w:pStyle w:val="BodyText"/>
                    <w:spacing w:line="240" w:lineRule="auto"/>
                    <w:ind w:left="36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自申报离职之</w:t>
            </w:r>
          </w:p>
        </w:tc>
        <w:tc>
          <w:tcPr>
            <w:tcW w:w="1277" w:type="dxa"/>
            <w:vMerge w:val="restart"/>
            <w:tcBorders>
              <w:top w:val="single" w:sz="4" w:space="0" w:color="000000"/>
              <w:left w:val="single" w:sz="4" w:space="0" w:color="000000"/>
              <w:right w:val="single" w:sz="4" w:space="0" w:color="000000"/>
            </w:tcBorders>
          </w:tcPr>
          <w:p>
            <w:pPr>
              <w:pStyle w:val="TableParagraph"/>
              <w:spacing w:line="137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4pt;mso-position-horizontal-relative:char;mso-position-vertical-relative:line" coordorigin="0,0" coordsize="1268,13728">
                  <v:group style="position:absolute;left:0;top:0;width:1268;height:13728" coordorigin="0,0" coordsize="1268,13728">
                    <v:shape style="position:absolute;left:0;top:0;width:1268;height:13728" coordorigin="0,0" coordsize="1268,13728" path="m0,13728l1267,13728,1267,0,0,0,0,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日起十八个月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内不得转让其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直接持有的公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司股份；在首次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七个月至第十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二个月之间申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报离职的，自申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十二个月内不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得转让其直接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份。公司董事周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炜之关联方王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英还承诺：在周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炜担任公司董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事、监事或高级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管理人员期间，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其持有的公司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股份按照对公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司董事、监事及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的股份减持的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规定执行。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主要股东关于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承担发行人相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关税收补缴责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任的承诺周炜、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王英和刘宁作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为发行人实际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控制人及主要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股东，就发行人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成立以来所涉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及的企业所得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税缴纳事项，出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具了《承诺书》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承诺如果税务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机关认定发行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人需要补交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年度已享受减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免的企业所得</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2546"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税税款，则该等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需要补交的税 款将由承诺人 </w:t>
            </w:r>
            <w:r>
              <w:rPr>
                <w:rFonts w:ascii="宋体" w:hAnsi="宋体" w:cs="宋体" w:eastAsia="宋体" w:hint="default"/>
                <w:spacing w:val="-6"/>
                <w:sz w:val="18"/>
                <w:szCs w:val="18"/>
              </w:rPr>
              <w:t>周炜、刘宁、王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英按照其持有 的发行人的股 权比例共同承 担。</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截至本报告期末，上述承诺人严格信守承诺，未发现违反上述承诺的情况。</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四、聘任、解聘会计师事务所情况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bookmarkStart w:name="四、聘任、解聘会计师事务所情况" w:id="46"/>
            <w:bookmarkEnd w:id="46"/>
            <w:r>
              <w:rPr/>
            </w:r>
            <w:r>
              <w:rPr>
                <w:rFonts w:ascii="宋体" w:hAnsi="宋体" w:cs="宋体" w:eastAsia="宋体" w:hint="default"/>
                <w:sz w:val="18"/>
                <w:szCs w:val="18"/>
              </w:rPr>
              <w:t>中磊会计师事务所有限责任公司</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聂平、欧维义</w:t>
            </w:r>
          </w:p>
        </w:tc>
      </w:tr>
    </w:tbl>
    <w:p>
      <w:pPr>
        <w:pStyle w:val="BodyText"/>
        <w:spacing w:line="240" w:lineRule="auto" w:before="49"/>
        <w:ind w:right="0"/>
        <w:jc w:val="left"/>
      </w:pPr>
      <w:r>
        <w:rPr/>
        <w:t>是否改聘会计师事务所</w:t>
      </w:r>
    </w:p>
    <w:p>
      <w:pPr>
        <w:pStyle w:val="BodyText"/>
        <w:spacing w:line="240" w:lineRule="auto" w:before="115"/>
        <w:ind w:right="0"/>
        <w:jc w:val="left"/>
      </w:pPr>
      <w:r>
        <w:rPr/>
        <w:t>□ 是 √</w:t>
      </w:r>
      <w:r>
        <w:rPr>
          <w:spacing w:val="3"/>
        </w:rPr>
        <w:t> </w:t>
      </w:r>
      <w:r>
        <w:rPr/>
        <w:t>否</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0"/>
        <w:jc w:val="left"/>
        <w:rPr>
          <w:b w:val="0"/>
          <w:bCs w:val="0"/>
        </w:rPr>
      </w:pPr>
      <w:bookmarkStart w:name="第六节 股份变动及股东情况" w:id="47"/>
      <w:bookmarkEnd w:id="47"/>
      <w:r>
        <w:rPr>
          <w:b w:val="0"/>
          <w:bCs w:val="0"/>
        </w:rPr>
      </w:r>
      <w:bookmarkStart w:name="_bookmark5" w:id="48"/>
      <w:bookmarkEnd w:id="48"/>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一、股份变动</w:t>
      </w:r>
      <w:bookmarkStart w:name="一、股份变动情况" w:id="49"/>
      <w:bookmarkEnd w:id="49"/>
      <w:r>
        <w:rPr/>
        <w:t>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2"/>
        <w:gridCol w:w="845"/>
        <w:gridCol w:w="845"/>
        <w:gridCol w:w="842"/>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8" w:right="0"/>
              <w:jc w:val="left"/>
              <w:rPr>
                <w:rFonts w:ascii="宋体" w:hAnsi="宋体" w:cs="宋体" w:eastAsia="宋体" w:hint="default"/>
                <w:sz w:val="18"/>
                <w:szCs w:val="18"/>
              </w:rPr>
            </w:pPr>
            <w:bookmarkStart w:name="1、股份变动情况" w:id="50"/>
            <w:bookmarkEnd w:id="50"/>
            <w:r>
              <w:rPr/>
            </w: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4D4D4"/>
          </w:tcPr>
          <w:p>
            <w:pP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4D4D4"/>
          </w:tcPr>
          <w:p>
            <w:pP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4D4D4"/>
          </w:tcPr>
          <w:p>
            <w:pP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845" w:type="dxa"/>
            <w:vMerge/>
            <w:tcBorders>
              <w:left w:val="single" w:sz="4" w:space="0" w:color="000000"/>
              <w:bottom w:val="nil" w:sz="6" w:space="0" w:color="auto"/>
              <w:right w:val="single" w:sz="4" w:space="0" w:color="000000"/>
            </w:tcBorders>
            <w:shd w:val="clear" w:color="auto" w:fill="D4D4D4"/>
          </w:tcPr>
          <w:p>
            <w:pPr/>
          </w:p>
        </w:tc>
        <w:tc>
          <w:tcPr>
            <w:tcW w:w="845"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845"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74.77%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-23,016,80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16,983,19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56,983,19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53.26%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74.77%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-34,031,12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5,968,874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45,968,87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42.96%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74.77%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-34,031,12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5,968,874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45,968,87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42.96%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11,014,31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11,014,31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11,014,31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25.23%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23,016,80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36,516,80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50,016,80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46.74%</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25.23%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23,016,80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36,516,80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50,016,80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46.74%</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00" w:lineRule="auto" w:before="115"/>
        <w:ind w:right="151" w:firstLine="419"/>
        <w:jc w:val="both"/>
      </w:pPr>
      <w:r>
        <w:rPr>
          <w:spacing w:val="-29"/>
        </w:rPr>
        <w:t>（</w:t>
      </w:r>
      <w:r>
        <w:rPr>
          <w:rFonts w:ascii="Times New Roman" w:hAnsi="Times New Roman" w:cs="Times New Roman" w:eastAsia="Times New Roman" w:hint="default"/>
          <w:spacing w:val="-29"/>
        </w:rPr>
        <w:t>1</w:t>
      </w:r>
      <w:r>
        <w:rPr>
          <w:spacing w:val="-29"/>
        </w:rPr>
        <w:t>）公司</w:t>
      </w:r>
      <w:r>
        <w:rPr>
          <w:spacing w:val="11"/>
        </w:rPr>
        <w:t> </w:t>
      </w:r>
      <w:r>
        <w:rPr>
          <w:rFonts w:ascii="Times New Roman" w:hAnsi="Times New Roman" w:cs="Times New Roman" w:eastAsia="Times New Roman" w:hint="default"/>
          <w:spacing w:val="-2"/>
        </w:rPr>
        <w:t>2011</w:t>
      </w:r>
      <w:r>
        <w:rPr>
          <w:spacing w:val="-2"/>
        </w:rPr>
        <w:t>年度利润分配及资本公积转增股本方案已获</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日召开的</w:t>
      </w:r>
      <w:r>
        <w:rPr>
          <w:rFonts w:ascii="Times New Roman" w:hAnsi="Times New Roman" w:cs="Times New Roman" w:eastAsia="Times New Roman" w:hint="default"/>
          <w:spacing w:val="-2"/>
        </w:rPr>
        <w:t>2011</w:t>
      </w:r>
      <w:r>
        <w:rPr>
          <w:spacing w:val="-2"/>
        </w:rPr>
        <w:t>年度股东大会审议通过，公司</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年度利润分配及资本公积转增股本方案为：以公司</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5,350</w:t>
      </w:r>
      <w:r>
        <w:rPr/>
        <w:t>万股为基数，向全体股东每</w:t>
      </w:r>
      <w:r>
        <w:rPr>
          <w:rFonts w:ascii="Times New Roman" w:hAnsi="Times New Roman" w:cs="Times New Roman" w:eastAsia="Times New Roman" w:hint="default"/>
        </w:rPr>
        <w:t>10</w:t>
      </w:r>
      <w:r>
        <w:rPr/>
        <w:t>股派发现金股利人民 </w:t>
      </w:r>
      <w:r>
        <w:rPr>
          <w:spacing w:val="-2"/>
        </w:rPr>
        <w:t>币</w:t>
      </w:r>
      <w:r>
        <w:rPr>
          <w:rFonts w:ascii="Times New Roman" w:hAnsi="Times New Roman" w:cs="Times New Roman" w:eastAsia="Times New Roman" w:hint="default"/>
          <w:spacing w:val="-2"/>
        </w:rPr>
        <w:t>1.00</w:t>
      </w:r>
      <w:r>
        <w:rPr>
          <w:spacing w:val="-2"/>
        </w:rPr>
        <w:t>元（含税），合计派发现金</w:t>
      </w:r>
      <w:r>
        <w:rPr>
          <w:rFonts w:ascii="Times New Roman" w:hAnsi="Times New Roman" w:cs="Times New Roman" w:eastAsia="Times New Roman" w:hint="default"/>
          <w:spacing w:val="-2"/>
        </w:rPr>
        <w:t>5,350,000.00</w:t>
      </w:r>
      <w:r>
        <w:rPr>
          <w:spacing w:val="-2"/>
        </w:rPr>
        <w:t>元，剩余未分配利润结转下一年度；同时，以资本公积每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w:t>
      </w:r>
      <w:r>
        <w:rPr>
          <w:spacing w:val="-57"/>
        </w:rPr>
        <w:t> </w:t>
      </w:r>
      <w:r>
        <w:rPr>
          <w:spacing w:val="-57"/>
        </w:rPr>
      </w:r>
      <w:r>
        <w:rPr/>
        <w:t>转增</w:t>
      </w:r>
      <w:r>
        <w:rPr>
          <w:rFonts w:ascii="Times New Roman" w:hAnsi="Times New Roman" w:cs="Times New Roman" w:eastAsia="Times New Roman" w:hint="default"/>
        </w:rPr>
        <w:t>5,350</w:t>
      </w:r>
      <w:r>
        <w:rPr/>
        <w:t>万股，转增后公司总股本增加至</w:t>
      </w:r>
      <w:r>
        <w:rPr>
          <w:rFonts w:ascii="Times New Roman" w:hAnsi="Times New Roman" w:cs="Times New Roman" w:eastAsia="Times New Roman" w:hint="default"/>
        </w:rPr>
        <w:t>10,700</w:t>
      </w:r>
      <w:r>
        <w:rPr/>
        <w:t>万股。公司已于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日实施完成了</w:t>
      </w:r>
      <w:r>
        <w:rPr>
          <w:rFonts w:ascii="Times New Roman" w:hAnsi="Times New Roman" w:cs="Times New Roman" w:eastAsia="Times New Roman" w:hint="default"/>
        </w:rPr>
        <w:t>2011</w:t>
      </w:r>
      <w:r>
        <w:rPr/>
        <w:t>年度权益分派。</w:t>
      </w:r>
    </w:p>
    <w:p>
      <w:pPr>
        <w:spacing w:after="0" w:line="30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4" w:lineRule="auto" w:before="44"/>
        <w:ind w:right="190" w:firstLine="419"/>
        <w:jc w:val="both"/>
      </w:pPr>
      <w:r>
        <w:rPr>
          <w:spacing w:val="-2"/>
        </w:rPr>
        <w:t>（</w:t>
      </w:r>
      <w:r>
        <w:rPr>
          <w:rFonts w:ascii="Times New Roman" w:hAnsi="Times New Roman" w:cs="Times New Roman" w:eastAsia="Times New Roman" w:hint="default"/>
          <w:spacing w:val="-2"/>
        </w:rPr>
        <w:t>2</w:t>
      </w:r>
      <w:r>
        <w:rPr>
          <w:spacing w:val="-2"/>
        </w:rPr>
        <w:t>）公司股东孙凯、张士英等</w:t>
      </w:r>
      <w:r>
        <w:rPr>
          <w:rFonts w:ascii="Times New Roman" w:hAnsi="Times New Roman" w:cs="Times New Roman" w:eastAsia="Times New Roman" w:hint="default"/>
          <w:spacing w:val="-2"/>
        </w:rPr>
        <w:t>23</w:t>
      </w:r>
      <w:r>
        <w:rPr>
          <w:spacing w:val="-2"/>
        </w:rPr>
        <w:t>人承诺：自发行人股票上市之日起十二个月内，不转让或者委托他人管理其直接或者</w:t>
      </w:r>
      <w:r>
        <w:rPr/>
        <w:t> </w:t>
      </w:r>
      <w:r>
        <w:rPr>
          <w:spacing w:val="-2"/>
        </w:rPr>
        <w:t>间接持有的发行人公开发行股票前已发行的股份，也不由发行人回购其直接或者间接持有的发行人公开发行股票前已发行的</w:t>
      </w:r>
      <w:r>
        <w:rPr>
          <w:spacing w:val="-64"/>
        </w:rPr>
        <w:t> </w:t>
      </w:r>
      <w:r>
        <w:rPr>
          <w:spacing w:val="-64"/>
        </w:rPr>
      </w:r>
      <w:r>
        <w:rPr>
          <w:spacing w:val="-2"/>
        </w:rPr>
        <w:t>股份。</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日限售期满，公司于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日发布《首次公开发行前已发行股份上市流通提示性公告》，本次解除</w:t>
      </w:r>
      <w:r>
        <w:rPr>
          <w:spacing w:val="-58"/>
        </w:rPr>
        <w:t> </w:t>
      </w:r>
      <w:r>
        <w:rPr>
          <w:spacing w:val="-58"/>
        </w:rPr>
      </w:r>
      <w:r>
        <w:rPr/>
        <w:t>限售股份的数量为</w:t>
      </w:r>
      <w:r>
        <w:rPr>
          <w:rFonts w:ascii="Times New Roman" w:hAnsi="Times New Roman" w:cs="Times New Roman" w:eastAsia="Times New Roman" w:hint="default"/>
        </w:rPr>
        <w:t>34,031,126</w:t>
      </w:r>
      <w:r>
        <w:rPr/>
        <w:t>股，实际可上市流通的数量为</w:t>
      </w:r>
      <w:r>
        <w:rPr>
          <w:rFonts w:ascii="Times New Roman" w:hAnsi="Times New Roman" w:cs="Times New Roman" w:eastAsia="Times New Roman" w:hint="default"/>
        </w:rPr>
        <w:t>23,016,878</w:t>
      </w:r>
      <w:r>
        <w:rPr/>
        <w:t>股，高管锁定股的数量为</w:t>
      </w:r>
      <w:r>
        <w:rPr>
          <w:rFonts w:ascii="Times New Roman" w:hAnsi="Times New Roman" w:cs="Times New Roman" w:eastAsia="Times New Roman" w:hint="default"/>
        </w:rPr>
        <w:t>11,014,248</w:t>
      </w:r>
      <w:r>
        <w:rPr/>
        <w:t>股，限售股份可上 市流通日为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w:t>
      </w:r>
    </w:p>
    <w:p>
      <w:pPr>
        <w:pStyle w:val="BodyText"/>
        <w:spacing w:line="309" w:lineRule="auto" w:before="9"/>
        <w:ind w:left="153" w:right="94" w:firstLine="419"/>
        <w:jc w:val="left"/>
      </w:pPr>
      <w:r>
        <w:rPr/>
        <w:t>（</w:t>
      </w:r>
      <w:r>
        <w:rPr>
          <w:rFonts w:ascii="Times New Roman" w:hAnsi="Times New Roman" w:cs="Times New Roman" w:eastAsia="Times New Roman" w:hint="default"/>
        </w:rPr>
        <w:t>3</w:t>
      </w:r>
      <w:r>
        <w:rPr/>
        <w:t>）同时，担任公司董事、监事、高级管理人员的张士英等人还承诺：除前述锁定期外，在其任职期间每年转让的股 </w:t>
      </w:r>
      <w:r>
        <w:rPr>
          <w:spacing w:val="-2"/>
        </w:rPr>
        <w:t>份不超过其所持有发行人股份总数的百分之二十五，离职后六个月内，不转让其所持有的发行人股份。在首次公开发行股票</w:t>
      </w:r>
      <w:r>
        <w:rPr>
          <w:spacing w:val="-63"/>
        </w:rPr>
        <w:t> </w:t>
      </w:r>
      <w:r>
        <w:rPr>
          <w:spacing w:val="-63"/>
        </w:rPr>
      </w:r>
      <w:r>
        <w:rPr>
          <w:spacing w:val="-2"/>
        </w:rPr>
        <w:t>上市之日起六个月内申报离职的，自申报离职之日起十八个月内不得转让其直接持有的公司股份；在首次公开发行股票上市</w:t>
      </w:r>
      <w:r>
        <w:rPr>
          <w:spacing w:val="-64"/>
        </w:rPr>
        <w:t> </w:t>
      </w:r>
      <w:r>
        <w:rPr>
          <w:spacing w:val="-64"/>
        </w:rPr>
      </w:r>
      <w:r>
        <w:rPr>
          <w:spacing w:val="-2"/>
        </w:rPr>
        <w:t>之日起第七个月至第十二个月之间申报离职的，自申报离职之日起十二个月内不得转让其直接持有的公司股份。张士英因年</w:t>
      </w:r>
      <w:r>
        <w:rPr>
          <w:spacing w:val="-64"/>
        </w:rPr>
        <w:t> </w:t>
      </w:r>
      <w:r>
        <w:rPr>
          <w:spacing w:val="-64"/>
        </w:rPr>
      </w:r>
      <w:r>
        <w:rPr>
          <w:spacing w:val="-2"/>
        </w:rPr>
        <w:t>龄原因，于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日提出辞职，其辞职时持有公司</w:t>
      </w:r>
      <w:r>
        <w:rPr>
          <w:rFonts w:ascii="Times New Roman" w:hAnsi="Times New Roman" w:cs="Times New Roman" w:eastAsia="Times New Roman" w:hint="default"/>
          <w:spacing w:val="-2"/>
        </w:rPr>
        <w:t>4,658,682</w:t>
      </w:r>
      <w:r>
        <w:rPr>
          <w:spacing w:val="-2"/>
        </w:rPr>
        <w:t>股（其中高管锁定股</w:t>
      </w:r>
      <w:r>
        <w:rPr>
          <w:rFonts w:ascii="Times New Roman" w:hAnsi="Times New Roman" w:cs="Times New Roman" w:eastAsia="Times New Roman" w:hint="default"/>
          <w:spacing w:val="-2"/>
        </w:rPr>
        <w:t>4,658,612</w:t>
      </w:r>
      <w:r>
        <w:rPr>
          <w:spacing w:val="-2"/>
        </w:rPr>
        <w:t>股，无限售条件股份</w:t>
      </w:r>
      <w:r>
        <w:rPr>
          <w:rFonts w:ascii="Times New Roman" w:hAnsi="Times New Roman" w:cs="Times New Roman" w:eastAsia="Times New Roman" w:hint="default"/>
          <w:spacing w:val="-2"/>
        </w:rPr>
        <w:t>70</w:t>
      </w:r>
      <w:r>
        <w:rPr>
          <w:spacing w:val="-2"/>
        </w:rPr>
        <w:t>股）。</w:t>
      </w:r>
      <w:r>
        <w:rPr>
          <w:spacing w:val="-42"/>
        </w:rPr>
        <w:t> </w:t>
      </w:r>
      <w:r>
        <w:rPr>
          <w:spacing w:val="-42"/>
        </w:rPr>
      </w:r>
      <w:r>
        <w:rPr>
          <w:spacing w:val="-2"/>
        </w:rPr>
        <w:t>根据其上述承诺，离职后六个月内，不转让其所持有的发行人股份，故上述</w:t>
      </w:r>
      <w:r>
        <w:rPr>
          <w:rFonts w:ascii="Times New Roman" w:hAnsi="Times New Roman" w:cs="Times New Roman" w:eastAsia="Times New Roman" w:hint="default"/>
          <w:spacing w:val="-2"/>
        </w:rPr>
        <w:t>4,658,682</w:t>
      </w:r>
      <w:r>
        <w:rPr>
          <w:spacing w:val="-2"/>
        </w:rPr>
        <w:t>股全部变更为高管锁定股，使得报告期</w:t>
      </w:r>
      <w:r>
        <w:rPr>
          <w:spacing w:val="-59"/>
        </w:rPr>
        <w:t> </w:t>
      </w:r>
      <w:r>
        <w:rPr>
          <w:spacing w:val="-59"/>
        </w:rPr>
      </w:r>
      <w:r>
        <w:rPr/>
        <w:t>末高管锁定股的数量变更为</w:t>
      </w:r>
      <w:r>
        <w:rPr>
          <w:rFonts w:ascii="Times New Roman" w:hAnsi="Times New Roman" w:cs="Times New Roman" w:eastAsia="Times New Roman" w:hint="default"/>
        </w:rPr>
        <w:t>11,014,318</w:t>
      </w:r>
      <w:r>
        <w:rPr/>
        <w:t>股。</w:t>
      </w:r>
    </w:p>
    <w:p>
      <w:pPr>
        <w:pStyle w:val="BodyText"/>
        <w:spacing w:line="240" w:lineRule="auto" w:before="46"/>
        <w:ind w:left="153" w:right="184"/>
        <w:jc w:val="left"/>
      </w:pPr>
      <w:r>
        <w:rPr/>
        <w:t>股份变动的批准情况</w:t>
      </w:r>
    </w:p>
    <w:p>
      <w:pPr>
        <w:pStyle w:val="BodyText"/>
        <w:spacing w:line="360" w:lineRule="auto" w:before="115"/>
        <w:ind w:left="441" w:right="255" w:hanging="289"/>
        <w:jc w:val="left"/>
      </w:pPr>
      <w:r>
        <w:rPr/>
        <w:t>√ 适用 □</w:t>
      </w:r>
      <w:r>
        <w:rPr>
          <w:spacing w:val="3"/>
        </w:rPr>
        <w:t> </w:t>
      </w:r>
      <w:r>
        <w:rPr/>
        <w:t>不适用</w:t>
      </w:r>
      <w:r>
        <w:rPr/>
        <w:t> 公司</w:t>
      </w:r>
      <w:r>
        <w:rPr>
          <w:rFonts w:ascii="Times New Roman" w:hAnsi="Times New Roman" w:cs="Times New Roman" w:eastAsia="Times New Roman" w:hint="default"/>
        </w:rPr>
        <w:t>2011</w:t>
      </w:r>
      <w:r>
        <w:rPr/>
        <w:t>年度利润分配及资本公积转增股本方案已获</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2011</w:t>
      </w:r>
      <w:r>
        <w:rPr/>
        <w:t>年度股东大会审议通过，公司</w:t>
      </w:r>
      <w:r>
        <w:rPr>
          <w:rFonts w:ascii="Times New Roman" w:hAnsi="Times New Roman" w:cs="Times New Roman" w:eastAsia="Times New Roman" w:hint="default"/>
        </w:rPr>
        <w:t>2011</w:t>
      </w:r>
      <w:r>
        <w:rPr/>
        <w:t>年度</w:t>
      </w:r>
    </w:p>
    <w:p>
      <w:pPr>
        <w:pStyle w:val="BodyText"/>
        <w:spacing w:line="212" w:lineRule="exact"/>
        <w:ind w:left="153" w:right="0"/>
        <w:jc w:val="left"/>
        <w:rPr>
          <w:rFonts w:ascii="Times New Roman" w:hAnsi="Times New Roman" w:cs="Times New Roman" w:eastAsia="Times New Roman" w:hint="default"/>
        </w:rPr>
      </w:pPr>
      <w:r>
        <w:rPr/>
        <w:t>利润分配及资本公积转增股本方案为：以公司</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5,350</w:t>
      </w:r>
      <w:r>
        <w:rPr/>
        <w:t>万股为基数，向全体股东每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1.00</w:t>
      </w:r>
    </w:p>
    <w:p>
      <w:pPr>
        <w:pStyle w:val="BodyText"/>
        <w:spacing w:line="319" w:lineRule="auto" w:before="62"/>
        <w:ind w:left="153" w:right="228"/>
        <w:jc w:val="left"/>
      </w:pPr>
      <w:r>
        <w:rPr/>
        <w:t>元（含税），合计派发现金</w:t>
      </w:r>
      <w:r>
        <w:rPr>
          <w:rFonts w:ascii="Times New Roman" w:hAnsi="Times New Roman" w:cs="Times New Roman" w:eastAsia="Times New Roman" w:hint="default"/>
        </w:rPr>
        <w:t>5,350,000.00</w:t>
      </w:r>
      <w:r>
        <w:rPr/>
        <w:t>元，剩余未分配利润结转下一年度；同时，以资本公积每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 </w:t>
      </w:r>
      <w:r>
        <w:rPr>
          <w:rFonts w:ascii="Times New Roman" w:hAnsi="Times New Roman" w:cs="Times New Roman" w:eastAsia="Times New Roman" w:hint="default"/>
        </w:rPr>
        <w:t>5,350</w:t>
      </w:r>
      <w:r>
        <w:rPr/>
        <w:t>万股，转增后公司总股本增加至</w:t>
      </w:r>
      <w:r>
        <w:rPr>
          <w:rFonts w:ascii="Times New Roman" w:hAnsi="Times New Roman" w:cs="Times New Roman" w:eastAsia="Times New Roman" w:hint="default"/>
        </w:rPr>
        <w:t>10,700</w:t>
      </w:r>
      <w:r>
        <w:rPr/>
        <w:t>万股。公司已于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日实施完成了</w:t>
      </w:r>
      <w:r>
        <w:rPr>
          <w:rFonts w:ascii="Times New Roman" w:hAnsi="Times New Roman" w:cs="Times New Roman" w:eastAsia="Times New Roman" w:hint="default"/>
        </w:rPr>
        <w:t>2011</w:t>
      </w:r>
      <w:r>
        <w:rPr/>
        <w:t>年度权益分派。 股份变动的过户情况</w:t>
      </w:r>
    </w:p>
    <w:p>
      <w:pPr>
        <w:pStyle w:val="BodyText"/>
        <w:spacing w:line="360" w:lineRule="auto" w:before="55"/>
        <w:ind w:left="153" w:right="453"/>
        <w:jc w:val="left"/>
      </w:pPr>
      <w:r>
        <w:rPr/>
        <w:t>不适用 股份变动对最近一年和最近一期基本每股收益和稀释每股收益、归属于公司普通股股东的每股净资产等财务指标的影响</w:t>
      </w:r>
    </w:p>
    <w:p>
      <w:pPr>
        <w:pStyle w:val="BodyText"/>
        <w:spacing w:line="357" w:lineRule="auto" w:before="27"/>
        <w:ind w:left="441" w:right="184" w:hanging="289"/>
        <w:jc w:val="left"/>
      </w:pPr>
      <w:r>
        <w:rPr/>
        <w:t>√ 适用 □</w:t>
      </w:r>
      <w:r>
        <w:rPr>
          <w:spacing w:val="3"/>
        </w:rPr>
        <w:t> </w:t>
      </w:r>
      <w:r>
        <w:rPr/>
        <w:t>不适用</w:t>
      </w:r>
      <w:r>
        <w:rPr/>
        <w:t> </w:t>
      </w:r>
      <w:r>
        <w:rPr>
          <w:spacing w:val="-1"/>
        </w:rPr>
        <w:t>本期实施资本公积金转增股本，总股本由期初</w:t>
      </w:r>
      <w:r>
        <w:rPr>
          <w:rFonts w:ascii="Times New Roman" w:hAnsi="Times New Roman" w:cs="Times New Roman" w:eastAsia="Times New Roman" w:hint="default"/>
          <w:spacing w:val="-1"/>
        </w:rPr>
        <w:t>5,350</w:t>
      </w:r>
      <w:r>
        <w:rPr>
          <w:spacing w:val="-1"/>
        </w:rPr>
        <w:t>万股增加至期末</w:t>
      </w:r>
      <w:r>
        <w:rPr>
          <w:rFonts w:ascii="Times New Roman" w:hAnsi="Times New Roman" w:cs="Times New Roman" w:eastAsia="Times New Roman" w:hint="default"/>
          <w:spacing w:val="-1"/>
        </w:rPr>
        <w:t>10,700</w:t>
      </w:r>
      <w:r>
        <w:rPr>
          <w:spacing w:val="-1"/>
        </w:rPr>
        <w:t>万股，按照有关准则规定，对上期每股收益进</w:t>
      </w:r>
    </w:p>
    <w:p>
      <w:pPr>
        <w:pStyle w:val="BodyText"/>
        <w:spacing w:line="201" w:lineRule="exact"/>
        <w:ind w:left="153" w:right="184"/>
        <w:jc w:val="left"/>
      </w:pPr>
      <w:r>
        <w:rPr/>
        <w:t>行了调整。</w:t>
      </w:r>
    </w:p>
    <w:p>
      <w:pPr>
        <w:pStyle w:val="BodyText"/>
        <w:spacing w:line="360" w:lineRule="auto" w:before="117"/>
        <w:ind w:left="153" w:right="5853"/>
        <w:jc w:val="left"/>
      </w:pPr>
      <w:r>
        <w:rPr/>
        <w:t>公司认为必要或证券监管机构要求披露的其他内容 无</w:t>
      </w:r>
    </w:p>
    <w:p>
      <w:pPr>
        <w:spacing w:line="240" w:lineRule="auto" w:before="5"/>
        <w:rPr>
          <w:rFonts w:ascii="宋体" w:hAnsi="宋体" w:cs="宋体" w:eastAsia="宋体" w:hint="default"/>
          <w:sz w:val="20"/>
          <w:szCs w:val="20"/>
        </w:rPr>
      </w:pPr>
    </w:p>
    <w:p>
      <w:pPr>
        <w:pStyle w:val="Heading3"/>
        <w:spacing w:line="240" w:lineRule="auto"/>
        <w:ind w:right="18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right"/>
              <w:rPr>
                <w:rFonts w:ascii="宋体" w:hAnsi="宋体" w:cs="宋体" w:eastAsia="宋体" w:hint="default"/>
                <w:sz w:val="18"/>
                <w:szCs w:val="18"/>
              </w:rPr>
            </w:pPr>
            <w:bookmarkStart w:name="2、限售股份变动情况" w:id="51"/>
            <w:bookmarkEnd w:id="51"/>
            <w:r>
              <w:rPr/>
            </w: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8,857,047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8,857,047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17,714,094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7,484,605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7,484,605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14,969,210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6,642,785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6,642,785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13,285,570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3,908,555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3,908,555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5,862,832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首发承诺；董事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316" w:lineRule="auto" w:before="63"/>
              <w:ind w:left="23" w:right="72"/>
              <w:jc w:val="left"/>
              <w:rPr>
                <w:rFonts w:ascii="宋体" w:hAnsi="宋体" w:cs="宋体" w:eastAsia="宋体" w:hint="default"/>
                <w:sz w:val="18"/>
                <w:szCs w:val="18"/>
              </w:rPr>
            </w:pPr>
            <w:r>
              <w:rPr>
                <w:rFonts w:ascii="宋体" w:hAnsi="宋体" w:cs="宋体" w:eastAsia="宋体" w:hint="default"/>
                <w:sz w:val="18"/>
                <w:szCs w:val="18"/>
              </w:rPr>
              <w:t>日；按董事锁定 规定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3,105,741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3,105,741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首发承诺；离职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5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left"/>
              <w:rPr>
                <w:rFonts w:ascii="宋体" w:hAnsi="宋体" w:cs="宋体" w:eastAsia="宋体" w:hint="default"/>
                <w:sz w:val="18"/>
                <w:szCs w:val="18"/>
              </w:rPr>
            </w:pPr>
            <w:r>
              <w:rPr>
                <w:rFonts w:ascii="宋体" w:hAnsi="宋体" w:cs="宋体" w:eastAsia="宋体" w:hint="default"/>
                <w:sz w:val="18"/>
                <w:szCs w:val="18"/>
              </w:rPr>
              <w:t>日；按离职监事 锁定规定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陈建国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2,578,732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5,157,464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2,578,732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贾按师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2,530,286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2,530,286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1,874,476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3,748,952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1,874,476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胡美珍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617,760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617,760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682,656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曾刚琴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239,431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239,431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220,008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220,008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黄晓怡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205,920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205,920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首发承诺；董事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316" w:lineRule="auto" w:before="63"/>
              <w:ind w:left="23" w:right="72"/>
              <w:jc w:val="left"/>
              <w:rPr>
                <w:rFonts w:ascii="宋体" w:hAnsi="宋体" w:cs="宋体" w:eastAsia="宋体" w:hint="default"/>
                <w:sz w:val="18"/>
                <w:szCs w:val="18"/>
              </w:rPr>
            </w:pPr>
            <w:r>
              <w:rPr>
                <w:rFonts w:ascii="宋体" w:hAnsi="宋体" w:cs="宋体" w:eastAsia="宋体" w:hint="default"/>
                <w:sz w:val="18"/>
                <w:szCs w:val="18"/>
              </w:rPr>
              <w:t>日；按董事锁定 规定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159,094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159,094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付春林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133,299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133,299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131,280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131,280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首发承诺；监事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316" w:lineRule="auto" w:before="63"/>
              <w:ind w:left="23" w:right="72"/>
              <w:jc w:val="left"/>
              <w:rPr>
                <w:rFonts w:ascii="宋体" w:hAnsi="宋体" w:cs="宋体" w:eastAsia="宋体" w:hint="default"/>
                <w:sz w:val="18"/>
                <w:szCs w:val="18"/>
              </w:rPr>
            </w:pPr>
            <w:r>
              <w:rPr>
                <w:rFonts w:ascii="宋体" w:hAnsi="宋体" w:cs="宋体" w:eastAsia="宋体" w:hint="default"/>
                <w:sz w:val="18"/>
                <w:szCs w:val="18"/>
              </w:rPr>
              <w:t>日；按监事锁定 规定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孙超仁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邓荣华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陈军华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艾国光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李继东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阚家平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11"/>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熊海浪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11"/>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汪国亮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11"/>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23,016,808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56,983,192</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614"/>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、公司股份总数及股东结</w:t>
      </w:r>
      <w:bookmarkStart w:name="二、证券发行与上市情况" w:id="52"/>
      <w:bookmarkEnd w:id="52"/>
      <w:r>
        <w:rPr/>
      </w:r>
      <w:bookmarkStart w:name="1、公司股份总数及股东结构的变动、公司资产和负债结构的变动情况说明" w:id="53"/>
      <w:bookmarkEnd w:id="53"/>
      <w:r>
        <w:rPr/>
        <w:t>构的变动、公司资</w:t>
      </w:r>
      <w:r>
        <w:rPr/>
        <w:t>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3"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2011</w:t>
      </w:r>
      <w:r>
        <w:rPr/>
        <w:t>年度股东大会审议通过了《关于公司</w:t>
      </w:r>
      <w:r>
        <w:rPr>
          <w:rFonts w:ascii="Times New Roman" w:hAnsi="Times New Roman" w:cs="Times New Roman" w:eastAsia="Times New Roman" w:hint="default"/>
        </w:rPr>
        <w:t>2011</w:t>
      </w:r>
      <w:r>
        <w:rPr/>
        <w:t>年度利润分配及资本公积转增股本预案的议案》， </w:t>
      </w:r>
      <w:r>
        <w:rPr>
          <w:spacing w:val="-3"/>
        </w:rPr>
        <w:t>以公司</w:t>
      </w:r>
      <w:r>
        <w:rPr>
          <w:rFonts w:ascii="Times New Roman" w:hAnsi="Times New Roman" w:cs="Times New Roman" w:eastAsia="Times New Roman" w:hint="default"/>
          <w:spacing w:val="-3"/>
        </w:rPr>
        <w:t>2011</w:t>
      </w:r>
      <w:r>
        <w:rPr>
          <w:spacing w:val="-3"/>
        </w:rPr>
        <w:t>年末总股本</w:t>
      </w:r>
      <w:r>
        <w:rPr>
          <w:rFonts w:ascii="Times New Roman" w:hAnsi="Times New Roman" w:cs="Times New Roman" w:eastAsia="Times New Roman" w:hint="default"/>
          <w:spacing w:val="-3"/>
        </w:rPr>
        <w:t>5,350</w:t>
      </w:r>
      <w:r>
        <w:rPr>
          <w:spacing w:val="-3"/>
        </w:rPr>
        <w:t>万股为基数，向全体股东每</w:t>
      </w:r>
      <w:r>
        <w:rPr>
          <w:rFonts w:ascii="Times New Roman" w:hAnsi="Times New Roman" w:cs="Times New Roman" w:eastAsia="Times New Roman" w:hint="default"/>
          <w:spacing w:val="-3"/>
        </w:rPr>
        <w:t>10</w:t>
      </w:r>
      <w:r>
        <w:rPr>
          <w:spacing w:val="-3"/>
        </w:rPr>
        <w:t>股派发现金股利人民币</w:t>
      </w:r>
      <w:r>
        <w:rPr>
          <w:rFonts w:ascii="Times New Roman" w:hAnsi="Times New Roman" w:cs="Times New Roman" w:eastAsia="Times New Roman" w:hint="default"/>
          <w:spacing w:val="-3"/>
        </w:rPr>
        <w:t>1.00</w:t>
      </w:r>
      <w:r>
        <w:rPr>
          <w:spacing w:val="-3"/>
        </w:rPr>
        <w:t>元（含税），合计派发现金</w:t>
      </w:r>
      <w:r>
        <w:rPr>
          <w:rFonts w:ascii="Times New Roman" w:hAnsi="Times New Roman" w:cs="Times New Roman" w:eastAsia="Times New Roman" w:hint="default"/>
          <w:spacing w:val="-3"/>
        </w:rPr>
        <w:t>5,350,000.00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3"/>
        </w:rPr>
        <w:t>元，剩余未分配利润结转下一年度；同时，以</w:t>
      </w:r>
      <w:r>
        <w:rPr>
          <w:rFonts w:ascii="Times New Roman" w:hAnsi="Times New Roman" w:cs="Times New Roman" w:eastAsia="Times New Roman" w:hint="default"/>
          <w:spacing w:val="-3"/>
        </w:rPr>
        <w:t>2011</w:t>
      </w:r>
      <w:r>
        <w:rPr>
          <w:spacing w:val="-3"/>
        </w:rPr>
        <w:t>年末总股本</w:t>
      </w:r>
      <w:r>
        <w:rPr>
          <w:rFonts w:ascii="Times New Roman" w:hAnsi="Times New Roman" w:cs="Times New Roman" w:eastAsia="Times New Roman" w:hint="default"/>
          <w:spacing w:val="-3"/>
        </w:rPr>
        <w:t>5,350</w:t>
      </w:r>
      <w:r>
        <w:rPr>
          <w:spacing w:val="-3"/>
        </w:rPr>
        <w:t>万股为基数，以资本公积每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股，共计转增</w:t>
      </w:r>
      <w:r>
        <w:rPr>
          <w:rFonts w:ascii="Times New Roman" w:hAnsi="Times New Roman" w:cs="Times New Roman" w:eastAsia="Times New Roman" w:hint="default"/>
          <w:spacing w:val="-3"/>
        </w:rPr>
        <w:t>5,350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万股，转增后公司总股本将增加至</w:t>
      </w:r>
      <w:r>
        <w:rPr>
          <w:rFonts w:ascii="Times New Roman" w:hAnsi="Times New Roman" w:cs="Times New Roman" w:eastAsia="Times New Roman" w:hint="default"/>
        </w:rPr>
        <w:t>10,700</w:t>
      </w:r>
      <w:r>
        <w:rPr/>
        <w:t>万股。根据</w:t>
      </w:r>
      <w:r>
        <w:rPr>
          <w:rFonts w:ascii="Times New Roman" w:hAnsi="Times New Roman" w:cs="Times New Roman" w:eastAsia="Times New Roman" w:hint="default"/>
        </w:rPr>
        <w:t>2011</w:t>
      </w:r>
      <w:r>
        <w:rPr/>
        <w:t>年度股东大会决议，公司已于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日实施完成了上述</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年度权益分派。</w:t>
      </w:r>
    </w:p>
    <w:p>
      <w:pPr>
        <w:spacing w:line="240" w:lineRule="auto" w:before="11"/>
        <w:rPr>
          <w:rFonts w:ascii="宋体" w:hAnsi="宋体" w:cs="宋体" w:eastAsia="宋体" w:hint="default"/>
          <w:sz w:val="21"/>
          <w:szCs w:val="21"/>
        </w:rPr>
      </w:pPr>
    </w:p>
    <w:p>
      <w:pPr>
        <w:pStyle w:val="Heading2"/>
        <w:spacing w:line="240" w:lineRule="auto" w:before="0"/>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3"/>
        <w:gridCol w:w="1362"/>
        <w:gridCol w:w="1380"/>
        <w:gridCol w:w="1362"/>
        <w:gridCol w:w="1368"/>
        <w:gridCol w:w="1362"/>
        <w:gridCol w:w="1374"/>
      </w:tblGrid>
      <w:tr>
        <w:trPr>
          <w:trHeight w:val="408" w:hRule="exact"/>
        </w:trPr>
        <w:tc>
          <w:tcPr>
            <w:tcW w:w="27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2,629</w:t>
            </w:r>
          </w:p>
        </w:tc>
        <w:tc>
          <w:tcPr>
            <w:tcW w:w="409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bookmarkStart w:name="三、股东和实际控制人情况" w:id="54"/>
            <w:bookmarkEnd w:id="54"/>
            <w:r>
              <w:rPr>
                <w:rFonts w:ascii="Times New Roman" w:hAnsi="Times New Roman" w:cs="Times New Roman" w:eastAsia="Times New Roman" w:hint="default"/>
                <w:spacing w:val="-1"/>
                <w:sz w:val="18"/>
                <w:szCs w:val="18"/>
              </w:rPr>
            </w:r>
            <w:r>
              <w:rPr>
                <w:rFonts w:ascii="宋体" w:hAnsi="宋体" w:cs="宋体" w:eastAsia="宋体" w:hint="default"/>
                <w:sz w:val="18"/>
                <w:szCs w:val="18"/>
              </w:rPr>
              <w:t>个交易</w:t>
            </w:r>
            <w:bookmarkStart w:name="1、公司股东数量及持股情况" w:id="55"/>
            <w:bookmarkEnd w:id="55"/>
            <w:r>
              <w:rPr>
                <w:rFonts w:ascii="宋体" w:hAnsi="宋体" w:cs="宋体" w:eastAsia="宋体" w:hint="default"/>
                <w:sz w:val="18"/>
                <w:szCs w:val="18"/>
              </w:rPr>
              <w:t>日末的股东总数</w:t>
            </w:r>
          </w:p>
        </w:tc>
        <w:tc>
          <w:tcPr>
            <w:tcW w:w="137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2,684</w:t>
            </w:r>
          </w:p>
        </w:tc>
      </w:tr>
      <w:tr>
        <w:trPr>
          <w:trHeight w:val="39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380"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4D4D4"/>
          </w:tcPr>
          <w:p>
            <w:pPr/>
          </w:p>
        </w:tc>
        <w:tc>
          <w:tcPr>
            <w:tcW w:w="2736"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63" w:type="dxa"/>
            <w:vMerge/>
            <w:tcBorders>
              <w:left w:val="single" w:sz="4" w:space="0" w:color="000000"/>
              <w:bottom w:val="nil" w:sz="6" w:space="0" w:color="auto"/>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1380" w:type="dxa"/>
            <w:vMerge/>
            <w:tcBorders>
              <w:left w:val="single" w:sz="4" w:space="0" w:color="000000"/>
              <w:bottom w:val="nil" w:sz="6" w:space="0" w:color="auto"/>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c>
          <w:tcPr>
            <w:tcW w:w="13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2" w:type="dxa"/>
            <w:tcBorders>
              <w:top w:val="nil" w:sz="6" w:space="0" w:color="auto"/>
              <w:left w:val="single" w:sz="4" w:space="0" w:color="000000"/>
              <w:bottom w:val="single" w:sz="4" w:space="0" w:color="000000"/>
              <w:right w:val="single" w:sz="4" w:space="0" w:color="000000"/>
            </w:tcBorders>
            <w:shd w:val="clear" w:color="auto" w:fill="D4D4D4"/>
          </w:tcPr>
          <w:p>
            <w:pPr/>
          </w:p>
        </w:tc>
        <w:tc>
          <w:tcPr>
            <w:tcW w:w="1380"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2"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2" w:type="dxa"/>
            <w:vMerge/>
            <w:tcBorders>
              <w:left w:val="single" w:sz="4" w:space="0" w:color="000000"/>
              <w:bottom w:val="single" w:sz="4" w:space="0" w:color="000000"/>
              <w:right w:val="single" w:sz="4" w:space="0" w:color="000000"/>
            </w:tcBorders>
            <w:shd w:val="clear" w:color="auto" w:fill="D4D4D4"/>
          </w:tcPr>
          <w:p>
            <w:pPr/>
          </w:p>
        </w:tc>
        <w:tc>
          <w:tcPr>
            <w:tcW w:w="1374"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17,714,094</w:t>
            </w:r>
          </w:p>
        </w:tc>
        <w:tc>
          <w:tcPr>
            <w:tcW w:w="1368" w:type="dxa"/>
            <w:tcBorders>
              <w:top w:val="single" w:sz="18" w:space="0" w:color="D4D4D4"/>
              <w:left w:val="single" w:sz="4" w:space="0" w:color="000000"/>
              <w:bottom w:val="single" w:sz="4" w:space="0" w:color="000000"/>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18"/>
                <w:szCs w:val="18"/>
              </w:rPr>
            </w:pPr>
            <w:r>
              <w:rPr>
                <w:rFonts w:ascii="Times New Roman"/>
                <w:sz w:val="18"/>
              </w:rPr>
              <w:t>17,714,094</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14,969,210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14,969,210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13,285,570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13,285,570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5,862,910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5,862,832</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中国建设银行－ 银河行业优选股 票型证券投资基 金</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4,658,682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4,658,682</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中国工商银行－ 富国天惠精选成 长混合型证券投 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3,900,348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68"/>
        <w:gridCol w:w="1368"/>
        <w:gridCol w:w="1368"/>
        <w:gridCol w:w="1368"/>
      </w:tblGrid>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贾按师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2,929,872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陈建国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交通银行－华安 策略优选股票型 证券投资基金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2,657,170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1" w:type="dxa"/>
            <w:gridSpan w:val="2"/>
            <w:vMerge/>
            <w:tcBorders>
              <w:left w:val="single" w:sz="4" w:space="0" w:color="000000"/>
              <w:bottom w:val="single" w:sz="4" w:space="0" w:color="000000"/>
              <w:right w:val="single" w:sz="4" w:space="0" w:color="000000"/>
            </w:tcBorders>
            <w:shd w:val="clear" w:color="auto" w:fill="D4D4D4"/>
          </w:tcPr>
          <w:p>
            <w:pPr/>
          </w:p>
        </w:tc>
        <w:tc>
          <w:tcPr>
            <w:tcW w:w="4104" w:type="dxa"/>
            <w:gridSpan w:val="3"/>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中国建设银行－银河行业优选股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4,929,000</w:t>
            </w:r>
          </w:p>
        </w:tc>
      </w:tr>
      <w:tr>
        <w:trPr>
          <w:trHeight w:val="715"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中国工商银行－富国天惠精选成 长混合型证券投资基金（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3,900,348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3,900,348</w:t>
            </w:r>
          </w:p>
        </w:tc>
      </w:tr>
      <w:tr>
        <w:trPr>
          <w:trHeight w:val="401"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贾按师</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2,929,872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2,929,872</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陈建国</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交通银行－华安策略优选股票型 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2,657,170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2,657,170</w:t>
            </w:r>
          </w:p>
        </w:tc>
      </w:tr>
      <w:tr>
        <w:trPr>
          <w:trHeight w:val="1027"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中国农业银行－富国天瑞强势地 区精选混合型开放式证券投资基 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2,150,649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2,150,649</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中国银行－华夏回报证券投资基 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1,985,501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1,985,501</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夏玉琴</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1,541,600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1,541,600</w:t>
            </w:r>
          </w:p>
        </w:tc>
      </w:tr>
      <w:tr>
        <w:trPr>
          <w:trHeight w:val="401"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凌红</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1,357,900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1,357,900</w:t>
            </w:r>
          </w:p>
        </w:tc>
      </w:tr>
      <w:tr>
        <w:trPr>
          <w:trHeight w:val="715"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中国工商银行－南方绩优成长股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1,279,917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1,279,917</w:t>
            </w:r>
          </w:p>
        </w:tc>
      </w:tr>
      <w:tr>
        <w:trPr>
          <w:trHeight w:val="1027" w:hRule="exact"/>
        </w:trPr>
        <w:tc>
          <w:tcPr>
            <w:tcW w:w="273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2"/>
                <w:sz w:val="18"/>
                <w:szCs w:val="18"/>
              </w:rPr>
              <w:t>公司控股股东、实际控制人为周炜、王英夫妇；上述其他股东与公司控股股东、实际控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制人均无关联关系，也不属于一致行动人，公司未知上述其他股东之间是否存在关联关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系或属于一致行动人。</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公司控股股东情况" w:id="56"/>
      <w:bookmarkEnd w:id="56"/>
      <w:r>
        <w:rPr>
          <w:b w:val="0"/>
          <w:bCs w:val="0"/>
        </w:rPr>
      </w:r>
      <w:r>
        <w:rPr>
          <w:rFonts w:ascii="Times New Roman" w:hAnsi="Times New Roman" w:cs="Times New Roman" w:eastAsia="Times New Roman" w:hint="default"/>
        </w:rPr>
        <w:t>2</w:t>
      </w:r>
      <w:r>
        <w:rPr/>
        <w:t>、公司控股股东情况</w:t>
      </w:r>
      <w:r>
        <w:rPr>
          <w:b w:val="0"/>
          <w:bCs w:val="0"/>
        </w:rPr>
      </w:r>
    </w:p>
    <w:p>
      <w:pPr>
        <w:pStyle w:val="BodyText"/>
        <w:spacing w:line="440" w:lineRule="atLeast" w:before="137"/>
        <w:ind w:left="512" w:right="0"/>
        <w:jc w:val="left"/>
      </w:pPr>
      <w:r>
        <w:rPr/>
        <w:t>公司控股股东为周炜、王英夫妇，简历如下： </w:t>
      </w:r>
      <w:r>
        <w:rPr>
          <w:spacing w:val="-2"/>
        </w:rPr>
        <w:t>周炜，男，</w:t>
      </w:r>
      <w:r>
        <w:rPr>
          <w:rFonts w:ascii="Times New Roman" w:hAnsi="Times New Roman" w:cs="Times New Roman" w:eastAsia="Times New Roman" w:hint="default"/>
          <w:spacing w:val="-2"/>
        </w:rPr>
        <w:t>1967</w:t>
      </w:r>
      <w:r>
        <w:rPr>
          <w:spacing w:val="-2"/>
        </w:rPr>
        <w:t>年出生，中国国籍，无境外永久居留权。中欧国际工商学院高级管理人员工商管理硕士（</w:t>
      </w:r>
      <w:r>
        <w:rPr>
          <w:rFonts w:ascii="Times New Roman" w:hAnsi="Times New Roman" w:cs="Times New Roman" w:eastAsia="Times New Roman" w:hint="default"/>
          <w:spacing w:val="-2"/>
        </w:rPr>
        <w:t>EMBA</w:t>
      </w:r>
      <w:r>
        <w:rPr>
          <w:spacing w:val="-2"/>
        </w:rPr>
        <w:t>）、高</w:t>
      </w:r>
      <w:r>
        <w:rPr/>
      </w:r>
    </w:p>
    <w:p>
      <w:pPr>
        <w:pStyle w:val="BodyText"/>
        <w:spacing w:line="300" w:lineRule="auto" w:before="62"/>
        <w:ind w:right="150"/>
        <w:jc w:val="both"/>
      </w:pPr>
      <w:r>
        <w:rPr>
          <w:spacing w:val="-2"/>
        </w:rPr>
        <w:t>级工程师、高级经济师。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2004</w:t>
      </w:r>
      <w:r>
        <w:rPr>
          <w:spacing w:val="-2"/>
        </w:rPr>
        <w:t>年，先后担任上海泰格新技术开发公司总经理、上海金仕达卫宁医疗信息技术有限公</w:t>
      </w:r>
      <w:r>
        <w:rPr>
          <w:spacing w:val="-58"/>
        </w:rPr>
        <w:t> </w:t>
      </w:r>
      <w:r>
        <w:rPr>
          <w:spacing w:val="-58"/>
        </w:rPr>
      </w:r>
      <w:r>
        <w:rPr>
          <w:spacing w:val="-2"/>
        </w:rPr>
        <w:t>司董事长兼总裁；</w:t>
      </w:r>
      <w:r>
        <w:rPr>
          <w:rFonts w:ascii="Times New Roman" w:hAnsi="Times New Roman" w:cs="Times New Roman" w:eastAsia="Times New Roman" w:hint="default"/>
          <w:spacing w:val="-2"/>
        </w:rPr>
        <w:t>2004</w:t>
      </w:r>
      <w:r>
        <w:rPr>
          <w:spacing w:val="-2"/>
        </w:rPr>
        <w:t>年起加入上海金仕达卫宁软件有限公司，历任董事长、总裁。</w:t>
      </w:r>
      <w:r>
        <w:rPr>
          <w:rFonts w:ascii="Times New Roman" w:hAnsi="Times New Roman" w:cs="Times New Roman" w:eastAsia="Times New Roman" w:hint="default"/>
          <w:spacing w:val="-2"/>
        </w:rPr>
        <w:t>2000</w:t>
      </w:r>
      <w:r>
        <w:rPr>
          <w:spacing w:val="-2"/>
        </w:rPr>
        <w:t>年被评选为上海市虹口区优秀科技</w:t>
      </w:r>
      <w:r>
        <w:rPr>
          <w:spacing w:val="-60"/>
        </w:rPr>
        <w:t> </w:t>
      </w:r>
      <w:r>
        <w:rPr>
          <w:spacing w:val="-5"/>
        </w:rPr>
        <w:t>工作者，并被选举为上海市虹口区政协委员、青联委员、科技企业联合会副会长，</w:t>
      </w:r>
      <w:r>
        <w:rPr>
          <w:rFonts w:ascii="Times New Roman" w:hAnsi="Times New Roman" w:cs="Times New Roman" w:eastAsia="Times New Roman" w:hint="default"/>
          <w:spacing w:val="-5"/>
        </w:rPr>
        <w:t>2009</w:t>
      </w:r>
      <w:r>
        <w:rPr>
          <w:spacing w:val="-5"/>
        </w:rPr>
        <w:t>年被评为上海市优秀软件企业家，</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3"/>
        </w:rPr>
        <w:t> </w:t>
      </w:r>
      <w:r>
        <w:rPr/>
        <w:t>年被选举为上海市浦东新区工商业联合会（商会）常委。现任本公司董事长，上海金仕达卫宁软件科技有限公司董事长。</w:t>
      </w:r>
    </w:p>
    <w:p>
      <w:pPr>
        <w:pStyle w:val="BodyText"/>
        <w:spacing w:line="300" w:lineRule="auto" w:before="151"/>
        <w:ind w:right="0" w:firstLine="360"/>
        <w:jc w:val="left"/>
      </w:pPr>
      <w:r>
        <w:rPr>
          <w:spacing w:val="-2"/>
        </w:rPr>
        <w:t>王英，女，</w:t>
      </w:r>
      <w:r>
        <w:rPr>
          <w:rFonts w:ascii="Times New Roman" w:hAnsi="Times New Roman" w:cs="Times New Roman" w:eastAsia="Times New Roman" w:hint="default"/>
          <w:spacing w:val="-2"/>
        </w:rPr>
        <w:t>1968</w:t>
      </w:r>
      <w:r>
        <w:rPr>
          <w:spacing w:val="-2"/>
        </w:rPr>
        <w:t>年出生，中国国籍，无境外永久居留权。毕业于上海纺织工业大学化学工程专业，亚洲（澳门）国际公</w:t>
      </w:r>
      <w:r>
        <w:rPr/>
        <w:t> 开大学工商管理硕士（</w:t>
      </w:r>
      <w:r>
        <w:rPr>
          <w:rFonts w:ascii="Times New Roman" w:hAnsi="Times New Roman" w:cs="Times New Roman" w:eastAsia="Times New Roman" w:hint="default"/>
        </w:rPr>
        <w:t>MBA</w:t>
      </w:r>
      <w:r>
        <w:rPr/>
        <w:t>）、工程师。</w:t>
      </w:r>
      <w:r>
        <w:rPr>
          <w:rFonts w:ascii="Times New Roman" w:hAnsi="Times New Roman" w:cs="Times New Roman" w:eastAsia="Times New Roman" w:hint="default"/>
        </w:rPr>
        <w:t>1989</w:t>
      </w:r>
      <w:r>
        <w:rPr/>
        <w:t>至</w:t>
      </w:r>
      <w:r>
        <w:rPr>
          <w:rFonts w:ascii="Times New Roman" w:hAnsi="Times New Roman" w:cs="Times New Roman" w:eastAsia="Times New Roman" w:hint="default"/>
        </w:rPr>
        <w:t>1994</w:t>
      </w:r>
      <w:r>
        <w:rPr/>
        <w:t>年担任上海大华纺织装饰用品厂质管员；</w:t>
      </w:r>
      <w:r>
        <w:rPr>
          <w:rFonts w:ascii="Times New Roman" w:hAnsi="Times New Roman" w:cs="Times New Roman" w:eastAsia="Times New Roman" w:hint="default"/>
        </w:rPr>
        <w:t>1994</w:t>
      </w:r>
      <w:r>
        <w:rPr/>
        <w:t>至</w:t>
      </w:r>
      <w:r>
        <w:rPr>
          <w:rFonts w:ascii="Times New Roman" w:hAnsi="Times New Roman" w:cs="Times New Roman" w:eastAsia="Times New Roman" w:hint="default"/>
        </w:rPr>
        <w:t>1998</w:t>
      </w:r>
      <w:r>
        <w:rPr/>
        <w:t>年担任上海泰格</w:t>
      </w:r>
    </w:p>
    <w:p>
      <w:pPr>
        <w:spacing w:after="0" w:line="30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新技术开发公司行政部经理；</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2004</w:t>
      </w:r>
      <w:r>
        <w:rPr>
          <w:spacing w:val="-2"/>
        </w:rPr>
        <w:t>年担任上海金仕达卫宁医疗信息技术有限公司总裁助理；</w:t>
      </w:r>
      <w:r>
        <w:rPr>
          <w:rFonts w:ascii="Times New Roman" w:hAnsi="Times New Roman" w:cs="Times New Roman" w:eastAsia="Times New Roman" w:hint="default"/>
          <w:spacing w:val="-2"/>
        </w:rPr>
        <w:t>2004</w:t>
      </w:r>
      <w:r>
        <w:rPr>
          <w:spacing w:val="-2"/>
        </w:rPr>
        <w:t>年起加入上海金仕</w:t>
      </w:r>
      <w:r>
        <w:rPr>
          <w:spacing w:val="-59"/>
        </w:rPr>
        <w:t> </w:t>
      </w:r>
      <w:r>
        <w:rPr>
          <w:spacing w:val="-59"/>
        </w:rPr>
      </w:r>
      <w:r>
        <w:rPr/>
        <w:t>达卫宁软件有限公司，从事行政工作。</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bookmarkStart w:name="3、公司实际控制人情况" w:id="57"/>
      <w:bookmarkEnd w:id="57"/>
      <w:r>
        <w:rPr>
          <w:rFonts w:ascii="Times New Roman" w:hAnsi="Times New Roman" w:cs="Times New Roman" w:eastAsia="Times New Roman" w:hint="default"/>
        </w:rPr>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439" w:lineRule="auto"/>
        <w:ind w:right="5634" w:firstLine="360"/>
        <w:jc w:val="left"/>
      </w:pPr>
      <w:r>
        <w:rPr/>
        <w:t>公司实际控制人为周炜、王英夫妇，简历同上。 公司与实际控制人之间的产权及控制关系的方框图</w:t>
      </w:r>
    </w:p>
    <w:p>
      <w:pPr>
        <w:spacing w:line="240" w:lineRule="auto" w:before="0"/>
        <w:rPr>
          <w:rFonts w:ascii="宋体" w:hAnsi="宋体" w:cs="宋体" w:eastAsia="宋体" w:hint="default"/>
          <w:sz w:val="9"/>
          <w:szCs w:val="9"/>
        </w:rPr>
      </w:pPr>
    </w:p>
    <w:p>
      <w:pPr>
        <w:spacing w:line="4050" w:lineRule="exact"/>
        <w:ind w:left="1352"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4697" cy="25717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94697"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0"/>
        <w:rPr>
          <w:rFonts w:ascii="宋体" w:hAnsi="宋体" w:cs="宋体" w:eastAsia="宋体" w:hint="default"/>
          <w:sz w:val="12"/>
          <w:szCs w:val="12"/>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04" w:right="50"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bookmarkStart w:name="4、前10名有限售条件股东持股数量及限售条件" w:id="58"/>
            <w:bookmarkEnd w:id="58"/>
            <w:r>
              <w:rPr/>
            </w:r>
            <w:r>
              <w:rPr>
                <w:rFonts w:ascii="宋体" w:hAnsi="宋体" w:cs="宋体" w:eastAsia="宋体" w:hint="default"/>
                <w:sz w:val="18"/>
                <w:szCs w:val="18"/>
              </w:rPr>
              <w:t>限售条件</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17,714,094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14,969,210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13,285,570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5,862,832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1,954,278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按董事锁定规定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4,658,682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1,552,800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按离职监事锁定规定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304,340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按董事锁定规定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188,464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按监事锁定规定</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0"/>
        <w:jc w:val="left"/>
        <w:rPr>
          <w:b w:val="0"/>
          <w:bCs w:val="0"/>
        </w:rPr>
      </w:pPr>
      <w:bookmarkStart w:name="第七节 董事、监事、高级管理人员和员工情况" w:id="59"/>
      <w:bookmarkEnd w:id="59"/>
      <w:r>
        <w:rPr>
          <w:b w:val="0"/>
          <w:bCs w:val="0"/>
        </w:rPr>
      </w:r>
      <w:bookmarkStart w:name="_bookmark6" w:id="60"/>
      <w:bookmarkEnd w:id="60"/>
      <w:r>
        <w:rPr>
          <w:b w:val="0"/>
          <w:bCs w:val="0"/>
        </w:rPr>
      </w:r>
      <w:r>
        <w:rPr/>
        <w:t>第七节</w:t>
      </w:r>
      <w:r>
        <w:rPr>
          <w:spacing w:val="-11"/>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一、董事、监</w:t>
      </w:r>
      <w:bookmarkStart w:name="一、董事、监事和高级管理人员持股变动" w:id="61"/>
      <w:bookmarkEnd w:id="61"/>
      <w:r>
        <w:rPr/>
        <w:t>事</w:t>
      </w:r>
      <w:r>
        <w:rPr/>
        <w:t>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BodyText"/>
        <w:spacing w:line="240" w:lineRule="auto" w:before="44"/>
        <w:ind w:left="0" w:right="2214"/>
        <w:jc w:val="right"/>
      </w:pPr>
      <w:r>
        <w:rPr/>
        <w:pict>
          <v:shape style="position:absolute;margin-left:476.882996pt;margin-top:3.831704pt;width:57.75pt;height:31.2pt;mso-position-horizontal-relative:page;mso-position-vertical-relative:paragraph;z-index:-749320" type="#_x0000_t202" filled="false" stroked="false">
            <v:textbox inset="0,0,0,0">
              <w:txbxContent>
                <w:p>
                  <w:pPr>
                    <w:pStyle w:val="BodyText"/>
                    <w:spacing w:line="203" w:lineRule="exact"/>
                    <w:ind w:left="0" w:right="0"/>
                    <w:jc w:val="left"/>
                  </w:pPr>
                  <w:r>
                    <w:rPr/>
                    <w:t>（股）</w:t>
                  </w:r>
                </w:p>
              </w:txbxContent>
            </v:textbox>
            <w10:wrap type="none"/>
          </v:shape>
        </w:pict>
      </w:r>
      <w:r>
        <w:rPr/>
        <w:pict>
          <v:shape style="position:absolute;margin-left:56.400002pt;margin-top:-63.128296pt;width:478.95pt;height:591.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4"/>
                    <w:gridCol w:w="682"/>
                    <w:gridCol w:w="682"/>
                    <w:gridCol w:w="684"/>
                    <w:gridCol w:w="684"/>
                    <w:gridCol w:w="684"/>
                    <w:gridCol w:w="682"/>
                    <w:gridCol w:w="684"/>
                    <w:gridCol w:w="684"/>
                    <w:gridCol w:w="682"/>
                    <w:gridCol w:w="684"/>
                    <w:gridCol w:w="67"/>
                    <w:gridCol w:w="614"/>
                    <w:gridCol w:w="684"/>
                    <w:gridCol w:w="70"/>
                    <w:gridCol w:w="614"/>
                  </w:tblGrid>
                  <w:tr>
                    <w:trPr>
                      <w:trHeight w:val="1963"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6"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67" w:type="dxa"/>
                        <w:tcBorders>
                          <w:top w:val="single" w:sz="4" w:space="0" w:color="000000"/>
                          <w:left w:val="single" w:sz="4" w:space="0" w:color="000000"/>
                          <w:bottom w:val="single" w:sz="4" w:space="0" w:color="000000"/>
                          <w:right w:val="nil" w:sz="6" w:space="0" w:color="auto"/>
                        </w:tcBorders>
                        <w:shd w:val="clear" w:color="auto" w:fill="D4D4D4"/>
                      </w:tcPr>
                      <w:p>
                        <w:pPr/>
                      </w:p>
                    </w:tc>
                    <w:tc>
                      <w:tcPr>
                        <w:tcW w:w="61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316" w:lineRule="auto" w:before="49"/>
                          <w:ind w:left="4" w:right="62"/>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0" w:type="dxa"/>
                        <w:tcBorders>
                          <w:top w:val="single" w:sz="4" w:space="0" w:color="000000"/>
                          <w:left w:val="single" w:sz="4" w:space="0" w:color="000000"/>
                          <w:bottom w:val="single" w:sz="4" w:space="0" w:color="000000"/>
                          <w:right w:val="nil" w:sz="6" w:space="0" w:color="auto"/>
                        </w:tcBorders>
                        <w:shd w:val="clear" w:color="auto" w:fill="D4D4D4"/>
                      </w:tcPr>
                      <w:p>
                        <w:pPr/>
                      </w:p>
                    </w:tc>
                    <w:tc>
                      <w:tcPr>
                        <w:tcW w:w="61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8,857,0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17,714,</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7,484,6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14,969,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1,954,2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5,862,9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积转增 股本； 减持</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董事、 财务负 责人、 董事会 秘书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202,893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202,893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405,786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90,000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积转增 股本； 授予股 票期权</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王绍东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程焱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125,643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125,643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62,822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188,464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积转增 股本； 减持</w:t>
                        </w:r>
                      </w:p>
                    </w:tc>
                  </w:tr>
                  <w:tr>
                    <w:trPr>
                      <w:trHeight w:val="40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4"/>
        <w:gridCol w:w="684"/>
        <w:gridCol w:w="684"/>
        <w:gridCol w:w="682"/>
        <w:gridCol w:w="684"/>
        <w:gridCol w:w="684"/>
        <w:gridCol w:w="682"/>
        <w:gridCol w:w="684"/>
        <w:gridCol w:w="682"/>
        <w:gridCol w:w="684"/>
        <w:gridCol w:w="684"/>
      </w:tblGrid>
      <w:tr>
        <w:trPr>
          <w:trHeight w:val="674"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李士玉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当选监 事前授 予股票 期权</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离任独 立董事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王贤安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离任独 立董事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离任监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4,658,6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积转增 股本； 减持</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23,684,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23,684,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43,799,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136,000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ind w:right="184"/>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4"/>
        <w:jc w:val="left"/>
      </w:pPr>
      <w:r>
        <w:rPr/>
        <w:t>公司现任董事、监事、高级管理人员最近</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430" w:lineRule="atLeast" w:before="4"/>
        <w:ind w:left="572" w:right="184" w:firstLine="2"/>
        <w:jc w:val="left"/>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99"/>
        </w:rPr>
        <w:t> </w:t>
      </w:r>
      <w:r>
        <w:rPr/>
        <w:t>公司第二届董事会由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名。各董事由公司董</w:t>
      </w:r>
      <w:bookmarkStart w:name="二、任职情况" w:id="62"/>
      <w:bookmarkEnd w:id="62"/>
      <w:r>
        <w:rPr/>
        <w:t>事会</w:t>
      </w:r>
      <w:r>
        <w:rPr/>
        <w:t>提名，经公司</w:t>
      </w:r>
      <w:r>
        <w:rPr>
          <w:rFonts w:ascii="Times New Roman" w:hAnsi="Times New Roman" w:cs="Times New Roman" w:eastAsia="Times New Roman" w:hint="default"/>
        </w:rPr>
        <w:t>2012</w:t>
      </w:r>
      <w:r>
        <w:rPr/>
        <w:t>年第一次临时股东大会</w:t>
      </w:r>
    </w:p>
    <w:p>
      <w:pPr>
        <w:pStyle w:val="BodyText"/>
        <w:spacing w:line="240" w:lineRule="auto" w:before="62"/>
        <w:ind w:right="184"/>
        <w:jc w:val="left"/>
      </w:pPr>
      <w:r>
        <w:rPr/>
        <w:t>选举产生，本届董事会任期自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p>
    <w:p>
      <w:pPr>
        <w:spacing w:line="240" w:lineRule="auto" w:before="13"/>
        <w:rPr>
          <w:rFonts w:ascii="宋体" w:hAnsi="宋体" w:cs="宋体" w:eastAsia="宋体" w:hint="default"/>
          <w:sz w:val="13"/>
          <w:szCs w:val="13"/>
        </w:rPr>
      </w:pPr>
    </w:p>
    <w:p>
      <w:pPr>
        <w:pStyle w:val="BodyText"/>
        <w:spacing w:line="300" w:lineRule="auto"/>
        <w:ind w:left="153" w:right="103" w:firstLine="419"/>
        <w:jc w:val="both"/>
      </w:pPr>
      <w:r>
        <w:rPr>
          <w:spacing w:val="-7"/>
        </w:rPr>
        <w:t>（</w:t>
      </w:r>
      <w:r>
        <w:rPr>
          <w:rFonts w:ascii="Times New Roman" w:hAnsi="Times New Roman" w:cs="Times New Roman" w:eastAsia="Times New Roman" w:hint="default"/>
          <w:spacing w:val="-7"/>
        </w:rPr>
        <w:t>1</w:t>
      </w:r>
      <w:r>
        <w:rPr>
          <w:spacing w:val="-7"/>
        </w:rPr>
        <w:t>）周炜，男，</w:t>
      </w:r>
      <w:r>
        <w:rPr>
          <w:rFonts w:ascii="Times New Roman" w:hAnsi="Times New Roman" w:cs="Times New Roman" w:eastAsia="Times New Roman" w:hint="default"/>
          <w:spacing w:val="-7"/>
        </w:rPr>
        <w:t>1967</w:t>
      </w:r>
      <w:r>
        <w:rPr>
          <w:spacing w:val="-7"/>
        </w:rPr>
        <w:t>年出生，中国国籍，无境外永久居留权。中欧国际工商学院高级管理人员工商管理硕士（</w:t>
      </w:r>
      <w:r>
        <w:rPr>
          <w:rFonts w:ascii="Times New Roman" w:hAnsi="Times New Roman" w:cs="Times New Roman" w:eastAsia="Times New Roman" w:hint="default"/>
          <w:spacing w:val="-7"/>
        </w:rPr>
        <w:t>EMBA</w:t>
      </w:r>
      <w:r>
        <w:rPr>
          <w:spacing w:val="-7"/>
        </w:rPr>
        <w:t>）、</w:t>
      </w:r>
      <w:r>
        <w:rPr>
          <w:spacing w:val="-36"/>
        </w:rPr>
        <w:t> </w:t>
      </w:r>
      <w:r>
        <w:rPr>
          <w:spacing w:val="-2"/>
        </w:rPr>
        <w:t>高级工程师、高级经济师。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2004</w:t>
      </w:r>
      <w:r>
        <w:rPr>
          <w:spacing w:val="-2"/>
        </w:rPr>
        <w:t>年，先后担任上海泰格新技术开发公司总经理、上海金仕达卫宁医疗信息技术有限</w:t>
      </w:r>
      <w:r>
        <w:rPr>
          <w:spacing w:val="-61"/>
        </w:rPr>
        <w:t> </w:t>
      </w:r>
      <w:r>
        <w:rPr>
          <w:spacing w:val="-61"/>
        </w:rPr>
      </w:r>
      <w:r>
        <w:rPr>
          <w:spacing w:val="-2"/>
        </w:rPr>
        <w:t>公司董事长兼总裁；</w:t>
      </w:r>
      <w:r>
        <w:rPr>
          <w:rFonts w:ascii="Times New Roman" w:hAnsi="Times New Roman" w:cs="Times New Roman" w:eastAsia="Times New Roman" w:hint="default"/>
          <w:spacing w:val="-2"/>
        </w:rPr>
        <w:t>2004</w:t>
      </w:r>
      <w:r>
        <w:rPr>
          <w:spacing w:val="-2"/>
        </w:rPr>
        <w:t>年起加入上海金仕达卫宁软件有限公司，历任董事长、总裁。</w:t>
      </w:r>
      <w:r>
        <w:rPr>
          <w:rFonts w:ascii="Times New Roman" w:hAnsi="Times New Roman" w:cs="Times New Roman" w:eastAsia="Times New Roman" w:hint="default"/>
          <w:spacing w:val="-2"/>
        </w:rPr>
        <w:t>2000</w:t>
      </w:r>
      <w:r>
        <w:rPr>
          <w:spacing w:val="-2"/>
        </w:rPr>
        <w:t>年被评选为上海市虹口区优秀科</w:t>
      </w:r>
      <w:r>
        <w:rPr>
          <w:spacing w:val="-57"/>
        </w:rPr>
        <w:t> </w:t>
      </w:r>
      <w:r>
        <w:rPr/>
        <w:t>技工作者，并被选举为上海市虹口区政协委员、青联委员、科技企业联合会副会长，</w:t>
      </w:r>
      <w:r>
        <w:rPr>
          <w:rFonts w:ascii="Times New Roman" w:hAnsi="Times New Roman" w:cs="Times New Roman" w:eastAsia="Times New Roman" w:hint="default"/>
        </w:rPr>
        <w:t>2009</w:t>
      </w:r>
      <w:r>
        <w:rPr/>
        <w:t>年被评为上海市优秀软件企业家， </w:t>
      </w:r>
      <w:r>
        <w:rPr>
          <w:rFonts w:ascii="Times New Roman" w:hAnsi="Times New Roman" w:cs="Times New Roman" w:eastAsia="Times New Roman" w:hint="default"/>
          <w:spacing w:val="-4"/>
        </w:rPr>
        <w:t>2011</w:t>
      </w:r>
      <w:r>
        <w:rPr>
          <w:spacing w:val="-4"/>
        </w:rPr>
        <w:t>年被选举为上海市浦东新区工商业联合会（商会）常委。现任本公司董事长，上海金仕达卫宁软件科技有限公司董事长。</w:t>
      </w:r>
    </w:p>
    <w:p>
      <w:pPr>
        <w:pStyle w:val="BodyText"/>
        <w:spacing w:line="307" w:lineRule="auto" w:before="133"/>
        <w:ind w:left="153" w:right="190" w:firstLine="419"/>
        <w:jc w:val="both"/>
      </w:pPr>
      <w:r>
        <w:rPr>
          <w:spacing w:val="-4"/>
        </w:rPr>
        <w:t>（</w:t>
      </w:r>
      <w:r>
        <w:rPr>
          <w:rFonts w:ascii="Times New Roman" w:hAnsi="Times New Roman" w:cs="Times New Roman" w:eastAsia="Times New Roman" w:hint="default"/>
          <w:spacing w:val="-4"/>
        </w:rPr>
        <w:t>2</w:t>
      </w:r>
      <w:r>
        <w:rPr>
          <w:spacing w:val="-4"/>
        </w:rPr>
        <w:t>）刘宁，男，</w:t>
      </w:r>
      <w:r>
        <w:rPr>
          <w:rFonts w:ascii="Times New Roman" w:hAnsi="Times New Roman" w:cs="Times New Roman" w:eastAsia="Times New Roman" w:hint="default"/>
          <w:spacing w:val="-4"/>
        </w:rPr>
        <w:t>1963</w:t>
      </w:r>
      <w:r>
        <w:rPr>
          <w:spacing w:val="-4"/>
        </w:rPr>
        <w:t>年出生，中国国籍，无境外永久居留权。复旦大学应用数学专业硕士、高级工程师。</w:t>
      </w:r>
      <w:r>
        <w:rPr>
          <w:rFonts w:ascii="Times New Roman" w:hAnsi="Times New Roman" w:cs="Times New Roman" w:eastAsia="Times New Roman" w:hint="default"/>
          <w:spacing w:val="-4"/>
        </w:rPr>
        <w:t>1991</w:t>
      </w:r>
      <w:r>
        <w:rPr>
          <w:spacing w:val="-4"/>
        </w:rPr>
        <w:t>年至</w:t>
      </w:r>
      <w:r>
        <w:rPr>
          <w:rFonts w:ascii="Times New Roman" w:hAnsi="Times New Roman" w:cs="Times New Roman" w:eastAsia="Times New Roman" w:hint="default"/>
          <w:spacing w:val="-4"/>
        </w:rPr>
        <w:t>2004</w:t>
      </w:r>
      <w:r>
        <w:rPr>
          <w:rFonts w:ascii="Times New Roman" w:hAnsi="Times New Roman" w:cs="Times New Roman" w:eastAsia="Times New Roman" w:hint="default"/>
          <w:spacing w:val="1"/>
        </w:rPr>
        <w:t> </w:t>
      </w:r>
      <w:r>
        <w:rPr/>
        <w:t>年，历任美国惠普（</w:t>
      </w:r>
      <w:r>
        <w:rPr>
          <w:rFonts w:ascii="Times New Roman" w:hAnsi="Times New Roman" w:cs="Times New Roman" w:eastAsia="Times New Roman" w:hint="default"/>
        </w:rPr>
        <w:t>HP</w:t>
      </w:r>
      <w:r>
        <w:rPr/>
        <w:t>）公司技术员、上海金仕达卫宁医疗信息技术有限公司董事、副总裁。</w:t>
      </w:r>
      <w:r>
        <w:rPr>
          <w:rFonts w:ascii="Times New Roman" w:hAnsi="Times New Roman" w:cs="Times New Roman" w:eastAsia="Times New Roman" w:hint="default"/>
        </w:rPr>
        <w:t>2004</w:t>
      </w:r>
      <w:r>
        <w:rPr/>
        <w:t>年起加入上海金仕达卫</w:t>
      </w:r>
      <w:r>
        <w:rPr>
          <w:spacing w:val="-51"/>
        </w:rPr>
        <w:t> </w:t>
      </w:r>
      <w:r>
        <w:rPr>
          <w:spacing w:val="-51"/>
        </w:rPr>
      </w:r>
      <w:r>
        <w:rPr>
          <w:spacing w:val="-2"/>
        </w:rPr>
        <w:t>宁软件有限公司，任副总裁。长期从事医疗信息行业应用软件及解决方案的开发，主持完成了公司核心产品医院信息管理系</w:t>
      </w:r>
      <w:r>
        <w:rPr>
          <w:spacing w:val="-65"/>
        </w:rPr>
        <w:t> </w:t>
      </w:r>
      <w:r>
        <w:rPr>
          <w:spacing w:val="-65"/>
        </w:rPr>
      </w:r>
      <w:r>
        <w:rPr>
          <w:spacing w:val="-2"/>
        </w:rPr>
        <w:t>统的开发工作，主持开发的医技信息管理软件荣获</w:t>
      </w:r>
      <w:r>
        <w:rPr>
          <w:rFonts w:ascii="Times New Roman" w:hAnsi="Times New Roman" w:cs="Times New Roman" w:eastAsia="Times New Roman" w:hint="default"/>
          <w:spacing w:val="-2"/>
        </w:rPr>
        <w:t>2008</w:t>
      </w:r>
      <w:r>
        <w:rPr>
          <w:spacing w:val="-2"/>
        </w:rPr>
        <w:t>年国家级火炬计划项目；对医疗卫生行业业务流程及信息化有深刻的</w:t>
      </w:r>
      <w:r>
        <w:rPr>
          <w:spacing w:val="-62"/>
        </w:rPr>
        <w:t> </w:t>
      </w:r>
      <w:r>
        <w:rPr>
          <w:spacing w:val="-62"/>
        </w:rPr>
      </w:r>
      <w:r>
        <w:rPr>
          <w:spacing w:val="-2"/>
        </w:rPr>
        <w:t>理解，发表论文数篇，并参编医学信息学等教材；擅长业务需求分析、项目管理，主导并建立了公司整套开发、维护、服务</w:t>
      </w:r>
      <w:r>
        <w:rPr>
          <w:spacing w:val="-73"/>
        </w:rPr>
        <w:t> </w:t>
      </w:r>
      <w:r>
        <w:rPr>
          <w:spacing w:val="-73"/>
        </w:rPr>
      </w:r>
      <w:r>
        <w:rPr>
          <w:spacing w:val="-2"/>
        </w:rPr>
        <w:t>及管理流程。</w:t>
      </w:r>
      <w:r>
        <w:rPr>
          <w:rFonts w:ascii="Times New Roman" w:hAnsi="Times New Roman" w:cs="Times New Roman" w:eastAsia="Times New Roman" w:hint="default"/>
          <w:spacing w:val="-2"/>
        </w:rPr>
        <w:t>2010</w:t>
      </w:r>
      <w:r>
        <w:rPr>
          <w:spacing w:val="-2"/>
        </w:rPr>
        <w:t>年被评为上海市优秀软件企业家，</w:t>
      </w:r>
      <w:r>
        <w:rPr>
          <w:rFonts w:ascii="Times New Roman" w:hAnsi="Times New Roman" w:cs="Times New Roman" w:eastAsia="Times New Roman" w:hint="default"/>
          <w:spacing w:val="-2"/>
        </w:rPr>
        <w:t>2010</w:t>
      </w:r>
      <w:r>
        <w:rPr>
          <w:spacing w:val="-2"/>
        </w:rPr>
        <w:t>年被评为上海市计算机行业创新领军人物。现任本公司董事、总经</w:t>
      </w:r>
      <w:r>
        <w:rPr>
          <w:spacing w:val="-58"/>
        </w:rPr>
        <w:t> </w:t>
      </w:r>
      <w:r>
        <w:rPr>
          <w:spacing w:val="-58"/>
        </w:rPr>
      </w:r>
      <w:r>
        <w:rPr/>
        <w:t>理，上海金仕达卫宁软件科技有限公司董事，卫宁信息执行董事兼总经理。</w:t>
      </w:r>
    </w:p>
    <w:p>
      <w:pPr>
        <w:pStyle w:val="BodyText"/>
        <w:spacing w:line="300" w:lineRule="auto" w:before="146"/>
        <w:ind w:right="104" w:firstLine="419"/>
        <w:jc w:val="left"/>
      </w:pPr>
      <w:r>
        <w:rPr/>
        <w:t>（</w:t>
      </w:r>
      <w:r>
        <w:rPr>
          <w:rFonts w:ascii="Times New Roman" w:hAnsi="Times New Roman" w:cs="Times New Roman" w:eastAsia="Times New Roman" w:hint="default"/>
        </w:rPr>
        <w:t>3</w:t>
      </w:r>
      <w:r>
        <w:rPr/>
        <w:t>）孙凯，男，</w:t>
      </w:r>
      <w:r>
        <w:rPr>
          <w:rFonts w:ascii="Times New Roman" w:hAnsi="Times New Roman" w:cs="Times New Roman" w:eastAsia="Times New Roman" w:hint="default"/>
        </w:rPr>
        <w:t>1972</w:t>
      </w:r>
      <w:r>
        <w:rPr/>
        <w:t>年出生，中国国籍，无境外永久居留权。大学本科，工程师。</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2004</w:t>
      </w:r>
      <w:r>
        <w:rPr/>
        <w:t>年，历任上海金仕达 </w:t>
      </w:r>
      <w:r>
        <w:rPr>
          <w:spacing w:val="-2"/>
        </w:rPr>
        <w:t>卫宁医疗信息技术有限公司工程师、主管、开发部经理等职。</w:t>
      </w:r>
      <w:r>
        <w:rPr>
          <w:rFonts w:ascii="Times New Roman" w:hAnsi="Times New Roman" w:cs="Times New Roman" w:eastAsia="Times New Roman" w:hint="default"/>
          <w:spacing w:val="-2"/>
        </w:rPr>
        <w:t>2004</w:t>
      </w:r>
      <w:r>
        <w:rPr>
          <w:spacing w:val="-2"/>
        </w:rPr>
        <w:t>年起加入上海金仕达卫宁软件有限公司，历任医技事业部</w:t>
      </w:r>
      <w:r>
        <w:rPr>
          <w:spacing w:val="-61"/>
        </w:rPr>
        <w:t> </w:t>
      </w:r>
      <w:r>
        <w:rPr>
          <w:spacing w:val="-61"/>
        </w:rPr>
      </w:r>
      <w:r>
        <w:rPr>
          <w:spacing w:val="-1"/>
        </w:rPr>
        <w:t>产品总监、副总经理、总经理。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-2006</w:t>
      </w:r>
      <w:r>
        <w:rPr>
          <w:spacing w:val="-1"/>
        </w:rPr>
        <w:t>年度被评为</w:t>
      </w:r>
      <w:r>
        <w:rPr>
          <w:rFonts w:ascii="Times New Roman" w:hAnsi="Times New Roman" w:cs="Times New Roman" w:eastAsia="Times New Roman" w:hint="default"/>
          <w:spacing w:val="-1"/>
        </w:rPr>
        <w:t>“</w:t>
      </w:r>
      <w:r>
        <w:rPr>
          <w:spacing w:val="-1"/>
        </w:rPr>
        <w:t>上海市劳动模范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2008</w:t>
      </w:r>
      <w:r>
        <w:rPr>
          <w:spacing w:val="-1"/>
        </w:rPr>
        <w:t>年当选上海市工会第十二次代表大会代表，</w:t>
      </w:r>
      <w:r>
        <w:rPr>
          <w:spacing w:val="-71"/>
        </w:rPr>
        <w:t> </w:t>
      </w:r>
      <w:r>
        <w:rPr>
          <w:spacing w:val="-71"/>
        </w:rPr>
      </w:r>
      <w:r>
        <w:rPr/>
        <w:t>荣获</w:t>
      </w:r>
      <w:r>
        <w:rPr>
          <w:rFonts w:ascii="Times New Roman" w:hAnsi="Times New Roman" w:cs="Times New Roman" w:eastAsia="Times New Roman" w:hint="default"/>
        </w:rPr>
        <w:t>“2009</w:t>
      </w:r>
      <w:r>
        <w:rPr/>
        <w:t>年度上海市软件行业标兵</w:t>
      </w:r>
      <w:r>
        <w:rPr>
          <w:rFonts w:ascii="Times New Roman" w:hAnsi="Times New Roman" w:cs="Times New Roman" w:eastAsia="Times New Roman" w:hint="default"/>
        </w:rPr>
        <w:t>”</w:t>
      </w:r>
      <w:r>
        <w:rPr/>
        <w:t>称号。长期从事医疗信息行业应用软件及解决方案的开发，参与主持完成了公司医技信</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3"/>
        <w:jc w:val="both"/>
      </w:pPr>
      <w:r>
        <w:rPr>
          <w:spacing w:val="-2"/>
        </w:rPr>
        <w:t>息管理系列软件的开发工作，参与主持开发的医技信息管理软件荣获</w:t>
      </w:r>
      <w:r>
        <w:rPr>
          <w:rFonts w:ascii="Times New Roman" w:hAnsi="Times New Roman" w:cs="Times New Roman" w:eastAsia="Times New Roman" w:hint="default"/>
          <w:spacing w:val="-2"/>
        </w:rPr>
        <w:t>2008</w:t>
      </w:r>
      <w:r>
        <w:rPr>
          <w:spacing w:val="-2"/>
        </w:rPr>
        <w:t>年国家级火炬计划项目，获得信息产业部高级项目</w:t>
      </w:r>
      <w:r>
        <w:rPr>
          <w:spacing w:val="-62"/>
        </w:rPr>
        <w:t> </w:t>
      </w:r>
      <w:r>
        <w:rPr>
          <w:spacing w:val="-62"/>
        </w:rPr>
      </w:r>
      <w:r>
        <w:rPr/>
        <w:t>经理证书，擅长软件技术开发、项目管理，尤擅长</w:t>
      </w:r>
      <w:r>
        <w:rPr>
          <w:rFonts w:ascii="Times New Roman" w:hAnsi="Times New Roman" w:cs="Times New Roman" w:eastAsia="Times New Roman" w:hint="default"/>
        </w:rPr>
        <w:t>PACS</w:t>
      </w:r>
      <w:r>
        <w:rPr/>
        <w:t>、</w:t>
      </w:r>
      <w:r>
        <w:rPr>
          <w:rFonts w:ascii="Times New Roman" w:hAnsi="Times New Roman" w:cs="Times New Roman" w:eastAsia="Times New Roman" w:hint="default"/>
        </w:rPr>
        <w:t>LIMS</w:t>
      </w:r>
      <w:r>
        <w:rPr/>
        <w:t>、</w:t>
      </w:r>
      <w:r>
        <w:rPr>
          <w:rFonts w:ascii="Times New Roman" w:hAnsi="Times New Roman" w:cs="Times New Roman" w:eastAsia="Times New Roman" w:hint="default"/>
        </w:rPr>
        <w:t>MIIS</w:t>
      </w:r>
      <w:r>
        <w:rPr/>
        <w:t>技术架构及设计，对</w:t>
      </w:r>
      <w:r>
        <w:rPr>
          <w:rFonts w:ascii="Times New Roman" w:hAnsi="Times New Roman" w:cs="Times New Roman" w:eastAsia="Times New Roman" w:hint="default"/>
        </w:rPr>
        <w:t>HL7</w:t>
      </w:r>
      <w:r>
        <w:rPr/>
        <w:t>及</w:t>
      </w:r>
      <w:r>
        <w:rPr>
          <w:rFonts w:ascii="Times New Roman" w:hAnsi="Times New Roman" w:cs="Times New Roman" w:eastAsia="Times New Roman" w:hint="default"/>
        </w:rPr>
        <w:t>IHE</w:t>
      </w:r>
      <w:r>
        <w:rPr/>
        <w:t>有深刻理解，主导了 公司多项核心技术开发工作。现任本公司董事，江苏卫宁执行董事兼总经理，西安卫宁执行董事兼总经理。</w:t>
      </w:r>
    </w:p>
    <w:p>
      <w:pPr>
        <w:pStyle w:val="BodyText"/>
        <w:spacing w:line="300" w:lineRule="auto" w:before="151"/>
        <w:ind w:right="94" w:firstLine="419"/>
        <w:jc w:val="left"/>
      </w:pPr>
      <w:r>
        <w:rPr/>
        <w:t>（</w:t>
      </w:r>
      <w:r>
        <w:rPr>
          <w:rFonts w:ascii="Times New Roman" w:hAnsi="Times New Roman" w:cs="Times New Roman" w:eastAsia="Times New Roman" w:hint="default"/>
        </w:rPr>
        <w:t>4</w:t>
      </w:r>
      <w:r>
        <w:rPr/>
        <w:t>）靳茂，男，</w:t>
      </w:r>
      <w:r>
        <w:rPr>
          <w:rFonts w:ascii="Times New Roman" w:hAnsi="Times New Roman" w:cs="Times New Roman" w:eastAsia="Times New Roman" w:hint="default"/>
        </w:rPr>
        <w:t>1974</w:t>
      </w:r>
      <w:r>
        <w:rPr/>
        <w:t>年出生，中国国籍，无境外永久居留权。复旦大学工商管理硕士（</w:t>
      </w:r>
      <w:r>
        <w:rPr>
          <w:rFonts w:ascii="Times New Roman" w:hAnsi="Times New Roman" w:cs="Times New Roman" w:eastAsia="Times New Roman" w:hint="default"/>
        </w:rPr>
        <w:t>MBA</w:t>
      </w:r>
      <w:r>
        <w:rPr/>
        <w:t>）。已取得深圳证券交</w:t>
      </w:r>
      <w:r>
        <w:rPr>
          <w:spacing w:val="2"/>
        </w:rPr>
        <w:t> </w:t>
      </w:r>
      <w:r>
        <w:rPr/>
        <w:t>易所颁发的董事会秘书资格证书。</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2004</w:t>
      </w:r>
      <w:r>
        <w:rPr/>
        <w:t>年，历任万向集团公司发展部项目经理、上海超凡电子有限公司副总经理、 </w:t>
      </w:r>
      <w:r>
        <w:rPr>
          <w:spacing w:val="-2"/>
        </w:rPr>
        <w:t>上海双威科技投资管理有限公司项目投资部副总监、上海金仕达卫宁医疗信息技术有限公司总裁办主任。</w:t>
      </w:r>
      <w:r>
        <w:rPr>
          <w:rFonts w:ascii="Times New Roman" w:hAnsi="Times New Roman" w:cs="Times New Roman" w:eastAsia="Times New Roman" w:hint="default"/>
          <w:spacing w:val="-2"/>
        </w:rPr>
        <w:t>2004</w:t>
      </w:r>
      <w:r>
        <w:rPr>
          <w:spacing w:val="-2"/>
        </w:rPr>
        <w:t>年起加入上海</w:t>
      </w:r>
      <w:r>
        <w:rPr>
          <w:spacing w:val="-62"/>
        </w:rPr>
        <w:t> </w:t>
      </w:r>
      <w:r>
        <w:rPr>
          <w:spacing w:val="-62"/>
        </w:rPr>
      </w:r>
      <w:r>
        <w:rPr/>
        <w:t>金仕达卫宁软件有限公司，任总裁办公室主任。现任本公司董事、财务负责人、董事会秘书。</w:t>
      </w:r>
    </w:p>
    <w:p>
      <w:pPr>
        <w:pStyle w:val="BodyText"/>
        <w:spacing w:line="300" w:lineRule="auto" w:before="151"/>
        <w:ind w:left="153" w:right="103" w:firstLine="419"/>
        <w:jc w:val="both"/>
      </w:pPr>
      <w:r>
        <w:rPr/>
        <w:t>（</w:t>
      </w:r>
      <w:r>
        <w:rPr>
          <w:rFonts w:ascii="Times New Roman" w:hAnsi="Times New Roman" w:cs="Times New Roman" w:eastAsia="Times New Roman" w:hint="default"/>
        </w:rPr>
        <w:t>5</w:t>
      </w:r>
      <w:r>
        <w:rPr/>
        <w:t>）王绍东，男，</w:t>
      </w:r>
      <w:r>
        <w:rPr>
          <w:rFonts w:ascii="Times New Roman" w:hAnsi="Times New Roman" w:cs="Times New Roman" w:eastAsia="Times New Roman" w:hint="default"/>
        </w:rPr>
        <w:t>1972</w:t>
      </w:r>
      <w:r>
        <w:rPr/>
        <w:t>年出生，中国国籍，无境外永久居留权。硕士研究生，注册会计师。</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 </w:t>
      </w:r>
      <w:r>
        <w:rPr>
          <w:spacing w:val="-2"/>
        </w:rPr>
        <w:t>任西安铁路局财务主管；</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月，任中信会计师事务所审计经理；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月，任上海宝联投</w:t>
      </w:r>
      <w:r>
        <w:rPr>
          <w:spacing w:val="-50"/>
        </w:rPr>
        <w:t> </w:t>
      </w:r>
      <w:r>
        <w:rPr>
          <w:spacing w:val="-50"/>
        </w:rPr>
      </w:r>
      <w:r>
        <w:rPr>
          <w:spacing w:val="-2"/>
        </w:rPr>
        <w:t>资公司投资经理；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月，任上海美都太盈创业投资有限公司投资副总监、总监；</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spacing w:val="-55"/>
        </w:rPr>
        <w:t> </w:t>
      </w:r>
      <w:r>
        <w:rPr/>
        <w:t>任江苏沙钢集团董事局投资部副部长；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月至今任沙钢新业投资有限公司总经理。</w:t>
      </w:r>
      <w:r>
        <w:rPr>
          <w:rFonts w:ascii="Times New Roman" w:hAnsi="Times New Roman" w:cs="Times New Roman" w:eastAsia="Times New Roman" w:hint="default"/>
        </w:rPr>
        <w:t>2009</w:t>
      </w:r>
      <w:r>
        <w:rPr/>
        <w:t>年起担任本公司独立董事。</w:t>
      </w:r>
    </w:p>
    <w:p>
      <w:pPr>
        <w:pStyle w:val="BodyText"/>
        <w:spacing w:line="300" w:lineRule="auto" w:before="133"/>
        <w:ind w:left="153" w:right="110" w:firstLine="419"/>
        <w:jc w:val="both"/>
      </w:pPr>
      <w:r>
        <w:rPr/>
        <w:t>（</w:t>
      </w:r>
      <w:r>
        <w:rPr>
          <w:rFonts w:ascii="Times New Roman" w:hAnsi="Times New Roman" w:cs="Times New Roman" w:eastAsia="Times New Roman" w:hint="default"/>
        </w:rPr>
        <w:t>6</w:t>
      </w:r>
      <w:r>
        <w:rPr/>
        <w:t>）徐劲科，男，</w:t>
      </w:r>
      <w:r>
        <w:rPr>
          <w:rFonts w:ascii="Times New Roman" w:hAnsi="Times New Roman" w:cs="Times New Roman" w:eastAsia="Times New Roman" w:hint="default"/>
        </w:rPr>
        <w:t>1973</w:t>
      </w:r>
      <w:r>
        <w:rPr/>
        <w:t>年出生，中国国籍，无境外永久居留权。法学硕士，执业律师。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月，任职</w:t>
      </w:r>
      <w:r>
        <w:rPr>
          <w:spacing w:val="-5"/>
        </w:rPr>
        <w:t> </w:t>
      </w:r>
      <w:r>
        <w:rPr/>
        <w:t>于上海建工集团材料公司；</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月，任上海市光大律师事务所律师助理、律师；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月至今，任上海和 华利盛律师事务所合伙人、律师。</w:t>
      </w:r>
      <w:r>
        <w:rPr>
          <w:rFonts w:ascii="Times New Roman" w:hAnsi="Times New Roman" w:cs="Times New Roman" w:eastAsia="Times New Roman" w:hint="default"/>
        </w:rPr>
        <w:t>2009</w:t>
      </w:r>
      <w:r>
        <w:rPr/>
        <w:t>年起担任天顺风能（苏州）股份有限公司独立董事。</w:t>
      </w:r>
      <w:r>
        <w:rPr>
          <w:rFonts w:ascii="Times New Roman" w:hAnsi="Times New Roman" w:cs="Times New Roman" w:eastAsia="Times New Roman" w:hint="default"/>
        </w:rPr>
        <w:t>2012</w:t>
      </w:r>
      <w:r>
        <w:rPr/>
        <w:t>年起担任本公司独立董事。</w:t>
      </w:r>
    </w:p>
    <w:p>
      <w:pPr>
        <w:pStyle w:val="BodyText"/>
        <w:spacing w:line="240" w:lineRule="auto" w:before="133"/>
        <w:ind w:left="573" w:right="94"/>
        <w:jc w:val="left"/>
      </w:pPr>
      <w:r>
        <w:rPr/>
        <w:t>（</w:t>
      </w:r>
      <w:r>
        <w:rPr>
          <w:rFonts w:ascii="Times New Roman" w:hAnsi="Times New Roman" w:cs="Times New Roman" w:eastAsia="Times New Roman" w:hint="default"/>
        </w:rPr>
        <w:t>7</w:t>
      </w:r>
      <w:r>
        <w:rPr/>
        <w:t>）程焱，男，</w:t>
      </w:r>
      <w:r>
        <w:rPr>
          <w:rFonts w:ascii="Times New Roman" w:hAnsi="Times New Roman" w:cs="Times New Roman" w:eastAsia="Times New Roman" w:hint="default"/>
        </w:rPr>
        <w:t>1974</w:t>
      </w:r>
      <w:r>
        <w:rPr/>
        <w:t>年出生，中国国籍，无境外永久居留权。大学本科，高级管理人员工商管理硕士（</w:t>
      </w:r>
      <w:r>
        <w:rPr>
          <w:rFonts w:ascii="Times New Roman" w:hAnsi="Times New Roman" w:cs="Times New Roman" w:eastAsia="Times New Roman" w:hint="default"/>
        </w:rPr>
        <w:t>EMBA</w:t>
      </w:r>
      <w:r>
        <w:rPr/>
        <w:t>）在读</w:t>
      </w:r>
    </w:p>
    <w:p>
      <w:pPr>
        <w:pStyle w:val="BodyText"/>
        <w:spacing w:line="300" w:lineRule="auto" w:before="62"/>
        <w:ind w:left="153" w:right="94"/>
        <w:jc w:val="left"/>
      </w:pPr>
      <w:r>
        <w:rPr>
          <w:spacing w:val="-2"/>
        </w:rPr>
        <w:t>（已通过论文答辩），高级经济师。</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1997</w:t>
      </w:r>
      <w:r>
        <w:rPr>
          <w:spacing w:val="-2"/>
        </w:rPr>
        <w:t>年，任国家超细粉末工程研究中心员工；</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2006</w:t>
      </w:r>
      <w:r>
        <w:rPr>
          <w:spacing w:val="-2"/>
        </w:rPr>
        <w:t>年，任上海卓越纳</w:t>
      </w:r>
      <w:r>
        <w:rPr>
          <w:spacing w:val="-56"/>
        </w:rPr>
        <w:t> </w:t>
      </w:r>
      <w:r>
        <w:rPr>
          <w:spacing w:val="-56"/>
        </w:rPr>
      </w:r>
      <w:r>
        <w:rPr>
          <w:spacing w:val="-5"/>
        </w:rPr>
        <w:t>米新材料股份有限公司财务负责人；</w:t>
      </w:r>
      <w:r>
        <w:rPr>
          <w:rFonts w:ascii="Times New Roman" w:hAnsi="Times New Roman" w:cs="Times New Roman" w:eastAsia="Times New Roman" w:hint="default"/>
          <w:spacing w:val="-5"/>
        </w:rPr>
        <w:t>2006</w:t>
      </w:r>
      <w:r>
        <w:rPr>
          <w:spacing w:val="-5"/>
        </w:rPr>
        <w:t>年至</w:t>
      </w:r>
      <w:r>
        <w:rPr>
          <w:rFonts w:ascii="Times New Roman" w:hAnsi="Times New Roman" w:cs="Times New Roman" w:eastAsia="Times New Roman" w:hint="default"/>
          <w:spacing w:val="-5"/>
        </w:rPr>
        <w:t>2007</w:t>
      </w:r>
      <w:r>
        <w:rPr>
          <w:spacing w:val="-5"/>
        </w:rPr>
        <w:t>年，任上海延华智能科技股份有限公司财务部副经理、商务部副经理；</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月，任上海开能环保设备股份有限公司财务部经理、投资发展部经理；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月，任江苏考普乐 </w:t>
      </w:r>
      <w:r>
        <w:rPr>
          <w:spacing w:val="-2"/>
        </w:rPr>
        <w:t>新材料有限公司董事、副总经理、董事会秘书、财务负责人；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月，任江苏考普乐新材料股份有限公司董</w:t>
      </w:r>
      <w:r>
        <w:rPr>
          <w:spacing w:val="-62"/>
        </w:rPr>
        <w:t> </w:t>
      </w:r>
      <w:r>
        <w:rPr>
          <w:spacing w:val="-62"/>
        </w:rPr>
      </w:r>
      <w:r>
        <w:rPr>
          <w:spacing w:val="-2"/>
        </w:rPr>
        <w:t>事、副总经理、董事会秘书、财务负责人，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月至今任江苏考普乐新材料股份有限公司董事、副总经理、董事会秘书。</w:t>
      </w:r>
      <w:r>
        <w:rPr>
          <w:spacing w:val="-63"/>
        </w:rPr>
        <w:t> </w:t>
      </w:r>
      <w:r>
        <w:rPr>
          <w:spacing w:val="-63"/>
        </w:rPr>
      </w:r>
      <w:r>
        <w:rPr>
          <w:rFonts w:ascii="Times New Roman" w:hAnsi="Times New Roman" w:cs="Times New Roman" w:eastAsia="Times New Roman" w:hint="default"/>
        </w:rPr>
        <w:t>2013</w:t>
      </w:r>
      <w:r>
        <w:rPr/>
        <w:t>年起担任金安国纪科技股份有限公司独立董事。</w:t>
      </w:r>
      <w:r>
        <w:rPr>
          <w:rFonts w:ascii="Times New Roman" w:hAnsi="Times New Roman" w:cs="Times New Roman" w:eastAsia="Times New Roman" w:hint="default"/>
        </w:rPr>
        <w:t>2012</w:t>
      </w:r>
      <w:r>
        <w:rPr/>
        <w:t>年起担任本公司独立董事。</w:t>
      </w:r>
    </w:p>
    <w:p>
      <w:pPr>
        <w:pStyle w:val="Heading5"/>
        <w:spacing w:line="240" w:lineRule="auto" w:before="134"/>
        <w:ind w:left="575" w:right="184"/>
        <w:jc w:val="left"/>
        <w:rPr>
          <w:b w:val="0"/>
          <w:bCs w:val="0"/>
        </w:rPr>
      </w:pPr>
      <w:r>
        <w:rPr>
          <w:rFonts w:ascii="Times New Roman" w:hAnsi="Times New Roman" w:cs="Times New Roman" w:eastAsia="Times New Roman" w:hint="default"/>
        </w:rPr>
        <w:t>2</w:t>
      </w:r>
      <w:r>
        <w:rPr/>
        <w:t>、监事会成员</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77" w:firstLine="419"/>
        <w:jc w:val="left"/>
      </w:pPr>
      <w:r>
        <w:rPr>
          <w:spacing w:val="-1"/>
        </w:rPr>
        <w:t>本公司第二届监事会由</w:t>
      </w:r>
      <w:r>
        <w:rPr>
          <w:rFonts w:ascii="Times New Roman" w:hAnsi="Times New Roman" w:cs="Times New Roman" w:eastAsia="Times New Roman" w:hint="default"/>
          <w:spacing w:val="-1"/>
        </w:rPr>
        <w:t>3</w:t>
      </w:r>
      <w:r>
        <w:rPr>
          <w:spacing w:val="-1"/>
        </w:rPr>
        <w:t>名监事组成，其中李士玉为职工监事，由职工代表大会选派产生，黄克华和沈亦宁由公司监事</w:t>
      </w:r>
      <w:r>
        <w:rPr/>
        <w:t> 会提名，经公司</w:t>
      </w:r>
      <w:r>
        <w:rPr>
          <w:rFonts w:ascii="Times New Roman" w:hAnsi="Times New Roman" w:cs="Times New Roman" w:eastAsia="Times New Roman" w:hint="default"/>
        </w:rPr>
        <w:t>2012</w:t>
      </w:r>
      <w:r>
        <w:rPr/>
        <w:t>年第一次临时股东大会选举产生，本届监事会任期自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p>
    <w:p>
      <w:pPr>
        <w:pStyle w:val="BodyText"/>
        <w:spacing w:line="300" w:lineRule="auto" w:before="133"/>
        <w:ind w:left="153" w:right="93" w:firstLine="420"/>
        <w:jc w:val="left"/>
      </w:pPr>
      <w:r>
        <w:rPr/>
        <w:t>（</w:t>
      </w:r>
      <w:r>
        <w:rPr>
          <w:rFonts w:ascii="Times New Roman" w:hAnsi="Times New Roman" w:cs="Times New Roman" w:eastAsia="Times New Roman" w:hint="default"/>
        </w:rPr>
        <w:t>1</w:t>
      </w:r>
      <w:r>
        <w:rPr/>
        <w:t>）黄克华，男，</w:t>
      </w:r>
      <w:r>
        <w:rPr>
          <w:rFonts w:ascii="Times New Roman" w:hAnsi="Times New Roman" w:cs="Times New Roman" w:eastAsia="Times New Roman" w:hint="default"/>
        </w:rPr>
        <w:t>1964</w:t>
      </w:r>
      <w:r>
        <w:rPr/>
        <w:t>年出生，中国国籍，无境外永久居留权。大学本科、工程师。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2004</w:t>
      </w:r>
      <w:r>
        <w:rPr/>
        <w:t>年在上海金仕达卫 宁医疗信息技术有限公司工作，</w:t>
      </w:r>
      <w:r>
        <w:rPr>
          <w:rFonts w:ascii="Times New Roman" w:hAnsi="Times New Roman" w:cs="Times New Roman" w:eastAsia="Times New Roman" w:hint="default"/>
        </w:rPr>
        <w:t>2004</w:t>
      </w:r>
      <w:r>
        <w:rPr/>
        <w:t>年起加入上海金仕达卫宁软件有限公司，任项目管理部经理。现任本公司监事会主席、 项目管理部经理、工会主席。</w:t>
      </w:r>
    </w:p>
    <w:p>
      <w:pPr>
        <w:pStyle w:val="BodyText"/>
        <w:spacing w:line="300" w:lineRule="auto" w:before="151"/>
        <w:ind w:right="184" w:firstLine="420"/>
        <w:jc w:val="left"/>
      </w:pPr>
      <w:r>
        <w:rPr>
          <w:spacing w:val="-2"/>
        </w:rPr>
        <w:t>（</w:t>
      </w:r>
      <w:r>
        <w:rPr>
          <w:rFonts w:ascii="Times New Roman" w:hAnsi="Times New Roman" w:cs="Times New Roman" w:eastAsia="Times New Roman" w:hint="default"/>
          <w:spacing w:val="-2"/>
        </w:rPr>
        <w:t>2</w:t>
      </w:r>
      <w:r>
        <w:rPr>
          <w:spacing w:val="-2"/>
        </w:rPr>
        <w:t>）沈亦宁，女，</w:t>
      </w:r>
      <w:r>
        <w:rPr>
          <w:rFonts w:ascii="Times New Roman" w:hAnsi="Times New Roman" w:cs="Times New Roman" w:eastAsia="Times New Roman" w:hint="default"/>
          <w:spacing w:val="-2"/>
        </w:rPr>
        <w:t>1966</w:t>
      </w:r>
      <w:r>
        <w:rPr>
          <w:spacing w:val="-2"/>
        </w:rPr>
        <w:t>年出生，中国国籍，无境外永久居留权。大专、统计师。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2004</w:t>
      </w:r>
      <w:r>
        <w:rPr>
          <w:spacing w:val="-2"/>
        </w:rPr>
        <w:t>年任上海金仕达卫宁医</w:t>
      </w:r>
      <w:r>
        <w:rPr/>
        <w:t> 疗信息技术有限公司会计。</w:t>
      </w:r>
      <w:r>
        <w:rPr>
          <w:rFonts w:ascii="Times New Roman" w:hAnsi="Times New Roman" w:cs="Times New Roman" w:eastAsia="Times New Roman" w:hint="default"/>
        </w:rPr>
        <w:t>2004</w:t>
      </w:r>
      <w:r>
        <w:rPr/>
        <w:t>年起加入上海金仕达卫宁软件有限公司。现任本公司监事。</w:t>
      </w:r>
    </w:p>
    <w:p>
      <w:pPr>
        <w:pStyle w:val="BodyText"/>
        <w:spacing w:line="300" w:lineRule="auto" w:before="133"/>
        <w:ind w:right="111" w:firstLine="419"/>
        <w:jc w:val="both"/>
      </w:pPr>
      <w:r>
        <w:rPr>
          <w:spacing w:val="-2"/>
        </w:rPr>
        <w:t>（</w:t>
      </w:r>
      <w:r>
        <w:rPr>
          <w:rFonts w:ascii="Times New Roman" w:hAnsi="Times New Roman" w:cs="Times New Roman" w:eastAsia="Times New Roman" w:hint="default"/>
          <w:spacing w:val="-2"/>
        </w:rPr>
        <w:t>3</w:t>
      </w:r>
      <w:r>
        <w:rPr>
          <w:spacing w:val="-2"/>
        </w:rPr>
        <w:t>）李士玉：男，</w:t>
      </w:r>
      <w:r>
        <w:rPr>
          <w:rFonts w:ascii="Times New Roman" w:hAnsi="Times New Roman" w:cs="Times New Roman" w:eastAsia="Times New Roman" w:hint="default"/>
          <w:spacing w:val="-2"/>
        </w:rPr>
        <w:t>1978</w:t>
      </w:r>
      <w:r>
        <w:rPr>
          <w:spacing w:val="-2"/>
        </w:rPr>
        <w:t>年出生，中国国籍，无境外永久居留权。大学本科，复旦大学公共卫生硕士（</w:t>
      </w:r>
      <w:r>
        <w:rPr>
          <w:rFonts w:ascii="Times New Roman" w:hAnsi="Times New Roman" w:cs="Times New Roman" w:eastAsia="Times New Roman" w:hint="default"/>
          <w:spacing w:val="-2"/>
        </w:rPr>
        <w:t>MPH</w:t>
      </w:r>
      <w:r>
        <w:rPr>
          <w:spacing w:val="-2"/>
        </w:rPr>
        <w:t>）在读，项</w:t>
      </w:r>
      <w:r>
        <w:rPr>
          <w:spacing w:val="-8"/>
        </w:rPr>
        <w:t> </w:t>
      </w:r>
      <w:r>
        <w:rPr>
          <w:spacing w:val="-2"/>
        </w:rPr>
        <w:t>目管理师。</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2007</w:t>
      </w:r>
      <w:r>
        <w:rPr>
          <w:spacing w:val="-2"/>
        </w:rPr>
        <w:t>年历任上海金仕达卫宁医疗信息技术有限公司项目经理、上海金仕达卫宁计算机技术服务有限公司</w:t>
      </w:r>
      <w:r>
        <w:rPr>
          <w:spacing w:val="-60"/>
        </w:rPr>
        <w:t> </w:t>
      </w:r>
      <w:r>
        <w:rPr>
          <w:spacing w:val="-60"/>
        </w:rPr>
      </w:r>
      <w:r>
        <w:rPr/>
        <w:t>项目经理。</w:t>
      </w:r>
      <w:r>
        <w:rPr>
          <w:rFonts w:ascii="Times New Roman" w:hAnsi="Times New Roman" w:cs="Times New Roman" w:eastAsia="Times New Roman" w:hint="default"/>
        </w:rPr>
        <w:t>2007</w:t>
      </w:r>
      <w:r>
        <w:rPr/>
        <w:t>年起加入上海金仕达卫宁软件有限公司，任项目经理。现任本公司监事、上海区域营销服务中心副总经理。</w:t>
      </w:r>
    </w:p>
    <w:p>
      <w:pPr>
        <w:pStyle w:val="Heading5"/>
        <w:spacing w:line="240" w:lineRule="auto" w:before="133"/>
        <w:ind w:left="575" w:right="184"/>
        <w:jc w:val="left"/>
        <w:rPr>
          <w:b w:val="0"/>
          <w:bCs w:val="0"/>
        </w:rPr>
      </w:pPr>
      <w:r>
        <w:rPr>
          <w:rFonts w:ascii="Times New Roman" w:hAnsi="Times New Roman" w:cs="Times New Roman" w:eastAsia="Times New Roman" w:hint="default"/>
        </w:rPr>
        <w:t>3</w:t>
      </w:r>
      <w:r>
        <w:rPr/>
        <w:t>、高级管理人员</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2" w:right="184"/>
        <w:jc w:val="left"/>
      </w:pPr>
      <w:r>
        <w:rPr/>
        <w:t>（</w:t>
      </w:r>
      <w:r>
        <w:rPr>
          <w:rFonts w:ascii="Times New Roman" w:hAnsi="Times New Roman" w:cs="Times New Roman" w:eastAsia="Times New Roman" w:hint="default"/>
        </w:rPr>
        <w:t>1</w:t>
      </w:r>
      <w:r>
        <w:rPr/>
        <w:t>）刘宁，总经理兼董事，简历见上。</w:t>
      </w:r>
    </w:p>
    <w:p>
      <w:pPr>
        <w:spacing w:line="240" w:lineRule="auto" w:before="13"/>
        <w:rPr>
          <w:rFonts w:ascii="宋体" w:hAnsi="宋体" w:cs="宋体" w:eastAsia="宋体" w:hint="default"/>
          <w:sz w:val="13"/>
          <w:szCs w:val="13"/>
        </w:rPr>
      </w:pPr>
    </w:p>
    <w:p>
      <w:pPr>
        <w:pStyle w:val="BodyText"/>
        <w:spacing w:line="415" w:lineRule="auto"/>
        <w:ind w:right="4805" w:firstLine="419"/>
        <w:jc w:val="left"/>
      </w:pPr>
      <w:r>
        <w:rPr/>
        <w:t>（</w:t>
      </w:r>
      <w:r>
        <w:rPr>
          <w:rFonts w:ascii="Times New Roman" w:hAnsi="Times New Roman" w:cs="Times New Roman" w:eastAsia="Times New Roman" w:hint="default"/>
        </w:rPr>
        <w:t>2</w:t>
      </w:r>
      <w:r>
        <w:rPr/>
        <w:t>）靳茂，财务负责人、董事会秘书兼董事，简历见上。 在股东单位任职情况</w:t>
      </w:r>
    </w:p>
    <w:p>
      <w:pPr>
        <w:pStyle w:val="BodyText"/>
        <w:spacing w:line="221" w:lineRule="exact"/>
        <w:ind w:right="184" w:hanging="1"/>
        <w:jc w:val="left"/>
      </w:pPr>
      <w:r>
        <w:rPr/>
        <w:t>□ 适用 √</w:t>
      </w:r>
      <w:r>
        <w:rPr>
          <w:spacing w:val="3"/>
        </w:rPr>
        <w:t> </w:t>
      </w:r>
      <w:r>
        <w:rPr/>
        <w:t>不适用</w:t>
      </w:r>
    </w:p>
    <w:p>
      <w:pPr>
        <w:pStyle w:val="BodyText"/>
        <w:spacing w:line="240" w:lineRule="auto" w:before="115"/>
        <w:ind w:right="184"/>
        <w:jc w:val="left"/>
      </w:pPr>
      <w:r>
        <w:rPr/>
        <w:t>在其他单位任职情况</w:t>
      </w:r>
    </w:p>
    <w:p>
      <w:pPr>
        <w:pStyle w:val="BodyText"/>
        <w:spacing w:line="240" w:lineRule="auto" w:before="117"/>
        <w:ind w:right="184"/>
        <w:jc w:val="left"/>
      </w:pPr>
      <w:r>
        <w:rPr/>
        <w:t>√ 适用 □</w:t>
      </w:r>
      <w:r>
        <w:rPr>
          <w:spacing w:val="3"/>
        </w:rPr>
        <w:t> </w:t>
      </w:r>
      <w:r>
        <w:rPr/>
        <w:t>不适用</w:t>
      </w:r>
    </w:p>
    <w:p>
      <w:pPr>
        <w:spacing w:after="0" w:line="240" w:lineRule="auto"/>
        <w:jc w:val="lef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天顺风能（苏州）股份有限公司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金安国纪科技股份有限公司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三、董事、监事、高级管理人</w:t>
      </w:r>
      <w:bookmarkStart w:name="三、董事、监事、高级管理人员报酬情况" w:id="63"/>
      <w:bookmarkEnd w:id="63"/>
      <w:r>
        <w:rPr/>
        <w:t>员报</w:t>
      </w:r>
      <w:r>
        <w:rPr/>
        <w:t>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5974"/>
      </w:tblGrid>
      <w:tr>
        <w:trPr>
          <w:trHeight w:val="1025" w:hRule="exact"/>
        </w:trPr>
        <w:tc>
          <w:tcPr>
            <w:tcW w:w="3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
                <w:sz w:val="18"/>
                <w:szCs w:val="18"/>
              </w:rPr>
              <w:t>公司董事、监事报酬由股东大会决定，高级管理人员报酬由董事会决定；在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公司承担职务的董事、监事、高级管理人员报酬由公司支付，董事、监事不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另外支付津贴；独立董事津贴依据股东大会决议支付。</w:t>
            </w:r>
          </w:p>
        </w:tc>
      </w:tr>
      <w:tr>
        <w:trPr>
          <w:trHeight w:val="715" w:hRule="exact"/>
        </w:trPr>
        <w:tc>
          <w:tcPr>
            <w:tcW w:w="3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依据公司盈利水平及各董事、监事、高级管理人员的工作分工及履职情况确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w:t>
            </w:r>
          </w:p>
        </w:tc>
      </w:tr>
      <w:tr>
        <w:trPr>
          <w:trHeight w:val="713" w:hRule="exact"/>
        </w:trPr>
        <w:tc>
          <w:tcPr>
            <w:tcW w:w="3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已按相关规定及时支付董事、监事和高级管理人员报酬。</w:t>
            </w:r>
          </w:p>
        </w:tc>
      </w:tr>
    </w:tbl>
    <w:p>
      <w:pPr>
        <w:pStyle w:val="BodyText"/>
        <w:spacing w:line="240" w:lineRule="auto" w:before="49"/>
        <w:ind w:right="0"/>
        <w:jc w:val="left"/>
      </w:pPr>
      <w:r>
        <w:rPr/>
        <w:t>公司报告期内董事、监事和高级管理人员报酬情况</w:t>
      </w:r>
    </w:p>
    <w:p>
      <w:pPr>
        <w:pStyle w:val="BodyText"/>
        <w:spacing w:line="240" w:lineRule="auto" w:before="117"/>
        <w:ind w:left="0" w:right="153"/>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30.45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24.06</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9"/>
              <w:jc w:val="both"/>
              <w:rPr>
                <w:rFonts w:ascii="宋体" w:hAnsi="宋体" w:cs="宋体" w:eastAsia="宋体" w:hint="default"/>
                <w:sz w:val="18"/>
                <w:szCs w:val="18"/>
              </w:rPr>
            </w:pPr>
            <w:r>
              <w:rPr>
                <w:rFonts w:ascii="宋体" w:hAnsi="宋体" w:cs="宋体" w:eastAsia="宋体" w:hint="default"/>
                <w:sz w:val="18"/>
                <w:szCs w:val="18"/>
              </w:rPr>
              <w:t>董事、财务负 责人、董事会 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王绍东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w:t>
            </w:r>
            <w:r>
              <w:rPr>
                <w:rFonts w:ascii="Times New Roman"/>
                <w:sz w:val="18"/>
              </w:rPr>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w:t>
            </w:r>
            <w:r>
              <w:rPr>
                <w:rFonts w:ascii="Times New Roman"/>
                <w:sz w:val="18"/>
              </w:rPr>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w:t>
            </w:r>
            <w:r>
              <w:rPr>
                <w:rFonts w:ascii="Times New Roman"/>
                <w:sz w:val="18"/>
              </w:rPr>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王贤安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w:t>
            </w:r>
            <w:r>
              <w:rPr>
                <w:rFonts w:ascii="Times New Roman"/>
                <w:sz w:val="18"/>
              </w:rPr>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19.85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李士玉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19.79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185.75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185.75</w:t>
            </w:r>
          </w:p>
        </w:tc>
      </w:tr>
    </w:tbl>
    <w:p>
      <w:pPr>
        <w:pStyle w:val="BodyText"/>
        <w:spacing w:line="240" w:lineRule="auto" w:before="50"/>
        <w:ind w:right="0"/>
        <w:jc w:val="left"/>
      </w:pPr>
      <w:bookmarkStart w:name="六、公司员工情况" w:id="64"/>
      <w:bookmarkEnd w:id="64"/>
      <w:r>
        <w:rPr/>
      </w:r>
      <w:r>
        <w:rPr/>
        <w:t>公司董事、监事、高级管理人员报告期内被授予的股权激励情况</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337" w:hRule="exact"/>
        </w:trPr>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3" w:right="20"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董事、财务 负责人、董 事会秘书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李士玉</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四、公司董事、监事、高级管理人员变动</w:t>
      </w:r>
      <w:bookmarkStart w:name="四、公司董事、监事、高级管理人员变动情况" w:id="65"/>
      <w:bookmarkEnd w:id="65"/>
      <w:r>
        <w:rPr/>
        <w:t>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王贤安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因年龄原因辞职</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五、报告期核心技术团队或关键技术人员变动情况（非董事、监事、高级管</w:t>
      </w:r>
      <w:bookmarkStart w:name="五、报告期核心技术团队或关键技术人员变动情况（非董事、监事、高级管理人员）" w:id="66"/>
      <w:bookmarkEnd w:id="66"/>
      <w:r>
        <w:rPr/>
        <w:t>理人</w:t>
      </w:r>
      <w:r>
        <w:rPr/>
        <w:t>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0" w:right="0"/>
        <w:jc w:val="left"/>
      </w:pPr>
      <w:r>
        <w:rPr/>
        <w:t>报告期内，公司核心技术团队或关键技术人员未发生变动（非董事、监事、高级管理人员）。</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2" w:right="0"/>
        <w:jc w:val="left"/>
      </w:pPr>
      <w:r>
        <w:rPr/>
        <w:t>截至</w:t>
      </w:r>
      <w:r>
        <w:rPr>
          <w:rFonts w:ascii="Times New Roman" w:hAnsi="Times New Roman" w:cs="Times New Roman" w:eastAsia="Times New Roman" w:hint="default"/>
        </w:rPr>
        <w:t>2012</w:t>
      </w:r>
      <w:r>
        <w:rPr/>
        <w:t>年末，公司员工数量为</w:t>
      </w:r>
      <w:r>
        <w:rPr>
          <w:rFonts w:ascii="Times New Roman" w:hAnsi="Times New Roman" w:cs="Times New Roman" w:eastAsia="Times New Roman" w:hint="default"/>
        </w:rPr>
        <w:t>883</w:t>
      </w:r>
      <w:r>
        <w:rPr/>
        <w:t>人。员工基本构成如下：</w:t>
      </w:r>
    </w:p>
    <w:p>
      <w:pPr>
        <w:spacing w:line="240" w:lineRule="auto" w:before="13"/>
        <w:rPr>
          <w:rFonts w:ascii="宋体" w:hAnsi="宋体" w:cs="宋体" w:eastAsia="宋体" w:hint="default"/>
          <w:sz w:val="13"/>
          <w:szCs w:val="13"/>
        </w:rPr>
      </w:pPr>
    </w:p>
    <w:p>
      <w:pPr>
        <w:pStyle w:val="Heading5"/>
        <w:spacing w:line="240" w:lineRule="auto"/>
        <w:ind w:left="575" w:right="0"/>
        <w:jc w:val="left"/>
        <w:rPr>
          <w:b w:val="0"/>
          <w:bCs w:val="0"/>
        </w:rPr>
      </w:pPr>
      <w:r>
        <w:rPr/>
        <w:t>（一）员工专业结构</w:t>
      </w:r>
      <w:r>
        <w:rPr>
          <w:b w:val="0"/>
          <w:bCs w:val="0"/>
        </w:rPr>
      </w:r>
    </w:p>
    <w:p>
      <w:pPr>
        <w:spacing w:line="240" w:lineRule="auto" w:before="5"/>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2844"/>
        <w:gridCol w:w="2844"/>
        <w:gridCol w:w="2772"/>
      </w:tblGrid>
      <w:tr>
        <w:trPr>
          <w:trHeight w:val="466" w:hRule="exact"/>
        </w:trPr>
        <w:tc>
          <w:tcPr>
            <w:tcW w:w="2844"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职工专业构成</w:t>
            </w:r>
          </w:p>
        </w:tc>
        <w:tc>
          <w:tcPr>
            <w:tcW w:w="2844"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7"/>
              <w:ind w:right="1231"/>
              <w:jc w:val="right"/>
              <w:rPr>
                <w:rFonts w:ascii="宋体" w:hAnsi="宋体" w:cs="宋体" w:eastAsia="宋体" w:hint="default"/>
                <w:sz w:val="18"/>
                <w:szCs w:val="18"/>
              </w:rPr>
            </w:pPr>
            <w:r>
              <w:rPr>
                <w:rFonts w:ascii="宋体" w:hAnsi="宋体" w:cs="宋体" w:eastAsia="宋体" w:hint="default"/>
                <w:sz w:val="18"/>
                <w:szCs w:val="18"/>
              </w:rPr>
              <w:t>人数</w:t>
            </w:r>
          </w:p>
        </w:tc>
        <w:tc>
          <w:tcPr>
            <w:tcW w:w="2772"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研究开发人员</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195</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22.08</w:t>
            </w:r>
          </w:p>
        </w:tc>
      </w:tr>
      <w:tr>
        <w:trPr>
          <w:trHeight w:val="466"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实施、二次开发人员</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349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39.53</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17"/>
              <w:jc w:val="right"/>
              <w:rPr>
                <w:rFonts w:ascii="Times New Roman" w:hAnsi="Times New Roman" w:cs="Times New Roman" w:eastAsia="Times New Roman" w:hint="default"/>
                <w:sz w:val="18"/>
                <w:szCs w:val="18"/>
              </w:rPr>
            </w:pPr>
            <w:r>
              <w:rPr>
                <w:rFonts w:ascii="Times New Roman"/>
                <w:sz w:val="18"/>
              </w:rPr>
              <w:t>65</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7.36</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销售、服务人员</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274</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31.03</w:t>
            </w:r>
          </w:p>
        </w:tc>
      </w:tr>
      <w:tr>
        <w:trPr>
          <w:trHeight w:val="466"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883</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b/>
          <w:bCs/>
          <w:sz w:val="25"/>
          <w:szCs w:val="25"/>
        </w:rPr>
      </w:pPr>
    </w:p>
    <w:p>
      <w:pPr>
        <w:pStyle w:val="Heading5"/>
        <w:spacing w:line="240" w:lineRule="auto" w:before="44"/>
        <w:ind w:left="575" w:right="0"/>
        <w:jc w:val="left"/>
        <w:rPr>
          <w:b w:val="0"/>
          <w:bCs w:val="0"/>
        </w:rPr>
      </w:pPr>
      <w:r>
        <w:rPr/>
        <w:t>（二）员工受教育程度水平</w:t>
      </w:r>
      <w:r>
        <w:rPr>
          <w:b w:val="0"/>
          <w:bCs w:val="0"/>
        </w:rPr>
      </w:r>
    </w:p>
    <w:p>
      <w:pPr>
        <w:spacing w:line="240" w:lineRule="auto" w:before="4"/>
        <w:rPr>
          <w:rFonts w:ascii="宋体" w:hAnsi="宋体" w:cs="宋体" w:eastAsia="宋体" w:hint="default"/>
          <w:b/>
          <w:bCs/>
          <w:sz w:val="15"/>
          <w:szCs w:val="15"/>
        </w:rPr>
      </w:pPr>
    </w:p>
    <w:tbl>
      <w:tblPr>
        <w:tblW w:w="0" w:type="auto"/>
        <w:jc w:val="left"/>
        <w:tblInd w:w="145" w:type="dxa"/>
        <w:tblLayout w:type="fixed"/>
        <w:tblCellMar>
          <w:top w:w="0" w:type="dxa"/>
          <w:left w:w="0" w:type="dxa"/>
          <w:bottom w:w="0" w:type="dxa"/>
          <w:right w:w="0" w:type="dxa"/>
        </w:tblCellMar>
        <w:tblLook w:val="01E0"/>
      </w:tblPr>
      <w:tblGrid>
        <w:gridCol w:w="2844"/>
        <w:gridCol w:w="2844"/>
        <w:gridCol w:w="2772"/>
      </w:tblGrid>
      <w:tr>
        <w:trPr>
          <w:trHeight w:val="456" w:hRule="exact"/>
        </w:trPr>
        <w:tc>
          <w:tcPr>
            <w:tcW w:w="2844"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2844"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25"/>
              <w:ind w:right="1231"/>
              <w:jc w:val="right"/>
              <w:rPr>
                <w:rFonts w:ascii="宋体" w:hAnsi="宋体" w:cs="宋体" w:eastAsia="宋体" w:hint="default"/>
                <w:sz w:val="18"/>
                <w:szCs w:val="18"/>
              </w:rPr>
            </w:pPr>
            <w:r>
              <w:rPr>
                <w:rFonts w:ascii="宋体" w:hAnsi="宋体" w:cs="宋体" w:eastAsia="宋体" w:hint="default"/>
                <w:sz w:val="18"/>
                <w:szCs w:val="18"/>
              </w:rPr>
              <w:t>人数</w:t>
            </w:r>
          </w:p>
        </w:tc>
        <w:tc>
          <w:tcPr>
            <w:tcW w:w="2772"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66"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317"/>
              <w:jc w:val="right"/>
              <w:rPr>
                <w:rFonts w:ascii="Times New Roman" w:hAnsi="Times New Roman" w:cs="Times New Roman" w:eastAsia="Times New Roman" w:hint="default"/>
                <w:sz w:val="18"/>
                <w:szCs w:val="18"/>
              </w:rPr>
            </w:pPr>
            <w:r>
              <w:rPr>
                <w:rFonts w:ascii="Times New Roman"/>
                <w:sz w:val="18"/>
              </w:rPr>
              <w:t>21</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2.38</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490</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55.49</w:t>
            </w:r>
          </w:p>
        </w:tc>
      </w:tr>
      <w:tr>
        <w:trPr>
          <w:trHeight w:val="466"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339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38.39</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17"/>
              <w:jc w:val="right"/>
              <w:rPr>
                <w:rFonts w:ascii="Times New Roman" w:hAnsi="Times New Roman" w:cs="Times New Roman" w:eastAsia="Times New Roman" w:hint="default"/>
                <w:sz w:val="18"/>
                <w:szCs w:val="18"/>
              </w:rPr>
            </w:pPr>
            <w:r>
              <w:rPr>
                <w:rFonts w:ascii="Times New Roman"/>
                <w:sz w:val="18"/>
              </w:rPr>
              <w:t>33</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3.74</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883</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b/>
          <w:bCs/>
          <w:sz w:val="6"/>
          <w:szCs w:val="6"/>
        </w:rPr>
      </w:pPr>
    </w:p>
    <w:p>
      <w:pPr>
        <w:pStyle w:val="Heading5"/>
        <w:spacing w:line="240" w:lineRule="auto" w:before="44"/>
        <w:ind w:left="575" w:right="0"/>
        <w:jc w:val="left"/>
        <w:rPr>
          <w:b w:val="0"/>
          <w:bCs w:val="0"/>
        </w:rPr>
      </w:pPr>
      <w:r>
        <w:rPr/>
        <w:t>（三）员工年龄结构</w:t>
      </w:r>
      <w:r>
        <w:rPr>
          <w:b w:val="0"/>
          <w:bCs w:val="0"/>
        </w:rPr>
      </w:r>
    </w:p>
    <w:p>
      <w:pPr>
        <w:spacing w:line="240" w:lineRule="auto" w:before="4"/>
        <w:rPr>
          <w:rFonts w:ascii="宋体" w:hAnsi="宋体" w:cs="宋体" w:eastAsia="宋体" w:hint="default"/>
          <w:b/>
          <w:bCs/>
          <w:sz w:val="15"/>
          <w:szCs w:val="15"/>
        </w:rPr>
      </w:pPr>
    </w:p>
    <w:tbl>
      <w:tblPr>
        <w:tblW w:w="0" w:type="auto"/>
        <w:jc w:val="left"/>
        <w:tblInd w:w="145" w:type="dxa"/>
        <w:tblLayout w:type="fixed"/>
        <w:tblCellMar>
          <w:top w:w="0" w:type="dxa"/>
          <w:left w:w="0" w:type="dxa"/>
          <w:bottom w:w="0" w:type="dxa"/>
          <w:right w:w="0" w:type="dxa"/>
        </w:tblCellMar>
        <w:tblLook w:val="01E0"/>
      </w:tblPr>
      <w:tblGrid>
        <w:gridCol w:w="2844"/>
        <w:gridCol w:w="2844"/>
        <w:gridCol w:w="2772"/>
      </w:tblGrid>
      <w:tr>
        <w:trPr>
          <w:trHeight w:val="454" w:hRule="exact"/>
        </w:trPr>
        <w:tc>
          <w:tcPr>
            <w:tcW w:w="2844"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2844"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25"/>
              <w:ind w:right="1231"/>
              <w:jc w:val="right"/>
              <w:rPr>
                <w:rFonts w:ascii="宋体" w:hAnsi="宋体" w:cs="宋体" w:eastAsia="宋体" w:hint="default"/>
                <w:sz w:val="18"/>
                <w:szCs w:val="18"/>
              </w:rPr>
            </w:pPr>
            <w:r>
              <w:rPr>
                <w:rFonts w:ascii="宋体" w:hAnsi="宋体" w:cs="宋体" w:eastAsia="宋体" w:hint="default"/>
                <w:sz w:val="18"/>
                <w:szCs w:val="18"/>
              </w:rPr>
              <w:t>人数</w:t>
            </w:r>
          </w:p>
        </w:tc>
        <w:tc>
          <w:tcPr>
            <w:tcW w:w="2772" w:type="dxa"/>
            <w:tcBorders>
              <w:top w:val="single" w:sz="6" w:space="0" w:color="000000"/>
              <w:left w:val="single" w:sz="6" w:space="0" w:color="000000"/>
              <w:bottom w:val="single" w:sz="6" w:space="0" w:color="000000"/>
              <w:right w:val="single" w:sz="6" w:space="0" w:color="000000"/>
            </w:tcBorders>
            <w:shd w:val="clear" w:color="auto" w:fill="E1E1E1"/>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659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74.63</w:t>
            </w:r>
          </w:p>
        </w:tc>
      </w:tr>
      <w:tr>
        <w:trPr>
          <w:trHeight w:val="466"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30—40</w:t>
            </w:r>
            <w:r>
              <w:rPr>
                <w:rFonts w:ascii="宋体" w:hAnsi="宋体" w:cs="宋体" w:eastAsia="宋体" w:hint="default"/>
                <w:sz w:val="18"/>
                <w:szCs w:val="18"/>
              </w:rPr>
              <w:t>岁</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194</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21.97</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宋体" w:hAnsi="宋体" w:cs="宋体" w:eastAsia="宋体" w:hint="default"/>
                <w:sz w:val="18"/>
                <w:szCs w:val="18"/>
              </w:rPr>
              <w:t>岁</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17"/>
              <w:jc w:val="right"/>
              <w:rPr>
                <w:rFonts w:ascii="Times New Roman" w:hAnsi="Times New Roman" w:cs="Times New Roman" w:eastAsia="Times New Roman" w:hint="default"/>
                <w:sz w:val="18"/>
                <w:szCs w:val="18"/>
              </w:rPr>
            </w:pPr>
            <w:r>
              <w:rPr>
                <w:rFonts w:ascii="Times New Roman"/>
                <w:sz w:val="18"/>
              </w:rPr>
              <w:t>27</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3.06</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0.34</w:t>
            </w:r>
          </w:p>
        </w:tc>
      </w:tr>
      <w:tr>
        <w:trPr>
          <w:trHeight w:val="466"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72"/>
              <w:jc w:val="right"/>
              <w:rPr>
                <w:rFonts w:ascii="Times New Roman" w:hAnsi="Times New Roman" w:cs="Times New Roman" w:eastAsia="Times New Roman" w:hint="default"/>
                <w:sz w:val="18"/>
                <w:szCs w:val="18"/>
              </w:rPr>
            </w:pPr>
            <w:r>
              <w:rPr>
                <w:rFonts w:ascii="Times New Roman"/>
                <w:sz w:val="18"/>
              </w:rPr>
              <w:t>883</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r>
    </w:tbl>
    <w:p>
      <w:pPr>
        <w:pStyle w:val="Heading5"/>
        <w:spacing w:line="240" w:lineRule="auto" w:before="8"/>
        <w:ind w:left="460" w:right="0"/>
        <w:jc w:val="left"/>
        <w:rPr>
          <w:b w:val="0"/>
          <w:bCs w:val="0"/>
        </w:rPr>
      </w:pPr>
      <w:r>
        <w:rPr/>
        <w:t>（四）公司没有需要承担费用的离退休人员。</w:t>
      </w:r>
      <w:r>
        <w:rPr>
          <w:b w:val="0"/>
          <w:bCs w:val="0"/>
        </w:rPr>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1"/>
        <w:spacing w:line="240" w:lineRule="auto"/>
        <w:ind w:right="3627"/>
        <w:jc w:val="center"/>
        <w:rPr>
          <w:b w:val="0"/>
          <w:bCs w:val="0"/>
        </w:rPr>
      </w:pPr>
      <w:bookmarkStart w:name="第八节 公司治理" w:id="67"/>
      <w:bookmarkEnd w:id="67"/>
      <w:r>
        <w:rPr>
          <w:b w:val="0"/>
          <w:bCs w:val="0"/>
        </w:rPr>
      </w:r>
      <w:bookmarkStart w:name="_bookmark7" w:id="68"/>
      <w:bookmarkEnd w:id="68"/>
      <w:r>
        <w:rPr>
          <w:b w:val="0"/>
          <w:bCs w:val="0"/>
        </w:rPr>
      </w:r>
      <w:r>
        <w:rPr/>
        <w:t>第八节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84"/>
        <w:jc w:val="left"/>
        <w:rPr>
          <w:b w:val="0"/>
          <w:bCs w:val="0"/>
        </w:rPr>
      </w:pPr>
      <w:r>
        <w:rPr/>
        <w:t>一、公司治理</w:t>
      </w:r>
      <w:bookmarkStart w:name="一、公司治理的基本状况" w:id="69"/>
      <w:bookmarkEnd w:id="69"/>
      <w:r>
        <w:rPr/>
        <w:t>的</w:t>
      </w:r>
      <w:r>
        <w:rPr/>
        <w:t>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2" w:right="94"/>
        <w:jc w:val="left"/>
      </w:pPr>
      <w:r>
        <w:rPr>
          <w:spacing w:val="-5"/>
        </w:rPr>
        <w:t>报告期内，公司严格按照《公司法》、《证券法》、《上市公司治理准则》、《深圳证券交易所创业板股票上市规则》、</w:t>
      </w:r>
    </w:p>
    <w:p>
      <w:pPr>
        <w:pStyle w:val="BodyText"/>
        <w:spacing w:line="316" w:lineRule="auto" w:before="76"/>
        <w:ind w:right="184"/>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治理结构，建立健全公司内部管理和控制制度，规范运作，严格进行信息披露工作，保护广大投资者利益。</w:t>
      </w:r>
    </w:p>
    <w:p>
      <w:pPr>
        <w:pStyle w:val="BodyText"/>
        <w:spacing w:line="316" w:lineRule="auto" w:before="139"/>
        <w:ind w:right="184" w:firstLine="419"/>
        <w:jc w:val="left"/>
      </w:pPr>
      <w:r>
        <w:rPr/>
        <w:t>截至报告期末，公司治理的实际情况基本符合中国证监会发布的有关上市公司治理的规范性文件的要求，已经形成了 权力机构、决策机构、监督机构与管理层之间权责分明、各司其职、相互制衡、科学决策、协调运作的法人治理结构。</w:t>
      </w:r>
    </w:p>
    <w:p>
      <w:pPr>
        <w:pStyle w:val="BodyText"/>
        <w:spacing w:line="432" w:lineRule="exact" w:before="3"/>
        <w:ind w:left="572" w:right="184" w:firstLine="2"/>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t>公司股东大会均严格按照《上市公司股东大会规则》、《公司章程》、《股东大会议事规则》等规定召集、召开，平</w:t>
      </w:r>
    </w:p>
    <w:p>
      <w:pPr>
        <w:pStyle w:val="BodyText"/>
        <w:spacing w:line="316" w:lineRule="auto" w:before="15"/>
        <w:ind w:right="94"/>
        <w:jc w:val="left"/>
      </w:pPr>
      <w:r>
        <w:rPr>
          <w:spacing w:val="-4"/>
        </w:rPr>
        <w:t>等对待所有股东，并尽可能为股东参加股东大会提供便利，使其充分行使股东权利。同时，公司聘请专业律师见证股东大会，</w:t>
      </w:r>
      <w:r>
        <w:rPr>
          <w:spacing w:val="-46"/>
        </w:rPr>
        <w:t> </w:t>
      </w:r>
      <w:r>
        <w:rPr>
          <w:spacing w:val="-46"/>
        </w:rPr>
      </w:r>
      <w:r>
        <w:rPr/>
        <w:t>确保会议召集召开以及表决程序符合相关法律规定，维护股东的合法权益。</w:t>
      </w:r>
    </w:p>
    <w:p>
      <w:pPr>
        <w:spacing w:line="432" w:lineRule="exact" w:before="3"/>
        <w:ind w:left="572" w:right="18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、关于公司与控股股东、实际控制人</w:t>
      </w:r>
      <w:r>
        <w:rPr>
          <w:rFonts w:ascii="宋体" w:hAnsi="宋体" w:cs="宋体" w:eastAsia="宋体" w:hint="default"/>
          <w:b/>
          <w:bCs/>
          <w:w w:val="99"/>
          <w:sz w:val="18"/>
          <w:szCs w:val="18"/>
        </w:rPr>
        <w:t> </w:t>
      </w:r>
      <w:r>
        <w:rPr>
          <w:rFonts w:ascii="宋体" w:hAnsi="宋体" w:cs="宋体" w:eastAsia="宋体" w:hint="default"/>
          <w:sz w:val="18"/>
          <w:szCs w:val="18"/>
        </w:rPr>
        <w:t>公司控股股东、实际控制人严格规范自己的行为，没有超越股东大会直接或间接干预公司的决策和经营活动，未损害</w:t>
      </w:r>
    </w:p>
    <w:p>
      <w:pPr>
        <w:pStyle w:val="BodyText"/>
        <w:spacing w:line="316" w:lineRule="auto" w:before="15"/>
        <w:ind w:right="184"/>
        <w:jc w:val="left"/>
      </w:pPr>
      <w:r>
        <w:rPr>
          <w:spacing w:val="-2"/>
        </w:rPr>
        <w:t>公司及其他股东的利益，不存在控股股东占用公司资金的现象，公司亦无为控股股东提供担保的情形。公司拥有独立完整的</w:t>
      </w:r>
      <w:r>
        <w:rPr>
          <w:spacing w:val="-63"/>
        </w:rPr>
        <w:t> </w:t>
      </w:r>
      <w:r>
        <w:rPr>
          <w:spacing w:val="-63"/>
        </w:rPr>
      </w:r>
      <w:r>
        <w:rPr/>
        <w:t>业务和自主经营能力，在业务、人员、资产、机构、财务上独立于控股股东，公司董事会、监事会和内部机构独立运作。</w:t>
      </w:r>
    </w:p>
    <w:p>
      <w:pPr>
        <w:pStyle w:val="BodyText"/>
        <w:spacing w:line="432" w:lineRule="exact" w:before="3"/>
        <w:ind w:left="572" w:right="184" w:firstLine="2"/>
        <w:jc w:val="left"/>
      </w:pPr>
      <w:r>
        <w:rPr>
          <w:rFonts w:ascii="Times New Roman" w:hAnsi="Times New Roman" w:cs="Times New Roman" w:eastAsia="Times New Roman" w:hint="default"/>
          <w:b/>
          <w:bCs/>
        </w:rPr>
        <w:t>3</w:t>
      </w:r>
      <w:r>
        <w:rPr>
          <w:rFonts w:ascii="宋体" w:hAnsi="宋体" w:cs="宋体" w:eastAsia="宋体" w:hint="default"/>
          <w:b/>
          <w:bCs/>
        </w:rPr>
        <w:t>、关于董事和董事会</w:t>
      </w:r>
      <w:r>
        <w:rPr>
          <w:rFonts w:ascii="宋体" w:hAnsi="宋体" w:cs="宋体" w:eastAsia="宋体" w:hint="default"/>
          <w:b/>
          <w:bCs/>
          <w:w w:val="99"/>
        </w:rPr>
        <w:t> </w:t>
      </w:r>
      <w:r>
        <w:rPr/>
        <w:t>公司董事会设董事</w:t>
      </w:r>
      <w:r>
        <w:rPr>
          <w:rFonts w:ascii="Times New Roman" w:hAnsi="Times New Roman" w:cs="Times New Roman" w:eastAsia="Times New Roman" w:hint="default"/>
        </w:rPr>
        <w:t>7</w:t>
      </w:r>
      <w:r>
        <w:rPr/>
        <w:t>名，其中独立董事</w:t>
      </w:r>
      <w:r>
        <w:rPr>
          <w:rFonts w:ascii="Times New Roman" w:hAnsi="Times New Roman" w:cs="Times New Roman" w:eastAsia="Times New Roman" w:hint="default"/>
        </w:rPr>
        <w:t>3</w:t>
      </w:r>
      <w:r>
        <w:rPr/>
        <w:t>名，董事会的人数及人员构成符合法律、法规和《公司章程》的要求。公司董</w:t>
      </w:r>
    </w:p>
    <w:p>
      <w:pPr>
        <w:pStyle w:val="BodyText"/>
        <w:spacing w:line="316" w:lineRule="auto" w:before="15"/>
        <w:ind w:right="94"/>
        <w:jc w:val="left"/>
      </w:pPr>
      <w:r>
        <w:rPr/>
        <w:t>事能够依据《深圳证券交易所创业板上市公司规范运作指引》、《董事会议事规则》、《独立董事工作制度》等开展工作， 出席董事会和股东大会，勤勉尽责地履行职责和义务，同时积极参加相关培训，熟悉相关法律法规。</w:t>
      </w:r>
    </w:p>
    <w:p>
      <w:pPr>
        <w:pStyle w:val="BodyText"/>
        <w:spacing w:line="432" w:lineRule="exact" w:before="3"/>
        <w:ind w:left="572" w:right="184" w:firstLine="2"/>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t>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名，监事会的人数和构成符合法律、法规的要求。公司监事能够按照《深圳证</w:t>
      </w:r>
    </w:p>
    <w:p>
      <w:pPr>
        <w:pStyle w:val="BodyText"/>
        <w:spacing w:line="316" w:lineRule="auto" w:before="15"/>
        <w:ind w:right="94"/>
        <w:jc w:val="left"/>
      </w:pPr>
      <w:r>
        <w:rPr>
          <w:spacing w:val="-4"/>
        </w:rPr>
        <w:t>券交易所创业板上市公司规范运作指引》、《监事会议事规则》的要求，认真履行自己的职责，对公司重大事项、财务状况、</w:t>
      </w:r>
      <w:r>
        <w:rPr>
          <w:spacing w:val="-42"/>
        </w:rPr>
        <w:t> </w:t>
      </w:r>
      <w:r>
        <w:rPr>
          <w:spacing w:val="-42"/>
        </w:rPr>
      </w:r>
      <w:r>
        <w:rPr/>
        <w:t>董事和高级管理人员的履行职责的合法合规性进行监督，维护公司及股东的合法权益。</w:t>
      </w:r>
    </w:p>
    <w:p>
      <w:pPr>
        <w:spacing w:line="432" w:lineRule="exact" w:before="3"/>
        <w:ind w:left="572" w:right="18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z w:val="18"/>
          <w:szCs w:val="18"/>
        </w:rPr>
        <w:t>公司已建立企业绩效激励与评价体系，并不断完善。公司董事、监事和高级管理人员的绩效评价标准和激励约束机制</w:t>
      </w:r>
    </w:p>
    <w:p>
      <w:pPr>
        <w:pStyle w:val="BodyText"/>
        <w:spacing w:line="316" w:lineRule="auto" w:before="15"/>
        <w:ind w:right="184"/>
        <w:jc w:val="left"/>
      </w:pPr>
      <w:r>
        <w:rPr>
          <w:spacing w:val="-2"/>
        </w:rPr>
        <w:t>公开、透明，符合法律、法规的规定。公司董事会设立了薪酬与考核委员会，负责薪酬政策及方案的制定与审定。公司高级</w:t>
      </w:r>
      <w:r>
        <w:rPr>
          <w:spacing w:val="-70"/>
        </w:rPr>
        <w:t> </w:t>
      </w:r>
      <w:r>
        <w:rPr>
          <w:spacing w:val="-70"/>
        </w:rPr>
      </w:r>
      <w:r>
        <w:rPr/>
        <w:t>管理人员均认真履行工作职责，较好地完成了董事会制定的经营管理任务。</w:t>
      </w:r>
    </w:p>
    <w:p>
      <w:pPr>
        <w:spacing w:line="432" w:lineRule="exact" w:before="3"/>
        <w:ind w:left="572" w:right="18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公司严格按照《上市公司信息披露管理办法》、深圳证券交易所创业板上市公司的信息披露格式指引等规定以及公司</w:t>
      </w:r>
    </w:p>
    <w:p>
      <w:pPr>
        <w:pStyle w:val="BodyText"/>
        <w:spacing w:line="316" w:lineRule="auto" w:before="15"/>
        <w:ind w:right="94"/>
        <w:jc w:val="left"/>
      </w:pPr>
      <w:r>
        <w:rPr>
          <w:spacing w:val="-2"/>
        </w:rPr>
        <w:t>制定的《信息披露制度》等要求，真实、准确、及时、公平、完整地披露有关信息；并指定公司董事会秘书负责信息披露工</w:t>
      </w:r>
      <w:r>
        <w:rPr>
          <w:spacing w:val="-65"/>
        </w:rPr>
        <w:t> </w:t>
      </w:r>
      <w:r>
        <w:rPr>
          <w:spacing w:val="-65"/>
        </w:rPr>
      </w:r>
      <w:r>
        <w:rPr>
          <w:spacing w:val="-1"/>
        </w:rPr>
        <w:t>作，协调公司与投资者的关系</w:t>
      </w:r>
      <w:r>
        <w:rPr>
          <w:rFonts w:ascii="Times New Roman" w:hAnsi="Times New Roman" w:cs="Times New Roman" w:eastAsia="Times New Roman" w:hint="default"/>
          <w:spacing w:val="-1"/>
        </w:rPr>
        <w:t>,</w:t>
      </w:r>
      <w:r>
        <w:rPr>
          <w:spacing w:val="-1"/>
        </w:rPr>
        <w:t>接待股东来访，回答投资者咨询；并指定《证券时报》、《上海证券报》、《中国证券报》、</w:t>
      </w:r>
    </w:p>
    <w:p>
      <w:pPr>
        <w:pStyle w:val="BodyText"/>
        <w:spacing w:line="300" w:lineRule="auto"/>
        <w:ind w:right="184"/>
        <w:jc w:val="left"/>
      </w:pPr>
      <w:r>
        <w:rPr/>
        <w:t>《证券日报》等法定报纸和巨潮资讯网（</w:t>
      </w:r>
      <w:hyperlink r:id="rId11">
        <w:r>
          <w:rPr>
            <w:rFonts w:ascii="Times New Roman" w:hAnsi="Times New Roman" w:cs="Times New Roman" w:eastAsia="Times New Roman" w:hint="default"/>
          </w:rPr>
          <w:t>www.cninfo.com.cn</w:t>
        </w:r>
      </w:hyperlink>
      <w:r>
        <w:rPr/>
        <w:t>）为公司信息披露的指定报纸和网站，确保公司所有股东能够</w:t>
      </w:r>
      <w:r>
        <w:rPr>
          <w:spacing w:val="-33"/>
        </w:rPr>
        <w:t> </w:t>
      </w:r>
      <w:r>
        <w:rPr>
          <w:spacing w:val="-33"/>
        </w:rPr>
      </w:r>
      <w:r>
        <w:rPr/>
        <w:t>以平等的机会获得信息。</w:t>
      </w:r>
    </w:p>
    <w:p>
      <w:pPr>
        <w:pStyle w:val="Heading5"/>
        <w:spacing w:line="240" w:lineRule="auto" w:before="151"/>
        <w:ind w:left="575" w:right="184"/>
        <w:jc w:val="left"/>
        <w:rPr>
          <w:b w:val="0"/>
          <w:bCs w:val="0"/>
        </w:rPr>
      </w:pPr>
      <w:r>
        <w:rPr>
          <w:rFonts w:ascii="Times New Roman" w:hAnsi="Times New Roman" w:cs="Times New Roman" w:eastAsia="Times New Roman" w:hint="default"/>
        </w:rPr>
        <w:t>7</w:t>
      </w:r>
      <w:r>
        <w:rPr/>
        <w:t>、关于相关利益者</w:t>
      </w:r>
      <w:r>
        <w:rPr>
          <w:b w:val="0"/>
          <w:bCs w:val="0"/>
        </w:rPr>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b/>
          <w:bCs/>
          <w:sz w:val="25"/>
          <w:szCs w:val="25"/>
        </w:rPr>
      </w:pPr>
    </w:p>
    <w:p>
      <w:pPr>
        <w:pStyle w:val="BodyText"/>
        <w:spacing w:line="338" w:lineRule="auto" w:before="44"/>
        <w:ind w:right="0" w:firstLine="288"/>
        <w:jc w:val="left"/>
      </w:pPr>
      <w:bookmarkStart w:name="四、年度报告重大差错责任追究制度的建立与执行情况" w:id="70"/>
      <w:bookmarkEnd w:id="70"/>
      <w:r>
        <w:rPr/>
      </w:r>
      <w:r>
        <w:rPr>
          <w:spacing w:val="-1"/>
        </w:rPr>
        <w:t>公司充分尊重和维护相关利益者的合法权益，实现社会、股东、公司、员工等各方面利益的协调平衡，诚信对待供应商</w:t>
      </w:r>
      <w:r>
        <w:rPr/>
        <w:t> 和客户，坚持与相关利益者互利共赢的原则，共同推动公司持续、稳健发展。 公司治理与《公司法》和中国证监会相关规定的要求是否存在差异</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二、报告期内</w:t>
      </w:r>
      <w:bookmarkStart w:name="二、报告期内召开的年度股东大会和临时股东大会的有关情况" w:id="71"/>
      <w:bookmarkEnd w:id="71"/>
      <w:r>
        <w:rPr/>
        <w:t>召</w:t>
      </w:r>
      <w:r>
        <w:rPr/>
        <w:t>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w:t>
      </w:r>
      <w:bookmarkStart w:name="1、本报告期年度股东大会情况" w:id="72"/>
      <w:bookmarkEnd w:id="72"/>
      <w:r>
        <w:rPr/>
        <w:t>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921" w:right="110"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21" w:right="110" w:hanging="812"/>
              <w:jc w:val="left"/>
              <w:rPr>
                <w:rFonts w:ascii="宋体" w:hAnsi="宋体" w:cs="宋体" w:eastAsia="宋体" w:hint="default"/>
                <w:sz w:val="18"/>
                <w:szCs w:val="18"/>
              </w:rPr>
            </w:pPr>
            <w:bookmarkStart w:name="2、本报告期临时股东大会情况" w:id="73"/>
            <w:bookmarkEnd w:id="73"/>
            <w:r>
              <w:rPr/>
            </w: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21" w:right="110" w:hanging="812"/>
              <w:jc w:val="left"/>
              <w:rPr>
                <w:rFonts w:ascii="宋体" w:hAnsi="宋体" w:cs="宋体" w:eastAsia="宋体" w:hint="default"/>
                <w:sz w:val="18"/>
                <w:szCs w:val="18"/>
              </w:rPr>
            </w:pPr>
            <w:bookmarkStart w:name="三、报告期董事会召开情况" w:id="74"/>
            <w:bookmarkEnd w:id="74"/>
            <w:r>
              <w:rPr/>
            </w: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第一届董事会第二十一次会 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37" w:firstLine="362"/>
        <w:jc w:val="left"/>
      </w:pPr>
      <w:r>
        <w:rPr>
          <w:spacing w:val="-5"/>
        </w:rPr>
        <w:t>为进一步提高公司规范运作水平，加大对年报信息披露责任人的问责力度，提高年报信息披露的质量和透明度，根据《证</w:t>
      </w:r>
      <w:r>
        <w:rPr/>
        <w:t> </w:t>
      </w:r>
      <w:r>
        <w:rPr>
          <w:spacing w:val="-12"/>
        </w:rPr>
        <w:t>券法》、《会计法》、《上市公司信息披露管理办法》等相关规定及《公司章程》、《信息披露制度》的规定，公司董事会制定了</w:t>
      </w:r>
    </w:p>
    <w:p>
      <w:pPr>
        <w:spacing w:after="0" w:line="316"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95"/>
        <w:jc w:val="left"/>
      </w:pPr>
      <w:r>
        <w:rPr>
          <w:spacing w:val="-8"/>
        </w:rPr>
        <w:t>《年报信息披露重大差错责任追究制度》。该制度已经</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spacing w:val="-1"/>
        </w:rPr>
        <w:t>日召开的公司第一届董事会第二十一次会议审议通过。</w:t>
      </w:r>
      <w:r>
        <w:rPr/>
        <w:t> 报告期内公司未发生重大会计差错更正、重大遗漏信息补充以及业绩预告修正等情况。</w:t>
      </w:r>
    </w:p>
    <w:p>
      <w:pPr>
        <w:spacing w:line="240" w:lineRule="auto" w:before="11"/>
        <w:rPr>
          <w:rFonts w:ascii="宋体" w:hAnsi="宋体" w:cs="宋体" w:eastAsia="宋体" w:hint="default"/>
          <w:sz w:val="21"/>
          <w:szCs w:val="21"/>
        </w:rPr>
      </w:pPr>
    </w:p>
    <w:p>
      <w:pPr>
        <w:pStyle w:val="Heading2"/>
        <w:spacing w:line="240" w:lineRule="auto" w:before="0"/>
        <w:ind w:right="184"/>
        <w:jc w:val="left"/>
        <w:rPr>
          <w:b w:val="0"/>
          <w:bCs w:val="0"/>
        </w:rPr>
      </w:pPr>
      <w:r>
        <w:rPr/>
        <w:t>五、监</w:t>
      </w:r>
      <w:bookmarkStart w:name="五、监事会工作情况" w:id="75"/>
      <w:bookmarkEnd w:id="75"/>
      <w:r>
        <w:rPr/>
        <w:t>事会</w:t>
      </w:r>
      <w:r>
        <w:rPr/>
        <w:t>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4"/>
        <w:jc w:val="left"/>
      </w:pPr>
      <w:r>
        <w:rPr/>
        <w:t>监事会在报告期内的监督活动是否发现公司存在风险</w:t>
      </w:r>
    </w:p>
    <w:p>
      <w:pPr>
        <w:pStyle w:val="BodyText"/>
        <w:spacing w:line="340" w:lineRule="auto" w:before="115"/>
        <w:ind w:right="63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627"/>
        <w:jc w:val="center"/>
        <w:rPr>
          <w:b w:val="0"/>
          <w:bCs w:val="0"/>
        </w:rPr>
      </w:pPr>
      <w:bookmarkStart w:name="第九节 财务报告" w:id="76"/>
      <w:bookmarkEnd w:id="76"/>
      <w:r>
        <w:rPr>
          <w:b w:val="0"/>
          <w:bCs w:val="0"/>
        </w:rPr>
      </w:r>
      <w:bookmarkStart w:name="_bookmark8" w:id="77"/>
      <w:bookmarkEnd w:id="77"/>
      <w:r>
        <w:rPr>
          <w:b w:val="0"/>
          <w:bCs w:val="0"/>
        </w:rPr>
      </w:r>
      <w:r>
        <w:rPr/>
        <w:t>第九节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8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bookmarkStart w:name="一、审计报告" w:id="78"/>
            <w:bookmarkEnd w:id="78"/>
            <w:r>
              <w:rPr/>
            </w: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）中磊</w:t>
            </w:r>
            <w:r>
              <w:rPr>
                <w:rFonts w:ascii="Times New Roman" w:hAnsi="Times New Roman" w:cs="Times New Roman" w:eastAsia="Times New Roman" w:hint="default"/>
                <w:sz w:val="18"/>
                <w:szCs w:val="18"/>
              </w:rPr>
              <w:t>(</w:t>
            </w:r>
            <w:r>
              <w:rPr>
                <w:rFonts w:ascii="宋体" w:hAnsi="宋体" w:cs="宋体" w:eastAsia="宋体" w:hint="default"/>
                <w:sz w:val="18"/>
                <w:szCs w:val="18"/>
              </w:rPr>
              <w:t>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pStyle w:val="BodyText"/>
        <w:spacing w:line="240" w:lineRule="auto" w:before="49"/>
        <w:ind w:left="3587" w:right="3627"/>
        <w:jc w:val="center"/>
      </w:pPr>
      <w:r>
        <w:rPr/>
        <w:t>审计报告正文</w:t>
      </w:r>
    </w:p>
    <w:p>
      <w:pPr>
        <w:pStyle w:val="Heading5"/>
        <w:spacing w:line="240" w:lineRule="auto" w:before="117"/>
        <w:ind w:left="152" w:right="184"/>
        <w:jc w:val="left"/>
        <w:rPr>
          <w:b w:val="0"/>
          <w:bCs w:val="0"/>
        </w:rPr>
      </w:pPr>
      <w:r>
        <w:rPr/>
        <w:t>上海金仕达卫宁软件股份有限公司全体股东：</w:t>
      </w:r>
      <w:r>
        <w:rPr>
          <w:b w:val="0"/>
          <w:bCs w:val="0"/>
        </w:rPr>
      </w:r>
    </w:p>
    <w:p>
      <w:pPr>
        <w:pStyle w:val="BodyText"/>
        <w:spacing w:line="300" w:lineRule="auto" w:before="76"/>
        <w:ind w:right="190" w:firstLine="480"/>
        <w:jc w:val="both"/>
      </w:pPr>
      <w:r>
        <w:rPr/>
        <w:t>我们审计了后附的上海金仕达卫宁软件股份有限公司（以下简称</w:t>
      </w:r>
      <w:r>
        <w:rPr>
          <w:rFonts w:ascii="Times New Roman" w:hAnsi="Times New Roman" w:cs="Times New Roman" w:eastAsia="Times New Roman" w:hint="default"/>
        </w:rPr>
        <w:t>“</w:t>
      </w:r>
      <w:r>
        <w:rPr/>
        <w:t>卫宁软件</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 </w:t>
      </w:r>
      <w:r>
        <w:rPr>
          <w:spacing w:val="-2"/>
        </w:rPr>
        <w:t>及公司资产负债表、</w:t>
      </w:r>
      <w:r>
        <w:rPr>
          <w:rFonts w:ascii="Times New Roman" w:hAnsi="Times New Roman" w:cs="Times New Roman" w:eastAsia="Times New Roman" w:hint="default"/>
          <w:spacing w:val="-2"/>
        </w:rPr>
        <w:t>2012</w:t>
      </w:r>
      <w:r>
        <w:rPr>
          <w:spacing w:val="-2"/>
        </w:rPr>
        <w:t>年度的合并及公司利润表、合并及公司现金流量表、合并及公司股东权益变动表，以及财务报表附</w:t>
      </w:r>
      <w:r>
        <w:rPr>
          <w:spacing w:val="-62"/>
        </w:rPr>
        <w:t> </w:t>
      </w:r>
      <w:r>
        <w:rPr>
          <w:spacing w:val="-62"/>
        </w:rPr>
      </w:r>
      <w:r>
        <w:rPr/>
        <w:t>注。</w:t>
      </w:r>
    </w:p>
    <w:p>
      <w:pPr>
        <w:spacing w:line="316" w:lineRule="auto" w:before="31"/>
        <w:ind w:left="632" w:right="184"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编制和公允列报财务报表是卫宁软件管理层的责任。这种责任包括：（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w:t>
      </w:r>
    </w:p>
    <w:p>
      <w:pPr>
        <w:pStyle w:val="BodyText"/>
        <w:spacing w:line="248" w:lineRule="exact"/>
        <w:ind w:right="184"/>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632" w:right="184"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18"/>
        <w:ind w:right="184"/>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8"/>
        <w:ind w:right="94"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报相关的内部控制，以设计恰当的审计程序。审计工作还包括评价管理层选用会计政策的恰当性和做出会计估计的合理性， 以及评价财务报表的总体列报。</w:t>
      </w:r>
    </w:p>
    <w:p>
      <w:pPr>
        <w:pStyle w:val="BodyText"/>
        <w:spacing w:line="240" w:lineRule="auto" w:before="18"/>
        <w:ind w:left="632" w:right="184"/>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12" w:right="184" w:firstLine="12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我们认为，卫宁软件财务报表在所有重大方面按照企业会计准则的规定编制，公允反映了卫宁软件</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p>
    <w:p>
      <w:pPr>
        <w:pStyle w:val="BodyText"/>
        <w:spacing w:line="248" w:lineRule="exact"/>
        <w:ind w:right="184"/>
        <w:jc w:val="left"/>
      </w:pPr>
      <w:r>
        <w:rPr/>
        <w:t>并及公司财务状况以及</w:t>
      </w:r>
      <w:r>
        <w:rPr>
          <w:rFonts w:ascii="Times New Roman" w:hAnsi="Times New Roman" w:cs="Times New Roman" w:eastAsia="Times New Roman" w:hint="default"/>
        </w:rPr>
        <w:t>2012</w:t>
      </w:r>
      <w:r>
        <w:rPr/>
        <w:t>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tbl>
      <w:tblPr>
        <w:tblW w:w="0" w:type="auto"/>
        <w:jc w:val="left"/>
        <w:tblInd w:w="495" w:type="dxa"/>
        <w:tblLayout w:type="fixed"/>
        <w:tblCellMar>
          <w:top w:w="0" w:type="dxa"/>
          <w:left w:w="0" w:type="dxa"/>
          <w:bottom w:w="0" w:type="dxa"/>
          <w:right w:w="0" w:type="dxa"/>
        </w:tblCellMar>
        <w:tblLook w:val="01E0"/>
      </w:tblPr>
      <w:tblGrid>
        <w:gridCol w:w="3103"/>
        <w:gridCol w:w="3645"/>
      </w:tblGrid>
      <w:tr>
        <w:trPr>
          <w:trHeight w:val="1045"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180" w:lineRule="exact"/>
              <w:ind w:right="1260"/>
              <w:jc w:val="center"/>
              <w:rPr>
                <w:rFonts w:ascii="宋体" w:hAnsi="宋体" w:cs="宋体" w:eastAsia="宋体" w:hint="default"/>
                <w:sz w:val="18"/>
                <w:szCs w:val="18"/>
              </w:rPr>
            </w:pPr>
            <w:r>
              <w:rPr>
                <w:rFonts w:ascii="宋体" w:hAnsi="宋体" w:cs="宋体" w:eastAsia="宋体" w:hint="default"/>
                <w:sz w:val="18"/>
                <w:szCs w:val="18"/>
              </w:rPr>
              <w:t>中磊会计师事务所</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26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3645" w:type="dxa"/>
            <w:tcBorders>
              <w:top w:val="nil" w:sz="6" w:space="0" w:color="auto"/>
              <w:left w:val="nil" w:sz="6" w:space="0" w:color="auto"/>
              <w:bottom w:val="nil" w:sz="6" w:space="0" w:color="auto"/>
              <w:right w:val="nil" w:sz="6" w:space="0" w:color="auto"/>
            </w:tcBorders>
          </w:tcPr>
          <w:p>
            <w:pPr>
              <w:pStyle w:val="TableParagraph"/>
              <w:spacing w:line="180" w:lineRule="exact"/>
              <w:ind w:left="1462" w:right="0"/>
              <w:jc w:val="left"/>
              <w:rPr>
                <w:rFonts w:ascii="宋体" w:hAnsi="宋体" w:cs="宋体" w:eastAsia="宋体" w:hint="default"/>
                <w:sz w:val="18"/>
                <w:szCs w:val="18"/>
              </w:rPr>
            </w:pPr>
            <w:r>
              <w:rPr>
                <w:rFonts w:ascii="宋体" w:hAnsi="宋体" w:cs="宋体" w:eastAsia="宋体" w:hint="default"/>
                <w:sz w:val="18"/>
                <w:szCs w:val="18"/>
              </w:rPr>
              <w:t>中国注册会计师：欧维义</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462" w:right="0"/>
              <w:jc w:val="left"/>
              <w:rPr>
                <w:rFonts w:ascii="宋体" w:hAnsi="宋体" w:cs="宋体" w:eastAsia="宋体" w:hint="default"/>
                <w:sz w:val="18"/>
                <w:szCs w:val="18"/>
              </w:rPr>
            </w:pPr>
            <w:r>
              <w:rPr>
                <w:rFonts w:ascii="宋体" w:hAnsi="宋体" w:cs="宋体" w:eastAsia="宋体" w:hint="default"/>
                <w:sz w:val="18"/>
                <w:szCs w:val="18"/>
              </w:rPr>
              <w:t>中国注册会计师：聂</w:t>
            </w:r>
            <w:r>
              <w:rPr>
                <w:rFonts w:ascii="宋体" w:hAnsi="宋体" w:cs="宋体" w:eastAsia="宋体" w:hint="default"/>
                <w:spacing w:val="56"/>
                <w:sz w:val="18"/>
                <w:szCs w:val="18"/>
              </w:rPr>
              <w:t> </w:t>
            </w:r>
            <w:r>
              <w:rPr>
                <w:rFonts w:ascii="宋体" w:hAnsi="宋体" w:cs="宋体" w:eastAsia="宋体" w:hint="default"/>
                <w:sz w:val="18"/>
                <w:szCs w:val="18"/>
              </w:rPr>
              <w:t>平</w:t>
            </w:r>
          </w:p>
        </w:tc>
      </w:tr>
      <w:tr>
        <w:trPr>
          <w:trHeight w:val="431"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62" w:right="0"/>
              <w:jc w:val="left"/>
              <w:rPr>
                <w:rFonts w:ascii="宋体" w:hAnsi="宋体" w:cs="宋体" w:eastAsia="宋体" w:hint="default"/>
                <w:sz w:val="18"/>
                <w:szCs w:val="18"/>
              </w:rPr>
            </w:pPr>
            <w:r>
              <w:rPr>
                <w:rFonts w:ascii="宋体" w:hAnsi="宋体" w:cs="宋体" w:eastAsia="宋体" w:hint="default"/>
                <w:sz w:val="18"/>
                <w:szCs w:val="18"/>
              </w:rPr>
              <w:t>二〇一三年四月十七日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二、财务报表" w:id="79"/>
      <w:bookmarkEnd w:id="79"/>
      <w:r>
        <w:rPr/>
      </w: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bookmarkStart w:name="1、合并资产负债表" w:id="80"/>
      <w:bookmarkEnd w:id="80"/>
      <w:r>
        <w:rPr>
          <w:rFonts w:ascii="Times New Roman" w:hAnsi="Times New Roman" w:cs="Times New Roman" w:eastAsia="Times New Roman" w:hint="default"/>
        </w:rPr>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编制单位：上海金仕达卫宁软件股份有限公司</w:t>
      </w:r>
    </w:p>
    <w:p>
      <w:pPr>
        <w:pStyle w:val="BodyText"/>
        <w:spacing w:line="240" w:lineRule="auto" w:before="117"/>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412,384,289.19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405,928,774.87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3,783,672.00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1,231,400.00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104,728,958.56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61,186,224.44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3,150,448.05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2,822,637.79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1,787,935.95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2,372,001.48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33,801,729.24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21,464,427.34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26,150,827.88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8,510,406.99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585,787,860.87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503,515,872.91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23,589,929.85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14,414,656.00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2,162,835.07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393,028.45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6,121,703.80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2,903,151.35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36,874,468.72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17,710,835.80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622,662,329.59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521,226,708.71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5,322,172.00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26,769,256.06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9,869,479.45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42,608,828.32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14,298,495.54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7,233,911.07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4,417,239.10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-5,882,426.11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1,876,043.68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9,788,343.91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5,385,579.30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80,517,913.25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41,169,009.07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2,447,070.82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1,839,422.00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7,340,500.00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137,500.00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9,787,570.82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1,976,922.00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90,305,484.07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43,145,931.07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288,145,205.35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338,392,309.64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16,165,332.64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10,858,559.35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117,523,083.77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75,329,908.65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528,833,621.76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478,080,777.64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3,523,223.76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532,356,845.52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478,080,777.64</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622,662,329.59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521,226,708.71</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666" w:val="left" w:leader="none"/>
          <w:tab w:pos="7897" w:val="left" w:leader="none"/>
        </w:tabs>
        <w:spacing w:line="240" w:lineRule="auto" w:before="44"/>
        <w:ind w:right="0"/>
        <w:jc w:val="left"/>
      </w:pPr>
      <w:bookmarkStart w:name="2、母公司资产负债表" w:id="81"/>
      <w:bookmarkEnd w:id="81"/>
      <w:r>
        <w:rPr/>
      </w:r>
      <w:r>
        <w:rPr/>
        <w:t>法定代表人：周炜</w:t>
        <w:tab/>
      </w:r>
      <w:r>
        <w:rPr>
          <w:spacing w:val="-1"/>
        </w:rPr>
        <w:t>主管会计工作负责人：靳茂</w:t>
        <w:tab/>
      </w:r>
      <w:r>
        <w:rPr/>
        <w:t>会计机构负责人：奚冰</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编制单位：上海金仕达卫宁软件股份有限公司</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390,717,380.45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402,293,649.36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3,783,672.00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1,231,400.00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93,552,460.61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56,702,074.99</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3,123,398.05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2,774,963.79</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1,787,935.95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2,372,001.48</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37,849,700.41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20,490,590.03</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26,011,340.71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8,509,386.89</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556,825,888.18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494,374,066.54</w:t>
            </w:r>
            <w:r>
              <w:rPr>
                <w:rFonts w:ascii="Times New Roman"/>
                <w:sz w:val="18"/>
              </w:rPr>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22,670,337.30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13,758,926.45</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2,154,703.40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393,028.45</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3,715,539.69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1,629,482.89</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56,040,580.39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26,781,437.79</w:t>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612,866,468.57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521,155,504.33</w:t>
            </w:r>
            <w:r>
              <w:rPr>
                <w:rFonts w:ascii="Times New Roman"/>
                <w:sz w:val="18"/>
              </w:rPr>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5,322,172.00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25,987,784.04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9,730,539.63</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40,797,912.60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12,906,588.54</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4,669,822.21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3,063,377.00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-8,929,941.25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1,809,351.70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9,258,416.14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5,935,024.35</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71,783,993.74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38,767,053.22</w:t>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2,293,443.12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1,773,048.00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7,340,500.00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137,500.00</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9,633,943.12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1,910,548.00</w:t>
            </w:r>
            <w:r>
              <w:rPr>
                <w:rFonts w:ascii="Times New Roman"/>
                <w:sz w:val="18"/>
              </w:rPr>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81,417,936.86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40,677,601.22</w:t>
            </w:r>
            <w:r>
              <w:rPr>
                <w:rFonts w:ascii="Times New Roman"/>
                <w:sz w:val="18"/>
              </w:rPr>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107,000,000.00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53,500,000.00</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288,145,205.35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338,392,309.64</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16,165,332.64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10,858,559.35</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120,137,993.72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77,727,034.12</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531,448,531.71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480,477,903.11</w:t>
            </w:r>
          </w:p>
        </w:tc>
      </w:tr>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612,866,468.57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521,155,504.33</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666" w:val="left" w:leader="none"/>
          <w:tab w:pos="7897" w:val="left" w:leader="none"/>
        </w:tabs>
        <w:spacing w:line="240" w:lineRule="auto" w:before="44"/>
        <w:ind w:right="0"/>
        <w:jc w:val="left"/>
      </w:pPr>
      <w:r>
        <w:rPr/>
        <w:t>法定代表人：周炜</w:t>
        <w:tab/>
      </w:r>
      <w:r>
        <w:rPr>
          <w:spacing w:val="-1"/>
        </w:rPr>
        <w:t>主管会计工作负责人：靳茂</w:t>
        <w:tab/>
      </w:r>
      <w:r>
        <w:rPr/>
        <w:t>会计机构负责人：奚冰</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bookmarkStart w:name="3、合并利润表" w:id="82"/>
      <w:bookmarkEnd w:id="82"/>
      <w:r>
        <w:rPr>
          <w:rFonts w:ascii="Times New Roman" w:hAnsi="Times New Roman" w:cs="Times New Roman" w:eastAsia="Times New Roman" w:hint="default"/>
        </w:rPr>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编制单位：上海金仕达卫宁软件股份有限公司</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265,771,223.38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169,919,002.90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265,771,223.38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169,919,002.90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229,772,947.32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136,565,220.93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120,823,323.64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67,890,246.83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3,780,548.54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3,585,576.91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60,264,758.83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32,449,057.06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48,564,064.79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33,096,757.79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-8,618,086.10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-3,913,067.85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4,958,337.62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3,456,650.19</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38,356.16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35,998,276.06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33,392,138.13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21,760,864.82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15,667,002.23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15,310.37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5,310.37</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57,743,830.51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49,049,140.36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5,270,658.34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4,756,248.50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52,473,172.17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44,292,891.86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52,849,948.41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44,292,891.86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-376,776.24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52,473,172.17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44,292,891.86</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52,849,948.41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44,292,891.86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-376,776.24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666" w:val="left" w:leader="none"/>
          <w:tab w:pos="7897" w:val="left" w:leader="none"/>
        </w:tabs>
        <w:spacing w:line="240" w:lineRule="auto" w:before="141"/>
        <w:ind w:right="0"/>
        <w:jc w:val="left"/>
      </w:pPr>
      <w:r>
        <w:rPr/>
        <w:t>法定代表人：周炜</w:t>
        <w:tab/>
      </w:r>
      <w:r>
        <w:rPr>
          <w:spacing w:val="-1"/>
        </w:rPr>
        <w:t>主管会计工作负责人：靳茂</w:t>
        <w:tab/>
      </w:r>
      <w:r>
        <w:rPr/>
        <w:t>会计机构负责人：奚冰</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编制单位：上海金仕达卫宁软件股份有限公司</w:t>
      </w:r>
    </w:p>
    <w:p>
      <w:pPr>
        <w:pStyle w:val="BodyText"/>
        <w:spacing w:line="240" w:lineRule="auto" w:before="115"/>
        <w:ind w:left="0" w:right="153"/>
        <w:jc w:val="right"/>
      </w:pPr>
      <w:bookmarkStart w:name="4、母公司利润表" w:id="83"/>
      <w:bookmarkEnd w:id="83"/>
      <w:r>
        <w:rPr/>
      </w: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244,658,572.91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153,927,360.04</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117,940,580.44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59,604,103.53</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3,198,081.26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3,063,182.30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50,988,706.02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26,672,907.77</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38,595,055.45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28,322,306.29</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-8,597,950.12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-3,887,395.03</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4,577,205.05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3,187,261.42</w:t>
            </w:r>
            <w:r>
              <w:rPr>
                <w:rFonts w:ascii="Times New Roman"/>
                <w:sz w:val="18"/>
              </w:rPr>
            </w:r>
          </w:p>
        </w:tc>
      </w:tr>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38,356.16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71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37"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37,956,894.81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37,003,349.92</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20,655,826.00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14,740,849.20</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15,310.37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5,310.37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58,597,410.44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51,734,199.12</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5,529,677.55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5,223,266.64</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53,067,732.89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46,510,932.48</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0.52</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0.52</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53,067,732.89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46,510,932.48</w:t>
            </w:r>
          </w:p>
        </w:tc>
      </w:tr>
    </w:tbl>
    <w:p>
      <w:pPr>
        <w:spacing w:line="240" w:lineRule="auto" w:before="2"/>
        <w:rPr>
          <w:rFonts w:ascii="宋体" w:hAnsi="宋体" w:cs="宋体" w:eastAsia="宋体" w:hint="default"/>
          <w:sz w:val="20"/>
          <w:szCs w:val="20"/>
        </w:rPr>
      </w:pPr>
    </w:p>
    <w:p>
      <w:pPr>
        <w:pStyle w:val="BodyText"/>
        <w:tabs>
          <w:tab w:pos="3666" w:val="left" w:leader="none"/>
          <w:tab w:pos="7897" w:val="left" w:leader="none"/>
        </w:tabs>
        <w:spacing w:line="240" w:lineRule="auto" w:before="44"/>
        <w:ind w:right="0"/>
        <w:jc w:val="left"/>
      </w:pPr>
      <w:r>
        <w:rPr/>
        <w:t>法定代表人：周炜</w:t>
        <w:tab/>
      </w:r>
      <w:r>
        <w:rPr>
          <w:spacing w:val="-1"/>
        </w:rPr>
        <w:t>主管会计工作负责人：靳茂</w:t>
        <w:tab/>
      </w:r>
      <w:r>
        <w:rPr/>
        <w:t>会计机构负责人：奚冰</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编制单位：上海金仕达卫宁软件股份有限公司</w:t>
      </w:r>
    </w:p>
    <w:p>
      <w:pPr>
        <w:pStyle w:val="BodyText"/>
        <w:spacing w:line="240" w:lineRule="auto" w:before="117"/>
        <w:ind w:left="0" w:right="153"/>
        <w:jc w:val="right"/>
      </w:pPr>
      <w:bookmarkStart w:name="5、合并现金流量表" w:id="84"/>
      <w:bookmarkEnd w:id="84"/>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291,395,542.99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159,602,896.03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14,023,858.54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4,987,564.17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58,548,340.44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30,932,575.85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363,967,741.97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195,523,036.05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119,383,595.60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55,559,094.00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74,585,187.36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45,947,983.73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46,875,565.52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28,353,348.87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95,750,225.34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61,063,993.63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336,594,573.82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190,924,420.23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27,373,168.15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4,598,615.82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38,356.16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10,135,356.16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17,260,617.83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13,791,439.93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22,260,617.83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23,791,439.93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-22,259,598.83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-13,656,083.77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347,693,750.00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347,693,750.00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7,164,430.00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7,164,430.00</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340,529,320.00</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3,663,569.32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331,471,852.05</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405,258,639.87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73,786,787.82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408,922,209.19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405,258,639.87</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666" w:val="left" w:leader="none"/>
          <w:tab w:pos="7897" w:val="left" w:leader="none"/>
        </w:tabs>
        <w:spacing w:line="240" w:lineRule="auto" w:before="44"/>
        <w:ind w:right="0"/>
        <w:jc w:val="left"/>
      </w:pPr>
      <w:r>
        <w:rPr/>
        <w:t>法定代表人：周炜</w:t>
        <w:tab/>
      </w:r>
      <w:r>
        <w:rPr>
          <w:spacing w:val="-1"/>
        </w:rPr>
        <w:t>主管会计工作负责人：靳茂</w:t>
        <w:tab/>
      </w:r>
      <w:r>
        <w:rPr/>
        <w:t>会计机构负责人：奚冰</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编制单位：上海金仕达卫宁软件股份有限公司</w:t>
      </w:r>
    </w:p>
    <w:p>
      <w:pPr>
        <w:pStyle w:val="BodyText"/>
        <w:spacing w:line="240" w:lineRule="auto" w:before="117"/>
        <w:ind w:left="0" w:right="153"/>
        <w:jc w:val="right"/>
      </w:pPr>
      <w:bookmarkStart w:name="6、母公司现金流量表" w:id="85"/>
      <w:bookmarkEnd w:id="85"/>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264,273,769.85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147,735,844.03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12,954,617.65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4,178,111.14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50,604,747.93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30,563,795.30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327,833,135.43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182,477,750.47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114,871,908.95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51,212,258.82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57,956,931.40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38,028,418.14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44,584,104.76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26,405,454.36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86,222,426.43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56,942,150.19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303,635,371.54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172,588,281.51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24,197,763.89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9,889,468.96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38,356.16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10,135,356.16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16,716,996.80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13,703,078.91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33,216,996.80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23,703,078.91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-33,215,977.80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-13,567,722.75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347,693,750.00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347,693,750.00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7,164,430.00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7,164,430.00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340,529,320.00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-14,368,213.91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336,851,066.21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401,623,514.36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64,772,448.15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387,255,300.45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401,623,514.36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3"/>
        <w:rPr>
          <w:rFonts w:ascii="Times New Roman" w:hAnsi="Times New Roman" w:cs="Times New Roman" w:eastAsia="Times New Roman" w:hint="default"/>
          <w:sz w:val="29"/>
          <w:szCs w:val="29"/>
        </w:rPr>
      </w:pPr>
    </w:p>
    <w:p>
      <w:pPr>
        <w:pStyle w:val="BodyText"/>
        <w:tabs>
          <w:tab w:pos="3666" w:val="left" w:leader="none"/>
          <w:tab w:pos="7897" w:val="left" w:leader="none"/>
        </w:tabs>
        <w:spacing w:line="240" w:lineRule="auto" w:before="44"/>
        <w:ind w:right="0"/>
        <w:jc w:val="left"/>
      </w:pPr>
      <w:r>
        <w:rPr/>
        <w:t>法定代表人：周炜</w:t>
        <w:tab/>
      </w:r>
      <w:r>
        <w:rPr>
          <w:spacing w:val="-1"/>
        </w:rPr>
        <w:t>主管会计工作负责人：靳茂</w:t>
        <w:tab/>
      </w:r>
      <w:r>
        <w:rPr/>
        <w:t>会计机构负责人：奚冰</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w:t>
      </w:r>
      <w:bookmarkStart w:name="7、合并所有者权益变动表" w:id="86"/>
      <w:bookmarkEnd w:id="86"/>
      <w:r>
        <w:rPr/>
        <w:t>合并所有者权</w:t>
      </w:r>
      <w:r>
        <w:rPr/>
        <w:t>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57" w:lineRule="auto" w:before="44"/>
        <w:ind w:right="-20"/>
        <w:jc w:val="left"/>
      </w:pPr>
      <w:r>
        <w:rPr/>
        <w:t>编制单位：上海金仕达卫宁软件股份有限公司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3753" w:space="5165"/>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7"/>
        <w:gridCol w:w="686"/>
        <w:gridCol w:w="686"/>
        <w:gridCol w:w="686"/>
        <w:gridCol w:w="684"/>
        <w:gridCol w:w="684"/>
        <w:gridCol w:w="686"/>
        <w:gridCol w:w="686"/>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4D4D4"/>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4D4D4"/>
          </w:tcPr>
          <w:p>
            <w:pPr/>
          </w:p>
        </w:tc>
        <w:tc>
          <w:tcPr>
            <w:tcW w:w="89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2"/>
              <w:ind w:left="78"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4D4D4"/>
          </w:tcPr>
          <w:p>
            <w:pPr/>
          </w:p>
        </w:tc>
        <w:tc>
          <w:tcPr>
            <w:tcW w:w="818" w:type="dxa"/>
            <w:vMerge/>
            <w:tcBorders>
              <w:left w:val="single" w:sz="4" w:space="0" w:color="000000"/>
              <w:right w:val="single" w:sz="4" w:space="0" w:color="000000"/>
            </w:tcBorders>
            <w:shd w:val="clear" w:color="auto" w:fill="D4D4D4"/>
          </w:tcPr>
          <w:p>
            <w:pPr/>
          </w:p>
        </w:tc>
        <w:tc>
          <w:tcPr>
            <w:tcW w:w="893" w:type="dxa"/>
            <w:vMerge/>
            <w:tcBorders>
              <w:left w:val="single" w:sz="4" w:space="0" w:color="000000"/>
              <w:right w:val="single" w:sz="4" w:space="0" w:color="000000"/>
            </w:tcBorders>
            <w:shd w:val="clear" w:color="auto" w:fill="D4D4D4"/>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4D4D4"/>
          </w:tcPr>
          <w:p>
            <w:pPr/>
          </w:p>
        </w:tc>
        <w:tc>
          <w:tcPr>
            <w:tcW w:w="893"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2344" w:type="dxa"/>
            <w:vMerge/>
            <w:tcBorders>
              <w:left w:val="single" w:sz="4" w:space="0" w:color="000000"/>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
        </w:tc>
        <w:tc>
          <w:tcPr>
            <w:tcW w:w="893"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4D4D4"/>
          </w:tcPr>
          <w:p>
            <w:pPr/>
          </w:p>
        </w:tc>
        <w:tc>
          <w:tcPr>
            <w:tcW w:w="697" w:type="dxa"/>
            <w:vMerge/>
            <w:tcBorders>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818" w:type="dxa"/>
            <w:vMerge/>
            <w:tcBorders>
              <w:left w:val="single" w:sz="4" w:space="0" w:color="000000"/>
              <w:bottom w:val="single" w:sz="4" w:space="0" w:color="000000"/>
              <w:right w:val="single" w:sz="4" w:space="0" w:color="000000"/>
            </w:tcBorders>
            <w:shd w:val="clear" w:color="auto" w:fill="D4D4D4"/>
          </w:tcPr>
          <w:p>
            <w:pPr/>
          </w:p>
        </w:tc>
        <w:tc>
          <w:tcPr>
            <w:tcW w:w="89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338,392,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309.64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10,858,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559.35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75,329,9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08.65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478,080,77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7.64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338,392,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309.64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10,858,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559.35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75,329,9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08.65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478,080,77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7.64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2"/>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104.29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5,306,7</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73.29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42,193,1</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75.12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3,523,223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54,276,067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.88</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52,849,9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48.41</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-376,776.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52,473,172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52,849,9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48.41</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-376,776.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52,473,172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3,252,89</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5.71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7,152,895.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3,252,89</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5.71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3,252,895.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5,306,7</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73.29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-10,656,</w:t>
            </w:r>
          </w:p>
          <w:p>
            <w:pPr>
              <w:pStyle w:val="TableParagraph"/>
              <w:spacing w:line="240" w:lineRule="auto" w:before="102"/>
              <w:ind w:left="143" w:right="0"/>
              <w:jc w:val="center"/>
              <w:rPr>
                <w:rFonts w:ascii="Times New Roman" w:hAnsi="Times New Roman" w:cs="Times New Roman" w:eastAsia="Times New Roman" w:hint="default"/>
                <w:sz w:val="18"/>
                <w:szCs w:val="18"/>
              </w:rPr>
            </w:pPr>
            <w:r>
              <w:rPr>
                <w:rFonts w:ascii="Times New Roman"/>
                <w:sz w:val="18"/>
              </w:rPr>
              <w:t>773.29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-5,350,000.</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5,306,7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73.29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-5,306,7</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73.29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5"/>
        <w:gridCol w:w="686"/>
        <w:gridCol w:w="686"/>
        <w:gridCol w:w="686"/>
        <w:gridCol w:w="686"/>
        <w:gridCol w:w="684"/>
        <w:gridCol w:w="684"/>
        <w:gridCol w:w="686"/>
        <w:gridCol w:w="686"/>
        <w:gridCol w:w="818"/>
        <w:gridCol w:w="893"/>
      </w:tblGrid>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-5,350,000.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288,145,</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205.35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16,165,</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332.64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117,523,</w:t>
            </w:r>
          </w:p>
          <w:p>
            <w:pPr>
              <w:pStyle w:val="TableParagraph"/>
              <w:spacing w:line="240" w:lineRule="auto" w:before="102"/>
              <w:ind w:left="143" w:right="0"/>
              <w:jc w:val="center"/>
              <w:rPr>
                <w:rFonts w:ascii="Times New Roman" w:hAnsi="Times New Roman" w:cs="Times New Roman" w:eastAsia="Times New Roman" w:hint="default"/>
                <w:sz w:val="18"/>
                <w:szCs w:val="18"/>
              </w:rPr>
            </w:pPr>
            <w:r>
              <w:rPr>
                <w:rFonts w:ascii="Times New Roman"/>
                <w:sz w:val="18"/>
              </w:rPr>
              <w:t>083.77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3,523,223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532,356,84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5.52</w:t>
            </w:r>
          </w:p>
        </w:tc>
      </w:tr>
    </w:tbl>
    <w:p>
      <w:pPr>
        <w:pStyle w:val="BodyText"/>
        <w:spacing w:line="240" w:lineRule="auto" w:before="49"/>
        <w:ind w:right="0"/>
        <w:jc w:val="left"/>
      </w:pPr>
      <w:r>
        <w:rPr/>
        <w:t>上年金额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7"/>
        <w:gridCol w:w="686"/>
        <w:gridCol w:w="686"/>
        <w:gridCol w:w="686"/>
        <w:gridCol w:w="684"/>
        <w:gridCol w:w="684"/>
        <w:gridCol w:w="686"/>
        <w:gridCol w:w="686"/>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4D4D4"/>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4D4D4"/>
          </w:tcPr>
          <w:p>
            <w:pPr/>
          </w:p>
        </w:tc>
        <w:tc>
          <w:tcPr>
            <w:tcW w:w="89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1"/>
              <w:ind w:left="78"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4D4D4"/>
          </w:tcPr>
          <w:p>
            <w:pPr/>
          </w:p>
        </w:tc>
        <w:tc>
          <w:tcPr>
            <w:tcW w:w="818" w:type="dxa"/>
            <w:vMerge/>
            <w:tcBorders>
              <w:left w:val="single" w:sz="4" w:space="0" w:color="000000"/>
              <w:right w:val="single" w:sz="4" w:space="0" w:color="000000"/>
            </w:tcBorders>
            <w:shd w:val="clear" w:color="auto" w:fill="D4D4D4"/>
          </w:tcPr>
          <w:p>
            <w:pPr/>
          </w:p>
        </w:tc>
        <w:tc>
          <w:tcPr>
            <w:tcW w:w="893" w:type="dxa"/>
            <w:vMerge/>
            <w:tcBorders>
              <w:left w:val="single" w:sz="4" w:space="0" w:color="000000"/>
              <w:right w:val="single" w:sz="4" w:space="0" w:color="000000"/>
            </w:tcBorders>
            <w:shd w:val="clear" w:color="auto" w:fill="D4D4D4"/>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4D4D4"/>
          </w:tcPr>
          <w:p>
            <w:pPr/>
          </w:p>
        </w:tc>
        <w:tc>
          <w:tcPr>
            <w:tcW w:w="893"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2344" w:type="dxa"/>
            <w:vMerge/>
            <w:tcBorders>
              <w:left w:val="single" w:sz="4" w:space="0" w:color="000000"/>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
        </w:tc>
        <w:tc>
          <w:tcPr>
            <w:tcW w:w="893"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4D4D4"/>
          </w:tcPr>
          <w:p>
            <w:pPr/>
          </w:p>
        </w:tc>
        <w:tc>
          <w:tcPr>
            <w:tcW w:w="697" w:type="dxa"/>
            <w:vMerge/>
            <w:tcBorders>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818" w:type="dxa"/>
            <w:vMerge/>
            <w:tcBorders>
              <w:left w:val="single" w:sz="4" w:space="0" w:color="000000"/>
              <w:bottom w:val="single" w:sz="4" w:space="0" w:color="000000"/>
              <w:right w:val="single" w:sz="4" w:space="0" w:color="000000"/>
            </w:tcBorders>
            <w:shd w:val="clear" w:color="auto" w:fill="D4D4D4"/>
          </w:tcPr>
          <w:p>
            <w:pPr/>
          </w:p>
        </w:tc>
        <w:tc>
          <w:tcPr>
            <w:tcW w:w="89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2"/>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12,912,4</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79.56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6,207,4</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66.10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35,688,1</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10.04</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94,808,055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12,912,4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79.56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6,207,4</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66.10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35,688,1</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10.04</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94,808,055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2"/>
              <w:ind w:left="16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325,479,</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830.08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4,651,0</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93.25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39,641,7</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98.61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383,272,72</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1.94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44,292,8</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91.86</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44,292,891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5"/>
        <w:gridCol w:w="686"/>
        <w:gridCol w:w="686"/>
        <w:gridCol w:w="686"/>
        <w:gridCol w:w="686"/>
        <w:gridCol w:w="684"/>
        <w:gridCol w:w="684"/>
        <w:gridCol w:w="686"/>
        <w:gridCol w:w="686"/>
        <w:gridCol w:w="818"/>
        <w:gridCol w:w="893"/>
      </w:tblGrid>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44,292,8</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91.86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44,292,891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325,479,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830.08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338,979,83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0.08</w:t>
            </w: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325,479,</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830.08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338,979,83</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0.08</w:t>
            </w: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4,651,0</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93.25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-4,651,0</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93.25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4,651,0</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93.25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-4,651,0</w:t>
            </w:r>
          </w:p>
          <w:p>
            <w:pPr>
              <w:pStyle w:val="TableParagraph"/>
              <w:spacing w:line="240" w:lineRule="auto" w:before="102"/>
              <w:ind w:left="235" w:right="0"/>
              <w:jc w:val="center"/>
              <w:rPr>
                <w:rFonts w:ascii="Times New Roman" w:hAnsi="Times New Roman" w:cs="Times New Roman" w:eastAsia="Times New Roman" w:hint="default"/>
                <w:sz w:val="18"/>
                <w:szCs w:val="18"/>
              </w:rPr>
            </w:pPr>
            <w:r>
              <w:rPr>
                <w:rFonts w:ascii="Times New Roman"/>
                <w:sz w:val="18"/>
              </w:rPr>
              <w:t>93.25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338,392,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309.64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10,858,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559.35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75,329,9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08.65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478,080,77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7.64</w:t>
            </w:r>
          </w:p>
        </w:tc>
      </w:tr>
    </w:tbl>
    <w:p>
      <w:pPr>
        <w:spacing w:line="240" w:lineRule="auto" w:before="2"/>
        <w:rPr>
          <w:rFonts w:ascii="宋体" w:hAnsi="宋体" w:cs="宋体" w:eastAsia="宋体" w:hint="default"/>
          <w:sz w:val="20"/>
          <w:szCs w:val="20"/>
        </w:rPr>
      </w:pPr>
    </w:p>
    <w:p>
      <w:pPr>
        <w:pStyle w:val="BodyText"/>
        <w:tabs>
          <w:tab w:pos="3666" w:val="left" w:leader="none"/>
          <w:tab w:pos="7897" w:val="left" w:leader="none"/>
        </w:tabs>
        <w:spacing w:line="240" w:lineRule="auto" w:before="44"/>
        <w:ind w:right="0"/>
        <w:jc w:val="left"/>
      </w:pPr>
      <w:bookmarkStart w:name="8、母公司所有者权益变动表" w:id="87"/>
      <w:bookmarkEnd w:id="87"/>
      <w:r>
        <w:rPr/>
      </w:r>
      <w:r>
        <w:rPr/>
        <w:t>法定代表人：周炜</w:t>
        <w:tab/>
      </w:r>
      <w:r>
        <w:rPr>
          <w:spacing w:val="-1"/>
        </w:rPr>
        <w:t>主管会计工作负责人：靳茂</w:t>
        <w:tab/>
      </w:r>
      <w:r>
        <w:rPr/>
        <w:t>会计机构负责人：奚冰</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174"/>
        <w:jc w:val="left"/>
      </w:pPr>
      <w:r>
        <w:rPr/>
        <w:t>编制单位：上海金仕达卫宁软件股份有限公司 本期金额</w:t>
      </w:r>
    </w:p>
    <w:p>
      <w:pPr>
        <w:spacing w:after="0" w:line="36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r>
        <w:rPr/>
        <w:pict>
          <v:group style="position:absolute;margin-left:56.400002pt;margin-top:89.399986pt;width:478.8pt;height:666pt;mso-position-horizontal-relative:page;mso-position-vertical-relative:page;z-index:-749272" coordorigin="1128,1788" coordsize="9576,13320">
            <v:group style="position:absolute;left:1140;top:1802;width:2465;height:358" coordorigin="1140,1802" coordsize="2465,358">
              <v:shape style="position:absolute;left:1140;top:1802;width:2465;height:358" coordorigin="1140,1802" coordsize="2465,358" path="m1140,2160l3605,2160,3605,1802,1140,1802,1140,2160xe" filled="true" fillcolor="#d4d4d4" stroked="false">
                <v:path arrowok="t"/>
                <v:fill type="solid"/>
              </v:shape>
            </v:group>
            <v:group style="position:absolute;left:1151;top:2160;width:2;height:392" coordorigin="1151,2160" coordsize="2,392">
              <v:shape style="position:absolute;left:1151;top:2160;width:2;height:392" coordorigin="1151,2160" coordsize="0,392" path="m1151,2160l1151,2551e" filled="false" stroked="true" strokeweight="1.08pt" strokecolor="#d4d4d4">
                <v:path arrowok="t"/>
              </v:shape>
            </v:group>
            <v:group style="position:absolute;left:3593;top:2160;width:2;height:392" coordorigin="3593,2160" coordsize="2,392">
              <v:shape style="position:absolute;left:3593;top:2160;width:2;height:392" coordorigin="3593,2160" coordsize="0,392" path="m3593,2160l3593,2551e" filled="false" stroked="true" strokeweight="1.2pt" strokecolor="#d4d4d4">
                <v:path arrowok="t"/>
              </v:shape>
            </v:group>
            <v:group style="position:absolute;left:1140;top:2551;width:2465;height:358" coordorigin="1140,2551" coordsize="2465,358">
              <v:shape style="position:absolute;left:1140;top:2551;width:2465;height:358" coordorigin="1140,2551" coordsize="2465,358" path="m1140,2909l3605,2909,3605,2551,1140,2551,1140,2909xe" filled="true" fillcolor="#d4d4d4" stroked="false">
                <v:path arrowok="t"/>
                <v:fill type="solid"/>
              </v:shape>
            </v:group>
            <v:group style="position:absolute;left:1162;top:2160;width:2420;height:392" coordorigin="1162,2160" coordsize="2420,392">
              <v:shape style="position:absolute;left:1162;top:2160;width:2420;height:392" coordorigin="1162,2160" coordsize="2420,392" path="m1162,2551l3581,2551,3581,2160,1162,2160,1162,2551xe" filled="true" fillcolor="#d4d4d4" stroked="false">
                <v:path arrowok="t"/>
                <v:fill type="solid"/>
              </v:shape>
            </v:group>
            <v:group style="position:absolute;left:3626;top:1802;width:2;height:392" coordorigin="3626,1802" coordsize="2,392">
              <v:shape style="position:absolute;left:3626;top:1802;width:2;height:392" coordorigin="3626,1802" coordsize="0,392" path="m3626,1802l3626,2194e" filled="false" stroked="true" strokeweight="1.2pt" strokecolor="#d4d4d4">
                <v:path arrowok="t"/>
              </v:shape>
            </v:group>
            <v:group style="position:absolute;left:10685;top:1802;width:2;height:392" coordorigin="10685,1802" coordsize="2,392">
              <v:shape style="position:absolute;left:10685;top:1802;width:2;height:392" coordorigin="10685,1802" coordsize="0,392" path="m10685,1802l10685,2194e" filled="false" stroked="true" strokeweight="1.2pt" strokecolor="#d4d4d4">
                <v:path arrowok="t"/>
              </v:shape>
            </v:group>
            <v:group style="position:absolute;left:3638;top:1802;width:7035;height:392" coordorigin="3638,1802" coordsize="7035,392">
              <v:shape style="position:absolute;left:3638;top:1802;width:7035;height:392" coordorigin="3638,1802" coordsize="7035,392" path="m3638,2194l10673,2194,10673,1802,3638,1802,3638,2194xe" filled="true" fillcolor="#d4d4d4" stroked="false">
                <v:path arrowok="t"/>
                <v:fill type="solid"/>
              </v:shape>
            </v:group>
            <v:group style="position:absolute;left:1138;top:1798;width:2468;height:2" coordorigin="1138,1798" coordsize="2468,2">
              <v:shape style="position:absolute;left:1138;top:1798;width:2468;height:2" coordorigin="1138,1798" coordsize="2468,0" path="m1138,1798l3605,1798e" filled="false" stroked="true" strokeweight=".48pt" strokecolor="#000000">
                <v:path arrowok="t"/>
              </v:shape>
            </v:group>
            <v:group style="position:absolute;left:3614;top:1798;width:7080;height:2" coordorigin="3614,1798" coordsize="7080,2">
              <v:shape style="position:absolute;left:3614;top:1798;width:7080;height:2" coordorigin="3614,1798" coordsize="7080,0" path="m3614,1798l10694,1798e" filled="false" stroked="true" strokeweight=".48pt" strokecolor="#000000">
                <v:path arrowok="t"/>
              </v:shape>
            </v:group>
            <v:group style="position:absolute;left:3626;top:2203;width:2;height:706" coordorigin="3626,2203" coordsize="2,706">
              <v:shape style="position:absolute;left:3626;top:2203;width:2;height:706" coordorigin="3626,2203" coordsize="0,706" path="m3626,2203l3626,2909e" filled="false" stroked="true" strokeweight="1.2pt" strokecolor="#d4d4d4">
                <v:path arrowok="t"/>
              </v:shape>
            </v:group>
            <v:group style="position:absolute;left:4478;top:2203;width:2;height:706" coordorigin="4478,2203" coordsize="2,706">
              <v:shape style="position:absolute;left:4478;top:2203;width:2;height:706" coordorigin="4478,2203" coordsize="0,706" path="m4478,2203l4478,2909e" filled="false" stroked="true" strokeweight="1.2pt" strokecolor="#d4d4d4">
                <v:path arrowok="t"/>
              </v:shape>
            </v:group>
            <v:group style="position:absolute;left:3638;top:2203;width:828;height:353" coordorigin="3638,2203" coordsize="828,353">
              <v:shape style="position:absolute;left:3638;top:2203;width:828;height:353" coordorigin="3638,2203" coordsize="828,353" path="m3638,2556l4466,2556,4466,2203,3638,2203,3638,2556xe" filled="true" fillcolor="#d4d4d4" stroked="false">
                <v:path arrowok="t"/>
                <v:fill type="solid"/>
              </v:shape>
            </v:group>
            <v:group style="position:absolute;left:3638;top:2556;width:828;height:353" coordorigin="3638,2556" coordsize="828,353">
              <v:shape style="position:absolute;left:3638;top:2556;width:828;height:353" coordorigin="3638,2556" coordsize="828,353" path="m3638,2909l4466,2909,4466,2556,3638,2556,3638,2909xe" filled="true" fillcolor="#d4d4d4" stroked="false">
                <v:path arrowok="t"/>
                <v:fill type="solid"/>
              </v:shape>
            </v:group>
            <v:group style="position:absolute;left:4500;top:2203;width:876;height:156" coordorigin="4500,2203" coordsize="876,156">
              <v:shape style="position:absolute;left:4500;top:2203;width:876;height:156" coordorigin="4500,2203" coordsize="876,156" path="m4500,2359l5376,2359,5376,2203,4500,2203,4500,2359xe" filled="true" fillcolor="#d4d4d4" stroked="false">
                <v:path arrowok="t"/>
                <v:fill type="solid"/>
              </v:shape>
            </v:group>
            <v:group style="position:absolute;left:4512;top:2359;width:2;height:394" coordorigin="4512,2359" coordsize="2,394">
              <v:shape style="position:absolute;left:4512;top:2359;width:2;height:394" coordorigin="4512,2359" coordsize="0,394" path="m4512,2359l4512,2753e" filled="false" stroked="true" strokeweight="1.2pt" strokecolor="#d4d4d4">
                <v:path arrowok="t"/>
              </v:shape>
            </v:group>
            <v:group style="position:absolute;left:5364;top:2359;width:2;height:394" coordorigin="5364,2359" coordsize="2,394">
              <v:shape style="position:absolute;left:5364;top:2359;width:2;height:394" coordorigin="5364,2359" coordsize="0,394" path="m5364,2359l5364,2753e" filled="false" stroked="true" strokeweight="1.2pt" strokecolor="#d4d4d4">
                <v:path arrowok="t"/>
              </v:shape>
            </v:group>
            <v:group style="position:absolute;left:4500;top:2753;width:876;height:156" coordorigin="4500,2753" coordsize="876,156">
              <v:shape style="position:absolute;left:4500;top:2753;width:876;height:156" coordorigin="4500,2753" coordsize="876,156" path="m4500,2909l5376,2909,5376,2753,4500,2753,4500,2909xe" filled="true" fillcolor="#d4d4d4" stroked="false">
                <v:path arrowok="t"/>
                <v:fill type="solid"/>
              </v:shape>
            </v:group>
            <v:group style="position:absolute;left:4524;top:2359;width:828;height:394" coordorigin="4524,2359" coordsize="828,394">
              <v:shape style="position:absolute;left:4524;top:2359;width:828;height:394" coordorigin="4524,2359" coordsize="828,394" path="m4524,2753l5352,2753,5352,2359,4524,2359,4524,2753xe" filled="true" fillcolor="#d4d4d4" stroked="false">
                <v:path arrowok="t"/>
                <v:fill type="solid"/>
              </v:shape>
            </v:group>
            <v:group style="position:absolute;left:5386;top:2203;width:874;height:156" coordorigin="5386,2203" coordsize="874,156">
              <v:shape style="position:absolute;left:5386;top:2203;width:874;height:156" coordorigin="5386,2203" coordsize="874,156" path="m5386,2359l6259,2359,6259,2203,5386,2203,5386,2359xe" filled="true" fillcolor="#d4d4d4" stroked="false">
                <v:path arrowok="t"/>
                <v:fill type="solid"/>
              </v:shape>
            </v:group>
            <v:group style="position:absolute;left:5396;top:2359;width:2;height:394" coordorigin="5396,2359" coordsize="2,394">
              <v:shape style="position:absolute;left:5396;top:2359;width:2;height:394" coordorigin="5396,2359" coordsize="0,394" path="m5396,2359l5396,2753e" filled="false" stroked="true" strokeweight="1.08pt" strokecolor="#d4d4d4">
                <v:path arrowok="t"/>
              </v:shape>
            </v:group>
            <v:group style="position:absolute;left:6248;top:2359;width:2;height:394" coordorigin="6248,2359" coordsize="2,394">
              <v:shape style="position:absolute;left:6248;top:2359;width:2;height:394" coordorigin="6248,2359" coordsize="0,394" path="m6248,2359l6248,2753e" filled="false" stroked="true" strokeweight="1.08pt" strokecolor="#d4d4d4">
                <v:path arrowok="t"/>
              </v:shape>
            </v:group>
            <v:group style="position:absolute;left:5386;top:2753;width:874;height:156" coordorigin="5386,2753" coordsize="874,156">
              <v:shape style="position:absolute;left:5386;top:2753;width:874;height:156" coordorigin="5386,2753" coordsize="874,156" path="m5386,2909l6259,2909,6259,2753,5386,2753,5386,2909xe" filled="true" fillcolor="#d4d4d4" stroked="false">
                <v:path arrowok="t"/>
                <v:fill type="solid"/>
              </v:shape>
            </v:group>
            <v:group style="position:absolute;left:5407;top:2359;width:831;height:394" coordorigin="5407,2359" coordsize="831,394">
              <v:shape style="position:absolute;left:5407;top:2359;width:831;height:394" coordorigin="5407,2359" coordsize="831,394" path="m5407,2753l6238,2753,6238,2359,5407,2359,5407,2753xe" filled="true" fillcolor="#d4d4d4" stroked="false">
                <v:path arrowok="t"/>
                <v:fill type="solid"/>
              </v:shape>
            </v:group>
            <v:group style="position:absolute;left:6271;top:2203;width:876;height:156" coordorigin="6271,2203" coordsize="876,156">
              <v:shape style="position:absolute;left:6271;top:2203;width:876;height:156" coordorigin="6271,2203" coordsize="876,156" path="m6271,2359l7147,2359,7147,2203,6271,2203,6271,2359xe" filled="true" fillcolor="#d4d4d4" stroked="false">
                <v:path arrowok="t"/>
                <v:fill type="solid"/>
              </v:shape>
            </v:group>
            <v:group style="position:absolute;left:6282;top:2359;width:2;height:394" coordorigin="6282,2359" coordsize="2,394">
              <v:shape style="position:absolute;left:6282;top:2359;width:2;height:394" coordorigin="6282,2359" coordsize="0,394" path="m6282,2359l6282,2753e" filled="false" stroked="true" strokeweight="1.08pt" strokecolor="#d4d4d4">
                <v:path arrowok="t"/>
              </v:shape>
            </v:group>
            <v:group style="position:absolute;left:7135;top:2359;width:2;height:394" coordorigin="7135,2359" coordsize="2,394">
              <v:shape style="position:absolute;left:7135;top:2359;width:2;height:394" coordorigin="7135,2359" coordsize="0,394" path="m7135,2359l7135,2753e" filled="false" stroked="true" strokeweight="1.2pt" strokecolor="#d4d4d4">
                <v:path arrowok="t"/>
              </v:shape>
            </v:group>
            <v:group style="position:absolute;left:6271;top:2753;width:876;height:156" coordorigin="6271,2753" coordsize="876,156">
              <v:shape style="position:absolute;left:6271;top:2753;width:876;height:156" coordorigin="6271,2753" coordsize="876,156" path="m6271,2909l7147,2909,7147,2753,6271,2753,6271,2909xe" filled="true" fillcolor="#d4d4d4" stroked="false">
                <v:path arrowok="t"/>
                <v:fill type="solid"/>
              </v:shape>
            </v:group>
            <v:group style="position:absolute;left:6293;top:2359;width:831;height:394" coordorigin="6293,2359" coordsize="831,394">
              <v:shape style="position:absolute;left:6293;top:2359;width:831;height:394" coordorigin="6293,2359" coordsize="831,394" path="m6293,2753l7123,2753,7123,2359,6293,2359,6293,2753xe" filled="true" fillcolor="#d4d4d4" stroked="false">
                <v:path arrowok="t"/>
                <v:fill type="solid"/>
              </v:shape>
            </v:group>
            <v:group style="position:absolute;left:7157;top:2203;width:876;height:156" coordorigin="7157,2203" coordsize="876,156">
              <v:shape style="position:absolute;left:7157;top:2203;width:876;height:156" coordorigin="7157,2203" coordsize="876,156" path="m7157,2359l8033,2359,8033,2203,7157,2203,7157,2359xe" filled="true" fillcolor="#d4d4d4" stroked="false">
                <v:path arrowok="t"/>
                <v:fill type="solid"/>
              </v:shape>
            </v:group>
            <v:group style="position:absolute;left:7168;top:2359;width:2;height:394" coordorigin="7168,2359" coordsize="2,394">
              <v:shape style="position:absolute;left:7168;top:2359;width:2;height:394" coordorigin="7168,2359" coordsize="0,394" path="m7168,2359l7168,2753e" filled="false" stroked="true" strokeweight="1.08pt" strokecolor="#d4d4d4">
                <v:path arrowok="t"/>
              </v:shape>
            </v:group>
            <v:group style="position:absolute;left:8021;top:2359;width:2;height:394" coordorigin="8021,2359" coordsize="2,394">
              <v:shape style="position:absolute;left:8021;top:2359;width:2;height:394" coordorigin="8021,2359" coordsize="0,394" path="m8021,2359l8021,2753e" filled="false" stroked="true" strokeweight="1.2pt" strokecolor="#d4d4d4">
                <v:path arrowok="t"/>
              </v:shape>
            </v:group>
            <v:group style="position:absolute;left:7157;top:2753;width:876;height:156" coordorigin="7157,2753" coordsize="876,156">
              <v:shape style="position:absolute;left:7157;top:2753;width:876;height:156" coordorigin="7157,2753" coordsize="876,156" path="m7157,2909l8033,2909,8033,2753,7157,2753,7157,2909xe" filled="true" fillcolor="#d4d4d4" stroked="false">
                <v:path arrowok="t"/>
                <v:fill type="solid"/>
              </v:shape>
            </v:group>
            <v:group style="position:absolute;left:7178;top:2359;width:831;height:394" coordorigin="7178,2359" coordsize="831,394">
              <v:shape style="position:absolute;left:7178;top:2359;width:831;height:394" coordorigin="7178,2359" coordsize="831,394" path="m7178,2753l8009,2753,8009,2359,7178,2359,7178,2753xe" filled="true" fillcolor="#d4d4d4" stroked="false">
                <v:path arrowok="t"/>
                <v:fill type="solid"/>
              </v:shape>
            </v:group>
            <v:group style="position:absolute;left:8053;top:2203;width:2;height:706" coordorigin="8053,2203" coordsize="2,706">
              <v:shape style="position:absolute;left:8053;top:2203;width:2;height:706" coordorigin="8053,2203" coordsize="0,706" path="m8053,2203l8053,2909e" filled="false" stroked="true" strokeweight="1.08pt" strokecolor="#d4d4d4">
                <v:path arrowok="t"/>
              </v:shape>
            </v:group>
            <v:group style="position:absolute;left:8906;top:2203;width:2;height:706" coordorigin="8906,2203" coordsize="2,706">
              <v:shape style="position:absolute;left:8906;top:2203;width:2;height:706" coordorigin="8906,2203" coordsize="0,706" path="m8906,2203l8906,2909e" filled="false" stroked="true" strokeweight="1.2pt" strokecolor="#d4d4d4">
                <v:path arrowok="t"/>
              </v:shape>
            </v:group>
            <v:group style="position:absolute;left:8064;top:2203;width:831;height:353" coordorigin="8064,2203" coordsize="831,353">
              <v:shape style="position:absolute;left:8064;top:2203;width:831;height:353" coordorigin="8064,2203" coordsize="831,353" path="m8064,2556l8894,2556,8894,2203,8064,2203,8064,2556xe" filled="true" fillcolor="#d4d4d4" stroked="false">
                <v:path arrowok="t"/>
                <v:fill type="solid"/>
              </v:shape>
            </v:group>
            <v:group style="position:absolute;left:8064;top:2556;width:831;height:353" coordorigin="8064,2556" coordsize="831,353">
              <v:shape style="position:absolute;left:8064;top:2556;width:831;height:353" coordorigin="8064,2556" coordsize="831,353" path="m8064,2909l8894,2909,8894,2556,8064,2556,8064,2909xe" filled="true" fillcolor="#d4d4d4" stroked="false">
                <v:path arrowok="t"/>
                <v:fill type="solid"/>
              </v:shape>
            </v:group>
            <v:group style="position:absolute;left:8940;top:2203;width:2;height:706" coordorigin="8940,2203" coordsize="2,706">
              <v:shape style="position:absolute;left:8940;top:2203;width:2;height:706" coordorigin="8940,2203" coordsize="0,706" path="m8940,2203l8940,2909e" filled="false" stroked="true" strokeweight="1.2pt" strokecolor="#d4d4d4">
                <v:path arrowok="t"/>
              </v:shape>
            </v:group>
            <v:group style="position:absolute;left:9792;top:2203;width:2;height:706" coordorigin="9792,2203" coordsize="2,706">
              <v:shape style="position:absolute;left:9792;top:2203;width:2;height:706" coordorigin="9792,2203" coordsize="0,706" path="m9792,2203l9792,2909e" filled="false" stroked="true" strokeweight="1.2pt" strokecolor="#d4d4d4">
                <v:path arrowok="t"/>
              </v:shape>
            </v:group>
            <v:group style="position:absolute;left:8952;top:2203;width:828;height:353" coordorigin="8952,2203" coordsize="828,353">
              <v:shape style="position:absolute;left:8952;top:2203;width:828;height:353" coordorigin="8952,2203" coordsize="828,353" path="m8952,2556l9780,2556,9780,2203,8952,2203,8952,2556xe" filled="true" fillcolor="#d4d4d4" stroked="false">
                <v:path arrowok="t"/>
                <v:fill type="solid"/>
              </v:shape>
            </v:group>
            <v:group style="position:absolute;left:8952;top:2556;width:828;height:353" coordorigin="8952,2556" coordsize="828,353">
              <v:shape style="position:absolute;left:8952;top:2556;width:828;height:353" coordorigin="8952,2556" coordsize="828,353" path="m8952,2909l9780,2909,9780,2556,8952,2556,8952,2909xe" filled="true" fillcolor="#d4d4d4" stroked="false">
                <v:path arrowok="t"/>
                <v:fill type="solid"/>
              </v:shape>
            </v:group>
            <v:group style="position:absolute;left:9826;top:2203;width:2;height:706" coordorigin="9826,2203" coordsize="2,706">
              <v:shape style="position:absolute;left:9826;top:2203;width:2;height:706" coordorigin="9826,2203" coordsize="0,706" path="m9826,2203l9826,2909e" filled="false" stroked="true" strokeweight="1.2pt" strokecolor="#d4d4d4">
                <v:path arrowok="t"/>
              </v:shape>
            </v:group>
            <v:group style="position:absolute;left:10685;top:2203;width:2;height:706" coordorigin="10685,2203" coordsize="2,706">
              <v:shape style="position:absolute;left:10685;top:2203;width:2;height:706" coordorigin="10685,2203" coordsize="0,706" path="m10685,2203l10685,2909e" filled="false" stroked="true" strokeweight="1.2pt" strokecolor="#d4d4d4">
                <v:path arrowok="t"/>
              </v:shape>
            </v:group>
            <v:group style="position:absolute;left:9838;top:2203;width:836;height:353" coordorigin="9838,2203" coordsize="836,353">
              <v:shape style="position:absolute;left:9838;top:2203;width:836;height:353" coordorigin="9838,2203" coordsize="836,353" path="m9838,2556l10673,2556,10673,2203,9838,2203,9838,2556xe" filled="true" fillcolor="#d4d4d4" stroked="false">
                <v:path arrowok="t"/>
                <v:fill type="solid"/>
              </v:shape>
            </v:group>
            <v:group style="position:absolute;left:9838;top:2556;width:836;height:353" coordorigin="9838,2556" coordsize="836,353">
              <v:shape style="position:absolute;left:9838;top:2556;width:836;height:353" coordorigin="9838,2556" coordsize="836,353" path="m9838,2909l10673,2909,10673,2556,9838,2556,9838,2909xe" filled="true" fillcolor="#d4d4d4" stroked="false">
                <v:path arrowok="t"/>
                <v:fill type="solid"/>
              </v:shape>
            </v:group>
            <v:group style="position:absolute;left:3614;top:2198;width:874;height:2" coordorigin="3614,2198" coordsize="874,2">
              <v:shape style="position:absolute;left:3614;top:2198;width:874;height:2" coordorigin="3614,2198" coordsize="874,0" path="m3614,2198l4488,2198e" filled="false" stroked="true" strokeweight=".48pt" strokecolor="#000000">
                <v:path arrowok="t"/>
              </v:shape>
            </v:group>
            <v:group style="position:absolute;left:4498;top:2198;width:876;height:2" coordorigin="4498,2198" coordsize="876,2">
              <v:shape style="position:absolute;left:4498;top:2198;width:876;height:2" coordorigin="4498,2198" coordsize="876,0" path="m4498,2198l5374,2198e" filled="false" stroked="true" strokeweight=".48pt" strokecolor="#000000">
                <v:path arrowok="t"/>
              </v:shape>
            </v:group>
            <v:group style="position:absolute;left:5383;top:2198;width:876;height:2" coordorigin="5383,2198" coordsize="876,2">
              <v:shape style="position:absolute;left:5383;top:2198;width:876;height:2" coordorigin="5383,2198" coordsize="876,0" path="m5383,2198l6259,2198e" filled="false" stroked="true" strokeweight=".48pt" strokecolor="#000000">
                <v:path arrowok="t"/>
              </v:shape>
            </v:group>
            <v:group style="position:absolute;left:6269;top:2198;width:876;height:2" coordorigin="6269,2198" coordsize="876,2">
              <v:shape style="position:absolute;left:6269;top:2198;width:876;height:2" coordorigin="6269,2198" coordsize="876,0" path="m6269,2198l7145,2198e" filled="false" stroked="true" strokeweight=".48pt" strokecolor="#000000">
                <v:path arrowok="t"/>
              </v:shape>
            </v:group>
            <v:group style="position:absolute;left:7154;top:2198;width:876;height:2" coordorigin="7154,2198" coordsize="876,2">
              <v:shape style="position:absolute;left:7154;top:2198;width:876;height:2" coordorigin="7154,2198" coordsize="876,0" path="m7154,2198l8030,2198e" filled="false" stroked="true" strokeweight=".48pt" strokecolor="#000000">
                <v:path arrowok="t"/>
              </v:shape>
            </v:group>
            <v:group style="position:absolute;left:8040;top:2198;width:876;height:2" coordorigin="8040,2198" coordsize="876,2">
              <v:shape style="position:absolute;left:8040;top:2198;width:876;height:2" coordorigin="8040,2198" coordsize="876,0" path="m8040,2198l8916,2198e" filled="false" stroked="true" strokeweight=".48pt" strokecolor="#000000">
                <v:path arrowok="t"/>
              </v:shape>
            </v:group>
            <v:group style="position:absolute;left:8926;top:2198;width:879;height:2" coordorigin="8926,2198" coordsize="879,2">
              <v:shape style="position:absolute;left:8926;top:2198;width:879;height:2" coordorigin="8926,2198" coordsize="879,0" path="m8926,2198l9804,2198e" filled="false" stroked="true" strokeweight=".48pt" strokecolor="#000000">
                <v:path arrowok="t"/>
              </v:shape>
            </v:group>
            <v:group style="position:absolute;left:9814;top:2198;width:881;height:2" coordorigin="9814,2198" coordsize="881,2">
              <v:shape style="position:absolute;left:9814;top:2198;width:881;height:2" coordorigin="9814,2198" coordsize="881,0" path="m9814,2198l10694,2198e" filled="false" stroked="true" strokeweight=".48pt" strokecolor="#000000">
                <v:path arrowok="t"/>
              </v:shape>
            </v:group>
            <v:group style="position:absolute;left:1140;top:2918;width:2465;height:156" coordorigin="1140,2918" coordsize="2465,156">
              <v:shape style="position:absolute;left:1140;top:2918;width:2465;height:156" coordorigin="1140,2918" coordsize="2465,156" path="m1140,3074l3605,3074,3605,2918,1140,2918,1140,3074xe" filled="true" fillcolor="#d4d4d4" stroked="false">
                <v:path arrowok="t"/>
                <v:fill type="solid"/>
              </v:shape>
            </v:group>
            <v:group style="position:absolute;left:1151;top:3074;width:2;height:392" coordorigin="1151,3074" coordsize="2,392">
              <v:shape style="position:absolute;left:1151;top:3074;width:2;height:392" coordorigin="1151,3074" coordsize="0,392" path="m1151,3074l1151,3466e" filled="false" stroked="true" strokeweight="1.08pt" strokecolor="#d4d4d4">
                <v:path arrowok="t"/>
              </v:shape>
            </v:group>
            <v:group style="position:absolute;left:3593;top:3074;width:2;height:392" coordorigin="3593,3074" coordsize="2,392">
              <v:shape style="position:absolute;left:3593;top:3074;width:2;height:392" coordorigin="3593,3074" coordsize="0,392" path="m3593,3074l3593,3466e" filled="false" stroked="true" strokeweight="1.2pt" strokecolor="#d4d4d4">
                <v:path arrowok="t"/>
              </v:shape>
            </v:group>
            <v:group style="position:absolute;left:1140;top:3466;width:2465;height:156" coordorigin="1140,3466" coordsize="2465,156">
              <v:shape style="position:absolute;left:1140;top:3466;width:2465;height:156" coordorigin="1140,3466" coordsize="2465,156" path="m1140,3622l3605,3622,3605,3466,1140,3466,1140,3622xe" filled="true" fillcolor="#d4d4d4" stroked="false">
                <v:path arrowok="t"/>
                <v:fill type="solid"/>
              </v:shape>
            </v:group>
            <v:group style="position:absolute;left:1162;top:3074;width:2420;height:392" coordorigin="1162,3074" coordsize="2420,392">
              <v:shape style="position:absolute;left:1162;top:3074;width:2420;height:392" coordorigin="1162,3074" coordsize="2420,392" path="m1162,3466l3581,3466,3581,3074,1162,3074,1162,3466xe" filled="true" fillcolor="#d4d4d4" stroked="false">
                <v:path arrowok="t"/>
                <v:fill type="solid"/>
              </v:shape>
            </v:group>
            <v:group style="position:absolute;left:1138;top:2914;width:2468;height:2" coordorigin="1138,2914" coordsize="2468,2">
              <v:shape style="position:absolute;left:1138;top:2914;width:2468;height:2" coordorigin="1138,2914" coordsize="2468,0" path="m1138,2914l3605,2914e" filled="false" stroked="true" strokeweight=".48pt" strokecolor="#000000">
                <v:path arrowok="t"/>
              </v:shape>
            </v:group>
            <v:group style="position:absolute;left:3614;top:2914;width:874;height:2" coordorigin="3614,2914" coordsize="874,2">
              <v:shape style="position:absolute;left:3614;top:2914;width:874;height:2" coordorigin="3614,2914" coordsize="874,0" path="m3614,2914l4488,2914e" filled="false" stroked="true" strokeweight=".48pt" strokecolor="#000000">
                <v:path arrowok="t"/>
              </v:shape>
            </v:group>
            <v:group style="position:absolute;left:4498;top:2914;width:876;height:2" coordorigin="4498,2914" coordsize="876,2">
              <v:shape style="position:absolute;left:4498;top:2914;width:876;height:2" coordorigin="4498,2914" coordsize="876,0" path="m4498,2914l5374,2914e" filled="false" stroked="true" strokeweight=".48pt" strokecolor="#000000">
                <v:path arrowok="t"/>
              </v:shape>
            </v:group>
            <v:group style="position:absolute;left:5383;top:2914;width:876;height:2" coordorigin="5383,2914" coordsize="876,2">
              <v:shape style="position:absolute;left:5383;top:2914;width:876;height:2" coordorigin="5383,2914" coordsize="876,0" path="m5383,2914l6259,2914e" filled="false" stroked="true" strokeweight=".48pt" strokecolor="#000000">
                <v:path arrowok="t"/>
              </v:shape>
            </v:group>
            <v:group style="position:absolute;left:6269;top:2914;width:876;height:2" coordorigin="6269,2914" coordsize="876,2">
              <v:shape style="position:absolute;left:6269;top:2914;width:876;height:2" coordorigin="6269,2914" coordsize="876,0" path="m6269,2914l7145,2914e" filled="false" stroked="true" strokeweight=".48pt" strokecolor="#000000">
                <v:path arrowok="t"/>
              </v:shape>
            </v:group>
            <v:group style="position:absolute;left:7154;top:2914;width:876;height:2" coordorigin="7154,2914" coordsize="876,2">
              <v:shape style="position:absolute;left:7154;top:2914;width:876;height:2" coordorigin="7154,2914" coordsize="876,0" path="m7154,2914l8030,2914e" filled="false" stroked="true" strokeweight=".48pt" strokecolor="#000000">
                <v:path arrowok="t"/>
              </v:shape>
            </v:group>
            <v:group style="position:absolute;left:8040;top:2914;width:876;height:2" coordorigin="8040,2914" coordsize="876,2">
              <v:shape style="position:absolute;left:8040;top:2914;width:876;height:2" coordorigin="8040,2914" coordsize="876,0" path="m8040,2914l8916,2914e" filled="false" stroked="true" strokeweight=".48pt" strokecolor="#000000">
                <v:path arrowok="t"/>
              </v:shape>
            </v:group>
            <v:group style="position:absolute;left:8926;top:2914;width:879;height:2" coordorigin="8926,2914" coordsize="879,2">
              <v:shape style="position:absolute;left:8926;top:2914;width:879;height:2" coordorigin="8926,2914" coordsize="879,0" path="m8926,2914l9804,2914e" filled="false" stroked="true" strokeweight=".48pt" strokecolor="#000000">
                <v:path arrowok="t"/>
              </v:shape>
            </v:group>
            <v:group style="position:absolute;left:9814;top:2914;width:881;height:2" coordorigin="9814,2914" coordsize="881,2">
              <v:shape style="position:absolute;left:9814;top:2914;width:881;height:2" coordorigin="9814,2914" coordsize="881,0" path="m9814,2914l10694,2914e" filled="false" stroked="true" strokeweight=".48pt" strokecolor="#000000">
                <v:path arrowok="t"/>
              </v:shape>
            </v:group>
            <v:group style="position:absolute;left:1151;top:3631;width:2;height:394" coordorigin="1151,3631" coordsize="2,394">
              <v:shape style="position:absolute;left:1151;top:3631;width:2;height:394" coordorigin="1151,3631" coordsize="0,394" path="m1151,3631l1151,4025e" filled="false" stroked="true" strokeweight="1.08pt" strokecolor="#d4d4d4">
                <v:path arrowok="t"/>
              </v:shape>
            </v:group>
            <v:group style="position:absolute;left:3593;top:3631;width:2;height:394" coordorigin="3593,3631" coordsize="2,394">
              <v:shape style="position:absolute;left:3593;top:3631;width:2;height:394" coordorigin="3593,3631" coordsize="0,394" path="m3593,3631l3593,4025e" filled="false" stroked="true" strokeweight="1.2pt" strokecolor="#d4d4d4">
                <v:path arrowok="t"/>
              </v:shape>
            </v:group>
            <v:group style="position:absolute;left:1162;top:3631;width:2420;height:394" coordorigin="1162,3631" coordsize="2420,394">
              <v:shape style="position:absolute;left:1162;top:3631;width:2420;height:394" coordorigin="1162,3631" coordsize="2420,394" path="m1162,4025l3581,4025,3581,3631,1162,3631,1162,4025xe" filled="true" fillcolor="#d4d4d4" stroked="false">
                <v:path arrowok="t"/>
                <v:fill type="solid"/>
              </v:shape>
            </v:group>
            <v:group style="position:absolute;left:1138;top:3626;width:2468;height:2" coordorigin="1138,3626" coordsize="2468,2">
              <v:shape style="position:absolute;left:1138;top:3626;width:2468;height:2" coordorigin="1138,3626" coordsize="2468,0" path="m1138,3626l3605,3626e" filled="false" stroked="true" strokeweight=".48pt" strokecolor="#000000">
                <v:path arrowok="t"/>
              </v:shape>
            </v:group>
            <v:group style="position:absolute;left:3614;top:3626;width:874;height:2" coordorigin="3614,3626" coordsize="874,2">
              <v:shape style="position:absolute;left:3614;top:3626;width:874;height:2" coordorigin="3614,3626" coordsize="874,0" path="m3614,3626l4488,3626e" filled="false" stroked="true" strokeweight=".48pt" strokecolor="#000000">
                <v:path arrowok="t"/>
              </v:shape>
            </v:group>
            <v:group style="position:absolute;left:4498;top:3626;width:876;height:2" coordorigin="4498,3626" coordsize="876,2">
              <v:shape style="position:absolute;left:4498;top:3626;width:876;height:2" coordorigin="4498,3626" coordsize="876,0" path="m4498,3626l5374,3626e" filled="false" stroked="true" strokeweight=".48pt" strokecolor="#000000">
                <v:path arrowok="t"/>
              </v:shape>
            </v:group>
            <v:group style="position:absolute;left:5383;top:3626;width:876;height:2" coordorigin="5383,3626" coordsize="876,2">
              <v:shape style="position:absolute;left:5383;top:3626;width:876;height:2" coordorigin="5383,3626" coordsize="876,0" path="m5383,3626l6259,3626e" filled="false" stroked="true" strokeweight=".48pt" strokecolor="#000000">
                <v:path arrowok="t"/>
              </v:shape>
            </v:group>
            <v:group style="position:absolute;left:6269;top:3626;width:876;height:2" coordorigin="6269,3626" coordsize="876,2">
              <v:shape style="position:absolute;left:6269;top:3626;width:876;height:2" coordorigin="6269,3626" coordsize="876,0" path="m6269,3626l7145,3626e" filled="false" stroked="true" strokeweight=".48pt" strokecolor="#000000">
                <v:path arrowok="t"/>
              </v:shape>
            </v:group>
            <v:group style="position:absolute;left:7154;top:3626;width:876;height:2" coordorigin="7154,3626" coordsize="876,2">
              <v:shape style="position:absolute;left:7154;top:3626;width:876;height:2" coordorigin="7154,3626" coordsize="876,0" path="m7154,3626l8030,3626e" filled="false" stroked="true" strokeweight=".48pt" strokecolor="#000000">
                <v:path arrowok="t"/>
              </v:shape>
            </v:group>
            <v:group style="position:absolute;left:8040;top:3626;width:876;height:2" coordorigin="8040,3626" coordsize="876,2">
              <v:shape style="position:absolute;left:8040;top:3626;width:876;height:2" coordorigin="8040,3626" coordsize="876,0" path="m8040,3626l8916,3626e" filled="false" stroked="true" strokeweight=".48pt" strokecolor="#000000">
                <v:path arrowok="t"/>
              </v:shape>
            </v:group>
            <v:group style="position:absolute;left:8926;top:3626;width:879;height:2" coordorigin="8926,3626" coordsize="879,2">
              <v:shape style="position:absolute;left:8926;top:3626;width:879;height:2" coordorigin="8926,3626" coordsize="879,0" path="m8926,3626l9804,3626e" filled="false" stroked="true" strokeweight=".48pt" strokecolor="#000000">
                <v:path arrowok="t"/>
              </v:shape>
            </v:group>
            <v:group style="position:absolute;left:9814;top:3626;width:881;height:2" coordorigin="9814,3626" coordsize="881,2">
              <v:shape style="position:absolute;left:9814;top:3626;width:881;height:2" coordorigin="9814,3626" coordsize="881,0" path="m9814,3626l10694,3626e" filled="false" stroked="true" strokeweight=".48pt" strokecolor="#000000">
                <v:path arrowok="t"/>
              </v:shape>
            </v:group>
            <v:group style="position:absolute;left:1151;top:4034;width:2;height:392" coordorigin="1151,4034" coordsize="2,392">
              <v:shape style="position:absolute;left:1151;top:4034;width:2;height:392" coordorigin="1151,4034" coordsize="0,392" path="m1151,4034l1151,4426e" filled="false" stroked="true" strokeweight="1.08pt" strokecolor="#d4d4d4">
                <v:path arrowok="t"/>
              </v:shape>
            </v:group>
            <v:group style="position:absolute;left:3593;top:4034;width:2;height:392" coordorigin="3593,4034" coordsize="2,392">
              <v:shape style="position:absolute;left:3593;top:4034;width:2;height:392" coordorigin="3593,4034" coordsize="0,392" path="m3593,4034l3593,4426e" filled="false" stroked="true" strokeweight="1.2pt" strokecolor="#d4d4d4">
                <v:path arrowok="t"/>
              </v:shape>
            </v:group>
            <v:group style="position:absolute;left:1162;top:4034;width:2420;height:392" coordorigin="1162,4034" coordsize="2420,392">
              <v:shape style="position:absolute;left:1162;top:4034;width:2420;height:392" coordorigin="1162,4034" coordsize="2420,392" path="m1162,4426l3581,4426,3581,4034,1162,4034,1162,4426xe" filled="true" fillcolor="#d4d4d4" stroked="false">
                <v:path arrowok="t"/>
                <v:fill type="solid"/>
              </v:shape>
            </v:group>
            <v:group style="position:absolute;left:1138;top:4030;width:2468;height:2" coordorigin="1138,4030" coordsize="2468,2">
              <v:shape style="position:absolute;left:1138;top:4030;width:2468;height:2" coordorigin="1138,4030" coordsize="2468,0" path="m1138,4030l3605,4030e" filled="false" stroked="true" strokeweight=".48pt" strokecolor="#000000">
                <v:path arrowok="t"/>
              </v:shape>
            </v:group>
            <v:group style="position:absolute;left:3614;top:4030;width:874;height:2" coordorigin="3614,4030" coordsize="874,2">
              <v:shape style="position:absolute;left:3614;top:4030;width:874;height:2" coordorigin="3614,4030" coordsize="874,0" path="m3614,4030l4488,4030e" filled="false" stroked="true" strokeweight=".48pt" strokecolor="#000000">
                <v:path arrowok="t"/>
              </v:shape>
            </v:group>
            <v:group style="position:absolute;left:4498;top:4030;width:876;height:2" coordorigin="4498,4030" coordsize="876,2">
              <v:shape style="position:absolute;left:4498;top:4030;width:876;height:2" coordorigin="4498,4030" coordsize="876,0" path="m4498,4030l5374,4030e" filled="false" stroked="true" strokeweight=".48pt" strokecolor="#000000">
                <v:path arrowok="t"/>
              </v:shape>
            </v:group>
            <v:group style="position:absolute;left:5383;top:4030;width:876;height:2" coordorigin="5383,4030" coordsize="876,2">
              <v:shape style="position:absolute;left:5383;top:4030;width:876;height:2" coordorigin="5383,4030" coordsize="876,0" path="m5383,4030l6259,4030e" filled="false" stroked="true" strokeweight=".48pt" strokecolor="#000000">
                <v:path arrowok="t"/>
              </v:shape>
            </v:group>
            <v:group style="position:absolute;left:6269;top:4030;width:876;height:2" coordorigin="6269,4030" coordsize="876,2">
              <v:shape style="position:absolute;left:6269;top:4030;width:876;height:2" coordorigin="6269,4030" coordsize="876,0" path="m6269,4030l7145,4030e" filled="false" stroked="true" strokeweight=".48pt" strokecolor="#000000">
                <v:path arrowok="t"/>
              </v:shape>
            </v:group>
            <v:group style="position:absolute;left:7154;top:4030;width:876;height:2" coordorigin="7154,4030" coordsize="876,2">
              <v:shape style="position:absolute;left:7154;top:4030;width:876;height:2" coordorigin="7154,4030" coordsize="876,0" path="m7154,4030l8030,4030e" filled="false" stroked="true" strokeweight=".48pt" strokecolor="#000000">
                <v:path arrowok="t"/>
              </v:shape>
            </v:group>
            <v:group style="position:absolute;left:8040;top:4030;width:876;height:2" coordorigin="8040,4030" coordsize="876,2">
              <v:shape style="position:absolute;left:8040;top:4030;width:876;height:2" coordorigin="8040,4030" coordsize="876,0" path="m8040,4030l8916,4030e" filled="false" stroked="true" strokeweight=".48pt" strokecolor="#000000">
                <v:path arrowok="t"/>
              </v:shape>
            </v:group>
            <v:group style="position:absolute;left:8926;top:4030;width:879;height:2" coordorigin="8926,4030" coordsize="879,2">
              <v:shape style="position:absolute;left:8926;top:4030;width:879;height:2" coordorigin="8926,4030" coordsize="879,0" path="m8926,4030l9804,4030e" filled="false" stroked="true" strokeweight=".48pt" strokecolor="#000000">
                <v:path arrowok="t"/>
              </v:shape>
            </v:group>
            <v:group style="position:absolute;left:9814;top:4030;width:881;height:2" coordorigin="9814,4030" coordsize="881,2">
              <v:shape style="position:absolute;left:9814;top:4030;width:881;height:2" coordorigin="9814,4030" coordsize="881,0" path="m9814,4030l10694,4030e" filled="false" stroked="true" strokeweight=".48pt" strokecolor="#000000">
                <v:path arrowok="t"/>
              </v:shape>
            </v:group>
            <v:group style="position:absolute;left:1151;top:4435;width:2;height:394" coordorigin="1151,4435" coordsize="2,394">
              <v:shape style="position:absolute;left:1151;top:4435;width:2;height:394" coordorigin="1151,4435" coordsize="0,394" path="m1151,4435l1151,4829e" filled="false" stroked="true" strokeweight="1.08pt" strokecolor="#d4d4d4">
                <v:path arrowok="t"/>
              </v:shape>
            </v:group>
            <v:group style="position:absolute;left:3593;top:4435;width:2;height:394" coordorigin="3593,4435" coordsize="2,394">
              <v:shape style="position:absolute;left:3593;top:4435;width:2;height:394" coordorigin="3593,4435" coordsize="0,394" path="m3593,4435l3593,4829e" filled="false" stroked="true" strokeweight="1.2pt" strokecolor="#d4d4d4">
                <v:path arrowok="t"/>
              </v:shape>
            </v:group>
            <v:group style="position:absolute;left:1162;top:4435;width:2420;height:394" coordorigin="1162,4435" coordsize="2420,394">
              <v:shape style="position:absolute;left:1162;top:4435;width:2420;height:394" coordorigin="1162,4435" coordsize="2420,394" path="m1162,4829l3581,4829,3581,4435,1162,4435,1162,4829xe" filled="true" fillcolor="#d4d4d4" stroked="false">
                <v:path arrowok="t"/>
                <v:fill type="solid"/>
              </v:shape>
            </v:group>
            <v:group style="position:absolute;left:1138;top:4430;width:2468;height:2" coordorigin="1138,4430" coordsize="2468,2">
              <v:shape style="position:absolute;left:1138;top:4430;width:2468;height:2" coordorigin="1138,4430" coordsize="2468,0" path="m1138,4430l3605,4430e" filled="false" stroked="true" strokeweight=".48pt" strokecolor="#000000">
                <v:path arrowok="t"/>
              </v:shape>
            </v:group>
            <v:group style="position:absolute;left:3614;top:4430;width:874;height:2" coordorigin="3614,4430" coordsize="874,2">
              <v:shape style="position:absolute;left:3614;top:4430;width:874;height:2" coordorigin="3614,4430" coordsize="874,0" path="m3614,4430l4488,4430e" filled="false" stroked="true" strokeweight=".48pt" strokecolor="#000000">
                <v:path arrowok="t"/>
              </v:shape>
            </v:group>
            <v:group style="position:absolute;left:4498;top:4430;width:876;height:2" coordorigin="4498,4430" coordsize="876,2">
              <v:shape style="position:absolute;left:4498;top:4430;width:876;height:2" coordorigin="4498,4430" coordsize="876,0" path="m4498,4430l5374,4430e" filled="false" stroked="true" strokeweight=".48pt" strokecolor="#000000">
                <v:path arrowok="t"/>
              </v:shape>
            </v:group>
            <v:group style="position:absolute;left:5383;top:4430;width:876;height:2" coordorigin="5383,4430" coordsize="876,2">
              <v:shape style="position:absolute;left:5383;top:4430;width:876;height:2" coordorigin="5383,4430" coordsize="876,0" path="m5383,4430l6259,4430e" filled="false" stroked="true" strokeweight=".48pt" strokecolor="#000000">
                <v:path arrowok="t"/>
              </v:shape>
            </v:group>
            <v:group style="position:absolute;left:6269;top:4430;width:876;height:2" coordorigin="6269,4430" coordsize="876,2">
              <v:shape style="position:absolute;left:6269;top:4430;width:876;height:2" coordorigin="6269,4430" coordsize="876,0" path="m6269,4430l7145,4430e" filled="false" stroked="true" strokeweight=".48pt" strokecolor="#000000">
                <v:path arrowok="t"/>
              </v:shape>
            </v:group>
            <v:group style="position:absolute;left:7154;top:4430;width:876;height:2" coordorigin="7154,4430" coordsize="876,2">
              <v:shape style="position:absolute;left:7154;top:4430;width:876;height:2" coordorigin="7154,4430" coordsize="876,0" path="m7154,4430l8030,4430e" filled="false" stroked="true" strokeweight=".48pt" strokecolor="#000000">
                <v:path arrowok="t"/>
              </v:shape>
            </v:group>
            <v:group style="position:absolute;left:8040;top:4430;width:876;height:2" coordorigin="8040,4430" coordsize="876,2">
              <v:shape style="position:absolute;left:8040;top:4430;width:876;height:2" coordorigin="8040,4430" coordsize="876,0" path="m8040,4430l8916,4430e" filled="false" stroked="true" strokeweight=".48pt" strokecolor="#000000">
                <v:path arrowok="t"/>
              </v:shape>
            </v:group>
            <v:group style="position:absolute;left:8926;top:4430;width:879;height:2" coordorigin="8926,4430" coordsize="879,2">
              <v:shape style="position:absolute;left:8926;top:4430;width:879;height:2" coordorigin="8926,4430" coordsize="879,0" path="m8926,4430l9804,4430e" filled="false" stroked="true" strokeweight=".48pt" strokecolor="#000000">
                <v:path arrowok="t"/>
              </v:shape>
            </v:group>
            <v:group style="position:absolute;left:9814;top:4430;width:881;height:2" coordorigin="9814,4430" coordsize="881,2">
              <v:shape style="position:absolute;left:9814;top:4430;width:881;height:2" coordorigin="9814,4430" coordsize="881,0" path="m9814,4430l10694,4430e" filled="false" stroked="true" strokeweight=".48pt" strokecolor="#000000">
                <v:path arrowok="t"/>
              </v:shape>
            </v:group>
            <v:group style="position:absolute;left:1140;top:4838;width:2465;height:156" coordorigin="1140,4838" coordsize="2465,156">
              <v:shape style="position:absolute;left:1140;top:4838;width:2465;height:156" coordorigin="1140,4838" coordsize="2465,156" path="m1140,4994l3605,4994,3605,4838,1140,4838,1140,4994xe" filled="true" fillcolor="#d4d4d4" stroked="false">
                <v:path arrowok="t"/>
                <v:fill type="solid"/>
              </v:shape>
            </v:group>
            <v:group style="position:absolute;left:1151;top:4994;width:2;height:392" coordorigin="1151,4994" coordsize="2,392">
              <v:shape style="position:absolute;left:1151;top:4994;width:2;height:392" coordorigin="1151,4994" coordsize="0,392" path="m1151,4994l1151,5386e" filled="false" stroked="true" strokeweight="1.08pt" strokecolor="#d4d4d4">
                <v:path arrowok="t"/>
              </v:shape>
            </v:group>
            <v:group style="position:absolute;left:3593;top:4994;width:2;height:392" coordorigin="3593,4994" coordsize="2,392">
              <v:shape style="position:absolute;left:3593;top:4994;width:2;height:392" coordorigin="3593,4994" coordsize="0,392" path="m3593,4994l3593,5386e" filled="false" stroked="true" strokeweight="1.2pt" strokecolor="#d4d4d4">
                <v:path arrowok="t"/>
              </v:shape>
            </v:group>
            <v:group style="position:absolute;left:1140;top:5386;width:2465;height:156" coordorigin="1140,5386" coordsize="2465,156">
              <v:shape style="position:absolute;left:1140;top:5386;width:2465;height:156" coordorigin="1140,5386" coordsize="2465,156" path="m1140,5542l3605,5542,3605,5386,1140,5386,1140,5542xe" filled="true" fillcolor="#d4d4d4" stroked="false">
                <v:path arrowok="t"/>
                <v:fill type="solid"/>
              </v:shape>
            </v:group>
            <v:group style="position:absolute;left:1162;top:4994;width:2420;height:392" coordorigin="1162,4994" coordsize="2420,392">
              <v:shape style="position:absolute;left:1162;top:4994;width:2420;height:392" coordorigin="1162,4994" coordsize="2420,392" path="m1162,5386l3581,5386,3581,4994,1162,4994,1162,5386xe" filled="true" fillcolor="#d4d4d4" stroked="false">
                <v:path arrowok="t"/>
                <v:fill type="solid"/>
              </v:shape>
            </v:group>
            <v:group style="position:absolute;left:1138;top:4834;width:2468;height:2" coordorigin="1138,4834" coordsize="2468,2">
              <v:shape style="position:absolute;left:1138;top:4834;width:2468;height:2" coordorigin="1138,4834" coordsize="2468,0" path="m1138,4834l3605,4834e" filled="false" stroked="true" strokeweight=".48pt" strokecolor="#000000">
                <v:path arrowok="t"/>
              </v:shape>
            </v:group>
            <v:group style="position:absolute;left:3614;top:4834;width:874;height:2" coordorigin="3614,4834" coordsize="874,2">
              <v:shape style="position:absolute;left:3614;top:4834;width:874;height:2" coordorigin="3614,4834" coordsize="874,0" path="m3614,4834l4488,4834e" filled="false" stroked="true" strokeweight=".48pt" strokecolor="#000000">
                <v:path arrowok="t"/>
              </v:shape>
            </v:group>
            <v:group style="position:absolute;left:4498;top:4834;width:876;height:2" coordorigin="4498,4834" coordsize="876,2">
              <v:shape style="position:absolute;left:4498;top:4834;width:876;height:2" coordorigin="4498,4834" coordsize="876,0" path="m4498,4834l5374,4834e" filled="false" stroked="true" strokeweight=".48pt" strokecolor="#000000">
                <v:path arrowok="t"/>
              </v:shape>
            </v:group>
            <v:group style="position:absolute;left:5383;top:4834;width:876;height:2" coordorigin="5383,4834" coordsize="876,2">
              <v:shape style="position:absolute;left:5383;top:4834;width:876;height:2" coordorigin="5383,4834" coordsize="876,0" path="m5383,4834l6259,4834e" filled="false" stroked="true" strokeweight=".48pt" strokecolor="#000000">
                <v:path arrowok="t"/>
              </v:shape>
            </v:group>
            <v:group style="position:absolute;left:6269;top:4834;width:876;height:2" coordorigin="6269,4834" coordsize="876,2">
              <v:shape style="position:absolute;left:6269;top:4834;width:876;height:2" coordorigin="6269,4834" coordsize="876,0" path="m6269,4834l7145,4834e" filled="false" stroked="true" strokeweight=".48pt" strokecolor="#000000">
                <v:path arrowok="t"/>
              </v:shape>
            </v:group>
            <v:group style="position:absolute;left:7154;top:4834;width:876;height:2" coordorigin="7154,4834" coordsize="876,2">
              <v:shape style="position:absolute;left:7154;top:4834;width:876;height:2" coordorigin="7154,4834" coordsize="876,0" path="m7154,4834l8030,4834e" filled="false" stroked="true" strokeweight=".48pt" strokecolor="#000000">
                <v:path arrowok="t"/>
              </v:shape>
            </v:group>
            <v:group style="position:absolute;left:8040;top:4834;width:876;height:2" coordorigin="8040,4834" coordsize="876,2">
              <v:shape style="position:absolute;left:8040;top:4834;width:876;height:2" coordorigin="8040,4834" coordsize="876,0" path="m8040,4834l8916,4834e" filled="false" stroked="true" strokeweight=".48pt" strokecolor="#000000">
                <v:path arrowok="t"/>
              </v:shape>
            </v:group>
            <v:group style="position:absolute;left:8926;top:4834;width:879;height:2" coordorigin="8926,4834" coordsize="879,2">
              <v:shape style="position:absolute;left:8926;top:4834;width:879;height:2" coordorigin="8926,4834" coordsize="879,0" path="m8926,4834l9804,4834e" filled="false" stroked="true" strokeweight=".48pt" strokecolor="#000000">
                <v:path arrowok="t"/>
              </v:shape>
            </v:group>
            <v:group style="position:absolute;left:9814;top:4834;width:881;height:2" coordorigin="9814,4834" coordsize="881,2">
              <v:shape style="position:absolute;left:9814;top:4834;width:881;height:2" coordorigin="9814,4834" coordsize="881,0" path="m9814,4834l10694,4834e" filled="false" stroked="true" strokeweight=".48pt" strokecolor="#000000">
                <v:path arrowok="t"/>
              </v:shape>
            </v:group>
            <v:group style="position:absolute;left:1151;top:5551;width:2;height:706" coordorigin="1151,5551" coordsize="2,706">
              <v:shape style="position:absolute;left:1151;top:5551;width:2;height:706" coordorigin="1151,5551" coordsize="0,706" path="m1151,5551l1151,6257e" filled="false" stroked="true" strokeweight="1.08pt" strokecolor="#d4d4d4">
                <v:path arrowok="t"/>
              </v:shape>
            </v:group>
            <v:group style="position:absolute;left:3593;top:5551;width:2;height:706" coordorigin="3593,5551" coordsize="2,706">
              <v:shape style="position:absolute;left:3593;top:5551;width:2;height:706" coordorigin="3593,5551" coordsize="0,706" path="m3593,5551l3593,6257e" filled="false" stroked="true" strokeweight="1.2pt" strokecolor="#d4d4d4">
                <v:path arrowok="t"/>
              </v:shape>
            </v:group>
            <v:group style="position:absolute;left:1162;top:5551;width:2420;height:353" coordorigin="1162,5551" coordsize="2420,353">
              <v:shape style="position:absolute;left:1162;top:5551;width:2420;height:353" coordorigin="1162,5551" coordsize="2420,353" path="m1162,5904l3581,5904,3581,5551,1162,5551,1162,5904xe" filled="true" fillcolor="#d4d4d4" stroked="false">
                <v:path arrowok="t"/>
                <v:fill type="solid"/>
              </v:shape>
            </v:group>
            <v:group style="position:absolute;left:1162;top:5904;width:2420;height:353" coordorigin="1162,5904" coordsize="2420,353">
              <v:shape style="position:absolute;left:1162;top:5904;width:2420;height:353" coordorigin="1162,5904" coordsize="2420,353" path="m1162,6257l3581,6257,3581,5904,1162,5904,1162,6257xe" filled="true" fillcolor="#d4d4d4" stroked="false">
                <v:path arrowok="t"/>
                <v:fill type="solid"/>
              </v:shape>
            </v:group>
            <v:group style="position:absolute;left:1138;top:5546;width:2468;height:2" coordorigin="1138,5546" coordsize="2468,2">
              <v:shape style="position:absolute;left:1138;top:5546;width:2468;height:2" coordorigin="1138,5546" coordsize="2468,0" path="m1138,5546l3605,5546e" filled="false" stroked="true" strokeweight=".48pt" strokecolor="#000000">
                <v:path arrowok="t"/>
              </v:shape>
            </v:group>
            <v:group style="position:absolute;left:3614;top:5546;width:874;height:2" coordorigin="3614,5546" coordsize="874,2">
              <v:shape style="position:absolute;left:3614;top:5546;width:874;height:2" coordorigin="3614,5546" coordsize="874,0" path="m3614,5546l4488,5546e" filled="false" stroked="true" strokeweight=".48pt" strokecolor="#000000">
                <v:path arrowok="t"/>
              </v:shape>
            </v:group>
            <v:group style="position:absolute;left:4498;top:5546;width:876;height:2" coordorigin="4498,5546" coordsize="876,2">
              <v:shape style="position:absolute;left:4498;top:5546;width:876;height:2" coordorigin="4498,5546" coordsize="876,0" path="m4498,5546l5374,5546e" filled="false" stroked="true" strokeweight=".48pt" strokecolor="#000000">
                <v:path arrowok="t"/>
              </v:shape>
            </v:group>
            <v:group style="position:absolute;left:5383;top:5546;width:876;height:2" coordorigin="5383,5546" coordsize="876,2">
              <v:shape style="position:absolute;left:5383;top:5546;width:876;height:2" coordorigin="5383,5546" coordsize="876,0" path="m5383,5546l6259,5546e" filled="false" stroked="true" strokeweight=".48pt" strokecolor="#000000">
                <v:path arrowok="t"/>
              </v:shape>
            </v:group>
            <v:group style="position:absolute;left:6269;top:5546;width:876;height:2" coordorigin="6269,5546" coordsize="876,2">
              <v:shape style="position:absolute;left:6269;top:5546;width:876;height:2" coordorigin="6269,5546" coordsize="876,0" path="m6269,5546l7145,5546e" filled="false" stroked="true" strokeweight=".48pt" strokecolor="#000000">
                <v:path arrowok="t"/>
              </v:shape>
            </v:group>
            <v:group style="position:absolute;left:7154;top:5546;width:876;height:2" coordorigin="7154,5546" coordsize="876,2">
              <v:shape style="position:absolute;left:7154;top:5546;width:876;height:2" coordorigin="7154,5546" coordsize="876,0" path="m7154,5546l8030,5546e" filled="false" stroked="true" strokeweight=".48pt" strokecolor="#000000">
                <v:path arrowok="t"/>
              </v:shape>
            </v:group>
            <v:group style="position:absolute;left:8040;top:5546;width:876;height:2" coordorigin="8040,5546" coordsize="876,2">
              <v:shape style="position:absolute;left:8040;top:5546;width:876;height:2" coordorigin="8040,5546" coordsize="876,0" path="m8040,5546l8916,5546e" filled="false" stroked="true" strokeweight=".48pt" strokecolor="#000000">
                <v:path arrowok="t"/>
              </v:shape>
            </v:group>
            <v:group style="position:absolute;left:8926;top:5546;width:879;height:2" coordorigin="8926,5546" coordsize="879,2">
              <v:shape style="position:absolute;left:8926;top:5546;width:879;height:2" coordorigin="8926,5546" coordsize="879,0" path="m8926,5546l9804,5546e" filled="false" stroked="true" strokeweight=".48pt" strokecolor="#000000">
                <v:path arrowok="t"/>
              </v:shape>
            </v:group>
            <v:group style="position:absolute;left:9814;top:5546;width:881;height:2" coordorigin="9814,5546" coordsize="881,2">
              <v:shape style="position:absolute;left:9814;top:5546;width:881;height:2" coordorigin="9814,5546" coordsize="881,0" path="m9814,5546l10694,5546e" filled="false" stroked="true" strokeweight=".48pt" strokecolor="#000000">
                <v:path arrowok="t"/>
              </v:shape>
            </v:group>
            <v:group style="position:absolute;left:1140;top:6266;width:2465;height:156" coordorigin="1140,6266" coordsize="2465,156">
              <v:shape style="position:absolute;left:1140;top:6266;width:2465;height:156" coordorigin="1140,6266" coordsize="2465,156" path="m1140,6422l3605,6422,3605,6266,1140,6266,1140,6422xe" filled="true" fillcolor="#d4d4d4" stroked="false">
                <v:path arrowok="t"/>
                <v:fill type="solid"/>
              </v:shape>
            </v:group>
            <v:group style="position:absolute;left:1151;top:6422;width:2;height:392" coordorigin="1151,6422" coordsize="2,392">
              <v:shape style="position:absolute;left:1151;top:6422;width:2;height:392" coordorigin="1151,6422" coordsize="0,392" path="m1151,6422l1151,6814e" filled="false" stroked="true" strokeweight="1.08pt" strokecolor="#d4d4d4">
                <v:path arrowok="t"/>
              </v:shape>
            </v:group>
            <v:group style="position:absolute;left:3593;top:6422;width:2;height:392" coordorigin="3593,6422" coordsize="2,392">
              <v:shape style="position:absolute;left:3593;top:6422;width:2;height:392" coordorigin="3593,6422" coordsize="0,392" path="m3593,6422l3593,6814e" filled="false" stroked="true" strokeweight="1.2pt" strokecolor="#d4d4d4">
                <v:path arrowok="t"/>
              </v:shape>
            </v:group>
            <v:group style="position:absolute;left:1140;top:6814;width:2465;height:156" coordorigin="1140,6814" coordsize="2465,156">
              <v:shape style="position:absolute;left:1140;top:6814;width:2465;height:156" coordorigin="1140,6814" coordsize="2465,156" path="m1140,6970l3605,6970,3605,6814,1140,6814,1140,6970xe" filled="true" fillcolor="#d4d4d4" stroked="false">
                <v:path arrowok="t"/>
                <v:fill type="solid"/>
              </v:shape>
            </v:group>
            <v:group style="position:absolute;left:1162;top:6422;width:2420;height:392" coordorigin="1162,6422" coordsize="2420,392">
              <v:shape style="position:absolute;left:1162;top:6422;width:2420;height:392" coordorigin="1162,6422" coordsize="2420,392" path="m1162,6814l3581,6814,3581,6422,1162,6422,1162,6814xe" filled="true" fillcolor="#d4d4d4" stroked="false">
                <v:path arrowok="t"/>
                <v:fill type="solid"/>
              </v:shape>
            </v:group>
            <v:group style="position:absolute;left:1138;top:6262;width:2468;height:2" coordorigin="1138,6262" coordsize="2468,2">
              <v:shape style="position:absolute;left:1138;top:6262;width:2468;height:2" coordorigin="1138,6262" coordsize="2468,0" path="m1138,6262l3605,6262e" filled="false" stroked="true" strokeweight=".48pt" strokecolor="#000000">
                <v:path arrowok="t"/>
              </v:shape>
            </v:group>
            <v:group style="position:absolute;left:3614;top:6262;width:874;height:2" coordorigin="3614,6262" coordsize="874,2">
              <v:shape style="position:absolute;left:3614;top:6262;width:874;height:2" coordorigin="3614,6262" coordsize="874,0" path="m3614,6262l4488,6262e" filled="false" stroked="true" strokeweight=".48pt" strokecolor="#000000">
                <v:path arrowok="t"/>
              </v:shape>
            </v:group>
            <v:group style="position:absolute;left:4498;top:6262;width:876;height:2" coordorigin="4498,6262" coordsize="876,2">
              <v:shape style="position:absolute;left:4498;top:6262;width:876;height:2" coordorigin="4498,6262" coordsize="876,0" path="m4498,6262l5374,6262e" filled="false" stroked="true" strokeweight=".48pt" strokecolor="#000000">
                <v:path arrowok="t"/>
              </v:shape>
            </v:group>
            <v:group style="position:absolute;left:5383;top:6262;width:876;height:2" coordorigin="5383,6262" coordsize="876,2">
              <v:shape style="position:absolute;left:5383;top:6262;width:876;height:2" coordorigin="5383,6262" coordsize="876,0" path="m5383,6262l6259,6262e" filled="false" stroked="true" strokeweight=".48pt" strokecolor="#000000">
                <v:path arrowok="t"/>
              </v:shape>
            </v:group>
            <v:group style="position:absolute;left:6269;top:6262;width:876;height:2" coordorigin="6269,6262" coordsize="876,2">
              <v:shape style="position:absolute;left:6269;top:6262;width:876;height:2" coordorigin="6269,6262" coordsize="876,0" path="m6269,6262l7145,6262e" filled="false" stroked="true" strokeweight=".48pt" strokecolor="#000000">
                <v:path arrowok="t"/>
              </v:shape>
            </v:group>
            <v:group style="position:absolute;left:7154;top:6262;width:876;height:2" coordorigin="7154,6262" coordsize="876,2">
              <v:shape style="position:absolute;left:7154;top:6262;width:876;height:2" coordorigin="7154,6262" coordsize="876,0" path="m7154,6262l8030,6262e" filled="false" stroked="true" strokeweight=".48pt" strokecolor="#000000">
                <v:path arrowok="t"/>
              </v:shape>
            </v:group>
            <v:group style="position:absolute;left:8040;top:6262;width:876;height:2" coordorigin="8040,6262" coordsize="876,2">
              <v:shape style="position:absolute;left:8040;top:6262;width:876;height:2" coordorigin="8040,6262" coordsize="876,0" path="m8040,6262l8916,6262e" filled="false" stroked="true" strokeweight=".48pt" strokecolor="#000000">
                <v:path arrowok="t"/>
              </v:shape>
            </v:group>
            <v:group style="position:absolute;left:8926;top:6262;width:879;height:2" coordorigin="8926,6262" coordsize="879,2">
              <v:shape style="position:absolute;left:8926;top:6262;width:879;height:2" coordorigin="8926,6262" coordsize="879,0" path="m8926,6262l9804,6262e" filled="false" stroked="true" strokeweight=".48pt" strokecolor="#000000">
                <v:path arrowok="t"/>
              </v:shape>
            </v:group>
            <v:group style="position:absolute;left:9814;top:6262;width:881;height:2" coordorigin="9814,6262" coordsize="881,2">
              <v:shape style="position:absolute;left:9814;top:6262;width:881;height:2" coordorigin="9814,6262" coordsize="881,0" path="m9814,6262l10694,6262e" filled="false" stroked="true" strokeweight=".48pt" strokecolor="#000000">
                <v:path arrowok="t"/>
              </v:shape>
            </v:group>
            <v:group style="position:absolute;left:1151;top:6979;width:2;height:394" coordorigin="1151,6979" coordsize="2,394">
              <v:shape style="position:absolute;left:1151;top:6979;width:2;height:394" coordorigin="1151,6979" coordsize="0,394" path="m1151,6979l1151,7373e" filled="false" stroked="true" strokeweight="1.08pt" strokecolor="#d4d4d4">
                <v:path arrowok="t"/>
              </v:shape>
            </v:group>
            <v:group style="position:absolute;left:3593;top:6979;width:2;height:394" coordorigin="3593,6979" coordsize="2,394">
              <v:shape style="position:absolute;left:3593;top:6979;width:2;height:394" coordorigin="3593,6979" coordsize="0,394" path="m3593,6979l3593,7373e" filled="false" stroked="true" strokeweight="1.2pt" strokecolor="#d4d4d4">
                <v:path arrowok="t"/>
              </v:shape>
            </v:group>
            <v:group style="position:absolute;left:1162;top:6979;width:2420;height:394" coordorigin="1162,6979" coordsize="2420,394">
              <v:shape style="position:absolute;left:1162;top:6979;width:2420;height:394" coordorigin="1162,6979" coordsize="2420,394" path="m1162,7373l3581,7373,3581,6979,1162,6979,1162,7373xe" filled="true" fillcolor="#d4d4d4" stroked="false">
                <v:path arrowok="t"/>
                <v:fill type="solid"/>
              </v:shape>
            </v:group>
            <v:group style="position:absolute;left:1138;top:6974;width:2468;height:2" coordorigin="1138,6974" coordsize="2468,2">
              <v:shape style="position:absolute;left:1138;top:6974;width:2468;height:2" coordorigin="1138,6974" coordsize="2468,0" path="m1138,6974l3605,6974e" filled="false" stroked="true" strokeweight=".48pt" strokecolor="#000000">
                <v:path arrowok="t"/>
              </v:shape>
            </v:group>
            <v:group style="position:absolute;left:3614;top:6974;width:874;height:2" coordorigin="3614,6974" coordsize="874,2">
              <v:shape style="position:absolute;left:3614;top:6974;width:874;height:2" coordorigin="3614,6974" coordsize="874,0" path="m3614,6974l4488,6974e" filled="false" stroked="true" strokeweight=".48pt" strokecolor="#000000">
                <v:path arrowok="t"/>
              </v:shape>
            </v:group>
            <v:group style="position:absolute;left:4498;top:6974;width:876;height:2" coordorigin="4498,6974" coordsize="876,2">
              <v:shape style="position:absolute;left:4498;top:6974;width:876;height:2" coordorigin="4498,6974" coordsize="876,0" path="m4498,6974l5374,6974e" filled="false" stroked="true" strokeweight=".48pt" strokecolor="#000000">
                <v:path arrowok="t"/>
              </v:shape>
            </v:group>
            <v:group style="position:absolute;left:5383;top:6974;width:876;height:2" coordorigin="5383,6974" coordsize="876,2">
              <v:shape style="position:absolute;left:5383;top:6974;width:876;height:2" coordorigin="5383,6974" coordsize="876,0" path="m5383,6974l6259,6974e" filled="false" stroked="true" strokeweight=".48pt" strokecolor="#000000">
                <v:path arrowok="t"/>
              </v:shape>
            </v:group>
            <v:group style="position:absolute;left:6269;top:6974;width:876;height:2" coordorigin="6269,6974" coordsize="876,2">
              <v:shape style="position:absolute;left:6269;top:6974;width:876;height:2" coordorigin="6269,6974" coordsize="876,0" path="m6269,6974l7145,6974e" filled="false" stroked="true" strokeweight=".48pt" strokecolor="#000000">
                <v:path arrowok="t"/>
              </v:shape>
            </v:group>
            <v:group style="position:absolute;left:7154;top:6974;width:876;height:2" coordorigin="7154,6974" coordsize="876,2">
              <v:shape style="position:absolute;left:7154;top:6974;width:876;height:2" coordorigin="7154,6974" coordsize="876,0" path="m7154,6974l8030,6974e" filled="false" stroked="true" strokeweight=".48pt" strokecolor="#000000">
                <v:path arrowok="t"/>
              </v:shape>
            </v:group>
            <v:group style="position:absolute;left:8040;top:6974;width:876;height:2" coordorigin="8040,6974" coordsize="876,2">
              <v:shape style="position:absolute;left:8040;top:6974;width:876;height:2" coordorigin="8040,6974" coordsize="876,0" path="m8040,6974l8916,6974e" filled="false" stroked="true" strokeweight=".48pt" strokecolor="#000000">
                <v:path arrowok="t"/>
              </v:shape>
            </v:group>
            <v:group style="position:absolute;left:8926;top:6974;width:879;height:2" coordorigin="8926,6974" coordsize="879,2">
              <v:shape style="position:absolute;left:8926;top:6974;width:879;height:2" coordorigin="8926,6974" coordsize="879,0" path="m8926,6974l9804,6974e" filled="false" stroked="true" strokeweight=".48pt" strokecolor="#000000">
                <v:path arrowok="t"/>
              </v:shape>
            </v:group>
            <v:group style="position:absolute;left:9814;top:6974;width:881;height:2" coordorigin="9814,6974" coordsize="881,2">
              <v:shape style="position:absolute;left:9814;top:6974;width:881;height:2" coordorigin="9814,6974" coordsize="881,0" path="m9814,6974l10694,6974e" filled="false" stroked="true" strokeweight=".48pt" strokecolor="#000000">
                <v:path arrowok="t"/>
              </v:shape>
            </v:group>
            <v:group style="position:absolute;left:1140;top:7382;width:2465;height:156" coordorigin="1140,7382" coordsize="2465,156">
              <v:shape style="position:absolute;left:1140;top:7382;width:2465;height:156" coordorigin="1140,7382" coordsize="2465,156" path="m1140,7538l3605,7538,3605,7382,1140,7382,1140,7538xe" filled="true" fillcolor="#d4d4d4" stroked="false">
                <v:path arrowok="t"/>
                <v:fill type="solid"/>
              </v:shape>
            </v:group>
            <v:group style="position:absolute;left:1151;top:7538;width:2;height:392" coordorigin="1151,7538" coordsize="2,392">
              <v:shape style="position:absolute;left:1151;top:7538;width:2;height:392" coordorigin="1151,7538" coordsize="0,392" path="m1151,7538l1151,7930e" filled="false" stroked="true" strokeweight="1.08pt" strokecolor="#d4d4d4">
                <v:path arrowok="t"/>
              </v:shape>
            </v:group>
            <v:group style="position:absolute;left:3593;top:7538;width:2;height:392" coordorigin="3593,7538" coordsize="2,392">
              <v:shape style="position:absolute;left:3593;top:7538;width:2;height:392" coordorigin="3593,7538" coordsize="0,392" path="m3593,7538l3593,7930e" filled="false" stroked="true" strokeweight="1.2pt" strokecolor="#d4d4d4">
                <v:path arrowok="t"/>
              </v:shape>
            </v:group>
            <v:group style="position:absolute;left:1140;top:7930;width:2465;height:156" coordorigin="1140,7930" coordsize="2465,156">
              <v:shape style="position:absolute;left:1140;top:7930;width:2465;height:156" coordorigin="1140,7930" coordsize="2465,156" path="m1140,8086l3605,8086,3605,7930,1140,7930,1140,8086xe" filled="true" fillcolor="#d4d4d4" stroked="false">
                <v:path arrowok="t"/>
                <v:fill type="solid"/>
              </v:shape>
            </v:group>
            <v:group style="position:absolute;left:1162;top:7538;width:2420;height:392" coordorigin="1162,7538" coordsize="2420,392">
              <v:shape style="position:absolute;left:1162;top:7538;width:2420;height:392" coordorigin="1162,7538" coordsize="2420,392" path="m1162,7930l3581,7930,3581,7538,1162,7538,1162,7930xe" filled="true" fillcolor="#d4d4d4" stroked="false">
                <v:path arrowok="t"/>
                <v:fill type="solid"/>
              </v:shape>
            </v:group>
            <v:group style="position:absolute;left:1138;top:7378;width:2468;height:2" coordorigin="1138,7378" coordsize="2468,2">
              <v:shape style="position:absolute;left:1138;top:7378;width:2468;height:2" coordorigin="1138,7378" coordsize="2468,0" path="m1138,7378l3605,7378e" filled="false" stroked="true" strokeweight=".48pt" strokecolor="#000000">
                <v:path arrowok="t"/>
              </v:shape>
            </v:group>
            <v:group style="position:absolute;left:3614;top:7378;width:874;height:2" coordorigin="3614,7378" coordsize="874,2">
              <v:shape style="position:absolute;left:3614;top:7378;width:874;height:2" coordorigin="3614,7378" coordsize="874,0" path="m3614,7378l4488,7378e" filled="false" stroked="true" strokeweight=".48pt" strokecolor="#000000">
                <v:path arrowok="t"/>
              </v:shape>
            </v:group>
            <v:group style="position:absolute;left:4498;top:7378;width:876;height:2" coordorigin="4498,7378" coordsize="876,2">
              <v:shape style="position:absolute;left:4498;top:7378;width:876;height:2" coordorigin="4498,7378" coordsize="876,0" path="m4498,7378l5374,7378e" filled="false" stroked="true" strokeweight=".48pt" strokecolor="#000000">
                <v:path arrowok="t"/>
              </v:shape>
            </v:group>
            <v:group style="position:absolute;left:5383;top:7378;width:876;height:2" coordorigin="5383,7378" coordsize="876,2">
              <v:shape style="position:absolute;left:5383;top:7378;width:876;height:2" coordorigin="5383,7378" coordsize="876,0" path="m5383,7378l6259,7378e" filled="false" stroked="true" strokeweight=".48pt" strokecolor="#000000">
                <v:path arrowok="t"/>
              </v:shape>
            </v:group>
            <v:group style="position:absolute;left:6269;top:7378;width:876;height:2" coordorigin="6269,7378" coordsize="876,2">
              <v:shape style="position:absolute;left:6269;top:7378;width:876;height:2" coordorigin="6269,7378" coordsize="876,0" path="m6269,7378l7145,7378e" filled="false" stroked="true" strokeweight=".48pt" strokecolor="#000000">
                <v:path arrowok="t"/>
              </v:shape>
            </v:group>
            <v:group style="position:absolute;left:7154;top:7378;width:876;height:2" coordorigin="7154,7378" coordsize="876,2">
              <v:shape style="position:absolute;left:7154;top:7378;width:876;height:2" coordorigin="7154,7378" coordsize="876,0" path="m7154,7378l8030,7378e" filled="false" stroked="true" strokeweight=".48pt" strokecolor="#000000">
                <v:path arrowok="t"/>
              </v:shape>
            </v:group>
            <v:group style="position:absolute;left:8040;top:7378;width:876;height:2" coordorigin="8040,7378" coordsize="876,2">
              <v:shape style="position:absolute;left:8040;top:7378;width:876;height:2" coordorigin="8040,7378" coordsize="876,0" path="m8040,7378l8916,7378e" filled="false" stroked="true" strokeweight=".48pt" strokecolor="#000000">
                <v:path arrowok="t"/>
              </v:shape>
            </v:group>
            <v:group style="position:absolute;left:8926;top:7378;width:879;height:2" coordorigin="8926,7378" coordsize="879,2">
              <v:shape style="position:absolute;left:8926;top:7378;width:879;height:2" coordorigin="8926,7378" coordsize="879,0" path="m8926,7378l9804,7378e" filled="false" stroked="true" strokeweight=".48pt" strokecolor="#000000">
                <v:path arrowok="t"/>
              </v:shape>
            </v:group>
            <v:group style="position:absolute;left:9814;top:7378;width:881;height:2" coordorigin="9814,7378" coordsize="881,2">
              <v:shape style="position:absolute;left:9814;top:7378;width:881;height:2" coordorigin="9814,7378" coordsize="881,0" path="m9814,7378l10694,7378e" filled="false" stroked="true" strokeweight=".48pt" strokecolor="#000000">
                <v:path arrowok="t"/>
              </v:shape>
            </v:group>
            <v:group style="position:absolute;left:1140;top:8095;width:2465;height:156" coordorigin="1140,8095" coordsize="2465,156">
              <v:shape style="position:absolute;left:1140;top:8095;width:2465;height:156" coordorigin="1140,8095" coordsize="2465,156" path="m1140,8251l3605,8251,3605,8095,1140,8095,1140,8251xe" filled="true" fillcolor="#d4d4d4" stroked="false">
                <v:path arrowok="t"/>
                <v:fill type="solid"/>
              </v:shape>
            </v:group>
            <v:group style="position:absolute;left:1151;top:8251;width:2;height:394" coordorigin="1151,8251" coordsize="2,394">
              <v:shape style="position:absolute;left:1151;top:8251;width:2;height:394" coordorigin="1151,8251" coordsize="0,394" path="m1151,8251l1151,8645e" filled="false" stroked="true" strokeweight="1.08pt" strokecolor="#d4d4d4">
                <v:path arrowok="t"/>
              </v:shape>
            </v:group>
            <v:group style="position:absolute;left:3593;top:8251;width:2;height:394" coordorigin="3593,8251" coordsize="2,394">
              <v:shape style="position:absolute;left:3593;top:8251;width:2;height:394" coordorigin="3593,8251" coordsize="0,394" path="m3593,8251l3593,8645e" filled="false" stroked="true" strokeweight="1.2pt" strokecolor="#d4d4d4">
                <v:path arrowok="t"/>
              </v:shape>
            </v:group>
            <v:group style="position:absolute;left:1140;top:8645;width:2465;height:156" coordorigin="1140,8645" coordsize="2465,156">
              <v:shape style="position:absolute;left:1140;top:8645;width:2465;height:156" coordorigin="1140,8645" coordsize="2465,156" path="m1140,8801l3605,8801,3605,8645,1140,8645,1140,8801xe" filled="true" fillcolor="#d4d4d4" stroked="false">
                <v:path arrowok="t"/>
                <v:fill type="solid"/>
              </v:shape>
            </v:group>
            <v:group style="position:absolute;left:1162;top:8251;width:2420;height:394" coordorigin="1162,8251" coordsize="2420,394">
              <v:shape style="position:absolute;left:1162;top:8251;width:2420;height:394" coordorigin="1162,8251" coordsize="2420,394" path="m1162,8645l3581,8645,3581,8251,1162,8251,1162,8645xe" filled="true" fillcolor="#d4d4d4" stroked="false">
                <v:path arrowok="t"/>
                <v:fill type="solid"/>
              </v:shape>
            </v:group>
            <v:group style="position:absolute;left:1138;top:8090;width:2468;height:2" coordorigin="1138,8090" coordsize="2468,2">
              <v:shape style="position:absolute;left:1138;top:8090;width:2468;height:2" coordorigin="1138,8090" coordsize="2468,0" path="m1138,8090l3605,8090e" filled="false" stroked="true" strokeweight=".48pt" strokecolor="#000000">
                <v:path arrowok="t"/>
              </v:shape>
            </v:group>
            <v:group style="position:absolute;left:3614;top:8090;width:874;height:2" coordorigin="3614,8090" coordsize="874,2">
              <v:shape style="position:absolute;left:3614;top:8090;width:874;height:2" coordorigin="3614,8090" coordsize="874,0" path="m3614,8090l4488,8090e" filled="false" stroked="true" strokeweight=".48pt" strokecolor="#000000">
                <v:path arrowok="t"/>
              </v:shape>
            </v:group>
            <v:group style="position:absolute;left:4498;top:8090;width:876;height:2" coordorigin="4498,8090" coordsize="876,2">
              <v:shape style="position:absolute;left:4498;top:8090;width:876;height:2" coordorigin="4498,8090" coordsize="876,0" path="m4498,8090l5374,8090e" filled="false" stroked="true" strokeweight=".48pt" strokecolor="#000000">
                <v:path arrowok="t"/>
              </v:shape>
            </v:group>
            <v:group style="position:absolute;left:5383;top:8090;width:876;height:2" coordorigin="5383,8090" coordsize="876,2">
              <v:shape style="position:absolute;left:5383;top:8090;width:876;height:2" coordorigin="5383,8090" coordsize="876,0" path="m5383,8090l6259,8090e" filled="false" stroked="true" strokeweight=".48pt" strokecolor="#000000">
                <v:path arrowok="t"/>
              </v:shape>
            </v:group>
            <v:group style="position:absolute;left:6269;top:8090;width:876;height:2" coordorigin="6269,8090" coordsize="876,2">
              <v:shape style="position:absolute;left:6269;top:8090;width:876;height:2" coordorigin="6269,8090" coordsize="876,0" path="m6269,8090l7145,8090e" filled="false" stroked="true" strokeweight=".48pt" strokecolor="#000000">
                <v:path arrowok="t"/>
              </v:shape>
            </v:group>
            <v:group style="position:absolute;left:7154;top:8090;width:876;height:2" coordorigin="7154,8090" coordsize="876,2">
              <v:shape style="position:absolute;left:7154;top:8090;width:876;height:2" coordorigin="7154,8090" coordsize="876,0" path="m7154,8090l8030,8090e" filled="false" stroked="true" strokeweight=".48pt" strokecolor="#000000">
                <v:path arrowok="t"/>
              </v:shape>
            </v:group>
            <v:group style="position:absolute;left:8040;top:8090;width:876;height:2" coordorigin="8040,8090" coordsize="876,2">
              <v:shape style="position:absolute;left:8040;top:8090;width:876;height:2" coordorigin="8040,8090" coordsize="876,0" path="m8040,8090l8916,8090e" filled="false" stroked="true" strokeweight=".48pt" strokecolor="#000000">
                <v:path arrowok="t"/>
              </v:shape>
            </v:group>
            <v:group style="position:absolute;left:8926;top:8090;width:879;height:2" coordorigin="8926,8090" coordsize="879,2">
              <v:shape style="position:absolute;left:8926;top:8090;width:879;height:2" coordorigin="8926,8090" coordsize="879,0" path="m8926,8090l9804,8090e" filled="false" stroked="true" strokeweight=".48pt" strokecolor="#000000">
                <v:path arrowok="t"/>
              </v:shape>
            </v:group>
            <v:group style="position:absolute;left:9814;top:8090;width:881;height:2" coordorigin="9814,8090" coordsize="881,2">
              <v:shape style="position:absolute;left:9814;top:8090;width:881;height:2" coordorigin="9814,8090" coordsize="881,0" path="m9814,8090l10694,8090e" filled="false" stroked="true" strokeweight=".48pt" strokecolor="#000000">
                <v:path arrowok="t"/>
              </v:shape>
            </v:group>
            <v:group style="position:absolute;left:1151;top:8810;width:2;height:392" coordorigin="1151,8810" coordsize="2,392">
              <v:shape style="position:absolute;left:1151;top:8810;width:2;height:392" coordorigin="1151,8810" coordsize="0,392" path="m1151,8810l1151,9202e" filled="false" stroked="true" strokeweight="1.08pt" strokecolor="#d4d4d4">
                <v:path arrowok="t"/>
              </v:shape>
            </v:group>
            <v:group style="position:absolute;left:3593;top:8810;width:2;height:392" coordorigin="3593,8810" coordsize="2,392">
              <v:shape style="position:absolute;left:3593;top:8810;width:2;height:392" coordorigin="3593,8810" coordsize="0,392" path="m3593,8810l3593,9202e" filled="false" stroked="true" strokeweight="1.2pt" strokecolor="#d4d4d4">
                <v:path arrowok="t"/>
              </v:shape>
            </v:group>
            <v:group style="position:absolute;left:1162;top:8810;width:2420;height:392" coordorigin="1162,8810" coordsize="2420,392">
              <v:shape style="position:absolute;left:1162;top:8810;width:2420;height:392" coordorigin="1162,8810" coordsize="2420,392" path="m1162,9202l3581,9202,3581,8810,1162,8810,1162,9202xe" filled="true" fillcolor="#d4d4d4" stroked="false">
                <v:path arrowok="t"/>
                <v:fill type="solid"/>
              </v:shape>
            </v:group>
            <v:group style="position:absolute;left:1138;top:8806;width:2468;height:2" coordorigin="1138,8806" coordsize="2468,2">
              <v:shape style="position:absolute;left:1138;top:8806;width:2468;height:2" coordorigin="1138,8806" coordsize="2468,0" path="m1138,8806l3605,8806e" filled="false" stroked="true" strokeweight=".48pt" strokecolor="#000000">
                <v:path arrowok="t"/>
              </v:shape>
            </v:group>
            <v:group style="position:absolute;left:3614;top:8806;width:874;height:2" coordorigin="3614,8806" coordsize="874,2">
              <v:shape style="position:absolute;left:3614;top:8806;width:874;height:2" coordorigin="3614,8806" coordsize="874,0" path="m3614,8806l4488,8806e" filled="false" stroked="true" strokeweight=".48pt" strokecolor="#000000">
                <v:path arrowok="t"/>
              </v:shape>
            </v:group>
            <v:group style="position:absolute;left:4498;top:8806;width:876;height:2" coordorigin="4498,8806" coordsize="876,2">
              <v:shape style="position:absolute;left:4498;top:8806;width:876;height:2" coordorigin="4498,8806" coordsize="876,0" path="m4498,8806l5374,8806e" filled="false" stroked="true" strokeweight=".48pt" strokecolor="#000000">
                <v:path arrowok="t"/>
              </v:shape>
            </v:group>
            <v:group style="position:absolute;left:5383;top:8806;width:876;height:2" coordorigin="5383,8806" coordsize="876,2">
              <v:shape style="position:absolute;left:5383;top:8806;width:876;height:2" coordorigin="5383,8806" coordsize="876,0" path="m5383,8806l6259,8806e" filled="false" stroked="true" strokeweight=".48pt" strokecolor="#000000">
                <v:path arrowok="t"/>
              </v:shape>
            </v:group>
            <v:group style="position:absolute;left:6269;top:8806;width:876;height:2" coordorigin="6269,8806" coordsize="876,2">
              <v:shape style="position:absolute;left:6269;top:8806;width:876;height:2" coordorigin="6269,8806" coordsize="876,0" path="m6269,8806l7145,8806e" filled="false" stroked="true" strokeweight=".48pt" strokecolor="#000000">
                <v:path arrowok="t"/>
              </v:shape>
            </v:group>
            <v:group style="position:absolute;left:7154;top:8806;width:876;height:2" coordorigin="7154,8806" coordsize="876,2">
              <v:shape style="position:absolute;left:7154;top:8806;width:876;height:2" coordorigin="7154,8806" coordsize="876,0" path="m7154,8806l8030,8806e" filled="false" stroked="true" strokeweight=".48pt" strokecolor="#000000">
                <v:path arrowok="t"/>
              </v:shape>
            </v:group>
            <v:group style="position:absolute;left:8040;top:8806;width:876;height:2" coordorigin="8040,8806" coordsize="876,2">
              <v:shape style="position:absolute;left:8040;top:8806;width:876;height:2" coordorigin="8040,8806" coordsize="876,0" path="m8040,8806l8916,8806e" filled="false" stroked="true" strokeweight=".48pt" strokecolor="#000000">
                <v:path arrowok="t"/>
              </v:shape>
            </v:group>
            <v:group style="position:absolute;left:8926;top:8806;width:879;height:2" coordorigin="8926,8806" coordsize="879,2">
              <v:shape style="position:absolute;left:8926;top:8806;width:879;height:2" coordorigin="8926,8806" coordsize="879,0" path="m8926,8806l9804,8806e" filled="false" stroked="true" strokeweight=".48pt" strokecolor="#000000">
                <v:path arrowok="t"/>
              </v:shape>
            </v:group>
            <v:group style="position:absolute;left:9814;top:8806;width:881;height:2" coordorigin="9814,8806" coordsize="881,2">
              <v:shape style="position:absolute;left:9814;top:8806;width:881;height:2" coordorigin="9814,8806" coordsize="881,0" path="m9814,8806l10694,8806e" filled="false" stroked="true" strokeweight=".48pt" strokecolor="#000000">
                <v:path arrowok="t"/>
              </v:shape>
            </v:group>
            <v:group style="position:absolute;left:1151;top:9211;width:2;height:706" coordorigin="1151,9211" coordsize="2,706">
              <v:shape style="position:absolute;left:1151;top:9211;width:2;height:706" coordorigin="1151,9211" coordsize="0,706" path="m1151,9211l1151,9917e" filled="false" stroked="true" strokeweight="1.08pt" strokecolor="#d4d4d4">
                <v:path arrowok="t"/>
              </v:shape>
            </v:group>
            <v:group style="position:absolute;left:3593;top:9211;width:2;height:706" coordorigin="3593,9211" coordsize="2,706">
              <v:shape style="position:absolute;left:3593;top:9211;width:2;height:706" coordorigin="3593,9211" coordsize="0,706" path="m3593,9211l3593,9917e" filled="false" stroked="true" strokeweight="1.2pt" strokecolor="#d4d4d4">
                <v:path arrowok="t"/>
              </v:shape>
            </v:group>
            <v:group style="position:absolute;left:1162;top:9211;width:2420;height:353" coordorigin="1162,9211" coordsize="2420,353">
              <v:shape style="position:absolute;left:1162;top:9211;width:2420;height:353" coordorigin="1162,9211" coordsize="2420,353" path="m1162,9564l3581,9564,3581,9211,1162,9211,1162,9564xe" filled="true" fillcolor="#d4d4d4" stroked="false">
                <v:path arrowok="t"/>
                <v:fill type="solid"/>
              </v:shape>
            </v:group>
            <v:group style="position:absolute;left:1162;top:9564;width:2420;height:353" coordorigin="1162,9564" coordsize="2420,353">
              <v:shape style="position:absolute;left:1162;top:9564;width:2420;height:353" coordorigin="1162,9564" coordsize="2420,353" path="m1162,9917l3581,9917,3581,9564,1162,9564,1162,9917xe" filled="true" fillcolor="#d4d4d4" stroked="false">
                <v:path arrowok="t"/>
                <v:fill type="solid"/>
              </v:shape>
            </v:group>
            <v:group style="position:absolute;left:1138;top:9206;width:2468;height:2" coordorigin="1138,9206" coordsize="2468,2">
              <v:shape style="position:absolute;left:1138;top:9206;width:2468;height:2" coordorigin="1138,9206" coordsize="2468,0" path="m1138,9206l3605,9206e" filled="false" stroked="true" strokeweight=".48pt" strokecolor="#000000">
                <v:path arrowok="t"/>
              </v:shape>
            </v:group>
            <v:group style="position:absolute;left:3614;top:9206;width:874;height:2" coordorigin="3614,9206" coordsize="874,2">
              <v:shape style="position:absolute;left:3614;top:9206;width:874;height:2" coordorigin="3614,9206" coordsize="874,0" path="m3614,9206l4488,9206e" filled="false" stroked="true" strokeweight=".48pt" strokecolor="#000000">
                <v:path arrowok="t"/>
              </v:shape>
            </v:group>
            <v:group style="position:absolute;left:4498;top:9206;width:876;height:2" coordorigin="4498,9206" coordsize="876,2">
              <v:shape style="position:absolute;left:4498;top:9206;width:876;height:2" coordorigin="4498,9206" coordsize="876,0" path="m4498,9206l5374,9206e" filled="false" stroked="true" strokeweight=".48pt" strokecolor="#000000">
                <v:path arrowok="t"/>
              </v:shape>
            </v:group>
            <v:group style="position:absolute;left:5383;top:9206;width:876;height:2" coordorigin="5383,9206" coordsize="876,2">
              <v:shape style="position:absolute;left:5383;top:9206;width:876;height:2" coordorigin="5383,9206" coordsize="876,0" path="m5383,9206l6259,9206e" filled="false" stroked="true" strokeweight=".48pt" strokecolor="#000000">
                <v:path arrowok="t"/>
              </v:shape>
            </v:group>
            <v:group style="position:absolute;left:6269;top:9206;width:876;height:2" coordorigin="6269,9206" coordsize="876,2">
              <v:shape style="position:absolute;left:6269;top:9206;width:876;height:2" coordorigin="6269,9206" coordsize="876,0" path="m6269,9206l7145,9206e" filled="false" stroked="true" strokeweight=".48pt" strokecolor="#000000">
                <v:path arrowok="t"/>
              </v:shape>
            </v:group>
            <v:group style="position:absolute;left:7154;top:9206;width:876;height:2" coordorigin="7154,9206" coordsize="876,2">
              <v:shape style="position:absolute;left:7154;top:9206;width:876;height:2" coordorigin="7154,9206" coordsize="876,0" path="m7154,9206l8030,9206e" filled="false" stroked="true" strokeweight=".48pt" strokecolor="#000000">
                <v:path arrowok="t"/>
              </v:shape>
            </v:group>
            <v:group style="position:absolute;left:8040;top:9206;width:876;height:2" coordorigin="8040,9206" coordsize="876,2">
              <v:shape style="position:absolute;left:8040;top:9206;width:876;height:2" coordorigin="8040,9206" coordsize="876,0" path="m8040,9206l8916,9206e" filled="false" stroked="true" strokeweight=".48pt" strokecolor="#000000">
                <v:path arrowok="t"/>
              </v:shape>
            </v:group>
            <v:group style="position:absolute;left:8926;top:9206;width:879;height:2" coordorigin="8926,9206" coordsize="879,2">
              <v:shape style="position:absolute;left:8926;top:9206;width:879;height:2" coordorigin="8926,9206" coordsize="879,0" path="m8926,9206l9804,9206e" filled="false" stroked="true" strokeweight=".48pt" strokecolor="#000000">
                <v:path arrowok="t"/>
              </v:shape>
            </v:group>
            <v:group style="position:absolute;left:9814;top:9206;width:881;height:2" coordorigin="9814,9206" coordsize="881,2">
              <v:shape style="position:absolute;left:9814;top:9206;width:881;height:2" coordorigin="9814,9206" coordsize="881,0" path="m9814,9206l10694,9206e" filled="false" stroked="true" strokeweight=".48pt" strokecolor="#000000">
                <v:path arrowok="t"/>
              </v:shape>
            </v:group>
            <v:group style="position:absolute;left:1151;top:9926;width:2;height:392" coordorigin="1151,9926" coordsize="2,392">
              <v:shape style="position:absolute;left:1151;top:9926;width:2;height:392" coordorigin="1151,9926" coordsize="0,392" path="m1151,9926l1151,10318e" filled="false" stroked="true" strokeweight="1.08pt" strokecolor="#d4d4d4">
                <v:path arrowok="t"/>
              </v:shape>
            </v:group>
            <v:group style="position:absolute;left:3593;top:9926;width:2;height:392" coordorigin="3593,9926" coordsize="2,392">
              <v:shape style="position:absolute;left:3593;top:9926;width:2;height:392" coordorigin="3593,9926" coordsize="0,392" path="m3593,9926l3593,10318e" filled="false" stroked="true" strokeweight="1.2pt" strokecolor="#d4d4d4">
                <v:path arrowok="t"/>
              </v:shape>
            </v:group>
            <v:group style="position:absolute;left:1162;top:9926;width:2420;height:392" coordorigin="1162,9926" coordsize="2420,392">
              <v:shape style="position:absolute;left:1162;top:9926;width:2420;height:392" coordorigin="1162,9926" coordsize="2420,392" path="m1162,10318l3581,10318,3581,9926,1162,9926,1162,10318xe" filled="true" fillcolor="#d4d4d4" stroked="false">
                <v:path arrowok="t"/>
                <v:fill type="solid"/>
              </v:shape>
            </v:group>
            <v:group style="position:absolute;left:1138;top:9922;width:2468;height:2" coordorigin="1138,9922" coordsize="2468,2">
              <v:shape style="position:absolute;left:1138;top:9922;width:2468;height:2" coordorigin="1138,9922" coordsize="2468,0" path="m1138,9922l3605,9922e" filled="false" stroked="true" strokeweight=".48pt" strokecolor="#000000">
                <v:path arrowok="t"/>
              </v:shape>
            </v:group>
            <v:group style="position:absolute;left:3614;top:9922;width:874;height:2" coordorigin="3614,9922" coordsize="874,2">
              <v:shape style="position:absolute;left:3614;top:9922;width:874;height:2" coordorigin="3614,9922" coordsize="874,0" path="m3614,9922l4488,9922e" filled="false" stroked="true" strokeweight=".48pt" strokecolor="#000000">
                <v:path arrowok="t"/>
              </v:shape>
            </v:group>
            <v:group style="position:absolute;left:4498;top:9922;width:876;height:2" coordorigin="4498,9922" coordsize="876,2">
              <v:shape style="position:absolute;left:4498;top:9922;width:876;height:2" coordorigin="4498,9922" coordsize="876,0" path="m4498,9922l5374,9922e" filled="false" stroked="true" strokeweight=".48pt" strokecolor="#000000">
                <v:path arrowok="t"/>
              </v:shape>
            </v:group>
            <v:group style="position:absolute;left:5383;top:9922;width:876;height:2" coordorigin="5383,9922" coordsize="876,2">
              <v:shape style="position:absolute;left:5383;top:9922;width:876;height:2" coordorigin="5383,9922" coordsize="876,0" path="m5383,9922l6259,9922e" filled="false" stroked="true" strokeweight=".48pt" strokecolor="#000000">
                <v:path arrowok="t"/>
              </v:shape>
            </v:group>
            <v:group style="position:absolute;left:6269;top:9922;width:876;height:2" coordorigin="6269,9922" coordsize="876,2">
              <v:shape style="position:absolute;left:6269;top:9922;width:876;height:2" coordorigin="6269,9922" coordsize="876,0" path="m6269,9922l7145,9922e" filled="false" stroked="true" strokeweight=".48pt" strokecolor="#000000">
                <v:path arrowok="t"/>
              </v:shape>
            </v:group>
            <v:group style="position:absolute;left:7154;top:9922;width:876;height:2" coordorigin="7154,9922" coordsize="876,2">
              <v:shape style="position:absolute;left:7154;top:9922;width:876;height:2" coordorigin="7154,9922" coordsize="876,0" path="m7154,9922l8030,9922e" filled="false" stroked="true" strokeweight=".48pt" strokecolor="#000000">
                <v:path arrowok="t"/>
              </v:shape>
            </v:group>
            <v:group style="position:absolute;left:8040;top:9922;width:876;height:2" coordorigin="8040,9922" coordsize="876,2">
              <v:shape style="position:absolute;left:8040;top:9922;width:876;height:2" coordorigin="8040,9922" coordsize="876,0" path="m8040,9922l8916,9922e" filled="false" stroked="true" strokeweight=".48pt" strokecolor="#000000">
                <v:path arrowok="t"/>
              </v:shape>
            </v:group>
            <v:group style="position:absolute;left:8926;top:9922;width:879;height:2" coordorigin="8926,9922" coordsize="879,2">
              <v:shape style="position:absolute;left:8926;top:9922;width:879;height:2" coordorigin="8926,9922" coordsize="879,0" path="m8926,9922l9804,9922e" filled="false" stroked="true" strokeweight=".48pt" strokecolor="#000000">
                <v:path arrowok="t"/>
              </v:shape>
            </v:group>
            <v:group style="position:absolute;left:9814;top:9922;width:881;height:2" coordorigin="9814,9922" coordsize="881,2">
              <v:shape style="position:absolute;left:9814;top:9922;width:881;height:2" coordorigin="9814,9922" coordsize="881,0" path="m9814,9922l10694,9922e" filled="false" stroked="true" strokeweight=".48pt" strokecolor="#000000">
                <v:path arrowok="t"/>
              </v:shape>
            </v:group>
            <v:group style="position:absolute;left:1140;top:10327;width:2465;height:156" coordorigin="1140,10327" coordsize="2465,156">
              <v:shape style="position:absolute;left:1140;top:10327;width:2465;height:156" coordorigin="1140,10327" coordsize="2465,156" path="m1140,10483l3605,10483,3605,10327,1140,10327,1140,10483xe" filled="true" fillcolor="#d4d4d4" stroked="false">
                <v:path arrowok="t"/>
                <v:fill type="solid"/>
              </v:shape>
            </v:group>
            <v:group style="position:absolute;left:1151;top:10483;width:2;height:394" coordorigin="1151,10483" coordsize="2,394">
              <v:shape style="position:absolute;left:1151;top:10483;width:2;height:394" coordorigin="1151,10483" coordsize="0,394" path="m1151,10483l1151,10877e" filled="false" stroked="true" strokeweight="1.08pt" strokecolor="#d4d4d4">
                <v:path arrowok="t"/>
              </v:shape>
            </v:group>
            <v:group style="position:absolute;left:3593;top:10483;width:2;height:394" coordorigin="3593,10483" coordsize="2,394">
              <v:shape style="position:absolute;left:3593;top:10483;width:2;height:394" coordorigin="3593,10483" coordsize="0,394" path="m3593,10483l3593,10877e" filled="false" stroked="true" strokeweight="1.2pt" strokecolor="#d4d4d4">
                <v:path arrowok="t"/>
              </v:shape>
            </v:group>
            <v:group style="position:absolute;left:1140;top:10877;width:2465;height:156" coordorigin="1140,10877" coordsize="2465,156">
              <v:shape style="position:absolute;left:1140;top:10877;width:2465;height:156" coordorigin="1140,10877" coordsize="2465,156" path="m1140,11033l3605,11033,3605,10877,1140,10877,1140,11033xe" filled="true" fillcolor="#d4d4d4" stroked="false">
                <v:path arrowok="t"/>
                <v:fill type="solid"/>
              </v:shape>
            </v:group>
            <v:group style="position:absolute;left:1162;top:10483;width:2420;height:394" coordorigin="1162,10483" coordsize="2420,394">
              <v:shape style="position:absolute;left:1162;top:10483;width:2420;height:394" coordorigin="1162,10483" coordsize="2420,394" path="m1162,10877l3581,10877,3581,10483,1162,10483,1162,10877xe" filled="true" fillcolor="#d4d4d4" stroked="false">
                <v:path arrowok="t"/>
                <v:fill type="solid"/>
              </v:shape>
            </v:group>
            <v:group style="position:absolute;left:1138;top:10322;width:2468;height:2" coordorigin="1138,10322" coordsize="2468,2">
              <v:shape style="position:absolute;left:1138;top:10322;width:2468;height:2" coordorigin="1138,10322" coordsize="2468,0" path="m1138,10322l3605,10322e" filled="false" stroked="true" strokeweight=".48pt" strokecolor="#000000">
                <v:path arrowok="t"/>
              </v:shape>
            </v:group>
            <v:group style="position:absolute;left:3614;top:10322;width:874;height:2" coordorigin="3614,10322" coordsize="874,2">
              <v:shape style="position:absolute;left:3614;top:10322;width:874;height:2" coordorigin="3614,10322" coordsize="874,0" path="m3614,10322l4488,10322e" filled="false" stroked="true" strokeweight=".48pt" strokecolor="#000000">
                <v:path arrowok="t"/>
              </v:shape>
            </v:group>
            <v:group style="position:absolute;left:4498;top:10322;width:876;height:2" coordorigin="4498,10322" coordsize="876,2">
              <v:shape style="position:absolute;left:4498;top:10322;width:876;height:2" coordorigin="4498,10322" coordsize="876,0" path="m4498,10322l5374,10322e" filled="false" stroked="true" strokeweight=".48pt" strokecolor="#000000">
                <v:path arrowok="t"/>
              </v:shape>
            </v:group>
            <v:group style="position:absolute;left:5383;top:10322;width:876;height:2" coordorigin="5383,10322" coordsize="876,2">
              <v:shape style="position:absolute;left:5383;top:10322;width:876;height:2" coordorigin="5383,10322" coordsize="876,0" path="m5383,10322l6259,10322e" filled="false" stroked="true" strokeweight=".48pt" strokecolor="#000000">
                <v:path arrowok="t"/>
              </v:shape>
            </v:group>
            <v:group style="position:absolute;left:6269;top:10322;width:876;height:2" coordorigin="6269,10322" coordsize="876,2">
              <v:shape style="position:absolute;left:6269;top:10322;width:876;height:2" coordorigin="6269,10322" coordsize="876,0" path="m6269,10322l7145,10322e" filled="false" stroked="true" strokeweight=".48pt" strokecolor="#000000">
                <v:path arrowok="t"/>
              </v:shape>
            </v:group>
            <v:group style="position:absolute;left:7154;top:10322;width:876;height:2" coordorigin="7154,10322" coordsize="876,2">
              <v:shape style="position:absolute;left:7154;top:10322;width:876;height:2" coordorigin="7154,10322" coordsize="876,0" path="m7154,10322l8030,10322e" filled="false" stroked="true" strokeweight=".48pt" strokecolor="#000000">
                <v:path arrowok="t"/>
              </v:shape>
            </v:group>
            <v:group style="position:absolute;left:8040;top:10322;width:876;height:2" coordorigin="8040,10322" coordsize="876,2">
              <v:shape style="position:absolute;left:8040;top:10322;width:876;height:2" coordorigin="8040,10322" coordsize="876,0" path="m8040,10322l8916,10322e" filled="false" stroked="true" strokeweight=".48pt" strokecolor="#000000">
                <v:path arrowok="t"/>
              </v:shape>
            </v:group>
            <v:group style="position:absolute;left:8926;top:10322;width:879;height:2" coordorigin="8926,10322" coordsize="879,2">
              <v:shape style="position:absolute;left:8926;top:10322;width:879;height:2" coordorigin="8926,10322" coordsize="879,0" path="m8926,10322l9804,10322e" filled="false" stroked="true" strokeweight=".48pt" strokecolor="#000000">
                <v:path arrowok="t"/>
              </v:shape>
            </v:group>
            <v:group style="position:absolute;left:9814;top:10322;width:881;height:2" coordorigin="9814,10322" coordsize="881,2">
              <v:shape style="position:absolute;left:9814;top:10322;width:881;height:2" coordorigin="9814,10322" coordsize="881,0" path="m9814,10322l10694,10322e" filled="false" stroked="true" strokeweight=".48pt" strokecolor="#000000">
                <v:path arrowok="t"/>
              </v:shape>
            </v:group>
            <v:group style="position:absolute;left:1140;top:11042;width:2465;height:156" coordorigin="1140,11042" coordsize="2465,156">
              <v:shape style="position:absolute;left:1140;top:11042;width:2465;height:156" coordorigin="1140,11042" coordsize="2465,156" path="m1140,11198l3605,11198,3605,11042,1140,11042,1140,11198xe" filled="true" fillcolor="#d4d4d4" stroked="false">
                <v:path arrowok="t"/>
                <v:fill type="solid"/>
              </v:shape>
            </v:group>
            <v:group style="position:absolute;left:1151;top:11198;width:2;height:392" coordorigin="1151,11198" coordsize="2,392">
              <v:shape style="position:absolute;left:1151;top:11198;width:2;height:392" coordorigin="1151,11198" coordsize="0,392" path="m1151,11198l1151,11590e" filled="false" stroked="true" strokeweight="1.08pt" strokecolor="#d4d4d4">
                <v:path arrowok="t"/>
              </v:shape>
            </v:group>
            <v:group style="position:absolute;left:3593;top:11198;width:2;height:392" coordorigin="3593,11198" coordsize="2,392">
              <v:shape style="position:absolute;left:3593;top:11198;width:2;height:392" coordorigin="3593,11198" coordsize="0,392" path="m3593,11198l3593,11590e" filled="false" stroked="true" strokeweight="1.2pt" strokecolor="#d4d4d4">
                <v:path arrowok="t"/>
              </v:shape>
            </v:group>
            <v:group style="position:absolute;left:1140;top:11590;width:2465;height:156" coordorigin="1140,11590" coordsize="2465,156">
              <v:shape style="position:absolute;left:1140;top:11590;width:2465;height:156" coordorigin="1140,11590" coordsize="2465,156" path="m1140,11746l3605,11746,3605,11590,1140,11590,1140,11746xe" filled="true" fillcolor="#d4d4d4" stroked="false">
                <v:path arrowok="t"/>
                <v:fill type="solid"/>
              </v:shape>
            </v:group>
            <v:group style="position:absolute;left:1162;top:11198;width:2420;height:392" coordorigin="1162,11198" coordsize="2420,392">
              <v:shape style="position:absolute;left:1162;top:11198;width:2420;height:392" coordorigin="1162,11198" coordsize="2420,392" path="m1162,11590l3581,11590,3581,11198,1162,11198,1162,11590xe" filled="true" fillcolor="#d4d4d4" stroked="false">
                <v:path arrowok="t"/>
                <v:fill type="solid"/>
              </v:shape>
            </v:group>
            <v:group style="position:absolute;left:1138;top:11038;width:2468;height:2" coordorigin="1138,11038" coordsize="2468,2">
              <v:shape style="position:absolute;left:1138;top:11038;width:2468;height:2" coordorigin="1138,11038" coordsize="2468,0" path="m1138,11038l3605,11038e" filled="false" stroked="true" strokeweight=".48pt" strokecolor="#000000">
                <v:path arrowok="t"/>
              </v:shape>
            </v:group>
            <v:group style="position:absolute;left:3614;top:11038;width:874;height:2" coordorigin="3614,11038" coordsize="874,2">
              <v:shape style="position:absolute;left:3614;top:11038;width:874;height:2" coordorigin="3614,11038" coordsize="874,0" path="m3614,11038l4488,11038e" filled="false" stroked="true" strokeweight=".48pt" strokecolor="#000000">
                <v:path arrowok="t"/>
              </v:shape>
            </v:group>
            <v:group style="position:absolute;left:4498;top:11038;width:876;height:2" coordorigin="4498,11038" coordsize="876,2">
              <v:shape style="position:absolute;left:4498;top:11038;width:876;height:2" coordorigin="4498,11038" coordsize="876,0" path="m4498,11038l5374,11038e" filled="false" stroked="true" strokeweight=".48pt" strokecolor="#000000">
                <v:path arrowok="t"/>
              </v:shape>
            </v:group>
            <v:group style="position:absolute;left:5383;top:11038;width:876;height:2" coordorigin="5383,11038" coordsize="876,2">
              <v:shape style="position:absolute;left:5383;top:11038;width:876;height:2" coordorigin="5383,11038" coordsize="876,0" path="m5383,11038l6259,11038e" filled="false" stroked="true" strokeweight=".48pt" strokecolor="#000000">
                <v:path arrowok="t"/>
              </v:shape>
            </v:group>
            <v:group style="position:absolute;left:6269;top:11038;width:876;height:2" coordorigin="6269,11038" coordsize="876,2">
              <v:shape style="position:absolute;left:6269;top:11038;width:876;height:2" coordorigin="6269,11038" coordsize="876,0" path="m6269,11038l7145,11038e" filled="false" stroked="true" strokeweight=".48pt" strokecolor="#000000">
                <v:path arrowok="t"/>
              </v:shape>
            </v:group>
            <v:group style="position:absolute;left:7154;top:11038;width:876;height:2" coordorigin="7154,11038" coordsize="876,2">
              <v:shape style="position:absolute;left:7154;top:11038;width:876;height:2" coordorigin="7154,11038" coordsize="876,0" path="m7154,11038l8030,11038e" filled="false" stroked="true" strokeweight=".48pt" strokecolor="#000000">
                <v:path arrowok="t"/>
              </v:shape>
            </v:group>
            <v:group style="position:absolute;left:8040;top:11038;width:876;height:2" coordorigin="8040,11038" coordsize="876,2">
              <v:shape style="position:absolute;left:8040;top:11038;width:876;height:2" coordorigin="8040,11038" coordsize="876,0" path="m8040,11038l8916,11038e" filled="false" stroked="true" strokeweight=".48pt" strokecolor="#000000">
                <v:path arrowok="t"/>
              </v:shape>
            </v:group>
            <v:group style="position:absolute;left:8926;top:11038;width:879;height:2" coordorigin="8926,11038" coordsize="879,2">
              <v:shape style="position:absolute;left:8926;top:11038;width:879;height:2" coordorigin="8926,11038" coordsize="879,0" path="m8926,11038l9804,11038e" filled="false" stroked="true" strokeweight=".48pt" strokecolor="#000000">
                <v:path arrowok="t"/>
              </v:shape>
            </v:group>
            <v:group style="position:absolute;left:9814;top:11038;width:881;height:2" coordorigin="9814,11038" coordsize="881,2">
              <v:shape style="position:absolute;left:9814;top:11038;width:881;height:2" coordorigin="9814,11038" coordsize="881,0" path="m9814,11038l10694,11038e" filled="false" stroked="true" strokeweight=".48pt" strokecolor="#000000">
                <v:path arrowok="t"/>
              </v:shape>
            </v:group>
            <v:group style="position:absolute;left:1151;top:11755;width:2;height:394" coordorigin="1151,11755" coordsize="2,394">
              <v:shape style="position:absolute;left:1151;top:11755;width:2;height:394" coordorigin="1151,11755" coordsize="0,394" path="m1151,11755l1151,12149e" filled="false" stroked="true" strokeweight="1.08pt" strokecolor="#d4d4d4">
                <v:path arrowok="t"/>
              </v:shape>
            </v:group>
            <v:group style="position:absolute;left:3593;top:11755;width:2;height:394" coordorigin="3593,11755" coordsize="2,394">
              <v:shape style="position:absolute;left:3593;top:11755;width:2;height:394" coordorigin="3593,11755" coordsize="0,394" path="m3593,11755l3593,12149e" filled="false" stroked="true" strokeweight="1.2pt" strokecolor="#d4d4d4">
                <v:path arrowok="t"/>
              </v:shape>
            </v:group>
            <v:group style="position:absolute;left:1162;top:11755;width:2420;height:394" coordorigin="1162,11755" coordsize="2420,394">
              <v:shape style="position:absolute;left:1162;top:11755;width:2420;height:394" coordorigin="1162,11755" coordsize="2420,394" path="m1162,12149l3581,12149,3581,11755,1162,11755,1162,12149xe" filled="true" fillcolor="#d4d4d4" stroked="false">
                <v:path arrowok="t"/>
                <v:fill type="solid"/>
              </v:shape>
            </v:group>
            <v:group style="position:absolute;left:1138;top:11750;width:2468;height:2" coordorigin="1138,11750" coordsize="2468,2">
              <v:shape style="position:absolute;left:1138;top:11750;width:2468;height:2" coordorigin="1138,11750" coordsize="2468,0" path="m1138,11750l3605,11750e" filled="false" stroked="true" strokeweight=".48pt" strokecolor="#000000">
                <v:path arrowok="t"/>
              </v:shape>
            </v:group>
            <v:group style="position:absolute;left:3614;top:11750;width:874;height:2" coordorigin="3614,11750" coordsize="874,2">
              <v:shape style="position:absolute;left:3614;top:11750;width:874;height:2" coordorigin="3614,11750" coordsize="874,0" path="m3614,11750l4488,11750e" filled="false" stroked="true" strokeweight=".48pt" strokecolor="#000000">
                <v:path arrowok="t"/>
              </v:shape>
            </v:group>
            <v:group style="position:absolute;left:4498;top:11750;width:876;height:2" coordorigin="4498,11750" coordsize="876,2">
              <v:shape style="position:absolute;left:4498;top:11750;width:876;height:2" coordorigin="4498,11750" coordsize="876,0" path="m4498,11750l5374,11750e" filled="false" stroked="true" strokeweight=".48pt" strokecolor="#000000">
                <v:path arrowok="t"/>
              </v:shape>
            </v:group>
            <v:group style="position:absolute;left:5383;top:11750;width:876;height:2" coordorigin="5383,11750" coordsize="876,2">
              <v:shape style="position:absolute;left:5383;top:11750;width:876;height:2" coordorigin="5383,11750" coordsize="876,0" path="m5383,11750l6259,11750e" filled="false" stroked="true" strokeweight=".48pt" strokecolor="#000000">
                <v:path arrowok="t"/>
              </v:shape>
            </v:group>
            <v:group style="position:absolute;left:6269;top:11750;width:876;height:2" coordorigin="6269,11750" coordsize="876,2">
              <v:shape style="position:absolute;left:6269;top:11750;width:876;height:2" coordorigin="6269,11750" coordsize="876,0" path="m6269,11750l7145,11750e" filled="false" stroked="true" strokeweight=".48pt" strokecolor="#000000">
                <v:path arrowok="t"/>
              </v:shape>
            </v:group>
            <v:group style="position:absolute;left:7154;top:11750;width:876;height:2" coordorigin="7154,11750" coordsize="876,2">
              <v:shape style="position:absolute;left:7154;top:11750;width:876;height:2" coordorigin="7154,11750" coordsize="876,0" path="m7154,11750l8030,11750e" filled="false" stroked="true" strokeweight=".48pt" strokecolor="#000000">
                <v:path arrowok="t"/>
              </v:shape>
            </v:group>
            <v:group style="position:absolute;left:8040;top:11750;width:876;height:2" coordorigin="8040,11750" coordsize="876,2">
              <v:shape style="position:absolute;left:8040;top:11750;width:876;height:2" coordorigin="8040,11750" coordsize="876,0" path="m8040,11750l8916,11750e" filled="false" stroked="true" strokeweight=".48pt" strokecolor="#000000">
                <v:path arrowok="t"/>
              </v:shape>
            </v:group>
            <v:group style="position:absolute;left:8926;top:11750;width:879;height:2" coordorigin="8926,11750" coordsize="879,2">
              <v:shape style="position:absolute;left:8926;top:11750;width:879;height:2" coordorigin="8926,11750" coordsize="879,0" path="m8926,11750l9804,11750e" filled="false" stroked="true" strokeweight=".48pt" strokecolor="#000000">
                <v:path arrowok="t"/>
              </v:shape>
            </v:group>
            <v:group style="position:absolute;left:9814;top:11750;width:881;height:2" coordorigin="9814,11750" coordsize="881,2">
              <v:shape style="position:absolute;left:9814;top:11750;width:881;height:2" coordorigin="9814,11750" coordsize="881,0" path="m9814,11750l10694,11750e" filled="false" stroked="true" strokeweight=".48pt" strokecolor="#000000">
                <v:path arrowok="t"/>
              </v:shape>
            </v:group>
            <v:group style="position:absolute;left:1140;top:12158;width:2465;height:156" coordorigin="1140,12158" coordsize="2465,156">
              <v:shape style="position:absolute;left:1140;top:12158;width:2465;height:156" coordorigin="1140,12158" coordsize="2465,156" path="m1140,12314l3605,12314,3605,12158,1140,12158,1140,12314xe" filled="true" fillcolor="#d4d4d4" stroked="false">
                <v:path arrowok="t"/>
                <v:fill type="solid"/>
              </v:shape>
            </v:group>
            <v:group style="position:absolute;left:1151;top:12314;width:2;height:392" coordorigin="1151,12314" coordsize="2,392">
              <v:shape style="position:absolute;left:1151;top:12314;width:2;height:392" coordorigin="1151,12314" coordsize="0,392" path="m1151,12314l1151,12706e" filled="false" stroked="true" strokeweight="1.08pt" strokecolor="#d4d4d4">
                <v:path arrowok="t"/>
              </v:shape>
            </v:group>
            <v:group style="position:absolute;left:3593;top:12314;width:2;height:392" coordorigin="3593,12314" coordsize="2,392">
              <v:shape style="position:absolute;left:3593;top:12314;width:2;height:392" coordorigin="3593,12314" coordsize="0,392" path="m3593,12314l3593,12706e" filled="false" stroked="true" strokeweight="1.2pt" strokecolor="#d4d4d4">
                <v:path arrowok="t"/>
              </v:shape>
            </v:group>
            <v:group style="position:absolute;left:1140;top:12706;width:2465;height:156" coordorigin="1140,12706" coordsize="2465,156">
              <v:shape style="position:absolute;left:1140;top:12706;width:2465;height:156" coordorigin="1140,12706" coordsize="2465,156" path="m1140,12862l3605,12862,3605,12706,1140,12706,1140,12862xe" filled="true" fillcolor="#d4d4d4" stroked="false">
                <v:path arrowok="t"/>
                <v:fill type="solid"/>
              </v:shape>
            </v:group>
            <v:group style="position:absolute;left:1162;top:12314;width:2420;height:392" coordorigin="1162,12314" coordsize="2420,392">
              <v:shape style="position:absolute;left:1162;top:12314;width:2420;height:392" coordorigin="1162,12314" coordsize="2420,392" path="m1162,12706l3581,12706,3581,12314,1162,12314,1162,12706xe" filled="true" fillcolor="#d4d4d4" stroked="false">
                <v:path arrowok="t"/>
                <v:fill type="solid"/>
              </v:shape>
            </v:group>
            <v:group style="position:absolute;left:1138;top:12154;width:2468;height:2" coordorigin="1138,12154" coordsize="2468,2">
              <v:shape style="position:absolute;left:1138;top:12154;width:2468;height:2" coordorigin="1138,12154" coordsize="2468,0" path="m1138,12154l3605,12154e" filled="false" stroked="true" strokeweight=".48pt" strokecolor="#000000">
                <v:path arrowok="t"/>
              </v:shape>
            </v:group>
            <v:group style="position:absolute;left:3614;top:12154;width:874;height:2" coordorigin="3614,12154" coordsize="874,2">
              <v:shape style="position:absolute;left:3614;top:12154;width:874;height:2" coordorigin="3614,12154" coordsize="874,0" path="m3614,12154l4488,12154e" filled="false" stroked="true" strokeweight=".48pt" strokecolor="#000000">
                <v:path arrowok="t"/>
              </v:shape>
            </v:group>
            <v:group style="position:absolute;left:4498;top:12154;width:876;height:2" coordorigin="4498,12154" coordsize="876,2">
              <v:shape style="position:absolute;left:4498;top:12154;width:876;height:2" coordorigin="4498,12154" coordsize="876,0" path="m4498,12154l5374,12154e" filled="false" stroked="true" strokeweight=".48pt" strokecolor="#000000">
                <v:path arrowok="t"/>
              </v:shape>
            </v:group>
            <v:group style="position:absolute;left:5383;top:12154;width:876;height:2" coordorigin="5383,12154" coordsize="876,2">
              <v:shape style="position:absolute;left:5383;top:12154;width:876;height:2" coordorigin="5383,12154" coordsize="876,0" path="m5383,12154l6259,12154e" filled="false" stroked="true" strokeweight=".48pt" strokecolor="#000000">
                <v:path arrowok="t"/>
              </v:shape>
            </v:group>
            <v:group style="position:absolute;left:6269;top:12154;width:876;height:2" coordorigin="6269,12154" coordsize="876,2">
              <v:shape style="position:absolute;left:6269;top:12154;width:876;height:2" coordorigin="6269,12154" coordsize="876,0" path="m6269,12154l7145,12154e" filled="false" stroked="true" strokeweight=".48pt" strokecolor="#000000">
                <v:path arrowok="t"/>
              </v:shape>
            </v:group>
            <v:group style="position:absolute;left:7154;top:12154;width:876;height:2" coordorigin="7154,12154" coordsize="876,2">
              <v:shape style="position:absolute;left:7154;top:12154;width:876;height:2" coordorigin="7154,12154" coordsize="876,0" path="m7154,12154l8030,12154e" filled="false" stroked="true" strokeweight=".48pt" strokecolor="#000000">
                <v:path arrowok="t"/>
              </v:shape>
            </v:group>
            <v:group style="position:absolute;left:8040;top:12154;width:876;height:2" coordorigin="8040,12154" coordsize="876,2">
              <v:shape style="position:absolute;left:8040;top:12154;width:876;height:2" coordorigin="8040,12154" coordsize="876,0" path="m8040,12154l8916,12154e" filled="false" stroked="true" strokeweight=".48pt" strokecolor="#000000">
                <v:path arrowok="t"/>
              </v:shape>
            </v:group>
            <v:group style="position:absolute;left:8926;top:12154;width:879;height:2" coordorigin="8926,12154" coordsize="879,2">
              <v:shape style="position:absolute;left:8926;top:12154;width:879;height:2" coordorigin="8926,12154" coordsize="879,0" path="m8926,12154l9804,12154e" filled="false" stroked="true" strokeweight=".48pt" strokecolor="#000000">
                <v:path arrowok="t"/>
              </v:shape>
            </v:group>
            <v:group style="position:absolute;left:9814;top:12154;width:881;height:2" coordorigin="9814,12154" coordsize="881,2">
              <v:shape style="position:absolute;left:9814;top:12154;width:881;height:2" coordorigin="9814,12154" coordsize="881,0" path="m9814,12154l10694,12154e" filled="false" stroked="true" strokeweight=".48pt" strokecolor="#000000">
                <v:path arrowok="t"/>
              </v:shape>
            </v:group>
            <v:group style="position:absolute;left:1151;top:12871;width:2;height:394" coordorigin="1151,12871" coordsize="2,394">
              <v:shape style="position:absolute;left:1151;top:12871;width:2;height:394" coordorigin="1151,12871" coordsize="0,394" path="m1151,12871l1151,13265e" filled="false" stroked="true" strokeweight="1.08pt" strokecolor="#d4d4d4">
                <v:path arrowok="t"/>
              </v:shape>
            </v:group>
            <v:group style="position:absolute;left:3593;top:12871;width:2;height:394" coordorigin="3593,12871" coordsize="2,394">
              <v:shape style="position:absolute;left:3593;top:12871;width:2;height:394" coordorigin="3593,12871" coordsize="0,394" path="m3593,12871l3593,13265e" filled="false" stroked="true" strokeweight="1.2pt" strokecolor="#d4d4d4">
                <v:path arrowok="t"/>
              </v:shape>
            </v:group>
            <v:group style="position:absolute;left:1162;top:12871;width:2420;height:394" coordorigin="1162,12871" coordsize="2420,394">
              <v:shape style="position:absolute;left:1162;top:12871;width:2420;height:394" coordorigin="1162,12871" coordsize="2420,394" path="m1162,13265l3581,13265,3581,12871,1162,12871,1162,13265xe" filled="true" fillcolor="#d4d4d4" stroked="false">
                <v:path arrowok="t"/>
                <v:fill type="solid"/>
              </v:shape>
            </v:group>
            <v:group style="position:absolute;left:1138;top:12866;width:2468;height:2" coordorigin="1138,12866" coordsize="2468,2">
              <v:shape style="position:absolute;left:1138;top:12866;width:2468;height:2" coordorigin="1138,12866" coordsize="2468,0" path="m1138,12866l3605,12866e" filled="false" stroked="true" strokeweight=".48pt" strokecolor="#000000">
                <v:path arrowok="t"/>
              </v:shape>
            </v:group>
            <v:group style="position:absolute;left:3614;top:12866;width:874;height:2" coordorigin="3614,12866" coordsize="874,2">
              <v:shape style="position:absolute;left:3614;top:12866;width:874;height:2" coordorigin="3614,12866" coordsize="874,0" path="m3614,12866l4488,12866e" filled="false" stroked="true" strokeweight=".48pt" strokecolor="#000000">
                <v:path arrowok="t"/>
              </v:shape>
            </v:group>
            <v:group style="position:absolute;left:4498;top:12866;width:876;height:2" coordorigin="4498,12866" coordsize="876,2">
              <v:shape style="position:absolute;left:4498;top:12866;width:876;height:2" coordorigin="4498,12866" coordsize="876,0" path="m4498,12866l5374,12866e" filled="false" stroked="true" strokeweight=".48pt" strokecolor="#000000">
                <v:path arrowok="t"/>
              </v:shape>
            </v:group>
            <v:group style="position:absolute;left:5383;top:12866;width:876;height:2" coordorigin="5383,12866" coordsize="876,2">
              <v:shape style="position:absolute;left:5383;top:12866;width:876;height:2" coordorigin="5383,12866" coordsize="876,0" path="m5383,12866l6259,12866e" filled="false" stroked="true" strokeweight=".48pt" strokecolor="#000000">
                <v:path arrowok="t"/>
              </v:shape>
            </v:group>
            <v:group style="position:absolute;left:6269;top:12866;width:876;height:2" coordorigin="6269,12866" coordsize="876,2">
              <v:shape style="position:absolute;left:6269;top:12866;width:876;height:2" coordorigin="6269,12866" coordsize="876,0" path="m6269,12866l7145,12866e" filled="false" stroked="true" strokeweight=".48pt" strokecolor="#000000">
                <v:path arrowok="t"/>
              </v:shape>
            </v:group>
            <v:group style="position:absolute;left:7154;top:12866;width:876;height:2" coordorigin="7154,12866" coordsize="876,2">
              <v:shape style="position:absolute;left:7154;top:12866;width:876;height:2" coordorigin="7154,12866" coordsize="876,0" path="m7154,12866l8030,12866e" filled="false" stroked="true" strokeweight=".48pt" strokecolor="#000000">
                <v:path arrowok="t"/>
              </v:shape>
            </v:group>
            <v:group style="position:absolute;left:8040;top:12866;width:876;height:2" coordorigin="8040,12866" coordsize="876,2">
              <v:shape style="position:absolute;left:8040;top:12866;width:876;height:2" coordorigin="8040,12866" coordsize="876,0" path="m8040,12866l8916,12866e" filled="false" stroked="true" strokeweight=".48pt" strokecolor="#000000">
                <v:path arrowok="t"/>
              </v:shape>
            </v:group>
            <v:group style="position:absolute;left:8926;top:12866;width:879;height:2" coordorigin="8926,12866" coordsize="879,2">
              <v:shape style="position:absolute;left:8926;top:12866;width:879;height:2" coordorigin="8926,12866" coordsize="879,0" path="m8926,12866l9804,12866e" filled="false" stroked="true" strokeweight=".48pt" strokecolor="#000000">
                <v:path arrowok="t"/>
              </v:shape>
            </v:group>
            <v:group style="position:absolute;left:9814;top:12866;width:881;height:2" coordorigin="9814,12866" coordsize="881,2">
              <v:shape style="position:absolute;left:9814;top:12866;width:881;height:2" coordorigin="9814,12866" coordsize="881,0" path="m9814,12866l10694,12866e" filled="false" stroked="true" strokeweight=".48pt" strokecolor="#000000">
                <v:path arrowok="t"/>
              </v:shape>
            </v:group>
            <v:group style="position:absolute;left:1140;top:13274;width:2465;height:156" coordorigin="1140,13274" coordsize="2465,156">
              <v:shape style="position:absolute;left:1140;top:13274;width:2465;height:156" coordorigin="1140,13274" coordsize="2465,156" path="m1140,13430l3605,13430,3605,13274,1140,13274,1140,13430xe" filled="true" fillcolor="#d4d4d4" stroked="false">
                <v:path arrowok="t"/>
                <v:fill type="solid"/>
              </v:shape>
            </v:group>
            <v:group style="position:absolute;left:1151;top:13430;width:2;height:392" coordorigin="1151,13430" coordsize="2,392">
              <v:shape style="position:absolute;left:1151;top:13430;width:2;height:392" coordorigin="1151,13430" coordsize="0,392" path="m1151,13430l1151,13822e" filled="false" stroked="true" strokeweight="1.08pt" strokecolor="#d4d4d4">
                <v:path arrowok="t"/>
              </v:shape>
            </v:group>
            <v:group style="position:absolute;left:3593;top:13430;width:2;height:392" coordorigin="3593,13430" coordsize="2,392">
              <v:shape style="position:absolute;left:3593;top:13430;width:2;height:392" coordorigin="3593,13430" coordsize="0,392" path="m3593,13430l3593,13822e" filled="false" stroked="true" strokeweight="1.2pt" strokecolor="#d4d4d4">
                <v:path arrowok="t"/>
              </v:shape>
            </v:group>
            <v:group style="position:absolute;left:1140;top:13822;width:2465;height:156" coordorigin="1140,13822" coordsize="2465,156">
              <v:shape style="position:absolute;left:1140;top:13822;width:2465;height:156" coordorigin="1140,13822" coordsize="2465,156" path="m1140,13978l3605,13978,3605,13822,1140,13822,1140,13978xe" filled="true" fillcolor="#d4d4d4" stroked="false">
                <v:path arrowok="t"/>
                <v:fill type="solid"/>
              </v:shape>
            </v:group>
            <v:group style="position:absolute;left:1162;top:13430;width:2420;height:392" coordorigin="1162,13430" coordsize="2420,392">
              <v:shape style="position:absolute;left:1162;top:13430;width:2420;height:392" coordorigin="1162,13430" coordsize="2420,392" path="m1162,13822l3581,13822,3581,13430,1162,13430,1162,13822xe" filled="true" fillcolor="#d4d4d4" stroked="false">
                <v:path arrowok="t"/>
                <v:fill type="solid"/>
              </v:shape>
            </v:group>
            <v:group style="position:absolute;left:1138;top:13270;width:2468;height:2" coordorigin="1138,13270" coordsize="2468,2">
              <v:shape style="position:absolute;left:1138;top:13270;width:2468;height:2" coordorigin="1138,13270" coordsize="2468,0" path="m1138,13270l3605,13270e" filled="false" stroked="true" strokeweight=".48pt" strokecolor="#000000">
                <v:path arrowok="t"/>
              </v:shape>
            </v:group>
            <v:group style="position:absolute;left:3614;top:13270;width:874;height:2" coordorigin="3614,13270" coordsize="874,2">
              <v:shape style="position:absolute;left:3614;top:13270;width:874;height:2" coordorigin="3614,13270" coordsize="874,0" path="m3614,13270l4488,13270e" filled="false" stroked="true" strokeweight=".48pt" strokecolor="#000000">
                <v:path arrowok="t"/>
              </v:shape>
            </v:group>
            <v:group style="position:absolute;left:4498;top:13270;width:876;height:2" coordorigin="4498,13270" coordsize="876,2">
              <v:shape style="position:absolute;left:4498;top:13270;width:876;height:2" coordorigin="4498,13270" coordsize="876,0" path="m4498,13270l5374,13270e" filled="false" stroked="true" strokeweight=".48pt" strokecolor="#000000">
                <v:path arrowok="t"/>
              </v:shape>
            </v:group>
            <v:group style="position:absolute;left:5383;top:13270;width:876;height:2" coordorigin="5383,13270" coordsize="876,2">
              <v:shape style="position:absolute;left:5383;top:13270;width:876;height:2" coordorigin="5383,13270" coordsize="876,0" path="m5383,13270l6259,13270e" filled="false" stroked="true" strokeweight=".48pt" strokecolor="#000000">
                <v:path arrowok="t"/>
              </v:shape>
            </v:group>
            <v:group style="position:absolute;left:6269;top:13270;width:876;height:2" coordorigin="6269,13270" coordsize="876,2">
              <v:shape style="position:absolute;left:6269;top:13270;width:876;height:2" coordorigin="6269,13270" coordsize="876,0" path="m6269,13270l7145,13270e" filled="false" stroked="true" strokeweight=".48pt" strokecolor="#000000">
                <v:path arrowok="t"/>
              </v:shape>
            </v:group>
            <v:group style="position:absolute;left:7154;top:13270;width:876;height:2" coordorigin="7154,13270" coordsize="876,2">
              <v:shape style="position:absolute;left:7154;top:13270;width:876;height:2" coordorigin="7154,13270" coordsize="876,0" path="m7154,13270l8030,13270e" filled="false" stroked="true" strokeweight=".48pt" strokecolor="#000000">
                <v:path arrowok="t"/>
              </v:shape>
            </v:group>
            <v:group style="position:absolute;left:8040;top:13270;width:876;height:2" coordorigin="8040,13270" coordsize="876,2">
              <v:shape style="position:absolute;left:8040;top:13270;width:876;height:2" coordorigin="8040,13270" coordsize="876,0" path="m8040,13270l8916,13270e" filled="false" stroked="true" strokeweight=".48pt" strokecolor="#000000">
                <v:path arrowok="t"/>
              </v:shape>
            </v:group>
            <v:group style="position:absolute;left:8926;top:13270;width:879;height:2" coordorigin="8926,13270" coordsize="879,2">
              <v:shape style="position:absolute;left:8926;top:13270;width:879;height:2" coordorigin="8926,13270" coordsize="879,0" path="m8926,13270l9804,13270e" filled="false" stroked="true" strokeweight=".48pt" strokecolor="#000000">
                <v:path arrowok="t"/>
              </v:shape>
            </v:group>
            <v:group style="position:absolute;left:9814;top:13270;width:881;height:2" coordorigin="9814,13270" coordsize="881,2">
              <v:shape style="position:absolute;left:9814;top:13270;width:881;height:2" coordorigin="9814,13270" coordsize="881,0" path="m9814,13270l10694,13270e" filled="false" stroked="true" strokeweight=".48pt" strokecolor="#000000">
                <v:path arrowok="t"/>
              </v:shape>
            </v:group>
            <v:group style="position:absolute;left:1140;top:13987;width:2465;height:156" coordorigin="1140,13987" coordsize="2465,156">
              <v:shape style="position:absolute;left:1140;top:13987;width:2465;height:156" coordorigin="1140,13987" coordsize="2465,156" path="m1140,14143l3605,14143,3605,13987,1140,13987,1140,14143xe" filled="true" fillcolor="#d4d4d4" stroked="false">
                <v:path arrowok="t"/>
                <v:fill type="solid"/>
              </v:shape>
            </v:group>
            <v:group style="position:absolute;left:1151;top:14143;width:2;height:394" coordorigin="1151,14143" coordsize="2,394">
              <v:shape style="position:absolute;left:1151;top:14143;width:2;height:394" coordorigin="1151,14143" coordsize="0,394" path="m1151,14143l1151,14537e" filled="false" stroked="true" strokeweight="1.08pt" strokecolor="#d4d4d4">
                <v:path arrowok="t"/>
              </v:shape>
            </v:group>
            <v:group style="position:absolute;left:3593;top:14143;width:2;height:394" coordorigin="3593,14143" coordsize="2,394">
              <v:shape style="position:absolute;left:3593;top:14143;width:2;height:394" coordorigin="3593,14143" coordsize="0,394" path="m3593,14143l3593,14537e" filled="false" stroked="true" strokeweight="1.2pt" strokecolor="#d4d4d4">
                <v:path arrowok="t"/>
              </v:shape>
            </v:group>
            <v:group style="position:absolute;left:1140;top:14537;width:2465;height:156" coordorigin="1140,14537" coordsize="2465,156">
              <v:shape style="position:absolute;left:1140;top:14537;width:2465;height:156" coordorigin="1140,14537" coordsize="2465,156" path="m1140,14693l3605,14693,3605,14537,1140,14537,1140,14693xe" filled="true" fillcolor="#d4d4d4" stroked="false">
                <v:path arrowok="t"/>
                <v:fill type="solid"/>
              </v:shape>
            </v:group>
            <v:group style="position:absolute;left:1162;top:14143;width:2420;height:394" coordorigin="1162,14143" coordsize="2420,394">
              <v:shape style="position:absolute;left:1162;top:14143;width:2420;height:394" coordorigin="1162,14143" coordsize="2420,394" path="m1162,14537l3581,14537,3581,14143,1162,14143,1162,14537xe" filled="true" fillcolor="#d4d4d4" stroked="false">
                <v:path arrowok="t"/>
                <v:fill type="solid"/>
              </v:shape>
            </v:group>
            <v:group style="position:absolute;left:3626;top:13987;width:2;height:706" coordorigin="3626,13987" coordsize="2,706">
              <v:shape style="position:absolute;left:3626;top:13987;width:2;height:706" coordorigin="3626,13987" coordsize="0,706" path="m3626,13987l3626,14693e" filled="false" stroked="true" strokeweight="1.2pt" strokecolor="#ffffff">
                <v:path arrowok="t"/>
              </v:shape>
            </v:group>
            <v:group style="position:absolute;left:3638;top:13987;width:828;height:353" coordorigin="3638,13987" coordsize="828,353">
              <v:shape style="position:absolute;left:3638;top:13987;width:828;height:353" coordorigin="3638,13987" coordsize="828,353" path="m3638,14340l4466,14340,4466,13987,3638,13987,3638,14340xe" filled="true" fillcolor="#ffffff" stroked="false">
                <v:path arrowok="t"/>
                <v:fill type="solid"/>
              </v:shape>
            </v:group>
            <v:group style="position:absolute;left:3638;top:14340;width:828;height:353" coordorigin="3638,14340" coordsize="828,353">
              <v:shape style="position:absolute;left:3638;top:14340;width:828;height:353" coordorigin="3638,14340" coordsize="828,353" path="m3638,14693l4466,14693,4466,14340,3638,14340,3638,14693xe" filled="true" fillcolor="#ffffff" stroked="false">
                <v:path arrowok="t"/>
                <v:fill type="solid"/>
              </v:shape>
            </v:group>
            <v:group style="position:absolute;left:1138;top:13982;width:2468;height:2" coordorigin="1138,13982" coordsize="2468,2">
              <v:shape style="position:absolute;left:1138;top:13982;width:2468;height:2" coordorigin="1138,13982" coordsize="2468,0" path="m1138,13982l3605,13982e" filled="false" stroked="true" strokeweight=".48pt" strokecolor="#000000">
                <v:path arrowok="t"/>
              </v:shape>
            </v:group>
            <v:group style="position:absolute;left:3614;top:13982;width:874;height:2" coordorigin="3614,13982" coordsize="874,2">
              <v:shape style="position:absolute;left:3614;top:13982;width:874;height:2" coordorigin="3614,13982" coordsize="874,0" path="m3614,13982l4488,13982e" filled="false" stroked="true" strokeweight=".48pt" strokecolor="#000000">
                <v:path arrowok="t"/>
              </v:shape>
            </v:group>
            <v:group style="position:absolute;left:4498;top:13982;width:876;height:2" coordorigin="4498,13982" coordsize="876,2">
              <v:shape style="position:absolute;left:4498;top:13982;width:876;height:2" coordorigin="4498,13982" coordsize="876,0" path="m4498,13982l5374,13982e" filled="false" stroked="true" strokeweight=".48pt" strokecolor="#000000">
                <v:path arrowok="t"/>
              </v:shape>
            </v:group>
            <v:group style="position:absolute;left:5383;top:13982;width:876;height:2" coordorigin="5383,13982" coordsize="876,2">
              <v:shape style="position:absolute;left:5383;top:13982;width:876;height:2" coordorigin="5383,13982" coordsize="876,0" path="m5383,13982l6259,13982e" filled="false" stroked="true" strokeweight=".48pt" strokecolor="#000000">
                <v:path arrowok="t"/>
              </v:shape>
            </v:group>
            <v:group style="position:absolute;left:6269;top:13982;width:876;height:2" coordorigin="6269,13982" coordsize="876,2">
              <v:shape style="position:absolute;left:6269;top:13982;width:876;height:2" coordorigin="6269,13982" coordsize="876,0" path="m6269,13982l7145,13982e" filled="false" stroked="true" strokeweight=".48pt" strokecolor="#000000">
                <v:path arrowok="t"/>
              </v:shape>
            </v:group>
            <v:group style="position:absolute;left:7154;top:13982;width:876;height:2" coordorigin="7154,13982" coordsize="876,2">
              <v:shape style="position:absolute;left:7154;top:13982;width:876;height:2" coordorigin="7154,13982" coordsize="876,0" path="m7154,13982l8030,13982e" filled="false" stroked="true" strokeweight=".48pt" strokecolor="#000000">
                <v:path arrowok="t"/>
              </v:shape>
            </v:group>
            <v:group style="position:absolute;left:8040;top:13982;width:876;height:2" coordorigin="8040,13982" coordsize="876,2">
              <v:shape style="position:absolute;left:8040;top:13982;width:876;height:2" coordorigin="8040,13982" coordsize="876,0" path="m8040,13982l8916,13982e" filled="false" stroked="true" strokeweight=".48pt" strokecolor="#000000">
                <v:path arrowok="t"/>
              </v:shape>
            </v:group>
            <v:group style="position:absolute;left:8926;top:13982;width:879;height:2" coordorigin="8926,13982" coordsize="879,2">
              <v:shape style="position:absolute;left:8926;top:13982;width:879;height:2" coordorigin="8926,13982" coordsize="879,0" path="m8926,13982l9804,13982e" filled="false" stroked="true" strokeweight=".48pt" strokecolor="#000000">
                <v:path arrowok="t"/>
              </v:shape>
            </v:group>
            <v:group style="position:absolute;left:9814;top:13982;width:881;height:2" coordorigin="9814,13982" coordsize="881,2">
              <v:shape style="position:absolute;left:9814;top:13982;width:881;height:2" coordorigin="9814,13982" coordsize="881,0" path="m9814,13982l10694,13982e" filled="false" stroked="true" strokeweight=".48pt" strokecolor="#000000">
                <v:path arrowok="t"/>
              </v:shape>
            </v:group>
            <v:group style="position:absolute;left:1151;top:14702;width:2;height:392" coordorigin="1151,14702" coordsize="2,392">
              <v:shape style="position:absolute;left:1151;top:14702;width:2;height:392" coordorigin="1151,14702" coordsize="0,392" path="m1151,14702l1151,15094e" filled="false" stroked="true" strokeweight="1.08pt" strokecolor="#d4d4d4">
                <v:path arrowok="t"/>
              </v:shape>
            </v:group>
            <v:group style="position:absolute;left:3593;top:14702;width:2;height:392" coordorigin="3593,14702" coordsize="2,392">
              <v:shape style="position:absolute;left:3593;top:14702;width:2;height:392" coordorigin="3593,14702" coordsize="0,392" path="m3593,14702l3593,15094e" filled="false" stroked="true" strokeweight="1.2pt" strokecolor="#d4d4d4">
                <v:path arrowok="t"/>
              </v:shape>
            </v:group>
            <v:group style="position:absolute;left:1162;top:14702;width:2420;height:392" coordorigin="1162,14702" coordsize="2420,392">
              <v:shape style="position:absolute;left:1162;top:14702;width:2420;height:392" coordorigin="1162,14702" coordsize="2420,392" path="m1162,15094l3581,15094,3581,14702,1162,14702,1162,15094xe" filled="true" fillcolor="#d4d4d4" stroked="false">
                <v:path arrowok="t"/>
                <v:fill type="solid"/>
              </v:shape>
            </v:group>
            <v:group style="position:absolute;left:3626;top:14702;width:2;height:392" coordorigin="3626,14702" coordsize="2,392">
              <v:shape style="position:absolute;left:3626;top:14702;width:2;height:392" coordorigin="3626,14702" coordsize="0,392" path="m3626,14702l3626,15094e" filled="false" stroked="true" strokeweight="1.2pt" strokecolor="#ffffff">
                <v:path arrowok="t"/>
              </v:shape>
            </v:group>
            <v:group style="position:absolute;left:3638;top:14702;width:828;height:392" coordorigin="3638,14702" coordsize="828,392">
              <v:shape style="position:absolute;left:3638;top:14702;width:828;height:392" coordorigin="3638,14702" coordsize="828,392" path="m3638,15094l4466,15094,4466,14702,3638,14702,3638,15094xe" filled="true" fillcolor="#ffffff" stroked="false">
                <v:path arrowok="t"/>
                <v:fill type="solid"/>
              </v:shape>
            </v:group>
            <v:group style="position:absolute;left:1138;top:14698;width:2468;height:2" coordorigin="1138,14698" coordsize="2468,2">
              <v:shape style="position:absolute;left:1138;top:14698;width:2468;height:2" coordorigin="1138,14698" coordsize="2468,0" path="m1138,14698l3605,14698e" filled="false" stroked="true" strokeweight=".48pt" strokecolor="#000000">
                <v:path arrowok="t"/>
              </v:shape>
            </v:group>
            <v:group style="position:absolute;left:3614;top:14698;width:874;height:2" coordorigin="3614,14698" coordsize="874,2">
              <v:shape style="position:absolute;left:3614;top:14698;width:874;height:2" coordorigin="3614,14698" coordsize="874,0" path="m3614,14698l4488,14698e" filled="false" stroked="true" strokeweight=".48pt" strokecolor="#000000">
                <v:path arrowok="t"/>
              </v:shape>
            </v:group>
            <v:group style="position:absolute;left:4498;top:14698;width:876;height:2" coordorigin="4498,14698" coordsize="876,2">
              <v:shape style="position:absolute;left:4498;top:14698;width:876;height:2" coordorigin="4498,14698" coordsize="876,0" path="m4498,14698l5374,14698e" filled="false" stroked="true" strokeweight=".48pt" strokecolor="#000000">
                <v:path arrowok="t"/>
              </v:shape>
            </v:group>
            <v:group style="position:absolute;left:5383;top:14698;width:876;height:2" coordorigin="5383,14698" coordsize="876,2">
              <v:shape style="position:absolute;left:5383;top:14698;width:876;height:2" coordorigin="5383,14698" coordsize="876,0" path="m5383,14698l6259,14698e" filled="false" stroked="true" strokeweight=".48pt" strokecolor="#000000">
                <v:path arrowok="t"/>
              </v:shape>
            </v:group>
            <v:group style="position:absolute;left:6269;top:14698;width:876;height:2" coordorigin="6269,14698" coordsize="876,2">
              <v:shape style="position:absolute;left:6269;top:14698;width:876;height:2" coordorigin="6269,14698" coordsize="876,0" path="m6269,14698l7145,14698e" filled="false" stroked="true" strokeweight=".48pt" strokecolor="#000000">
                <v:path arrowok="t"/>
              </v:shape>
            </v:group>
            <v:group style="position:absolute;left:7154;top:14698;width:876;height:2" coordorigin="7154,14698" coordsize="876,2">
              <v:shape style="position:absolute;left:7154;top:14698;width:876;height:2" coordorigin="7154,14698" coordsize="876,0" path="m7154,14698l8030,14698e" filled="false" stroked="true" strokeweight=".48pt" strokecolor="#000000">
                <v:path arrowok="t"/>
              </v:shape>
            </v:group>
            <v:group style="position:absolute;left:8040;top:14698;width:876;height:2" coordorigin="8040,14698" coordsize="876,2">
              <v:shape style="position:absolute;left:8040;top:14698;width:876;height:2" coordorigin="8040,14698" coordsize="876,0" path="m8040,14698l8916,14698e" filled="false" stroked="true" strokeweight=".48pt" strokecolor="#000000">
                <v:path arrowok="t"/>
              </v:shape>
            </v:group>
            <v:group style="position:absolute;left:8926;top:14698;width:879;height:2" coordorigin="8926,14698" coordsize="879,2">
              <v:shape style="position:absolute;left:8926;top:14698;width:879;height:2" coordorigin="8926,14698" coordsize="879,0" path="m8926,14698l9804,14698e" filled="false" stroked="true" strokeweight=".48pt" strokecolor="#000000">
                <v:path arrowok="t"/>
              </v:shape>
            </v:group>
            <v:group style="position:absolute;left:9814;top:14698;width:881;height:2" coordorigin="9814,14698" coordsize="881,2">
              <v:shape style="position:absolute;left:9814;top:14698;width:881;height:2" coordorigin="9814,14698" coordsize="881,0" path="m9814,14698l10694,14698e" filled="false" stroked="true" strokeweight=".48pt" strokecolor="#000000">
                <v:path arrowok="t"/>
              </v:shape>
            </v:group>
            <v:group style="position:absolute;left:1133;top:1793;width:2;height:13311" coordorigin="1133,1793" coordsize="2,13311">
              <v:shape style="position:absolute;left:1133;top:1793;width:2;height:13311" coordorigin="1133,1793" coordsize="0,13311" path="m1133,1793l1133,15103e" filled="false" stroked="true" strokeweight=".48pt" strokecolor="#000000">
                <v:path arrowok="t"/>
              </v:shape>
            </v:group>
            <v:group style="position:absolute;left:1138;top:15098;width:2468;height:2" coordorigin="1138,15098" coordsize="2468,2">
              <v:shape style="position:absolute;left:1138;top:15098;width:2468;height:2" coordorigin="1138,15098" coordsize="2468,0" path="m1138,15098l3605,15098e" filled="false" stroked="true" strokeweight=".48pt" strokecolor="#000000">
                <v:path arrowok="t"/>
              </v:shape>
            </v:group>
            <v:group style="position:absolute;left:3610;top:1793;width:2;height:13311" coordorigin="3610,1793" coordsize="2,13311">
              <v:shape style="position:absolute;left:3610;top:1793;width:2;height:13311" coordorigin="3610,1793" coordsize="0,13311" path="m3610,1793l3610,15103e" filled="false" stroked="true" strokeweight=".48pt" strokecolor="#000000">
                <v:path arrowok="t"/>
              </v:shape>
            </v:group>
            <v:group style="position:absolute;left:3614;top:15098;width:874;height:2" coordorigin="3614,15098" coordsize="874,2">
              <v:shape style="position:absolute;left:3614;top:15098;width:874;height:2" coordorigin="3614,15098" coordsize="874,0" path="m3614,15098l4488,15098e" filled="false" stroked="true" strokeweight=".48pt" strokecolor="#000000">
                <v:path arrowok="t"/>
              </v:shape>
            </v:group>
            <v:group style="position:absolute;left:4493;top:2194;width:2;height:12910" coordorigin="4493,2194" coordsize="2,12910">
              <v:shape style="position:absolute;left:4493;top:2194;width:2;height:12910" coordorigin="4493,2194" coordsize="0,12910" path="m4493,2194l4493,15103e" filled="false" stroked="true" strokeweight=".48pt" strokecolor="#000000">
                <v:path arrowok="t"/>
              </v:shape>
            </v:group>
            <v:group style="position:absolute;left:4498;top:15098;width:876;height:2" coordorigin="4498,15098" coordsize="876,2">
              <v:shape style="position:absolute;left:4498;top:15098;width:876;height:2" coordorigin="4498,15098" coordsize="876,0" path="m4498,15098l5374,15098e" filled="false" stroked="true" strokeweight=".48pt" strokecolor="#000000">
                <v:path arrowok="t"/>
              </v:shape>
            </v:group>
            <v:group style="position:absolute;left:5378;top:2194;width:2;height:12910" coordorigin="5378,2194" coordsize="2,12910">
              <v:shape style="position:absolute;left:5378;top:2194;width:2;height:12910" coordorigin="5378,2194" coordsize="0,12910" path="m5378,2194l5378,15103e" filled="false" stroked="true" strokeweight=".48pt" strokecolor="#000000">
                <v:path arrowok="t"/>
              </v:shape>
            </v:group>
            <v:group style="position:absolute;left:5383;top:15098;width:876;height:2" coordorigin="5383,15098" coordsize="876,2">
              <v:shape style="position:absolute;left:5383;top:15098;width:876;height:2" coordorigin="5383,15098" coordsize="876,0" path="m5383,15098l6259,15098e" filled="false" stroked="true" strokeweight=".48pt" strokecolor="#000000">
                <v:path arrowok="t"/>
              </v:shape>
            </v:group>
            <v:group style="position:absolute;left:6264;top:2194;width:2;height:12910" coordorigin="6264,2194" coordsize="2,12910">
              <v:shape style="position:absolute;left:6264;top:2194;width:2;height:12910" coordorigin="6264,2194" coordsize="0,12910" path="m6264,2194l6264,15103e" filled="false" stroked="true" strokeweight=".48pt" strokecolor="#000000">
                <v:path arrowok="t"/>
              </v:shape>
            </v:group>
            <v:group style="position:absolute;left:6269;top:15098;width:876;height:2" coordorigin="6269,15098" coordsize="876,2">
              <v:shape style="position:absolute;left:6269;top:15098;width:876;height:2" coordorigin="6269,15098" coordsize="876,0" path="m6269,15098l7145,15098e" filled="false" stroked="true" strokeweight=".48pt" strokecolor="#000000">
                <v:path arrowok="t"/>
              </v:shape>
            </v:group>
            <v:group style="position:absolute;left:7150;top:2194;width:2;height:12910" coordorigin="7150,2194" coordsize="2,12910">
              <v:shape style="position:absolute;left:7150;top:2194;width:2;height:12910" coordorigin="7150,2194" coordsize="0,12910" path="m7150,2194l7150,15103e" filled="false" stroked="true" strokeweight=".48pt" strokecolor="#000000">
                <v:path arrowok="t"/>
              </v:shape>
            </v:group>
            <v:group style="position:absolute;left:7154;top:15098;width:876;height:2" coordorigin="7154,15098" coordsize="876,2">
              <v:shape style="position:absolute;left:7154;top:15098;width:876;height:2" coordorigin="7154,15098" coordsize="876,0" path="m7154,15098l8030,15098e" filled="false" stroked="true" strokeweight=".48pt" strokecolor="#000000">
                <v:path arrowok="t"/>
              </v:shape>
            </v:group>
            <v:group style="position:absolute;left:8035;top:2194;width:2;height:12910" coordorigin="8035,2194" coordsize="2,12910">
              <v:shape style="position:absolute;left:8035;top:2194;width:2;height:12910" coordorigin="8035,2194" coordsize="0,12910" path="m8035,2194l8035,15103e" filled="false" stroked="true" strokeweight=".48pt" strokecolor="#000000">
                <v:path arrowok="t"/>
              </v:shape>
            </v:group>
            <v:group style="position:absolute;left:8040;top:15098;width:876;height:2" coordorigin="8040,15098" coordsize="876,2">
              <v:shape style="position:absolute;left:8040;top:15098;width:876;height:2" coordorigin="8040,15098" coordsize="876,0" path="m8040,15098l8916,15098e" filled="false" stroked="true" strokeweight=".48pt" strokecolor="#000000">
                <v:path arrowok="t"/>
              </v:shape>
            </v:group>
            <v:group style="position:absolute;left:8921;top:2194;width:2;height:12910" coordorigin="8921,2194" coordsize="2,12910">
              <v:shape style="position:absolute;left:8921;top:2194;width:2;height:12910" coordorigin="8921,2194" coordsize="0,12910" path="m8921,2194l8921,15103e" filled="false" stroked="true" strokeweight=".48pt" strokecolor="#000000">
                <v:path arrowok="t"/>
              </v:shape>
            </v:group>
            <v:group style="position:absolute;left:8926;top:15098;width:879;height:2" coordorigin="8926,15098" coordsize="879,2">
              <v:shape style="position:absolute;left:8926;top:15098;width:879;height:2" coordorigin="8926,15098" coordsize="879,0" path="m8926,15098l9804,15098e" filled="false" stroked="true" strokeweight=".48pt" strokecolor="#000000">
                <v:path arrowok="t"/>
              </v:shape>
            </v:group>
            <v:group style="position:absolute;left:9809;top:2194;width:2;height:12910" coordorigin="9809,2194" coordsize="2,12910">
              <v:shape style="position:absolute;left:9809;top:2194;width:2;height:12910" coordorigin="9809,2194" coordsize="0,12910" path="m9809,2194l9809,15103e" filled="false" stroked="true" strokeweight=".48pt" strokecolor="#000000">
                <v:path arrowok="t"/>
              </v:shape>
            </v:group>
            <v:group style="position:absolute;left:9814;top:15098;width:881;height:2" coordorigin="9814,15098" coordsize="881,2">
              <v:shape style="position:absolute;left:9814;top:15098;width:881;height:2" coordorigin="9814,15098" coordsize="881,0" path="m9814,15098l10694,15098e" filled="false" stroked="true" strokeweight=".48pt" strokecolor="#000000">
                <v:path arrowok="t"/>
              </v:shape>
            </v:group>
            <v:group style="position:absolute;left:10699;top:1793;width:2;height:13311" coordorigin="10699,1793" coordsize="2,13311">
              <v:shape style="position:absolute;left:10699;top:1793;width:2;height:13311" coordorigin="10699,1793" coordsize="0,13311" path="m10699,1793l10699,15103e" filled="false" stroked="true" strokeweight=".48pt" strokecolor="#000000">
                <v:path arrowok="t"/>
              </v:shape>
            </v:group>
            <w10:wrap type="none"/>
          </v:group>
        </w:pict>
      </w:r>
      <w:r>
        <w:rPr/>
        <w:pict>
          <v:shape style="position:absolute;margin-left:57.240002pt;margin-top:89.879982pt;width:477.75pt;height:665.0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3"/>
                    <w:gridCol w:w="895"/>
                    <w:gridCol w:w="886"/>
                    <w:gridCol w:w="886"/>
                    <w:gridCol w:w="886"/>
                    <w:gridCol w:w="886"/>
                    <w:gridCol w:w="886"/>
                    <w:gridCol w:w="888"/>
                    <w:gridCol w:w="890"/>
                  </w:tblGrid>
                  <w:tr>
                    <w:trPr>
                      <w:trHeight w:val="3318" w:hRule="exact"/>
                    </w:trPr>
                    <w:tc>
                      <w:tcPr>
                        <w:tcW w:w="2453" w:type="dxa"/>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firstLine="1029"/>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ind w:right="0"/>
                          <w:jc w:val="left"/>
                          <w:rPr>
                            <w:rFonts w:ascii="宋体" w:hAnsi="宋体" w:cs="宋体" w:eastAsia="宋体" w:hint="default"/>
                            <w:sz w:val="18"/>
                            <w:szCs w:val="18"/>
                          </w:rPr>
                        </w:pPr>
                      </w:p>
                      <w:p>
                        <w:pPr>
                          <w:pStyle w:val="TableParagraph"/>
                          <w:spacing w:line="550" w:lineRule="atLeast" w:before="129"/>
                          <w:ind w:left="376" w:right="635" w:hanging="360"/>
                          <w:jc w:val="left"/>
                          <w:rPr>
                            <w:rFonts w:ascii="宋体" w:hAnsi="宋体" w:cs="宋体" w:eastAsia="宋体" w:hint="default"/>
                            <w:sz w:val="18"/>
                            <w:szCs w:val="18"/>
                          </w:rPr>
                        </w:pPr>
                        <w:r>
                          <w:rPr>
                            <w:rFonts w:ascii="宋体" w:hAnsi="宋体" w:cs="宋体" w:eastAsia="宋体" w:hint="default"/>
                            <w:sz w:val="18"/>
                            <w:szCs w:val="18"/>
                          </w:rPr>
                          <w:t>一、上年年末余额 加：会计政策变更</w:t>
                        </w:r>
                      </w:p>
                      <w:p>
                        <w:pPr>
                          <w:pStyle w:val="TableParagraph"/>
                          <w:spacing w:line="240" w:lineRule="auto" w:before="11"/>
                          <w:ind w:right="0"/>
                          <w:jc w:val="left"/>
                          <w:rPr>
                            <w:rFonts w:ascii="宋体" w:hAnsi="宋体" w:cs="宋体" w:eastAsia="宋体" w:hint="default"/>
                            <w:sz w:val="12"/>
                            <w:szCs w:val="12"/>
                          </w:rPr>
                        </w:pPr>
                      </w:p>
                      <w:p>
                        <w:pPr>
                          <w:pStyle w:val="TableParagraph"/>
                          <w:spacing w:line="408" w:lineRule="auto"/>
                          <w:ind w:left="736" w:right="635"/>
                          <w:jc w:val="left"/>
                          <w:rPr>
                            <w:rFonts w:ascii="宋体" w:hAnsi="宋体" w:cs="宋体" w:eastAsia="宋体" w:hint="default"/>
                            <w:sz w:val="18"/>
                            <w:szCs w:val="18"/>
                          </w:rPr>
                        </w:pPr>
                        <w:r>
                          <w:rPr>
                            <w:rFonts w:ascii="宋体" w:hAnsi="宋体" w:cs="宋体" w:eastAsia="宋体" w:hint="default"/>
                            <w:sz w:val="18"/>
                            <w:szCs w:val="18"/>
                          </w:rPr>
                          <w:t>前期差错更正 其他</w:t>
                        </w:r>
                      </w:p>
                    </w:tc>
                    <w:tc>
                      <w:tcPr>
                        <w:tcW w:w="178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196" w:lineRule="exact"/>
                          <w:ind w:left="9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156" w:lineRule="exact"/>
                          <w:ind w:left="9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（或股本）</w:t>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53,500,000</w:t>
                        </w:r>
                        <w:r>
                          <w:rPr>
                            <w:rFonts w:ascii="Times New Roman"/>
                            <w:spacing w:val="27"/>
                            <w:sz w:val="18"/>
                          </w:rPr>
                          <w:t> </w:t>
                        </w:r>
                        <w:r>
                          <w:rPr>
                            <w:rFonts w:ascii="Times New Roman"/>
                            <w:sz w:val="18"/>
                          </w:rPr>
                          <w:t>338,392,30</w:t>
                        </w:r>
                      </w:p>
                      <w:p>
                        <w:pPr>
                          <w:pStyle w:val="TableParagraph"/>
                          <w:tabs>
                            <w:tab w:pos="1439" w:val="left" w:leader="none"/>
                          </w:tabs>
                          <w:spacing w:line="240" w:lineRule="auto" w:before="102"/>
                          <w:ind w:left="643" w:right="0"/>
                          <w:jc w:val="left"/>
                          <w:rPr>
                            <w:rFonts w:ascii="Times New Roman" w:hAnsi="Times New Roman" w:cs="Times New Roman" w:eastAsia="Times New Roman" w:hint="default"/>
                            <w:sz w:val="18"/>
                            <w:szCs w:val="18"/>
                          </w:rPr>
                        </w:pPr>
                        <w:r>
                          <w:rPr>
                            <w:rFonts w:ascii="Times New Roman"/>
                            <w:sz w:val="18"/>
                          </w:rPr>
                          <w:t>.00</w:t>
                          <w:tab/>
                          <w:t>9.64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53,500,000</w:t>
                        </w:r>
                        <w:r>
                          <w:rPr>
                            <w:rFonts w:ascii="Times New Roman"/>
                            <w:spacing w:val="27"/>
                            <w:sz w:val="18"/>
                          </w:rPr>
                          <w:t> </w:t>
                        </w:r>
                        <w:r>
                          <w:rPr>
                            <w:rFonts w:ascii="Times New Roman"/>
                            <w:sz w:val="18"/>
                          </w:rPr>
                          <w:t>338,392,30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8"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nil" w:sz="6" w:space="0" w:color="auto"/>
                          <w:left w:val="nil" w:sz="6" w:space="0" w:color="auto"/>
                          <w:bottom w:val="nil" w:sz="6" w:space="0" w:color="auto"/>
                          <w:right w:val="nil" w:sz="6" w:space="0" w:color="auto"/>
                        </w:tcBorders>
                      </w:tcPr>
                      <w:p>
                        <w:pPr>
                          <w:pStyle w:val="TableParagraph"/>
                          <w:spacing w:line="566" w:lineRule="auto" w:before="53"/>
                          <w:ind w:left="83" w:right="-5" w:firstLine="446"/>
                          <w:jc w:val="left"/>
                          <w:rPr>
                            <w:rFonts w:ascii="宋体" w:hAnsi="宋体" w:cs="宋体" w:eastAsia="宋体" w:hint="default"/>
                            <w:sz w:val="18"/>
                            <w:szCs w:val="18"/>
                          </w:rPr>
                        </w:pPr>
                        <w:r>
                          <w:rPr>
                            <w:rFonts w:ascii="宋体" w:hAnsi="宋体" w:cs="宋体" w:eastAsia="宋体" w:hint="default"/>
                            <w:sz w:val="18"/>
                            <w:szCs w:val="18"/>
                          </w:rPr>
                          <w:t>本期 专项储备</w:t>
                        </w:r>
                      </w:p>
                    </w:tc>
                    <w:tc>
                      <w:tcPr>
                        <w:tcW w:w="886" w:type="dxa"/>
                        <w:tcBorders>
                          <w:top w:val="nil" w:sz="6" w:space="0" w:color="auto"/>
                          <w:left w:val="nil" w:sz="6" w:space="0" w:color="auto"/>
                          <w:bottom w:val="nil" w:sz="6" w:space="0" w:color="auto"/>
                          <w:right w:val="nil" w:sz="6" w:space="0" w:color="auto"/>
                        </w:tcBorders>
                      </w:tcPr>
                      <w:p>
                        <w:pPr>
                          <w:pStyle w:val="TableParagraph"/>
                          <w:spacing w:line="566" w:lineRule="auto" w:before="53"/>
                          <w:ind w:left="47" w:right="21" w:hanging="44"/>
                          <w:jc w:val="left"/>
                          <w:rPr>
                            <w:rFonts w:ascii="宋体" w:hAnsi="宋体" w:cs="宋体" w:eastAsia="宋体" w:hint="default"/>
                            <w:sz w:val="18"/>
                            <w:szCs w:val="18"/>
                          </w:rPr>
                        </w:pPr>
                        <w:r>
                          <w:rPr>
                            <w:rFonts w:ascii="宋体" w:hAnsi="宋体" w:cs="宋体" w:eastAsia="宋体" w:hint="default"/>
                            <w:sz w:val="18"/>
                            <w:szCs w:val="18"/>
                          </w:rPr>
                          <w:t>金额 盈余公积</w:t>
                        </w:r>
                      </w:p>
                      <w:p>
                        <w:pPr>
                          <w:pStyle w:val="TableParagraph"/>
                          <w:spacing w:line="240" w:lineRule="auto" w:before="121"/>
                          <w:ind w:left="47" w:right="0"/>
                          <w:jc w:val="left"/>
                          <w:rPr>
                            <w:rFonts w:ascii="Times New Roman" w:hAnsi="Times New Roman" w:cs="Times New Roman" w:eastAsia="Times New Roman" w:hint="default"/>
                            <w:sz w:val="18"/>
                            <w:szCs w:val="18"/>
                          </w:rPr>
                        </w:pPr>
                        <w:r>
                          <w:rPr>
                            <w:rFonts w:ascii="Times New Roman"/>
                            <w:sz w:val="18"/>
                          </w:rPr>
                          <w:t>10,858,559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10,858,559</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50" w:right="21" w:hanging="22"/>
                          <w:jc w:val="center"/>
                          <w:rPr>
                            <w:rFonts w:ascii="宋体" w:hAnsi="宋体" w:cs="宋体" w:eastAsia="宋体" w:hint="default"/>
                            <w:sz w:val="18"/>
                            <w:szCs w:val="18"/>
                          </w:rPr>
                        </w:pPr>
                        <w:r>
                          <w:rPr>
                            <w:rFonts w:ascii="宋体" w:hAnsi="宋体" w:cs="宋体" w:eastAsia="宋体" w:hint="default"/>
                            <w:sz w:val="18"/>
                            <w:szCs w:val="18"/>
                          </w:rPr>
                          <w:t>未分配利 润</w:t>
                        </w:r>
                      </w:p>
                      <w:p>
                        <w:pPr>
                          <w:pStyle w:val="TableParagraph"/>
                          <w:spacing w:line="240" w:lineRule="auto" w:before="152"/>
                          <w:ind w:left="26" w:right="0"/>
                          <w:jc w:val="center"/>
                          <w:rPr>
                            <w:rFonts w:ascii="Times New Roman" w:hAnsi="Times New Roman" w:cs="Times New Roman" w:eastAsia="Times New Roman" w:hint="default"/>
                            <w:sz w:val="18"/>
                            <w:szCs w:val="18"/>
                          </w:rPr>
                        </w:pPr>
                        <w:r>
                          <w:rPr>
                            <w:rFonts w:ascii="Times New Roman"/>
                            <w:sz w:val="18"/>
                          </w:rPr>
                          <w:t>77,727,034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77,727,034</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52" w:right="21" w:hanging="27"/>
                          <w:jc w:val="center"/>
                          <w:rPr>
                            <w:rFonts w:ascii="宋体" w:hAnsi="宋体" w:cs="宋体" w:eastAsia="宋体" w:hint="default"/>
                            <w:sz w:val="18"/>
                            <w:szCs w:val="18"/>
                          </w:rPr>
                        </w:pPr>
                        <w:r>
                          <w:rPr>
                            <w:rFonts w:ascii="宋体" w:hAnsi="宋体" w:cs="宋体" w:eastAsia="宋体" w:hint="default"/>
                            <w:sz w:val="18"/>
                            <w:szCs w:val="18"/>
                          </w:rPr>
                          <w:t>所有者权 益合计</w:t>
                        </w:r>
                      </w:p>
                      <w:p>
                        <w:pPr>
                          <w:pStyle w:val="TableParagraph"/>
                          <w:spacing w:line="240" w:lineRule="auto" w:before="152"/>
                          <w:ind w:left="28" w:right="0"/>
                          <w:jc w:val="center"/>
                          <w:rPr>
                            <w:rFonts w:ascii="Times New Roman" w:hAnsi="Times New Roman" w:cs="Times New Roman" w:eastAsia="Times New Roman" w:hint="default"/>
                            <w:sz w:val="18"/>
                            <w:szCs w:val="18"/>
                          </w:rPr>
                        </w:pPr>
                        <w:r>
                          <w:rPr>
                            <w:rFonts w:ascii="Times New Roman"/>
                            <w:sz w:val="18"/>
                          </w:rPr>
                          <w:t>480,477,90</w:t>
                        </w:r>
                      </w:p>
                      <w:p>
                        <w:pPr>
                          <w:pStyle w:val="TableParagraph"/>
                          <w:spacing w:line="240" w:lineRule="auto" w:before="102"/>
                          <w:ind w:left="556" w:right="0"/>
                          <w:jc w:val="left"/>
                          <w:rPr>
                            <w:rFonts w:ascii="Times New Roman" w:hAnsi="Times New Roman" w:cs="Times New Roman" w:eastAsia="Times New Roman" w:hint="default"/>
                            <w:sz w:val="18"/>
                            <w:szCs w:val="18"/>
                          </w:rPr>
                        </w:pPr>
                        <w:r>
                          <w:rPr>
                            <w:rFonts w:ascii="Times New Roman"/>
                            <w:spacing w:val="-5"/>
                            <w:sz w:val="18"/>
                          </w:rPr>
                          <w:t>3.11</w:t>
                        </w:r>
                        <w:r>
                          <w:rPr>
                            <w:rFonts w:ascii="Times New Roman"/>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480,477,90</w:t>
                        </w:r>
                      </w:p>
                    </w:tc>
                  </w:tr>
                  <w:tr>
                    <w:trPr>
                      <w:trHeight w:val="155" w:hRule="exact"/>
                    </w:trPr>
                    <w:tc>
                      <w:tcPr>
                        <w:tcW w:w="2453" w:type="dxa"/>
                        <w:tcBorders>
                          <w:top w:val="nil" w:sz="6" w:space="0" w:color="auto"/>
                          <w:left w:val="nil" w:sz="6" w:space="0" w:color="auto"/>
                          <w:bottom w:val="nil" w:sz="6" w:space="0" w:color="auto"/>
                          <w:right w:val="nil" w:sz="6" w:space="0" w:color="auto"/>
                        </w:tcBorders>
                        <w:shd w:val="clear" w:color="auto" w:fill="D4D4D4"/>
                      </w:tcPr>
                      <w:p>
                        <w:pPr>
                          <w:pStyle w:val="TableParagraph"/>
                          <w:spacing w:line="163" w:lineRule="exact"/>
                          <w:ind w:left="16"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r>
                  <w:tr>
                    <w:trPr>
                      <w:trHeight w:val="276" w:hRule="exact"/>
                    </w:trPr>
                    <w:tc>
                      <w:tcPr>
                        <w:tcW w:w="2453" w:type="dxa"/>
                        <w:tcBorders>
                          <w:top w:val="nil" w:sz="6" w:space="0" w:color="auto"/>
                          <w:left w:val="nil" w:sz="6" w:space="0" w:color="auto"/>
                          <w:bottom w:val="nil" w:sz="6" w:space="0" w:color="auto"/>
                          <w:right w:val="nil" w:sz="6" w:space="0" w:color="auto"/>
                        </w:tcBorders>
                        <w:shd w:val="clear" w:color="auto" w:fill="D4D4D4"/>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175" w:lineRule="exact"/>
                          <w:ind w:right="23"/>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nil" w:sz="6" w:space="0" w:color="auto"/>
                          <w:left w:val="nil" w:sz="6" w:space="0" w:color="auto"/>
                          <w:bottom w:val="nil" w:sz="6" w:space="0" w:color="auto"/>
                          <w:right w:val="nil" w:sz="6" w:space="0" w:color="auto"/>
                        </w:tcBorders>
                      </w:tcPr>
                      <w:p>
                        <w:pPr>
                          <w:pStyle w:val="TableParagraph"/>
                          <w:spacing w:line="175" w:lineRule="exact"/>
                          <w:ind w:right="24"/>
                          <w:jc w:val="right"/>
                          <w:rPr>
                            <w:rFonts w:ascii="Times New Roman" w:hAnsi="Times New Roman" w:cs="Times New Roman" w:eastAsia="Times New Roman" w:hint="default"/>
                            <w:sz w:val="18"/>
                            <w:szCs w:val="18"/>
                          </w:rPr>
                        </w:pPr>
                        <w:r>
                          <w:rPr>
                            <w:rFonts w:ascii="Times New Roman"/>
                            <w:spacing w:val="-1"/>
                            <w:sz w:val="18"/>
                          </w:rPr>
                          <w:t>9.64</w:t>
                        </w:r>
                        <w:r>
                          <w:rPr>
                            <w:rFonts w:ascii="Times New Roman"/>
                            <w:sz w:val="18"/>
                          </w:rPr>
                        </w: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175" w:lineRule="exact"/>
                          <w:ind w:right="23"/>
                          <w:jc w:val="right"/>
                          <w:rPr>
                            <w:rFonts w:ascii="Times New Roman" w:hAnsi="Times New Roman" w:cs="Times New Roman" w:eastAsia="Times New Roman" w:hint="default"/>
                            <w:sz w:val="18"/>
                            <w:szCs w:val="18"/>
                          </w:rPr>
                        </w:pPr>
                        <w:r>
                          <w:rPr>
                            <w:rFonts w:ascii="Times New Roman"/>
                            <w:sz w:val="18"/>
                          </w:rPr>
                          <w:t>.35</w:t>
                        </w:r>
                      </w:p>
                    </w:tc>
                    <w:tc>
                      <w:tcPr>
                        <w:tcW w:w="88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175" w:lineRule="exact"/>
                          <w:ind w:right="23"/>
                          <w:jc w:val="right"/>
                          <w:rPr>
                            <w:rFonts w:ascii="Times New Roman" w:hAnsi="Times New Roman" w:cs="Times New Roman" w:eastAsia="Times New Roman" w:hint="default"/>
                            <w:sz w:val="18"/>
                            <w:szCs w:val="18"/>
                          </w:rPr>
                        </w:pPr>
                        <w:r>
                          <w:rPr>
                            <w:rFonts w:ascii="Times New Roman"/>
                            <w:sz w:val="18"/>
                          </w:rPr>
                          <w:t>.12</w:t>
                        </w:r>
                      </w:p>
                    </w:tc>
                    <w:tc>
                      <w:tcPr>
                        <w:tcW w:w="890" w:type="dxa"/>
                        <w:tcBorders>
                          <w:top w:val="nil" w:sz="6" w:space="0" w:color="auto"/>
                          <w:left w:val="nil" w:sz="6" w:space="0" w:color="auto"/>
                          <w:bottom w:val="nil" w:sz="6" w:space="0" w:color="auto"/>
                          <w:right w:val="nil" w:sz="6" w:space="0" w:color="auto"/>
                        </w:tcBorders>
                      </w:tcPr>
                      <w:p>
                        <w:pPr>
                          <w:pStyle w:val="TableParagraph"/>
                          <w:spacing w:line="175" w:lineRule="exact"/>
                          <w:ind w:right="31"/>
                          <w:jc w:val="right"/>
                          <w:rPr>
                            <w:rFonts w:ascii="Times New Roman" w:hAnsi="Times New Roman" w:cs="Times New Roman" w:eastAsia="Times New Roman" w:hint="default"/>
                            <w:sz w:val="18"/>
                            <w:szCs w:val="18"/>
                          </w:rPr>
                        </w:pPr>
                        <w:r>
                          <w:rPr>
                            <w:rFonts w:ascii="Times New Roman"/>
                            <w:spacing w:val="-5"/>
                            <w:sz w:val="18"/>
                          </w:rPr>
                          <w:t>3.11</w:t>
                        </w:r>
                        <w:r>
                          <w:rPr>
                            <w:rFonts w:ascii="Times New Roman"/>
                            <w:sz w:val="18"/>
                          </w:rPr>
                        </w:r>
                      </w:p>
                    </w:tc>
                  </w:tr>
                  <w:tr>
                    <w:trPr>
                      <w:trHeight w:val="360" w:hRule="exact"/>
                    </w:trPr>
                    <w:tc>
                      <w:tcPr>
                        <w:tcW w:w="2453" w:type="dxa"/>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53,500,000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-50,247,10</w:t>
                        </w:r>
                        <w:r>
                          <w:rPr>
                            <w:rFonts w:ascii="Times New Roman"/>
                            <w:sz w:val="18"/>
                          </w:rPr>
                        </w: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5,306,773.</w:t>
                        </w:r>
                      </w:p>
                    </w:tc>
                    <w:tc>
                      <w:tcPr>
                        <w:tcW w:w="88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42,410,959</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50,970,628</w:t>
                        </w:r>
                      </w:p>
                    </w:tc>
                  </w:tr>
                  <w:tr>
                    <w:trPr>
                      <w:trHeight w:val="251" w:hRule="exact"/>
                    </w:trPr>
                    <w:tc>
                      <w:tcPr>
                        <w:tcW w:w="2453" w:type="dxa"/>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Times New Roman" w:hAnsi="Times New Roman" w:cs="Times New Roman" w:eastAsia="Times New Roman" w:hint="default"/>
                            <w:sz w:val="18"/>
                            <w:szCs w:val="18"/>
                          </w:rPr>
                        </w:pPr>
                        <w:r>
                          <w:rPr>
                            <w:rFonts w:ascii="Times New Roman"/>
                            <w:spacing w:val="-1"/>
                            <w:sz w:val="18"/>
                          </w:rPr>
                          <w:t>4.29</w:t>
                        </w:r>
                        <w:r>
                          <w:rPr>
                            <w:rFonts w:ascii="Times New Roman"/>
                            <w:sz w:val="18"/>
                          </w:rPr>
                        </w: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29</w:t>
                        </w:r>
                      </w:p>
                    </w:tc>
                    <w:tc>
                      <w:tcPr>
                        <w:tcW w:w="88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.60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.60</w:t>
                        </w:r>
                      </w:p>
                    </w:tc>
                  </w:tr>
                  <w:tr>
                    <w:trPr>
                      <w:trHeight w:val="8941" w:hRule="exact"/>
                    </w:trPr>
                    <w:tc>
                      <w:tcPr>
                        <w:tcW w:w="3348" w:type="dxa"/>
                        <w:gridSpan w:val="2"/>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（一）净利润</w:t>
                        </w:r>
                      </w:p>
                      <w:p>
                        <w:pPr>
                          <w:pStyle w:val="TableParagraph"/>
                          <w:spacing w:line="240" w:lineRule="auto" w:before="7"/>
                          <w:ind w:right="0"/>
                          <w:jc w:val="left"/>
                          <w:rPr>
                            <w:rFonts w:ascii="宋体" w:hAnsi="宋体" w:cs="宋体" w:eastAsia="宋体" w:hint="default"/>
                            <w:sz w:val="24"/>
                            <w:szCs w:val="24"/>
                          </w:rPr>
                        </w:pPr>
                      </w:p>
                      <w:p>
                        <w:pPr>
                          <w:pStyle w:val="TableParagraph"/>
                          <w:spacing w:line="568" w:lineRule="auto"/>
                          <w:ind w:left="16" w:right="1349"/>
                          <w:jc w:val="left"/>
                          <w:rPr>
                            <w:rFonts w:ascii="宋体" w:hAnsi="宋体" w:cs="宋体" w:eastAsia="宋体" w:hint="default"/>
                            <w:sz w:val="18"/>
                            <w:szCs w:val="18"/>
                          </w:rPr>
                        </w:pPr>
                        <w:r>
                          <w:rPr>
                            <w:rFonts w:ascii="宋体" w:hAnsi="宋体" w:cs="宋体" w:eastAsia="宋体" w:hint="default"/>
                            <w:sz w:val="18"/>
                            <w:szCs w:val="18"/>
                          </w:rPr>
                          <w:t>（二）其他综合收益 上述（一）和（二）小计</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p>
                        <w:pPr>
                          <w:pStyle w:val="TableParagraph"/>
                          <w:spacing w:line="300" w:lineRule="auto" w:before="151"/>
                          <w:ind w:left="16" w:right="90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p>
                        <w:pPr>
                          <w:pStyle w:val="TableParagraph"/>
                          <w:spacing w:line="240" w:lineRule="auto" w:before="12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（四）利润分配</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p>
                        <w:pPr>
                          <w:pStyle w:val="TableParagraph"/>
                          <w:spacing w:line="240" w:lineRule="auto" w:before="13"/>
                          <w:ind w:right="0"/>
                          <w:jc w:val="left"/>
                          <w:rPr>
                            <w:rFonts w:ascii="宋体" w:hAnsi="宋体" w:cs="宋体" w:eastAsia="宋体" w:hint="default"/>
                            <w:sz w:val="14"/>
                            <w:szCs w:val="14"/>
                          </w:rPr>
                        </w:pPr>
                      </w:p>
                      <w:p>
                        <w:pPr>
                          <w:pStyle w:val="TableParagraph"/>
                          <w:spacing w:line="160" w:lineRule="exact"/>
                          <w:ind w:right="21"/>
                          <w:jc w:val="right"/>
                          <w:rPr>
                            <w:rFonts w:ascii="Times New Roman" w:hAnsi="Times New Roman" w:cs="Times New Roman" w:eastAsia="Times New Roman" w:hint="default"/>
                            <w:sz w:val="18"/>
                            <w:szCs w:val="18"/>
                          </w:rPr>
                        </w:pPr>
                        <w:r>
                          <w:rPr>
                            <w:rFonts w:ascii="Times New Roman"/>
                            <w:sz w:val="18"/>
                          </w:rPr>
                          <w:t>53,500,000</w:t>
                        </w:r>
                      </w:p>
                      <w:p>
                        <w:pPr>
                          <w:pStyle w:val="TableParagraph"/>
                          <w:spacing w:line="169" w:lineRule="exact"/>
                          <w:ind w:left="16"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p>
                        <w:pPr>
                          <w:pStyle w:val="TableParagraph"/>
                          <w:spacing w:line="187" w:lineRule="exact"/>
                          <w:ind w:right="23"/>
                          <w:jc w:val="righ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54"/>
                          <w:ind w:left="16"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．盈余公积转增资本（或股本）</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3,252,895.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3,252,895.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-53,500,00</w:t>
                        </w:r>
                        <w:r>
                          <w:rPr>
                            <w:rFonts w:ascii="Times New Roman"/>
                            <w:sz w:val="18"/>
                          </w:rPr>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-53,500,00</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5,306,773.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5,306,773.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29</w:t>
                        </w:r>
                      </w:p>
                    </w:tc>
                    <w:tc>
                      <w:tcPr>
                        <w:tcW w:w="88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53,067,732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53,067,732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-10,656,77</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3.29</w:t>
                        </w:r>
                        <w:r>
                          <w:rPr>
                            <w:rFonts w:ascii="Times New Roman"/>
                            <w:sz w:val="18"/>
                          </w:rPr>
                        </w: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-5,306,773.</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-5,350,000.</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53,067,732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53,067,732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.89</w:t>
                        </w: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3,252,895.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3,252,895.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-5,350,000.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-5,350,000.</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bl>
                <w:p>
                  <w:pPr/>
                </w:p>
              </w:txbxContent>
            </v:textbox>
            <w10:wrap type="none"/>
          </v:shape>
        </w:pict>
      </w:r>
    </w:p>
    <w:p>
      <w:pPr>
        <w:pStyle w:val="BodyText"/>
        <w:spacing w:line="240" w:lineRule="auto" w:before="44"/>
        <w:ind w:left="0" w:right="153"/>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81" w:right="0"/>
        <w:jc w:val="left"/>
      </w:pPr>
      <w:r>
        <w:rPr>
          <w:rFonts w:ascii="Times New Roman" w:hAnsi="Times New Roman" w:cs="Times New Roman" w:eastAsia="Times New Roman" w:hint="default"/>
          <w:spacing w:val="-7"/>
        </w:rPr>
        <w:t>1</w:t>
      </w:r>
      <w:r>
        <w:rPr>
          <w:spacing w:val="-7"/>
        </w:rPr>
        <w:t>．资本公积转增资本（或股本）</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3"/>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288,145,20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5.35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16,165,332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120,137,99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3.72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531,448,53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1.71</w:t>
            </w:r>
          </w:p>
        </w:tc>
      </w:tr>
    </w:tbl>
    <w:p>
      <w:pPr>
        <w:pStyle w:val="BodyText"/>
        <w:spacing w:line="240" w:lineRule="auto" w:before="49"/>
        <w:ind w:right="0"/>
        <w:jc w:val="left"/>
      </w:pPr>
      <w:r>
        <w:rPr/>
        <w:t>上年金额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5"/>
        <w:gridCol w:w="886"/>
        <w:gridCol w:w="886"/>
        <w:gridCol w:w="883"/>
        <w:gridCol w:w="886"/>
        <w:gridCol w:w="883"/>
        <w:gridCol w:w="883"/>
        <w:gridCol w:w="883"/>
      </w:tblGrid>
      <w:tr>
        <w:trPr>
          <w:trHeight w:val="396"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5"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4D4D4"/>
          </w:tcPr>
          <w:p>
            <w:pPr/>
          </w:p>
        </w:tc>
        <w:tc>
          <w:tcPr>
            <w:tcW w:w="895" w:type="dxa"/>
            <w:vMerge/>
            <w:tcBorders>
              <w:left w:val="single" w:sz="4" w:space="0" w:color="000000"/>
              <w:right w:val="single" w:sz="4" w:space="0" w:color="000000"/>
            </w:tcBorders>
            <w:shd w:val="clear" w:color="auto" w:fill="D4D4D4"/>
          </w:tcPr>
          <w:p>
            <w:pP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4D4D4"/>
          </w:tcPr>
          <w:p>
            <w:pPr/>
          </w:p>
        </w:tc>
        <w:tc>
          <w:tcPr>
            <w:tcW w:w="895" w:type="dxa"/>
            <w:vMerge/>
            <w:tcBorders>
              <w:left w:val="single" w:sz="4" w:space="0" w:color="000000"/>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3"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4D4D4"/>
          </w:tcPr>
          <w:p>
            <w:pPr/>
          </w:p>
        </w:tc>
        <w:tc>
          <w:tcPr>
            <w:tcW w:w="895" w:type="dxa"/>
            <w:vMerge/>
            <w:tcBorders>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12,912,479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6,207,466.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35,867,194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94,987,140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.55</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12,912,479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6,207,466.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35,867,194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94,987,140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.55</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325,479,83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4,651,093.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41,859,839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385,490,76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2.56</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46,510,932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46,510,932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46,510,932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46,510,932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325,479,83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338,979,83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325,479,83</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338,979,83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4,651,093.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-4,651,093.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4,651,093.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-4,651,093.</w:t>
            </w: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170.399979pt;width:42.6pt;height:40.950pt;mso-position-horizontal-relative:page;mso-position-vertical-relative:page;z-index:-749224" coordorigin="3634,3408" coordsize="852,819">
            <v:group style="position:absolute;left:3646;top:3420;width:2;height:392" coordorigin="3646,3420" coordsize="2,392">
              <v:shape style="position:absolute;left:3646;top:3420;width:2;height:392" coordorigin="3646,3420" coordsize="0,392" path="m3646,3420l3646,3811e" filled="false" stroked="true" strokeweight="1.2pt" strokecolor="#ffffff">
                <v:path arrowok="t"/>
              </v:shape>
            </v:group>
            <v:group style="position:absolute;left:3658;top:3420;width:828;height:392" coordorigin="3658,3420" coordsize="828,392">
              <v:shape style="position:absolute;left:3658;top:3420;width:828;height:392" coordorigin="3658,3420" coordsize="828,392" path="m3658,3811l4486,3811,4486,3420,3658,3420,3658,3811xe" filled="true" fillcolor="#ffffff" stroked="false">
                <v:path arrowok="t"/>
                <v:fill type="solid"/>
              </v:shape>
            </v:group>
            <v:group style="position:absolute;left:3646;top:3821;width:2;height:394" coordorigin="3646,3821" coordsize="2,394">
              <v:shape style="position:absolute;left:3646;top:3821;width:2;height:394" coordorigin="3646,3821" coordsize="0,394" path="m3646,3821l3646,4214e" filled="false" stroked="true" strokeweight="1.2pt" strokecolor="#ffffff">
                <v:path arrowok="t"/>
              </v:shape>
            </v:group>
            <v:group style="position:absolute;left:3658;top:3821;width:828;height:394" coordorigin="3658,3821" coordsize="828,394">
              <v:shape style="position:absolute;left:3658;top:3821;width:828;height:394" coordorigin="3658,3821" coordsize="828,394" path="m3658,4214l4486,4214,4486,3821,3658,3821,3658,421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3"/>
        <w:gridCol w:w="886"/>
        <w:gridCol w:w="886"/>
        <w:gridCol w:w="883"/>
        <w:gridCol w:w="886"/>
        <w:gridCol w:w="883"/>
        <w:gridCol w:w="883"/>
        <w:gridCol w:w="883"/>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25</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338,392,30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9.64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10,858,559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77,727,034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480,477,90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pacing w:val="-5"/>
                <w:sz w:val="18"/>
              </w:rPr>
              <w:t>3.11</w:t>
            </w:r>
            <w:r>
              <w:rPr>
                <w:rFonts w:ascii="Times New Roman"/>
                <w:sz w:val="18"/>
              </w:rPr>
            </w:r>
          </w:p>
        </w:tc>
      </w:tr>
    </w:tbl>
    <w:p>
      <w:pPr>
        <w:spacing w:line="240" w:lineRule="auto" w:before="2"/>
        <w:rPr>
          <w:rFonts w:ascii="宋体" w:hAnsi="宋体" w:cs="宋体" w:eastAsia="宋体" w:hint="default"/>
          <w:sz w:val="20"/>
          <w:szCs w:val="20"/>
        </w:rPr>
      </w:pPr>
    </w:p>
    <w:p>
      <w:pPr>
        <w:pStyle w:val="BodyText"/>
        <w:tabs>
          <w:tab w:pos="3666" w:val="left" w:leader="none"/>
          <w:tab w:pos="7897" w:val="left" w:leader="none"/>
        </w:tabs>
        <w:spacing w:line="240" w:lineRule="auto" w:before="44"/>
        <w:ind w:right="0"/>
        <w:jc w:val="left"/>
      </w:pPr>
      <w:r>
        <w:rPr/>
        <w:t>法定代表人：周炜</w:t>
        <w:tab/>
      </w:r>
      <w:r>
        <w:rPr>
          <w:spacing w:val="-1"/>
        </w:rPr>
        <w:t>主管会计工作负责人：靳茂</w:t>
        <w:tab/>
      </w:r>
      <w:r>
        <w:rPr/>
        <w:t>会计机构负责人：奚冰</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53" w:firstLine="360"/>
        <w:jc w:val="both"/>
      </w:pPr>
      <w:r>
        <w:rPr>
          <w:spacing w:val="-1"/>
        </w:rPr>
        <w:t>上海金仕达卫宁软件股份有限公司（以下简称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w:t>
      </w:r>
      <w:bookmarkStart w:name="三、公司基本情况" w:id="88"/>
      <w:bookmarkEnd w:id="88"/>
      <w:r>
        <w:rPr>
          <w:spacing w:val="-1"/>
        </w:rPr>
        <w:t>前身为上海金仕达卫宁</w:t>
      </w:r>
      <w:r>
        <w:rPr>
          <w:spacing w:val="-1"/>
        </w:rPr>
        <w:t>软件有限公司，系由英属维尔</w:t>
      </w:r>
      <w:r>
        <w:rPr/>
        <w:t> 京群岛</w:t>
      </w:r>
      <w:r>
        <w:rPr>
          <w:rFonts w:ascii="Times New Roman" w:hAnsi="Times New Roman" w:cs="Times New Roman" w:eastAsia="Times New Roman" w:hint="default"/>
        </w:rPr>
        <w:t>WINNING</w:t>
      </w:r>
      <w:r>
        <w:rPr>
          <w:rFonts w:ascii="Times New Roman" w:hAnsi="Times New Roman" w:cs="Times New Roman" w:eastAsia="Times New Roman" w:hint="default"/>
          <w:spacing w:val="-2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9"/>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90%</w:t>
      </w:r>
      <w:r>
        <w:rPr/>
        <w:t>）和上海金仕达卫宁医疗信息技术有限公司（</w:t>
      </w:r>
      <w:r>
        <w:rPr>
          <w:rFonts w:ascii="Times New Roman" w:hAnsi="Times New Roman" w:cs="Times New Roman" w:eastAsia="Times New Roman" w:hint="default"/>
        </w:rPr>
        <w:t>10%</w:t>
      </w:r>
      <w:r>
        <w:rPr/>
        <w:t>）合资设 立的中外合资企业。经浦府项字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135</w:t>
      </w:r>
      <w:r>
        <w:rPr/>
        <w:t>号文批准，于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日取得商外资沪浦合资字</w:t>
      </w:r>
      <w:r>
        <w:rPr>
          <w:rFonts w:ascii="Times New Roman" w:hAnsi="Times New Roman" w:cs="Times New Roman" w:eastAsia="Times New Roman" w:hint="default"/>
        </w:rPr>
        <w:t>[2004]0841</w:t>
      </w:r>
      <w:r>
        <w:rPr/>
        <w:t>号外商投资企业</w:t>
      </w:r>
      <w:r>
        <w:rPr>
          <w:spacing w:val="-66"/>
        </w:rPr>
        <w:t> </w:t>
      </w:r>
      <w:r>
        <w:rPr>
          <w:spacing w:val="-66"/>
        </w:rPr>
      </w:r>
      <w:r>
        <w:rPr/>
        <w:t>批准证书，于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日取得企合沪浦总副字第</w:t>
      </w:r>
      <w:r>
        <w:rPr>
          <w:rFonts w:ascii="Times New Roman" w:hAnsi="Times New Roman" w:cs="Times New Roman" w:eastAsia="Times New Roman" w:hint="default"/>
        </w:rPr>
        <w:t>318540</w:t>
      </w:r>
      <w:r>
        <w:rPr/>
        <w:t>号（浦东）企业法人营业执照。投资总额</w:t>
      </w:r>
      <w:r>
        <w:rPr>
          <w:rFonts w:ascii="Times New Roman" w:hAnsi="Times New Roman" w:cs="Times New Roman" w:eastAsia="Times New Roman" w:hint="default"/>
        </w:rPr>
        <w:t>28</w:t>
      </w:r>
      <w:r>
        <w:rPr/>
        <w:t>万美元，注册资本</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t>万美元（实收资本</w:t>
      </w:r>
      <w:r>
        <w:rPr>
          <w:rFonts w:ascii="Times New Roman" w:hAnsi="Times New Roman" w:cs="Times New Roman" w:eastAsia="Times New Roman" w:hint="default"/>
        </w:rPr>
        <w:t>20</w:t>
      </w:r>
      <w:r>
        <w:rPr/>
        <w:t>万美元）。</w:t>
      </w:r>
    </w:p>
    <w:p>
      <w:pPr>
        <w:pStyle w:val="BodyText"/>
        <w:spacing w:line="300" w:lineRule="auto" w:before="13"/>
        <w:ind w:right="148"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日，经上海金仕达卫宁软件有限公司第一届第四次董事会决议并经浦府项字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798</w:t>
      </w:r>
      <w:r>
        <w:rPr/>
        <w:t>号文批准，上海</w:t>
      </w:r>
      <w:r>
        <w:rPr>
          <w:spacing w:val="2"/>
        </w:rPr>
        <w:t> </w:t>
      </w:r>
      <w:r>
        <w:rPr>
          <w:spacing w:val="-1"/>
        </w:rPr>
        <w:t>金仕达卫宁医疗信息技术有限公司将所持上海金仕达卫宁软件有限公司</w:t>
      </w:r>
      <w:r>
        <w:rPr>
          <w:rFonts w:ascii="Times New Roman" w:hAnsi="Times New Roman" w:cs="Times New Roman" w:eastAsia="Times New Roman" w:hint="default"/>
          <w:spacing w:val="-1"/>
        </w:rPr>
        <w:t>10%</w:t>
      </w:r>
      <w:r>
        <w:rPr>
          <w:spacing w:val="-1"/>
        </w:rPr>
        <w:t>股权转让给上海为宁信息技术有限公司，于</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日取得换发的商外资沪浦合资字</w:t>
      </w:r>
      <w:r>
        <w:rPr>
          <w:rFonts w:ascii="Times New Roman" w:hAnsi="Times New Roman" w:cs="Times New Roman" w:eastAsia="Times New Roman" w:hint="default"/>
        </w:rPr>
        <w:t>[2004]0841</w:t>
      </w:r>
      <w:r>
        <w:rPr/>
        <w:t>号外商投资企业批准证书，于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日取得</w:t>
      </w:r>
      <w:r>
        <w:rPr>
          <w:rFonts w:ascii="Times New Roman" w:hAnsi="Times New Roman" w:cs="Times New Roman" w:eastAsia="Times New Roman" w:hint="default"/>
        </w:rPr>
        <w:t>310115400147263</w:t>
      </w:r>
      <w:r>
        <w:rPr/>
        <w:t>号</w:t>
      </w:r>
      <w:r>
        <w:rPr>
          <w:spacing w:val="-51"/>
        </w:rPr>
        <w:t> </w:t>
      </w:r>
      <w:r>
        <w:rPr/>
        <w:t>企业法人营业执照，投资总额和注册资本不变。</w:t>
      </w:r>
    </w:p>
    <w:p>
      <w:pPr>
        <w:pStyle w:val="BodyText"/>
        <w:spacing w:line="304" w:lineRule="auto" w:before="31"/>
        <w:ind w:left="151" w:right="151" w:firstLine="36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日，经上海金仕达卫宁软件有限公司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日股东会、董事会决议并经浦府项字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458</w:t>
      </w:r>
      <w:r>
        <w:rPr/>
        <w:t>号文批 </w:t>
      </w:r>
      <w:r>
        <w:rPr>
          <w:spacing w:val="-4"/>
        </w:rPr>
        <w:t>准，英属维尔京群岛</w:t>
      </w:r>
      <w:r>
        <w:rPr>
          <w:rFonts w:ascii="Times New Roman" w:hAnsi="Times New Roman" w:cs="Times New Roman" w:eastAsia="Times New Roman" w:hint="default"/>
          <w:spacing w:val="-4"/>
        </w:rPr>
        <w:t>WINNING </w:t>
      </w:r>
      <w:r>
        <w:rPr>
          <w:rFonts w:ascii="Times New Roman" w:hAnsi="Times New Roman" w:cs="Times New Roman" w:eastAsia="Times New Roman" w:hint="default"/>
        </w:rPr>
        <w:t>INTERNATIONAL TECHNOLOGY</w:t>
      </w:r>
      <w:r>
        <w:rPr>
          <w:rFonts w:ascii="Times New Roman" w:hAnsi="Times New Roman" w:cs="Times New Roman" w:eastAsia="Times New Roman" w:hint="default"/>
          <w:spacing w:val="-25"/>
        </w:rPr>
        <w:t> </w:t>
      </w:r>
      <w:r>
        <w:rPr>
          <w:rFonts w:ascii="Times New Roman" w:hAnsi="Times New Roman" w:cs="Times New Roman" w:eastAsia="Times New Roman" w:hint="default"/>
        </w:rPr>
        <w:t>LTD</w:t>
      </w:r>
      <w:r>
        <w:rPr/>
        <w:t>将所持上海金仕达卫宁软件有限公司</w:t>
      </w:r>
      <w:r>
        <w:rPr>
          <w:rFonts w:ascii="Times New Roman" w:hAnsi="Times New Roman" w:cs="Times New Roman" w:eastAsia="Times New Roman" w:hint="default"/>
        </w:rPr>
        <w:t>90%</w:t>
      </w:r>
      <w:r>
        <w:rPr/>
        <w:t>的股权转让 </w:t>
      </w:r>
      <w:r>
        <w:rPr>
          <w:spacing w:val="-2"/>
        </w:rPr>
        <w:t>给周炜、王英、刘宁三位自然人，上海金仕达卫宁软件有限公司企业性质由中外合资企业变更为内资有限责任公司，注册资</w:t>
      </w:r>
      <w:r>
        <w:rPr>
          <w:spacing w:val="-64"/>
        </w:rPr>
        <w:t> </w:t>
      </w:r>
      <w:r>
        <w:rPr>
          <w:spacing w:val="-64"/>
        </w:rPr>
      </w:r>
      <w:r>
        <w:rPr>
          <w:spacing w:val="-1"/>
        </w:rPr>
        <w:t>本由</w:t>
      </w:r>
      <w:r>
        <w:rPr>
          <w:rFonts w:ascii="Times New Roman" w:hAnsi="Times New Roman" w:cs="Times New Roman" w:eastAsia="Times New Roman" w:hint="default"/>
          <w:spacing w:val="-1"/>
        </w:rPr>
        <w:t>20</w:t>
      </w:r>
      <w:r>
        <w:rPr>
          <w:spacing w:val="-1"/>
        </w:rPr>
        <w:t>万美元变更为等额人民币注册资本，变更后的注册资本为人民币</w:t>
      </w:r>
      <w:r>
        <w:rPr>
          <w:rFonts w:ascii="Times New Roman" w:hAnsi="Times New Roman" w:cs="Times New Roman" w:eastAsia="Times New Roman" w:hint="default"/>
          <w:spacing w:val="-1"/>
        </w:rPr>
        <w:t>1,653,156.00</w:t>
      </w:r>
      <w:r>
        <w:rPr>
          <w:spacing w:val="-1"/>
        </w:rPr>
        <w:t>元。变更后，股东为周炜、王英、刘宁</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8"/>
        </w:rPr>
        <w:t> </w:t>
      </w:r>
      <w:r>
        <w:rPr/>
        <w:t>名自然人和上海为宁信息技术有限公司。</w:t>
      </w:r>
    </w:p>
    <w:p>
      <w:pPr>
        <w:pStyle w:val="BodyText"/>
        <w:spacing w:line="300" w:lineRule="auto" w:before="27"/>
        <w:ind w:left="151" w:right="151" w:firstLine="419"/>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日，根据上海金仕达卫宁软件有限公司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日临时股东会决议，上海金仕达卫宁软件有限公司 增加注册资本人民币</w:t>
      </w:r>
      <w:r>
        <w:rPr>
          <w:rFonts w:ascii="Times New Roman" w:hAnsi="Times New Roman" w:cs="Times New Roman" w:eastAsia="Times New Roman" w:hint="default"/>
        </w:rPr>
        <w:t>8,346,844.00</w:t>
      </w:r>
      <w:r>
        <w:rPr/>
        <w:t>元，其中股东周炜、刘宁、王英和上海为宁信息技术有限公司以上海金仕达卫宁软件有限</w:t>
      </w:r>
      <w:r>
        <w:rPr>
          <w:spacing w:val="-49"/>
        </w:rPr>
        <w:t> </w:t>
      </w:r>
      <w:r>
        <w:rPr>
          <w:spacing w:val="-49"/>
        </w:rPr>
      </w:r>
      <w:r>
        <w:rPr/>
        <w:t>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日未分配利润</w:t>
      </w:r>
      <w:r>
        <w:rPr>
          <w:rFonts w:ascii="Times New Roman" w:hAnsi="Times New Roman" w:cs="Times New Roman" w:eastAsia="Times New Roman" w:hint="default"/>
        </w:rPr>
        <w:t>4,498,523.80</w:t>
      </w:r>
      <w:r>
        <w:rPr/>
        <w:t>元转增资本，刘宁、孙凯等</w:t>
      </w:r>
      <w:r>
        <w:rPr>
          <w:rFonts w:ascii="Times New Roman" w:hAnsi="Times New Roman" w:cs="Times New Roman" w:eastAsia="Times New Roman" w:hint="default"/>
        </w:rPr>
        <w:t>24</w:t>
      </w:r>
      <w:r>
        <w:rPr/>
        <w:t>名自然人以货币资金增资</w:t>
      </w:r>
      <w:r>
        <w:rPr>
          <w:rFonts w:ascii="Times New Roman" w:hAnsi="Times New Roman" w:cs="Times New Roman" w:eastAsia="Times New Roman" w:hint="default"/>
        </w:rPr>
        <w:t>3,848,320.20</w:t>
      </w:r>
      <w:r>
        <w:rPr/>
        <w:t>元，变更后 的注册资本为人民币</w:t>
      </w:r>
      <w:r>
        <w:rPr>
          <w:rFonts w:ascii="Times New Roman" w:hAnsi="Times New Roman" w:cs="Times New Roman" w:eastAsia="Times New Roman" w:hint="default"/>
        </w:rPr>
        <w:t>10,000,000.00</w:t>
      </w:r>
      <w:r>
        <w:rPr/>
        <w:t>元。变更注册资本后，股东为周炜等</w:t>
      </w:r>
      <w:r>
        <w:rPr>
          <w:rFonts w:ascii="Times New Roman" w:hAnsi="Times New Roman" w:cs="Times New Roman" w:eastAsia="Times New Roman" w:hint="default"/>
        </w:rPr>
        <w:t>26</w:t>
      </w:r>
      <w:r>
        <w:rPr/>
        <w:t>名自然人和上海为宁信息技术有限公司。</w:t>
      </w:r>
    </w:p>
    <w:p>
      <w:pPr>
        <w:pStyle w:val="BodyText"/>
        <w:spacing w:line="300" w:lineRule="auto" w:before="13"/>
        <w:ind w:left="151" w:right="154" w:firstLine="419"/>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日，上海为宁信息技术有限公司将所持上海金仕达卫宁软件有限公司</w:t>
      </w:r>
      <w:r>
        <w:rPr>
          <w:rFonts w:ascii="Times New Roman" w:hAnsi="Times New Roman" w:cs="Times New Roman" w:eastAsia="Times New Roman" w:hint="default"/>
          <w:spacing w:val="-2"/>
        </w:rPr>
        <w:t>6.16%</w:t>
      </w:r>
      <w:r>
        <w:rPr>
          <w:spacing w:val="-2"/>
        </w:rPr>
        <w:t>股权转让给自然人孙凯。变更</w:t>
      </w:r>
      <w:r>
        <w:rPr/>
        <w:t> 后股东为周炜等</w:t>
      </w:r>
      <w:r>
        <w:rPr>
          <w:rFonts w:ascii="Times New Roman" w:hAnsi="Times New Roman" w:cs="Times New Roman" w:eastAsia="Times New Roman" w:hint="default"/>
        </w:rPr>
        <w:t>26</w:t>
      </w:r>
      <w:r>
        <w:rPr/>
        <w:t>名自然人。</w:t>
      </w:r>
    </w:p>
    <w:p>
      <w:pPr>
        <w:pStyle w:val="BodyText"/>
        <w:spacing w:line="240" w:lineRule="auto" w:before="13"/>
        <w:ind w:left="571" w:right="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日，根据上海金仕达卫宁软件有限公司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日临时股东会决议，上海金仕达卫宁软件有限公司</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88"/>
        <w:jc w:val="both"/>
      </w:pPr>
      <w:bookmarkStart w:name="3、会计期间" w:id="89"/>
      <w:bookmarkEnd w:id="89"/>
      <w:r>
        <w:rPr/>
      </w:r>
      <w:bookmarkStart w:name="4、记账本位币" w:id="90"/>
      <w:bookmarkEnd w:id="90"/>
      <w:r>
        <w:rPr/>
      </w:r>
      <w:r>
        <w:rPr>
          <w:spacing w:val="-2"/>
        </w:rPr>
        <w:t>整体变更为上海金仕达卫宁软件股份有限公司，上海金仕达卫宁软件有限公司全体股东以截至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日经审计后的净</w:t>
      </w:r>
      <w:r>
        <w:rPr>
          <w:spacing w:val="-60"/>
        </w:rPr>
        <w:t> </w:t>
      </w:r>
      <w:r>
        <w:rPr>
          <w:spacing w:val="-60"/>
        </w:rPr>
      </w:r>
      <w:r>
        <w:rPr/>
        <w:t>资产</w:t>
      </w:r>
      <w:r>
        <w:rPr>
          <w:rFonts w:ascii="Times New Roman" w:hAnsi="Times New Roman" w:cs="Times New Roman" w:eastAsia="Times New Roman" w:hint="default"/>
        </w:rPr>
        <w:t>52,912,479.56</w:t>
      </w:r>
      <w:r>
        <w:rPr/>
        <w:t>元出资，其中以净资产出资</w:t>
      </w:r>
      <w:r>
        <w:rPr>
          <w:rFonts w:ascii="Times New Roman" w:hAnsi="Times New Roman" w:cs="Times New Roman" w:eastAsia="Times New Roman" w:hint="default"/>
        </w:rPr>
        <w:t>40,000,000.00</w:t>
      </w:r>
      <w:r>
        <w:rPr/>
        <w:t>元，折</w:t>
      </w:r>
      <w:r>
        <w:rPr>
          <w:rFonts w:ascii="Times New Roman" w:hAnsi="Times New Roman" w:cs="Times New Roman" w:eastAsia="Times New Roman" w:hint="default"/>
        </w:rPr>
        <w:t>40,000,000</w:t>
      </w:r>
      <w:r>
        <w:rPr/>
        <w:t>股，每股面值</w:t>
      </w:r>
      <w:r>
        <w:rPr>
          <w:rFonts w:ascii="Times New Roman" w:hAnsi="Times New Roman" w:cs="Times New Roman" w:eastAsia="Times New Roman" w:hint="default"/>
        </w:rPr>
        <w:t>1</w:t>
      </w:r>
      <w:r>
        <w:rPr/>
        <w:t>元，其余</w:t>
      </w:r>
      <w:r>
        <w:rPr>
          <w:rFonts w:ascii="Times New Roman" w:hAnsi="Times New Roman" w:cs="Times New Roman" w:eastAsia="Times New Roman" w:hint="default"/>
        </w:rPr>
        <w:t>12,912,479.56</w:t>
      </w:r>
      <w:r>
        <w:rPr/>
        <w:t>元转为上</w:t>
      </w:r>
      <w:r>
        <w:rPr>
          <w:spacing w:val="-64"/>
        </w:rPr>
        <w:t> </w:t>
      </w:r>
      <w:r>
        <w:rPr>
          <w:spacing w:val="-1"/>
        </w:rPr>
        <w:t>海金仕达卫宁软件股份有限公司的资本公积，变更后的注册资本为人民币</w:t>
      </w:r>
      <w:r>
        <w:rPr>
          <w:rFonts w:ascii="Times New Roman" w:hAnsi="Times New Roman" w:cs="Times New Roman" w:eastAsia="Times New Roman" w:hint="default"/>
          <w:spacing w:val="-1"/>
        </w:rPr>
        <w:t>40,000,000.00</w:t>
      </w:r>
      <w:r>
        <w:rPr>
          <w:spacing w:val="-1"/>
        </w:rPr>
        <w:t>元，此次变更业经中磊会计师事务所</w:t>
      </w:r>
      <w:r>
        <w:rPr>
          <w:spacing w:val="-76"/>
        </w:rPr>
        <w:t> </w:t>
      </w:r>
      <w:r>
        <w:rPr>
          <w:spacing w:val="-76"/>
        </w:rPr>
      </w:r>
      <w:r>
        <w:rPr>
          <w:spacing w:val="12"/>
        </w:rPr>
        <w:t>有限责任公司中磊验字</w:t>
      </w:r>
      <w:r>
        <w:rPr>
          <w:rFonts w:ascii="Times New Roman" w:hAnsi="Times New Roman" w:cs="Times New Roman" w:eastAsia="Times New Roman" w:hint="default"/>
          <w:spacing w:val="12"/>
        </w:rPr>
        <w:t>[2008]</w:t>
      </w:r>
      <w:r>
        <w:rPr>
          <w:rFonts w:ascii="Times New Roman" w:hAnsi="Times New Roman" w:cs="Times New Roman" w:eastAsia="Times New Roman" w:hint="default"/>
          <w:spacing w:val="-23"/>
        </w:rPr>
        <w:t> </w:t>
      </w:r>
      <w:r>
        <w:rPr/>
        <w:t>第</w:t>
      </w:r>
      <w:r>
        <w:rPr>
          <w:spacing w:val="-70"/>
        </w:rPr>
        <w:t> </w:t>
      </w:r>
      <w:r>
        <w:rPr>
          <w:rFonts w:ascii="Times New Roman" w:hAnsi="Times New Roman" w:cs="Times New Roman" w:eastAsia="Times New Roman" w:hint="default"/>
        </w:rPr>
        <w:t>7004</w:t>
      </w:r>
      <w:r>
        <w:rPr>
          <w:rFonts w:ascii="Times New Roman" w:hAnsi="Times New Roman" w:cs="Times New Roman" w:eastAsia="Times New Roman" w:hint="default"/>
          <w:spacing w:val="-24"/>
        </w:rPr>
        <w:t> </w:t>
      </w:r>
      <w:r>
        <w:rPr>
          <w:spacing w:val="16"/>
        </w:rPr>
        <w:t>号验资报告验证。</w:t>
      </w:r>
      <w:r>
        <w:rPr>
          <w:spacing w:val="-68"/>
        </w:rPr>
        <w:t> </w:t>
      </w:r>
      <w:r>
        <w:rPr>
          <w:spacing w:val="12"/>
        </w:rPr>
        <w:t>公司于</w:t>
      </w:r>
      <w:r>
        <w:rPr>
          <w:spacing w:val="-7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5"/>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spacing w:val="-70"/>
        </w:rPr>
        <w:t> </w:t>
      </w:r>
      <w:r>
        <w:rPr>
          <w:rFonts w:ascii="Times New Roman" w:hAnsi="Times New Roman" w:cs="Times New Roman" w:eastAsia="Times New Roman" w:hint="default"/>
        </w:rPr>
        <w:t>26</w:t>
      </w:r>
      <w:r>
        <w:rPr>
          <w:rFonts w:ascii="Times New Roman" w:hAnsi="Times New Roman" w:cs="Times New Roman" w:eastAsia="Times New Roman" w:hint="default"/>
          <w:spacing w:val="-24"/>
        </w:rPr>
        <w:t> </w:t>
      </w:r>
      <w:r>
        <w:rPr>
          <w:spacing w:val="18"/>
        </w:rPr>
        <w:t>日取得上海市工商行政管理局换发的</w:t>
      </w:r>
      <w:r>
        <w:rPr>
          <w:spacing w:val="-88"/>
        </w:rPr>
        <w:t> </w:t>
      </w:r>
      <w:r>
        <w:rPr>
          <w:spacing w:val="-88"/>
        </w:rPr>
      </w:r>
      <w:r>
        <w:rPr>
          <w:rFonts w:ascii="Times New Roman" w:hAnsi="Times New Roman" w:cs="Times New Roman" w:eastAsia="Times New Roman" w:hint="default"/>
        </w:rPr>
        <w:t>310115400147263</w:t>
      </w:r>
      <w:r>
        <w:rPr/>
        <w:t>号企业法人营业执照，注册资本为人民币</w:t>
      </w:r>
      <w:r>
        <w:rPr>
          <w:rFonts w:ascii="Times New Roman" w:hAnsi="Times New Roman" w:cs="Times New Roman" w:eastAsia="Times New Roman" w:hint="default"/>
        </w:rPr>
        <w:t>40,000,000.00</w:t>
      </w:r>
      <w:r>
        <w:rPr/>
        <w:t>元，股东为周炜等</w:t>
      </w:r>
      <w:r>
        <w:rPr>
          <w:rFonts w:ascii="Times New Roman" w:hAnsi="Times New Roman" w:cs="Times New Roman" w:eastAsia="Times New Roman" w:hint="default"/>
        </w:rPr>
        <w:t>26</w:t>
      </w:r>
      <w:r>
        <w:rPr/>
        <w:t>名自然人。</w:t>
      </w:r>
    </w:p>
    <w:p>
      <w:pPr>
        <w:pStyle w:val="BodyText"/>
        <w:spacing w:line="300" w:lineRule="auto" w:before="13"/>
        <w:ind w:left="153" w:right="96" w:firstLine="419"/>
        <w:jc w:val="left"/>
      </w:pPr>
      <w:r>
        <w:rPr>
          <w:spacing w:val="-2"/>
        </w:rPr>
        <w:t>经中国证券监督管理委员会证监许可</w:t>
      </w:r>
      <w:r>
        <w:rPr>
          <w:rFonts w:ascii="Times New Roman" w:hAnsi="Times New Roman" w:cs="Times New Roman" w:eastAsia="Times New Roman" w:hint="default"/>
          <w:spacing w:val="-2"/>
        </w:rPr>
        <w:t>[2011]1129</w:t>
      </w:r>
      <w:r>
        <w:rPr>
          <w:spacing w:val="-2"/>
        </w:rPr>
        <w:t>号文《关于核准上海金仕达卫宁软件股份有限公司首次公开发行股票并</w:t>
      </w:r>
      <w:r>
        <w:rPr/>
        <w:t> 在创业板上市的批复》，</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42"/>
        </w:rPr>
        <w:t> </w:t>
      </w:r>
      <w:r>
        <w:rPr/>
        <w:t>月本公司发行社会公众股</w:t>
      </w:r>
      <w:r>
        <w:rPr>
          <w:rFonts w:ascii="Times New Roman" w:hAnsi="Times New Roman" w:cs="Times New Roman" w:eastAsia="Times New Roman" w:hint="default"/>
        </w:rPr>
        <w:t>13,500,000</w:t>
      </w:r>
      <w:r>
        <w:rPr/>
        <w:t>股，每股面值</w:t>
      </w:r>
      <w:r>
        <w:rPr>
          <w:rFonts w:ascii="Times New Roman" w:hAnsi="Times New Roman" w:cs="Times New Roman" w:eastAsia="Times New Roman" w:hint="default"/>
        </w:rPr>
        <w:t>1</w:t>
      </w:r>
      <w:r>
        <w:rPr/>
        <w:t>元，发行后总股本为</w:t>
      </w:r>
      <w:r>
        <w:rPr>
          <w:rFonts w:ascii="Times New Roman" w:hAnsi="Times New Roman" w:cs="Times New Roman" w:eastAsia="Times New Roman" w:hint="default"/>
        </w:rPr>
        <w:t>53,500,000.00</w:t>
      </w:r>
      <w:r>
        <w:rPr/>
        <w:t>元。 此次变更业经中磊会计师事务所有限责任公司中磊验字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0067</w:t>
      </w:r>
      <w:r>
        <w:rPr/>
        <w:t>号验资报告验证，并于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日换发相同注册号</w:t>
      </w:r>
      <w:r>
        <w:rPr>
          <w:spacing w:val="-35"/>
        </w:rPr>
        <w:t> </w:t>
      </w:r>
      <w:r>
        <w:rPr>
          <w:spacing w:val="-35"/>
        </w:rPr>
      </w:r>
      <w:r>
        <w:rPr/>
        <w:t>的企业法人营业执照，注册资本为人民币</w:t>
      </w:r>
      <w:r>
        <w:rPr>
          <w:rFonts w:ascii="Times New Roman" w:hAnsi="Times New Roman" w:cs="Times New Roman" w:eastAsia="Times New Roman" w:hint="default"/>
        </w:rPr>
        <w:t>53,500,000.00</w:t>
      </w:r>
      <w:r>
        <w:rPr/>
        <w:t>元。</w:t>
      </w:r>
    </w:p>
    <w:p>
      <w:pPr>
        <w:pStyle w:val="BodyText"/>
        <w:spacing w:line="300" w:lineRule="auto" w:before="13"/>
        <w:ind w:left="153" w:right="187" w:firstLine="419"/>
        <w:jc w:val="both"/>
      </w:pPr>
      <w:r>
        <w:rPr>
          <w:spacing w:val="-1"/>
        </w:rPr>
        <w:t>经公司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w:t>
      </w:r>
      <w:r>
        <w:rPr>
          <w:rFonts w:ascii="Times New Roman" w:hAnsi="Times New Roman" w:cs="Times New Roman" w:eastAsia="Times New Roman" w:hint="default"/>
          <w:spacing w:val="-1"/>
        </w:rPr>
        <w:t>2011</w:t>
      </w:r>
      <w:r>
        <w:rPr>
          <w:spacing w:val="-1"/>
        </w:rPr>
        <w:t>年度股东大会决议，以截止</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53,500,000.00</w:t>
      </w:r>
      <w:r>
        <w:rPr>
          <w:spacing w:val="-1"/>
        </w:rPr>
        <w:t>股为基数，以资本公积</w:t>
      </w:r>
      <w:r>
        <w:rPr/>
        <w:t> </w:t>
      </w:r>
      <w:r>
        <w:rPr>
          <w:spacing w:val="2"/>
        </w:rPr>
        <w:t>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53,500,000.00</w:t>
      </w:r>
      <w:r>
        <w:rPr>
          <w:spacing w:val="2"/>
        </w:rPr>
        <w:t>股，增加注册资本人民币</w:t>
      </w:r>
      <w:r>
        <w:rPr>
          <w:rFonts w:ascii="Times New Roman" w:hAnsi="Times New Roman" w:cs="Times New Roman" w:eastAsia="Times New Roman" w:hint="default"/>
          <w:spacing w:val="2"/>
        </w:rPr>
        <w:t>53,500,000.00</w:t>
      </w:r>
      <w:r>
        <w:rPr>
          <w:spacing w:val="2"/>
        </w:rPr>
        <w:t>元，变更后注册资本为人民币</w:t>
      </w:r>
      <w:r>
        <w:rPr>
          <w:spacing w:val="-83"/>
        </w:rPr>
        <w:t> </w:t>
      </w:r>
      <w:r>
        <w:rPr>
          <w:spacing w:val="-83"/>
        </w:rPr>
      </w:r>
      <w:r>
        <w:rPr>
          <w:rFonts w:ascii="Times New Roman" w:hAnsi="Times New Roman" w:cs="Times New Roman" w:eastAsia="Times New Roman" w:hint="default"/>
          <w:spacing w:val="-2"/>
        </w:rPr>
        <w:t>107,000,000.00</w:t>
      </w:r>
      <w:r>
        <w:rPr>
          <w:spacing w:val="-2"/>
        </w:rPr>
        <w:t>元。此次变更业经中磊会计师事务所有限责任公司（</w:t>
      </w:r>
      <w:r>
        <w:rPr>
          <w:rFonts w:ascii="Times New Roman" w:hAnsi="Times New Roman" w:cs="Times New Roman" w:eastAsia="Times New Roman" w:hint="default"/>
          <w:spacing w:val="-2"/>
        </w:rPr>
        <w:t>2012</w:t>
      </w:r>
      <w:r>
        <w:rPr>
          <w:spacing w:val="-2"/>
        </w:rPr>
        <w:t>）中磊（验</w:t>
      </w:r>
      <w:r>
        <w:rPr>
          <w:rFonts w:ascii="Times New Roman" w:hAnsi="Times New Roman" w:cs="Times New Roman" w:eastAsia="Times New Roman" w:hint="default"/>
          <w:spacing w:val="-2"/>
        </w:rPr>
        <w:t>A</w:t>
      </w:r>
      <w:r>
        <w:rPr>
          <w:spacing w:val="-2"/>
        </w:rPr>
        <w:t>）字第</w:t>
      </w:r>
      <w:r>
        <w:rPr>
          <w:rFonts w:ascii="Times New Roman" w:hAnsi="Times New Roman" w:cs="Times New Roman" w:eastAsia="Times New Roman" w:hint="default"/>
          <w:spacing w:val="-2"/>
        </w:rPr>
        <w:t>0012</w:t>
      </w:r>
      <w:r>
        <w:rPr>
          <w:spacing w:val="-2"/>
        </w:rPr>
        <w:t>号验资报告验证，并于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日换发相同注册号的企业法人营业执照，注册资本为人民币</w:t>
      </w:r>
      <w:r>
        <w:rPr>
          <w:rFonts w:ascii="Times New Roman" w:hAnsi="Times New Roman" w:cs="Times New Roman" w:eastAsia="Times New Roman" w:hint="default"/>
        </w:rPr>
        <w:t>107,000,000.00</w:t>
      </w:r>
      <w:r>
        <w:rPr/>
        <w:t>元。</w:t>
      </w:r>
    </w:p>
    <w:p>
      <w:pPr>
        <w:pStyle w:val="BodyText"/>
        <w:spacing w:line="300" w:lineRule="auto" w:before="13"/>
        <w:ind w:left="573" w:right="5703"/>
        <w:jc w:val="left"/>
      </w:pPr>
      <w:r>
        <w:rPr/>
        <w:t>注册地址：上海市浦东新区上南路</w:t>
      </w:r>
      <w:r>
        <w:rPr>
          <w:rFonts w:ascii="Times New Roman" w:hAnsi="Times New Roman" w:cs="Times New Roman" w:eastAsia="Times New Roman" w:hint="default"/>
        </w:rPr>
        <w:t>4184</w:t>
      </w:r>
      <w:r>
        <w:rPr/>
        <w:t>号</w:t>
      </w:r>
      <w:r>
        <w:rPr>
          <w:rFonts w:ascii="Times New Roman" w:hAnsi="Times New Roman" w:cs="Times New Roman" w:eastAsia="Times New Roman" w:hint="default"/>
        </w:rPr>
        <w:t>258</w:t>
      </w:r>
      <w:r>
        <w:rPr/>
        <w:t>室 法定代表人：周炜</w:t>
      </w:r>
    </w:p>
    <w:p>
      <w:pPr>
        <w:pStyle w:val="BodyText"/>
        <w:spacing w:line="316" w:lineRule="auto" w:before="31"/>
        <w:ind w:left="153" w:right="190" w:firstLine="419"/>
        <w:jc w:val="both"/>
      </w:pPr>
      <w:r>
        <w:rPr/>
        <w:t>本公司属于医疗卫生信息化行业，经营范围主要包括：计算机软件的开发、设计和制作，销售自产产品，计算机及辅 </w:t>
      </w:r>
      <w:r>
        <w:rPr>
          <w:spacing w:val="-2"/>
        </w:rPr>
        <w:t>助设备的销售，计算机网络信息系统集成的维护，并提供相关的技术咨询和技术服务（企业经营涉及行政许可的，凭许可证</w:t>
      </w:r>
      <w:r>
        <w:rPr>
          <w:spacing w:val="-65"/>
        </w:rPr>
        <w:t> </w:t>
      </w:r>
      <w:r>
        <w:rPr>
          <w:spacing w:val="-65"/>
        </w:rPr>
      </w:r>
      <w:r>
        <w:rPr/>
        <w:t>件经营）。</w:t>
      </w:r>
    </w:p>
    <w:p>
      <w:pPr>
        <w:spacing w:line="240" w:lineRule="auto" w:before="12"/>
        <w:rPr>
          <w:rFonts w:ascii="宋体" w:hAnsi="宋体" w:cs="宋体" w:eastAsia="宋体" w:hint="default"/>
          <w:sz w:val="20"/>
          <w:szCs w:val="20"/>
        </w:rPr>
      </w:pPr>
    </w:p>
    <w:p>
      <w:pPr>
        <w:pStyle w:val="Heading2"/>
        <w:spacing w:line="240" w:lineRule="auto" w:before="0"/>
        <w:ind w:right="0"/>
        <w:jc w:val="both"/>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86" w:firstLine="420"/>
        <w:jc w:val="left"/>
      </w:pPr>
      <w:r>
        <w:rPr>
          <w:spacing w:val="-1"/>
        </w:rPr>
        <w:t>本公司以持续经营为基础，根据实际发生的交易和事项，按照</w:t>
      </w:r>
      <w:bookmarkStart w:name="四、公司主要会计政策、会计估计和前期差错" w:id="91"/>
      <w:bookmarkEnd w:id="91"/>
      <w:r>
        <w:rPr>
          <w:spacing w:val="-1"/>
        </w:rPr>
        <w:t>《企业会计准则</w:t>
      </w:r>
      <w:r>
        <w:rPr>
          <w:rFonts w:ascii="Times New Roman" w:hAnsi="Times New Roman" w:cs="Times New Roman" w:eastAsia="Times New Roman" w:hint="default"/>
          <w:spacing w:val="-1"/>
        </w:rPr>
        <w:t>—</w:t>
      </w:r>
      <w:bookmarkStart w:name="1、财务报表的编制基础" w:id="92"/>
      <w:bookmarkEnd w:id="92"/>
      <w:r>
        <w:rPr>
          <w:rFonts w:ascii="Times New Roman" w:hAnsi="Times New Roman" w:cs="Times New Roman" w:eastAsia="Times New Roman" w:hint="default"/>
          <w:spacing w:val="-1"/>
        </w:rPr>
      </w:r>
      <w:r>
        <w:rPr>
          <w:spacing w:val="-1"/>
        </w:rPr>
        <w:t>基本准则》和其他各项具体会计准则、</w:t>
      </w:r>
      <w:r>
        <w:rPr/>
        <w:t> </w:t>
      </w:r>
      <w:r>
        <w:rPr>
          <w:spacing w:val="-2"/>
        </w:rPr>
        <w:t>应用指南及准则解释的规定进行确认和计量，在此基础上编制财务报表。编制符合企业会计准则要求的财务报表需要使用估</w:t>
      </w:r>
      <w:r>
        <w:rPr>
          <w:spacing w:val="-64"/>
        </w:rPr>
        <w:t> </w:t>
      </w:r>
      <w:r>
        <w:rPr>
          <w:spacing w:val="-64"/>
        </w:rPr>
      </w:r>
      <w:r>
        <w:rPr/>
        <w:t>计和假设，这些估计和假设会影响到财务报告日的资产、负债和或有负债的披露，以及报告期间的收入和费用。</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420"/>
        <w:jc w:val="left"/>
      </w:pPr>
      <w:r>
        <w:rPr>
          <w:spacing w:val="-3"/>
        </w:rPr>
        <w:t>本公司编制的财务报表及附注符合财政部</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15</w:t>
      </w:r>
      <w:r>
        <w:rPr>
          <w:spacing w:val="-3"/>
        </w:rPr>
        <w:t>日颁布的《企业会计准则》及其应用指</w:t>
      </w:r>
      <w:bookmarkStart w:name="2、遵循企业会计准则的声明" w:id="93"/>
      <w:bookmarkEnd w:id="93"/>
      <w:r>
        <w:rPr>
          <w:spacing w:val="-3"/>
        </w:rPr>
        <w:t>南和其他后续规定的要求，</w:t>
      </w:r>
      <w:r>
        <w:rPr/>
        <w:t> </w:t>
      </w:r>
      <w:r>
        <w:rPr>
          <w:spacing w:val="-2"/>
        </w:rPr>
        <w:t>真实、完整地反映了本公司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w:t>
      </w:r>
      <w:r>
        <w:rPr>
          <w:rFonts w:ascii="Times New Roman" w:hAnsi="Times New Roman" w:cs="Times New Roman" w:eastAsia="Times New Roman" w:hint="default"/>
          <w:spacing w:val="-2"/>
        </w:rPr>
        <w:t>2012</w:t>
      </w:r>
      <w:r>
        <w:rPr>
          <w:spacing w:val="-2"/>
        </w:rPr>
        <w:t>年度的合并及公司经营成果和合并及公司现金流量</w:t>
      </w:r>
      <w:r>
        <w:rPr>
          <w:spacing w:val="-59"/>
        </w:rPr>
        <w:t> </w:t>
      </w:r>
      <w:r>
        <w:rPr>
          <w:spacing w:val="-59"/>
        </w:rPr>
      </w:r>
      <w:r>
        <w:rPr/>
        <w:t>等有关信息。</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2" w:right="184"/>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2" w:right="184"/>
        <w:jc w:val="left"/>
      </w:pPr>
      <w:r>
        <w:rPr/>
        <w:t>本公司以人民币为记账本位币。</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84"/>
        <w:jc w:val="left"/>
        <w:rPr>
          <w:b w:val="0"/>
          <w:bCs w:val="0"/>
        </w:rPr>
      </w:pPr>
      <w:bookmarkStart w:name="7、现金及现金等价物的确定标准" w:id="94"/>
      <w:bookmarkEnd w:id="9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4"/>
        <w:jc w:val="left"/>
        <w:rPr>
          <w:b w:val="0"/>
          <w:bCs w:val="0"/>
        </w:rPr>
      </w:pPr>
      <w:r>
        <w:rPr/>
        <w:t>（</w:t>
      </w:r>
      <w:r>
        <w:rPr>
          <w:rFonts w:ascii="Times New Roman" w:hAnsi="Times New Roman" w:cs="Times New Roman" w:eastAsia="Times New Roman" w:hint="default"/>
        </w:rPr>
        <w:t>1</w:t>
      </w:r>
      <w:bookmarkStart w:name="5、同一控制下和非同一控制下企业合并的会计处理方法" w:id="95"/>
      <w:bookmarkEnd w:id="95"/>
      <w:r>
        <w:rPr>
          <w:rFonts w:ascii="Times New Roman" w:hAnsi="Times New Roman" w:cs="Times New Roman" w:eastAsia="Times New Roman" w:hint="default"/>
        </w:rPr>
      </w:r>
      <w:bookmarkStart w:name="（1）同一控制下企业合并" w:id="96"/>
      <w:bookmarkEnd w:id="96"/>
      <w:r>
        <w:rPr>
          <w:rFonts w:ascii="Times New Roman" w:hAnsi="Times New Roman" w:cs="Times New Roman" w:eastAsia="Times New Roman" w:hint="default"/>
        </w:rPr>
      </w:r>
      <w:r>
        <w:rPr/>
        <w:t>）同一控制下企业合并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419"/>
        <w:jc w:val="left"/>
      </w:pPr>
      <w:r>
        <w:rPr/>
        <w:t>同一控制下的企业合并，在合并日按照取得被合并方所有者权益账面价值的份额作为长期股权投资的初始投资成本。 长期股权投资初始投资成本与支付的现金、转让的非现金资产、所承担债务账面价值以及所发行股份面值总额之间的差额， 调整资本公积；资本公积不足冲减的，调整留存收益。</w:t>
      </w:r>
    </w:p>
    <w:p>
      <w:pPr>
        <w:spacing w:line="240" w:lineRule="auto" w:before="10"/>
        <w:rPr>
          <w:rFonts w:ascii="宋体" w:hAnsi="宋体" w:cs="宋体" w:eastAsia="宋体" w:hint="default"/>
          <w:sz w:val="22"/>
          <w:szCs w:val="22"/>
        </w:rPr>
      </w:pPr>
    </w:p>
    <w:p>
      <w:pPr>
        <w:pStyle w:val="Heading3"/>
        <w:spacing w:line="240" w:lineRule="auto"/>
        <w:ind w:right="184"/>
        <w:jc w:val="left"/>
        <w:rPr>
          <w:b w:val="0"/>
          <w:bCs w:val="0"/>
        </w:rPr>
      </w:pPr>
      <w:r>
        <w:rPr/>
        <w:t>（</w:t>
      </w:r>
      <w:r>
        <w:rPr>
          <w:rFonts w:ascii="Times New Roman" w:hAnsi="Times New Roman" w:cs="Times New Roman" w:eastAsia="Times New Roman" w:hint="default"/>
        </w:rPr>
        <w:t>2</w:t>
      </w:r>
      <w:r>
        <w:rPr/>
        <w:t>）非同一控制下的企业</w:t>
      </w:r>
      <w:bookmarkStart w:name="（2）非同一控制下的企业合并" w:id="97"/>
      <w:bookmarkEnd w:id="97"/>
      <w:r>
        <w:rPr/>
        <w:t>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6" w:firstLine="419"/>
        <w:jc w:val="both"/>
      </w:pPr>
      <w:r>
        <w:rPr/>
        <w:t>对于非同一控制下的企业合并，合并成本为购买方在购买日为取得对被购买方的控制权而付出的资产、发生或承担的 负债以及发行的权益性证券的公允价值。</w:t>
      </w:r>
    </w:p>
    <w:p>
      <w:pPr>
        <w:pStyle w:val="BodyText"/>
        <w:spacing w:line="240" w:lineRule="auto" w:before="18"/>
        <w:ind w:left="572" w:right="184"/>
        <w:jc w:val="left"/>
      </w:pPr>
      <w:r>
        <w:rPr/>
        <w:t>通过多次交换交易分步实现的非同一控制下企业合并，区分个别财务报表和合并财务报表进行相关会计处理：</w:t>
      </w:r>
    </w:p>
    <w:p>
      <w:pPr>
        <w:pStyle w:val="BodyText"/>
        <w:spacing w:line="316" w:lineRule="auto" w:before="76"/>
        <w:ind w:right="190" w:firstLine="419"/>
        <w:jc w:val="both"/>
      </w:pPr>
      <w:r>
        <w:rPr/>
        <w:t>①</w:t>
      </w:r>
      <w:r>
        <w:rPr>
          <w:spacing w:val="-48"/>
        </w:rPr>
        <w:t> </w:t>
      </w:r>
      <w:r>
        <w:rPr/>
        <w:t>在个别财务报表中，以购买日之前所持被购买方的股权投资的账面价值与购买日新增投资成本之和，作为该项投资</w:t>
      </w:r>
      <w:r>
        <w:rPr/>
        <w:t> </w:t>
      </w:r>
      <w:r>
        <w:rPr>
          <w:spacing w:val="-5"/>
        </w:rPr>
        <w:t>的初始投资成本；购买日之前持有的被购买方的股权涉及其他综合收益的，在处置该项投资时将与其相关的其他综合收益（例</w:t>
      </w:r>
      <w:r>
        <w:rPr>
          <w:spacing w:val="-76"/>
        </w:rPr>
        <w:t> </w:t>
      </w:r>
      <w:r>
        <w:rPr>
          <w:spacing w:val="-76"/>
        </w:rPr>
      </w:r>
      <w:r>
        <w:rPr/>
        <w:t>如，可供出售金融资产公允价值变动计入资本公积的部分，下同）转入当期投资收益。</w:t>
      </w:r>
    </w:p>
    <w:p>
      <w:pPr>
        <w:pStyle w:val="BodyText"/>
        <w:spacing w:line="316" w:lineRule="auto" w:before="18"/>
        <w:ind w:right="193" w:firstLine="419"/>
        <w:jc w:val="both"/>
      </w:pPr>
      <w:r>
        <w:rPr/>
        <w:t>②</w:t>
      </w:r>
      <w:r>
        <w:rPr>
          <w:spacing w:val="-51"/>
        </w:rPr>
        <w:t> </w:t>
      </w:r>
      <w:r>
        <w:rPr/>
        <w:t>在合并财务报表中，对于购买日之前持有的被购买方的股权，按照该股权在购买日的公允价值进行重新计量，公允</w:t>
      </w:r>
      <w:r>
        <w:rPr/>
        <w:t> </w:t>
      </w:r>
      <w:r>
        <w:rPr>
          <w:spacing w:val="-2"/>
        </w:rPr>
        <w:t>价值与其账面价值的差额计入当期投资收益；购买日之前持有的被购买方的股权涉及其他综合收益的，与其相关的其他综合</w:t>
      </w:r>
      <w:r>
        <w:rPr>
          <w:spacing w:val="-64"/>
        </w:rPr>
        <w:t> </w:t>
      </w:r>
      <w:r>
        <w:rPr>
          <w:spacing w:val="-64"/>
        </w:rPr>
      </w:r>
      <w:r>
        <w:rPr/>
        <w:t>收益转为购买日所属当期投资收益。</w:t>
      </w:r>
    </w:p>
    <w:p>
      <w:pPr>
        <w:pStyle w:val="BodyText"/>
        <w:spacing w:line="316" w:lineRule="auto" w:before="18"/>
        <w:ind w:right="101" w:firstLine="419"/>
        <w:jc w:val="both"/>
      </w:pPr>
      <w:r>
        <w:rPr>
          <w:spacing w:val="-1"/>
        </w:rPr>
        <w:t>购买方为进行企业合并发生的审计、法律服务、评估咨询等中介费用以及其他相关管理费用，于发生时计入当期损益；</w:t>
      </w:r>
      <w:r>
        <w:rPr/>
        <w:t> 购买方作为合并对价发行的权益性证券或债务性证券的交易费用，计入权益性证券或债务性证券的初始确认金额。</w:t>
      </w:r>
    </w:p>
    <w:p>
      <w:pPr>
        <w:pStyle w:val="BodyText"/>
        <w:spacing w:line="316" w:lineRule="auto" w:before="18"/>
        <w:ind w:right="193" w:firstLine="419"/>
        <w:jc w:val="both"/>
      </w:pPr>
      <w:r>
        <w:rPr/>
        <w:t>购买方对合并成本大于合并中取得的被购买方可辨认净资产公允价值份额的差额，确认为商誉。购买方对合并成本小 </w:t>
      </w:r>
      <w:r>
        <w:rPr>
          <w:spacing w:val="-2"/>
        </w:rPr>
        <w:t>于合并中取得的被购买方可辨认净资产公允价值份额的，经复核后合并成本仍小于合并中取得的被购买方可辨认净资产公允</w:t>
      </w:r>
      <w:r>
        <w:rPr>
          <w:spacing w:val="-64"/>
        </w:rPr>
        <w:t> </w:t>
      </w:r>
      <w:r>
        <w:rPr>
          <w:spacing w:val="-64"/>
        </w:rPr>
      </w:r>
      <w:r>
        <w:rPr/>
        <w:t>价值份额的差额，计入当期损益。</w:t>
      </w:r>
    </w:p>
    <w:p>
      <w:pPr>
        <w:spacing w:line="240" w:lineRule="auto" w:before="11"/>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84"/>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2" w:right="184"/>
        <w:jc w:val="left"/>
      </w:pPr>
      <w:r>
        <w:rPr/>
        <w:t>本公司将拥有实际控制权的子公司和特殊目的主体纳入合并财务报表范围。 本公司合并财务报表按照《企业会计准则第</w:t>
      </w:r>
      <w:r>
        <w:rPr>
          <w:rFonts w:ascii="Times New Roman" w:hAnsi="Times New Roman" w:cs="Times New Roman" w:eastAsia="Times New Roman" w:hint="default"/>
        </w:rPr>
        <w:t>33</w:t>
      </w:r>
      <w:r>
        <w:rPr/>
        <w:t>号－合并财务报表》及相关规定的要求编制</w:t>
      </w:r>
      <w:bookmarkStart w:name="6、合并财务报表的编制方法" w:id="98"/>
      <w:bookmarkEnd w:id="98"/>
      <w:r>
        <w:rPr/>
        <w:t>，合并</w:t>
      </w:r>
      <w:r>
        <w:rPr/>
        <w:t>时</w:t>
      </w:r>
      <w:bookmarkStart w:name="（1）合并财务报表的编制方法" w:id="99"/>
      <w:bookmarkEnd w:id="99"/>
      <w:r>
        <w:rPr/>
        <w:t>合并</w:t>
      </w:r>
      <w:r>
        <w:rPr/>
        <w:t>范围内的所有</w:t>
      </w:r>
    </w:p>
    <w:p>
      <w:pPr>
        <w:pStyle w:val="BodyText"/>
        <w:spacing w:line="316" w:lineRule="auto"/>
        <w:ind w:right="184"/>
        <w:jc w:val="left"/>
      </w:pPr>
      <w:r>
        <w:rPr>
          <w:spacing w:val="-2"/>
        </w:rPr>
        <w:t>重大内部交易和往来业已抵销。子公司的股东权益中不属于母公司所拥有的部分作为少数股东权益在合并财务报表中股东权</w:t>
      </w:r>
      <w:r>
        <w:rPr>
          <w:spacing w:val="-64"/>
        </w:rPr>
        <w:t> </w:t>
      </w:r>
      <w:r>
        <w:rPr>
          <w:spacing w:val="-64"/>
        </w:rPr>
      </w:r>
      <w:r>
        <w:rPr/>
        <w:t>益项下单独列示。</w:t>
      </w:r>
    </w:p>
    <w:p>
      <w:pPr>
        <w:pStyle w:val="BodyText"/>
        <w:spacing w:line="316" w:lineRule="auto" w:before="18"/>
        <w:ind w:right="196" w:firstLine="419"/>
        <w:jc w:val="both"/>
      </w:pPr>
      <w:r>
        <w:rPr/>
        <w:t>子公司与本公司采用的会计政策或会计期间不一致的，在编制合并财务报表时，按照本公司的会计政策或会计期间对 子公司财务报表进行必要的调整。</w:t>
      </w:r>
    </w:p>
    <w:p>
      <w:pPr>
        <w:pStyle w:val="BodyText"/>
        <w:spacing w:line="316" w:lineRule="auto" w:before="18"/>
        <w:ind w:right="104" w:firstLine="420"/>
        <w:jc w:val="both"/>
      </w:pPr>
      <w:r>
        <w:rPr/>
        <w:t>对于非同一控制下企业合并取得的子公司，在编制合并财务报表时，以购买日可辨认净资产公允价值为基础对其个别 </w:t>
      </w:r>
      <w:r>
        <w:rPr>
          <w:spacing w:val="-2"/>
        </w:rPr>
        <w:t>财务报表进行调整；对于同一控制下企业合并取得的子公司，在编制合并财务报表时，视同合并后形成的报告主体自最终控</w:t>
      </w:r>
      <w:r>
        <w:rPr>
          <w:spacing w:val="-66"/>
        </w:rPr>
        <w:t> </w:t>
      </w:r>
      <w:r>
        <w:rPr>
          <w:spacing w:val="-66"/>
        </w:rPr>
      </w:r>
      <w:r>
        <w:rPr>
          <w:spacing w:val="-4"/>
        </w:rPr>
        <w:t>制方开始实施控制时一直是一体化存续下来的，对合并资产负债表的期初数进行调整，同时对比较报表的相关项目进行调整。</w:t>
      </w:r>
    </w:p>
    <w:p>
      <w:pPr>
        <w:spacing w:line="240" w:lineRule="auto" w:before="11"/>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2" w:right="184"/>
        <w:jc w:val="left"/>
      </w:pPr>
      <w:r>
        <w:rPr/>
        <w:t>本公司将持有的期限短、流动性强、易于转换为已知金额现金、价值变动风险小的投资确定为现金等价物。</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bookmarkStart w:name="8、外币业务和外币报表折算" w:id="100"/>
      <w:bookmarkEnd w:id="100"/>
      <w:r>
        <w:rPr>
          <w:rFonts w:ascii="Times New Roman" w:hAnsi="Times New Roman" w:cs="Times New Roman" w:eastAsia="Times New Roman" w:hint="default"/>
        </w:rPr>
      </w:r>
      <w:bookmarkStart w:name="（1）外币业务" w:id="101"/>
      <w:bookmarkEnd w:id="101"/>
      <w:r>
        <w:rPr>
          <w:rFonts w:ascii="Times New Roman" w:hAnsi="Times New Roman" w:cs="Times New Roman" w:eastAsia="Times New Roman" w:hint="default"/>
        </w:rPr>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419"/>
        <w:jc w:val="both"/>
      </w:pPr>
      <w:r>
        <w:rPr/>
        <w:t>会计年度内涉及的外币经营性业务，按业务发生日中国人民银行公布的市场汇率折合为人民币入账。在资产负债表日 </w:t>
      </w:r>
      <w:r>
        <w:rPr>
          <w:spacing w:val="-2"/>
        </w:rPr>
        <w:t>货币性项目中的非记账本位币余额按资产负债表日中国人民银行公布的汇率进行调整，由此产生的折算差额属于与购建固定</w:t>
      </w:r>
      <w:r>
        <w:rPr>
          <w:spacing w:val="-64"/>
        </w:rPr>
        <w:t> </w:t>
      </w:r>
      <w:r>
        <w:rPr>
          <w:spacing w:val="-64"/>
        </w:rPr>
      </w:r>
      <w:r>
        <w:rPr>
          <w:spacing w:val="-2"/>
        </w:rPr>
        <w:t>资产有关的外币专门借款产生的汇兑损益，按照借款费用资本化的原则进行处理；其他部分计入当期损益。对以历史成本计</w:t>
      </w:r>
      <w:r>
        <w:rPr>
          <w:spacing w:val="-63"/>
        </w:rPr>
        <w:t> </w:t>
      </w:r>
      <w:r>
        <w:rPr>
          <w:spacing w:val="-63"/>
        </w:rPr>
      </w:r>
      <w:r>
        <w:rPr>
          <w:spacing w:val="-2"/>
        </w:rPr>
        <w:t>量的外币非货币性项目，采用交易发生日的即期汇率折算；对以公允价值计量的外币非货币性项目，采用公允价值确定日的</w:t>
      </w:r>
      <w:r>
        <w:rPr>
          <w:spacing w:val="-63"/>
        </w:rPr>
        <w:t> </w:t>
      </w:r>
      <w:r>
        <w:rPr>
          <w:spacing w:val="-63"/>
        </w:rPr>
      </w:r>
      <w:r>
        <w:rPr>
          <w:spacing w:val="-2"/>
        </w:rPr>
        <w:t>即期汇率折算，其折算差额作为公允价值变动损益处理；以历史成本计量的外币非货币性项目，仍采用交易发生日的即期汇</w:t>
      </w:r>
      <w:r>
        <w:rPr>
          <w:spacing w:val="-63"/>
        </w:rPr>
        <w:t> </w:t>
      </w:r>
      <w:r>
        <w:rPr>
          <w:spacing w:val="-63"/>
        </w:rPr>
      </w:r>
      <w:r>
        <w:rPr/>
        <w:t>率折算，不产生汇兑差额。</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2" w:right="184"/>
        <w:jc w:val="left"/>
      </w:pPr>
      <w:bookmarkStart w:name="9、金融工具" w:id="102"/>
      <w:bookmarkEnd w:id="102"/>
      <w:r>
        <w:rPr/>
      </w:r>
      <w:r>
        <w:rPr/>
        <w:t>金融工具是指形成一个企业的金融资产、并形成其他单位的金融负债或权益工具的合同。</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2" w:right="184"/>
        <w:jc w:val="left"/>
      </w:pPr>
      <w:r>
        <w:rPr/>
        <w:t>金融工具划分为金融资产或金融负债。 金融资产于初始确认时分类为：以公允价值计量且其</w:t>
      </w:r>
      <w:bookmarkStart w:name="（1）金融工具的分类" w:id="103"/>
      <w:bookmarkEnd w:id="103"/>
      <w:r>
        <w:rPr/>
        <w:t>变动</w:t>
      </w:r>
      <w:r>
        <w:rPr/>
        <w:t>计入当期损益的金融资产（包括交易性金融资产和指定为以</w:t>
      </w:r>
    </w:p>
    <w:p>
      <w:pPr>
        <w:pStyle w:val="BodyText"/>
        <w:spacing w:line="316" w:lineRule="auto" w:before="18"/>
        <w:ind w:right="195"/>
        <w:jc w:val="both"/>
      </w:pPr>
      <w:r>
        <w:rPr>
          <w:spacing w:val="-2"/>
        </w:rPr>
        <w:t>公允价值计量且其变动计入当期损益的金融资产）、持有至到期投资、应收款项、可供出售金融资产。除应收款项以外的金</w:t>
      </w:r>
      <w:r>
        <w:rPr>
          <w:spacing w:val="-67"/>
        </w:rPr>
        <w:t> </w:t>
      </w:r>
      <w:r>
        <w:rPr>
          <w:spacing w:val="-67"/>
        </w:rPr>
      </w:r>
      <w:r>
        <w:rPr/>
        <w:t>融资产的分类取决于本公司及其子公司对金融资产的持有意图和持有能力等。</w:t>
      </w:r>
    </w:p>
    <w:p>
      <w:pPr>
        <w:pStyle w:val="BodyText"/>
        <w:spacing w:line="316" w:lineRule="auto" w:before="18"/>
        <w:ind w:right="184" w:firstLine="419"/>
        <w:jc w:val="left"/>
      </w:pPr>
      <w:r>
        <w:rPr/>
        <w:t>金融负债于初始确认时分类为：以公允价值计量且其变动计入当期损益的金融负债（包括交易性金融负债和指定为以 公允价值计量且其变动计入当期损益的金融负债）以及其他金融负债。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2" w:right="184"/>
        <w:jc w:val="left"/>
      </w:pPr>
      <w:r>
        <w:rPr/>
        <w:t>①</w:t>
      </w:r>
      <w:r>
        <w:rPr>
          <w:spacing w:val="-18"/>
        </w:rPr>
        <w:t> </w:t>
      </w:r>
      <w:r>
        <w:rPr/>
        <w:t>以公允价值计量且其变动计入当期损益的金融资产</w:t>
      </w:r>
      <w:r>
        <w:rPr/>
        <w:t> 包括交易性金融资产和直接指定为以公允价值计量且其变动计入当期损益的金融资产，按</w:t>
      </w:r>
      <w:bookmarkStart w:name="（2）金融工具的确认依据和计量方法" w:id="104"/>
      <w:bookmarkEnd w:id="104"/>
      <w:r>
        <w:rPr/>
        <w:t>照取得</w:t>
      </w:r>
      <w:r>
        <w:rPr/>
        <w:t>时的公允价值作为初</w:t>
      </w:r>
    </w:p>
    <w:p>
      <w:pPr>
        <w:pStyle w:val="BodyText"/>
        <w:spacing w:line="316" w:lineRule="auto" w:before="18"/>
        <w:ind w:right="191"/>
        <w:jc w:val="both"/>
      </w:pPr>
      <w:r>
        <w:rPr>
          <w:spacing w:val="-2"/>
        </w:rPr>
        <w:t>始确认金额，相关的交易费用在发生时计入当期损益。支付的价款中包含已宣告但尚未发放的现金股利或已到付息期但尚未</w:t>
      </w:r>
      <w:r>
        <w:rPr>
          <w:spacing w:val="-64"/>
        </w:rPr>
        <w:t> </w:t>
      </w:r>
      <w:r>
        <w:rPr>
          <w:spacing w:val="-64"/>
        </w:rPr>
      </w:r>
      <w:r>
        <w:rPr>
          <w:spacing w:val="-2"/>
        </w:rPr>
        <w:t>领取的债券利息，单独确认为应收项目。本公司在持有该等金融资产期间取得的利息或现金股利，确认为投资收益。资产负</w:t>
      </w:r>
      <w:r>
        <w:rPr>
          <w:spacing w:val="-64"/>
        </w:rPr>
        <w:t> </w:t>
      </w:r>
      <w:r>
        <w:rPr>
          <w:spacing w:val="-64"/>
        </w:rPr>
      </w:r>
      <w:r>
        <w:rPr>
          <w:spacing w:val="-2"/>
        </w:rPr>
        <w:t>债表日，本公司将该等金融资产的公允价值变动计入当期损益。处置该等金融资产时，该等金融资产公允价值与初始入账金</w:t>
      </w:r>
      <w:r>
        <w:rPr>
          <w:spacing w:val="-66"/>
        </w:rPr>
        <w:t> </w:t>
      </w:r>
      <w:r>
        <w:rPr>
          <w:spacing w:val="-66"/>
        </w:rPr>
      </w:r>
      <w:r>
        <w:rPr/>
        <w:t>额之间的差额确认为投资收益，同时调整公允价值变动损益。</w:t>
      </w:r>
    </w:p>
    <w:p>
      <w:pPr>
        <w:pStyle w:val="BodyText"/>
        <w:spacing w:line="316" w:lineRule="auto" w:before="18"/>
        <w:ind w:left="572" w:right="184"/>
        <w:jc w:val="left"/>
      </w:pPr>
      <w:r>
        <w:rPr/>
        <w:t>②</w:t>
      </w:r>
      <w:r>
        <w:rPr>
          <w:spacing w:val="-18"/>
        </w:rPr>
        <w:t> </w:t>
      </w:r>
      <w:r>
        <w:rPr/>
        <w:t>持有至到期投资</w:t>
      </w:r>
      <w:r>
        <w:rPr/>
        <w:t> 指到期日固定、回收金额固定或可确定，且本公司有明确意图和能力持有至到期的非衍生金融资产，该非衍生金额资</w:t>
      </w:r>
    </w:p>
    <w:p>
      <w:pPr>
        <w:pStyle w:val="BodyText"/>
        <w:spacing w:line="316" w:lineRule="auto" w:before="18"/>
        <w:ind w:right="191"/>
        <w:jc w:val="both"/>
      </w:pPr>
      <w:r>
        <w:rPr>
          <w:spacing w:val="-2"/>
        </w:rPr>
        <w:t>产有活跃的市场，可以取得其市场价格。本公司对持有至到期投资，按取得时的公允价值和相关交易费用之和作为初始确认</w:t>
      </w:r>
      <w:r>
        <w:rPr>
          <w:spacing w:val="-63"/>
        </w:rPr>
        <w:t> </w:t>
      </w:r>
      <w:r>
        <w:rPr>
          <w:spacing w:val="-63"/>
        </w:rPr>
      </w:r>
      <w:r>
        <w:rPr>
          <w:spacing w:val="-2"/>
        </w:rPr>
        <w:t>金额。支付的价款中包含的已到付息期但尚未领取的债券利息的，单独确认为应收项目。持有至到期投资在持有期间按照摊</w:t>
      </w:r>
      <w:r>
        <w:rPr>
          <w:spacing w:val="-65"/>
        </w:rPr>
        <w:t> </w:t>
      </w:r>
      <w:r>
        <w:rPr>
          <w:spacing w:val="-65"/>
        </w:rPr>
      </w:r>
      <w:r>
        <w:rPr>
          <w:spacing w:val="-2"/>
        </w:rPr>
        <w:t>余成本和实际利率确认利息收入，计入投资收益。实际利率在取得持有至到期投资时确定，在随后期间保持不变。实际利率</w:t>
      </w:r>
      <w:r>
        <w:rPr>
          <w:spacing w:val="-66"/>
        </w:rPr>
        <w:t> </w:t>
      </w:r>
      <w:r>
        <w:rPr>
          <w:spacing w:val="-66"/>
        </w:rPr>
      </w:r>
      <w:r>
        <w:rPr>
          <w:spacing w:val="-2"/>
        </w:rPr>
        <w:t>与票面利率差别很小的，按票面利率计算利息收入，计入投资收益。处置持有至到期投资时，将所取得价款与该投资账面价</w:t>
      </w:r>
      <w:r>
        <w:rPr>
          <w:spacing w:val="-65"/>
        </w:rPr>
        <w:t> </w:t>
      </w:r>
      <w:r>
        <w:rPr>
          <w:spacing w:val="-65"/>
        </w:rPr>
      </w:r>
      <w:r>
        <w:rPr/>
        <w:t>值之间的差额确认为投资收益。</w:t>
      </w:r>
    </w:p>
    <w:p>
      <w:pPr>
        <w:pStyle w:val="BodyText"/>
        <w:spacing w:line="316" w:lineRule="auto" w:before="18"/>
        <w:ind w:right="94" w:firstLine="419"/>
        <w:jc w:val="left"/>
      </w:pPr>
      <w:r>
        <w:rPr>
          <w:spacing w:val="-2"/>
        </w:rPr>
        <w:t>如本公司因持有意图或能力发生改变，使某项投资不再适合作为持有至到期投资，则将其重分类为可供出售金融资产，</w:t>
      </w:r>
      <w:r>
        <w:rPr/>
        <w:t> </w:t>
      </w:r>
      <w:r>
        <w:rPr>
          <w:spacing w:val="-2"/>
        </w:rPr>
        <w:t>并以公允价值进行后续计量。重分类日，该投资的账面价值与公允价值之间的差额计入所有者权益，在该可供出售金融资产</w:t>
      </w:r>
      <w:r>
        <w:rPr>
          <w:spacing w:val="-63"/>
        </w:rPr>
        <w:t> </w:t>
      </w:r>
      <w:r>
        <w:rPr>
          <w:spacing w:val="-63"/>
        </w:rPr>
      </w:r>
      <w:r>
        <w:rPr/>
        <w:t>发生减值或终止确认时转出，计入当期损益。</w:t>
      </w:r>
    </w:p>
    <w:p>
      <w:pPr>
        <w:pStyle w:val="BodyText"/>
        <w:spacing w:line="316" w:lineRule="auto" w:before="18"/>
        <w:ind w:left="572" w:right="184"/>
        <w:jc w:val="left"/>
      </w:pPr>
      <w:r>
        <w:rPr/>
        <w:t>③</w:t>
      </w:r>
      <w:r>
        <w:rPr>
          <w:spacing w:val="-18"/>
        </w:rPr>
        <w:t> </w:t>
      </w:r>
      <w:r>
        <w:rPr/>
        <w:t>可供出售金融资产</w:t>
      </w:r>
      <w:r>
        <w:rPr/>
        <w:t> 指初始确认时即被指定为可供出售的非衍生金融资产，即本公司没有划分为以公允价值计量且其变动计入当期损益的</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72" w:right="184" w:hanging="420"/>
        <w:jc w:val="left"/>
      </w:pPr>
      <w:bookmarkStart w:name="（4）金融负债终止确认条件" w:id="105"/>
      <w:bookmarkEnd w:id="105"/>
      <w:r>
        <w:rPr/>
      </w:r>
      <w:r>
        <w:rPr/>
        <w:t>金融资产、持有至到期投资、贷款和应收款项的金融资产。 本公司可供出售金融资产按取得时的公允价值和相关交易费用之和作为初始确认金额。支付的价款中包含已到付息期</w:t>
      </w:r>
    </w:p>
    <w:p>
      <w:pPr>
        <w:pStyle w:val="BodyText"/>
        <w:spacing w:line="309" w:lineRule="auto" w:before="18"/>
        <w:ind w:right="193"/>
        <w:jc w:val="both"/>
      </w:pPr>
      <w:r>
        <w:rPr>
          <w:spacing w:val="-2"/>
        </w:rPr>
        <w:t>但尚未领取的债券利息或已宣告但尚未发放的现金股利，单独确认为应收项目。本公司可供出售金融资产持有期间取得的利</w:t>
      </w:r>
      <w:r>
        <w:rPr>
          <w:spacing w:val="-64"/>
        </w:rPr>
        <w:t> </w:t>
      </w:r>
      <w:r>
        <w:rPr>
          <w:spacing w:val="-64"/>
        </w:rPr>
      </w:r>
      <w:r>
        <w:rPr/>
        <w:t>息或现金股利，确认为投资收益。资产负债表日，可供出售资产按公允价值计量，其公允价值变动计入</w:t>
      </w:r>
      <w:r>
        <w:rPr>
          <w:rFonts w:ascii="Times New Roman" w:hAnsi="Times New Roman" w:cs="Times New Roman" w:eastAsia="Times New Roman" w:hint="default"/>
        </w:rPr>
        <w:t>“</w:t>
      </w:r>
      <w:r>
        <w:rPr/>
        <w:t>资本公积－其他资</w:t>
      </w:r>
      <w:r>
        <w:rPr>
          <w:spacing w:val="-76"/>
        </w:rPr>
        <w:t> </w:t>
      </w:r>
      <w:r>
        <w:rPr>
          <w:spacing w:val="-76"/>
        </w:rPr>
      </w:r>
      <w:r>
        <w:rPr/>
        <w:t>本公积</w:t>
      </w:r>
      <w:r>
        <w:rPr>
          <w:rFonts w:ascii="Times New Roman" w:hAnsi="Times New Roman" w:cs="Times New Roman" w:eastAsia="Times New Roman" w:hint="default"/>
        </w:rPr>
        <w:t>”</w:t>
      </w:r>
      <w:r>
        <w:rPr/>
        <w:t>。</w:t>
      </w:r>
    </w:p>
    <w:p>
      <w:pPr>
        <w:pStyle w:val="BodyText"/>
        <w:spacing w:line="316" w:lineRule="auto" w:before="5"/>
        <w:ind w:right="184" w:firstLine="419"/>
        <w:jc w:val="left"/>
      </w:pPr>
      <w:r>
        <w:rPr/>
        <w:t>处置可供出售金融资产时，将取得的价款和该金融资产的账面价值之间的差额，计入投资收益，同时，将原直接计入 所有者权益的公允价值变动累计额对应处置部分的金额转出，计入投资收益。</w:t>
      </w:r>
    </w:p>
    <w:p>
      <w:pPr>
        <w:pStyle w:val="BodyText"/>
        <w:spacing w:line="316" w:lineRule="auto" w:before="18"/>
        <w:ind w:left="572" w:right="176"/>
        <w:jc w:val="left"/>
      </w:pPr>
      <w:r>
        <w:rPr/>
        <w:t>④</w:t>
      </w:r>
      <w:r>
        <w:rPr>
          <w:spacing w:val="-18"/>
        </w:rPr>
        <w:t> </w:t>
      </w:r>
      <w:r>
        <w:rPr/>
        <w:t>以公允价值计量且其变动计入当期损益的金融负债</w:t>
      </w:r>
      <w:r>
        <w:rPr/>
        <w:t> </w:t>
      </w:r>
      <w:r>
        <w:rPr>
          <w:spacing w:val="-1"/>
        </w:rPr>
        <w:t>指交易性金融负债和直接指定为以公允价值计量且其变动计入当期损益的金融负债，具体包括：</w:t>
      </w:r>
      <w:r>
        <w:rPr>
          <w:rFonts w:ascii="Times New Roman" w:hAnsi="Times New Roman" w:cs="Times New Roman" w:eastAsia="Times New Roman" w:hint="default"/>
          <w:spacing w:val="-1"/>
        </w:rPr>
        <w:t>1</w:t>
      </w:r>
      <w:r>
        <w:rPr>
          <w:spacing w:val="-1"/>
        </w:rPr>
        <w:t>）为了近期内回购而</w:t>
      </w:r>
    </w:p>
    <w:p>
      <w:pPr>
        <w:pStyle w:val="BodyText"/>
        <w:spacing w:line="300" w:lineRule="auto"/>
        <w:ind w:right="193"/>
        <w:jc w:val="both"/>
      </w:pPr>
      <w:r>
        <w:rPr/>
        <w:t>承担的金融负债；</w:t>
      </w:r>
      <w:r>
        <w:rPr>
          <w:rFonts w:ascii="Times New Roman" w:hAnsi="Times New Roman" w:cs="Times New Roman" w:eastAsia="Times New Roman" w:hint="default"/>
        </w:rPr>
        <w:t>2</w:t>
      </w:r>
      <w:r>
        <w:rPr/>
        <w:t>）本公司基于风险管理、战略投资需要等，直接指定为以公允价值计量且其变动计入当期损益的金融负</w:t>
      </w:r>
      <w:r>
        <w:rPr>
          <w:spacing w:val="-84"/>
        </w:rPr>
        <w:t> </w:t>
      </w:r>
      <w:r>
        <w:rPr>
          <w:spacing w:val="-84"/>
        </w:rPr>
      </w:r>
      <w:r>
        <w:rPr/>
        <w:t>债；</w:t>
      </w:r>
      <w:r>
        <w:rPr>
          <w:rFonts w:ascii="Times New Roman" w:hAnsi="Times New Roman" w:cs="Times New Roman" w:eastAsia="Times New Roman" w:hint="default"/>
        </w:rPr>
        <w:t>3</w:t>
      </w:r>
      <w:r>
        <w:rPr/>
        <w:t>）不作为有效套期工具的衍生工具。</w:t>
      </w:r>
    </w:p>
    <w:p>
      <w:pPr>
        <w:pStyle w:val="BodyText"/>
        <w:spacing w:line="316" w:lineRule="auto" w:before="13"/>
        <w:ind w:right="184" w:firstLine="419"/>
        <w:jc w:val="left"/>
      </w:pPr>
      <w:r>
        <w:rPr/>
        <w:t>本公司持有该类金融负债按公允价值计价，不扣除将来结清金融负债时可能发生的交易费用。如不适合按公允价值计 量时，本公司将该类金融负债改按摊余成本计量。</w:t>
      </w:r>
    </w:p>
    <w:p>
      <w:pPr>
        <w:pStyle w:val="BodyText"/>
        <w:spacing w:line="316" w:lineRule="auto" w:before="18"/>
        <w:ind w:left="572" w:right="184"/>
        <w:jc w:val="left"/>
      </w:pPr>
      <w:r>
        <w:rPr/>
        <w:t>⑤</w:t>
      </w:r>
      <w:r>
        <w:rPr>
          <w:spacing w:val="-18"/>
        </w:rPr>
        <w:t> </w:t>
      </w:r>
      <w:r>
        <w:rPr/>
        <w:t>其他金融负债</w:t>
      </w:r>
      <w:r>
        <w:rPr/>
        <w:t> 本公司的其他金融负债是指除以公允价值计量且其变动计入当期损益的金融负债以外的金融负债。主要包括企业发行</w:t>
      </w:r>
    </w:p>
    <w:p>
      <w:pPr>
        <w:pStyle w:val="BodyText"/>
        <w:spacing w:line="316" w:lineRule="auto" w:before="18"/>
        <w:ind w:right="111"/>
        <w:jc w:val="both"/>
      </w:pPr>
      <w:r>
        <w:rPr/>
        <w:t>的债券、因购买商品产生的应付账款、长期应付款等。其他金融负债按其公允价值和相关交易费用之和作为初始确认金额。 采用摊余成本进行后续计量。</w:t>
      </w:r>
    </w:p>
    <w:p>
      <w:pPr>
        <w:pStyle w:val="BodyText"/>
        <w:spacing w:line="316" w:lineRule="auto" w:before="18"/>
        <w:ind w:right="184" w:firstLine="419"/>
        <w:jc w:val="left"/>
      </w:pPr>
      <w:r>
        <w:rPr/>
        <w:t>本公司拥有的其他不属于以公允价值计量且其变动计入当期损益的金融负债的财务担保合同等，按其公允价值和相关 交易费用之和作为初始确认金额。在初始计量后按照下列两项金额之中的较高者进行后续计量：</w:t>
      </w:r>
    </w:p>
    <w:p>
      <w:pPr>
        <w:pStyle w:val="BodyText"/>
        <w:spacing w:line="240" w:lineRule="auto" w:before="18"/>
        <w:ind w:left="572" w:right="184"/>
        <w:jc w:val="left"/>
      </w:pPr>
      <w:r>
        <w:rPr>
          <w:rFonts w:ascii="Times New Roman" w:hAnsi="Times New Roman" w:cs="Times New Roman" w:eastAsia="Times New Roman" w:hint="default"/>
        </w:rPr>
        <w:t>1</w:t>
      </w:r>
      <w:r>
        <w:rPr/>
        <w:t>．按照《企业会计准则第</w:t>
      </w:r>
      <w:r>
        <w:rPr>
          <w:rFonts w:ascii="Times New Roman" w:hAnsi="Times New Roman" w:cs="Times New Roman" w:eastAsia="Times New Roman" w:hint="default"/>
        </w:rPr>
        <w:t>13</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或有事项》确定的金额；</w:t>
      </w:r>
    </w:p>
    <w:p>
      <w:pPr>
        <w:pStyle w:val="BodyText"/>
        <w:spacing w:line="240" w:lineRule="auto" w:before="62"/>
        <w:ind w:left="572" w:right="184"/>
        <w:jc w:val="left"/>
      </w:pPr>
      <w:r>
        <w:rPr>
          <w:rFonts w:ascii="Times New Roman" w:hAnsi="Times New Roman" w:cs="Times New Roman" w:eastAsia="Times New Roman" w:hint="default"/>
        </w:rPr>
        <w:t>2</w:t>
      </w:r>
      <w:r>
        <w:rPr/>
        <w:t>．初始确认金额扣除按照《企业会计准则第</w:t>
      </w:r>
      <w:r>
        <w:rPr>
          <w:rFonts w:ascii="Times New Roman" w:hAnsi="Times New Roman" w:cs="Times New Roman" w:eastAsia="Times New Roman" w:hint="default"/>
        </w:rPr>
        <w:t>14</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收入》的原则确定的累计摊销额后的余额。</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2" w:right="184"/>
        <w:jc w:val="left"/>
      </w:pPr>
      <w:r>
        <w:rPr/>
        <w:t>本公司的金融资产转移，包括下列两种情形：</w:t>
      </w:r>
    </w:p>
    <w:p>
      <w:pPr>
        <w:pStyle w:val="BodyText"/>
        <w:spacing w:line="240" w:lineRule="auto" w:before="76"/>
        <w:ind w:left="572" w:right="184"/>
        <w:jc w:val="left"/>
      </w:pPr>
      <w:r>
        <w:rPr/>
        <w:t>①</w:t>
      </w:r>
      <w:r>
        <w:rPr>
          <w:spacing w:val="-18"/>
        </w:rPr>
        <w:t> </w:t>
      </w:r>
      <w:r>
        <w:rPr/>
        <w:t>将收取金融资产现金流量的权利转移给另一方；</w:t>
      </w:r>
    </w:p>
    <w:p>
      <w:pPr>
        <w:pStyle w:val="BodyText"/>
        <w:spacing w:line="316" w:lineRule="auto" w:before="76"/>
        <w:ind w:right="174" w:firstLine="419"/>
        <w:jc w:val="left"/>
      </w:pPr>
      <w:r>
        <w:rPr/>
        <w:t>②</w:t>
      </w:r>
      <w:r>
        <w:rPr>
          <w:spacing w:val="-49"/>
        </w:rPr>
        <w:t> </w:t>
      </w:r>
      <w:r>
        <w:rPr/>
        <w:t>将金融资产转移给另一方，但保留收取金融资产现金流量的权利，</w:t>
      </w:r>
      <w:bookmarkStart w:name="（3）金融资产转移的确认依据和计量方法" w:id="106"/>
      <w:bookmarkEnd w:id="106"/>
      <w:r>
        <w:rPr/>
        <w:t>并承担将收取的现金流量支付给最终收款方的义</w:t>
      </w:r>
      <w:r>
        <w:rPr/>
        <w:t> 务，同时满足下列条件：</w:t>
      </w:r>
    </w:p>
    <w:p>
      <w:pPr>
        <w:pStyle w:val="BodyText"/>
        <w:spacing w:line="300" w:lineRule="auto" w:before="18"/>
        <w:ind w:right="184" w:firstLine="419"/>
        <w:jc w:val="left"/>
      </w:pPr>
      <w:r>
        <w:rPr>
          <w:rFonts w:ascii="Times New Roman" w:hAnsi="Times New Roman" w:cs="Times New Roman" w:eastAsia="Times New Roman" w:hint="default"/>
        </w:rPr>
        <w:t>A</w:t>
      </w:r>
      <w:r>
        <w:rPr/>
        <w:t>．从该金融资产收到对等的现金流量时，才有义务将其支付给最终收款方。企业发生短期垫付款，但有权全额收回</w:t>
      </w:r>
      <w:r>
        <w:rPr>
          <w:spacing w:val="2"/>
        </w:rPr>
        <w:t> </w:t>
      </w:r>
      <w:r>
        <w:rPr/>
        <w:t>该垫付款并按照市场上同期银行贷款利率计收利息的，视同满足本条件。</w:t>
      </w:r>
    </w:p>
    <w:p>
      <w:pPr>
        <w:pStyle w:val="BodyText"/>
        <w:spacing w:line="300" w:lineRule="auto" w:before="31"/>
        <w:ind w:left="572" w:right="184"/>
        <w:jc w:val="left"/>
      </w:pPr>
      <w:r>
        <w:rPr>
          <w:rFonts w:ascii="Times New Roman" w:hAnsi="Times New Roman" w:cs="Times New Roman" w:eastAsia="Times New Roman" w:hint="default"/>
        </w:rPr>
        <w:t>B</w:t>
      </w:r>
      <w:r>
        <w:rPr/>
        <w:t>．根据合同约定，不能出售该金融资产或作为担保物，但可以将其作为对最终收款方支付现金流量的保证。 </w:t>
      </w:r>
      <w:r>
        <w:rPr>
          <w:rFonts w:ascii="Times New Roman" w:hAnsi="Times New Roman" w:cs="Times New Roman" w:eastAsia="Times New Roman" w:hint="default"/>
          <w:spacing w:val="-2"/>
        </w:rPr>
        <w:t>C</w:t>
      </w:r>
      <w:r>
        <w:rPr>
          <w:spacing w:val="-2"/>
        </w:rPr>
        <w:t>．有义务将收取的现金流量及时支付给最终收款方。企业无权将该现金流量进行再投资，但按照合同约定在相邻两次</w:t>
      </w:r>
    </w:p>
    <w:p>
      <w:pPr>
        <w:pStyle w:val="BodyText"/>
        <w:spacing w:line="316" w:lineRule="auto" w:before="13"/>
        <w:ind w:right="193"/>
        <w:jc w:val="both"/>
      </w:pPr>
      <w:r>
        <w:rPr>
          <w:spacing w:val="-2"/>
        </w:rPr>
        <w:t>支付间隔期内将所收到的现金流量进行现金或现金等价物投资的除外。企业按照合同约定进行再投资的，应当将投资收益按</w:t>
      </w:r>
      <w:r>
        <w:rPr>
          <w:spacing w:val="-64"/>
        </w:rPr>
        <w:t> </w:t>
      </w:r>
      <w:r>
        <w:rPr>
          <w:spacing w:val="-64"/>
        </w:rPr>
      </w:r>
      <w:r>
        <w:rPr/>
        <w:t>照合同约定支付给最终收款方。</w:t>
      </w:r>
    </w:p>
    <w:p>
      <w:pPr>
        <w:pStyle w:val="BodyText"/>
        <w:spacing w:line="316" w:lineRule="auto" w:before="18"/>
        <w:ind w:right="184" w:firstLine="419"/>
        <w:jc w:val="left"/>
      </w:pPr>
      <w:r>
        <w:rPr/>
        <w:t>已将金融资产所有权上几乎所有的风险和报酬转移给转入方的，终止确认该金融资产；保留了金融资产所有权上几乎 所有的风险和报酬的，不终止确认该金融资产。</w:t>
      </w:r>
    </w:p>
    <w:p>
      <w:pPr>
        <w:pStyle w:val="BodyText"/>
        <w:spacing w:line="240" w:lineRule="auto" w:before="16"/>
        <w:ind w:left="572" w:right="184"/>
        <w:jc w:val="left"/>
      </w:pPr>
      <w:r>
        <w:rPr/>
        <w:t>既没有转移也没有保留金融资产所有权上几乎所有的风险和报酬的，分别下列情况处理：</w:t>
      </w:r>
    </w:p>
    <w:p>
      <w:pPr>
        <w:pStyle w:val="BodyText"/>
        <w:spacing w:line="240" w:lineRule="auto" w:before="76"/>
        <w:ind w:left="572" w:right="184"/>
        <w:jc w:val="left"/>
      </w:pPr>
      <w:r>
        <w:rPr/>
        <w:t>①</w:t>
      </w:r>
      <w:r>
        <w:rPr>
          <w:spacing w:val="-18"/>
        </w:rPr>
        <w:t> </w:t>
      </w:r>
      <w:r>
        <w:rPr/>
        <w:t>放弃了对该金融资产控制的，终止确认该金融资产。</w:t>
      </w:r>
    </w:p>
    <w:p>
      <w:pPr>
        <w:pStyle w:val="BodyText"/>
        <w:spacing w:line="240" w:lineRule="auto" w:before="76"/>
        <w:ind w:left="572" w:right="184"/>
        <w:jc w:val="left"/>
      </w:pPr>
      <w:r>
        <w:rPr/>
        <w:t>②</w:t>
      </w:r>
      <w:r>
        <w:rPr>
          <w:spacing w:val="-18"/>
        </w:rPr>
        <w:t> </w:t>
      </w:r>
      <w:r>
        <w:rPr/>
        <w:t>未放弃对该金融资产控制的，按照其继续涉入所转移金融资产的程度确认有关金融资产，并相应确认有关负债。</w:t>
      </w:r>
    </w:p>
    <w:p>
      <w:pPr>
        <w:spacing w:line="240" w:lineRule="auto" w:before="0"/>
        <w:rPr>
          <w:rFonts w:ascii="宋体" w:hAnsi="宋体" w:cs="宋体" w:eastAsia="宋体" w:hint="default"/>
          <w:sz w:val="18"/>
          <w:szCs w:val="18"/>
        </w:rPr>
      </w:pPr>
    </w:p>
    <w:p>
      <w:pPr>
        <w:pStyle w:val="Heading3"/>
        <w:spacing w:line="240" w:lineRule="auto" w:before="121"/>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4" w:firstLine="419"/>
        <w:jc w:val="left"/>
      </w:pPr>
      <w:r>
        <w:rPr/>
        <w:t>金融负债的现时义务全部或部分已经解除的，终止确认该金融负债或其一部分。金融负债全部或部分终止确认的，将 终止确认部分的账面价值与支付的对价（包括转出的非现金资产或承担的新金融负债）之间的差额，计入当期损益。</w:t>
      </w:r>
    </w:p>
    <w:p>
      <w:pPr>
        <w:spacing w:after="0" w:line="316"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84"/>
        <w:jc w:val="left"/>
        <w:rPr>
          <w:b w:val="0"/>
          <w:bCs w:val="0"/>
        </w:rPr>
      </w:pPr>
      <w:bookmarkStart w:name="（2）按组合计提坏账准备的应收款项" w:id="107"/>
      <w:bookmarkEnd w:id="107"/>
      <w:r>
        <w:rPr>
          <w:b w:val="0"/>
          <w:bCs w:val="0"/>
        </w:rPr>
      </w: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419"/>
        <w:jc w:val="left"/>
      </w:pPr>
      <w:bookmarkStart w:name="（5）金融资产和金融负债公允价值的确定方法" w:id="108"/>
      <w:bookmarkEnd w:id="108"/>
      <w:r>
        <w:rPr/>
      </w:r>
      <w:r>
        <w:rPr/>
        <w:t>本公司公允价值在计量时分为三个层次，第一层次是企业在计量日能获得相同资产或负债在活跃市场上报价的，以该 </w:t>
      </w:r>
      <w:r>
        <w:rPr>
          <w:spacing w:val="-2"/>
        </w:rPr>
        <w:t>报价为依据确定公允价值；第二层次是企业在计量日能获得类似资产或负债在活跃市场上的报价，或相同或类似资产或负债</w:t>
      </w:r>
      <w:r>
        <w:rPr>
          <w:spacing w:val="-64"/>
        </w:rPr>
        <w:t> </w:t>
      </w:r>
      <w:r>
        <w:rPr>
          <w:spacing w:val="-64"/>
        </w:rPr>
      </w:r>
      <w:r>
        <w:rPr>
          <w:spacing w:val="-2"/>
        </w:rPr>
        <w:t>在非活跃市场上的报价的，以该报价为依据做必要调整确定公允价值；第三层次是企业无法获得相同或类似资产可比市场交</w:t>
      </w:r>
      <w:r>
        <w:rPr>
          <w:spacing w:val="-64"/>
        </w:rPr>
        <w:t> </w:t>
      </w:r>
      <w:r>
        <w:rPr>
          <w:spacing w:val="-64"/>
        </w:rPr>
      </w:r>
      <w:r>
        <w:rPr>
          <w:spacing w:val="-4"/>
        </w:rPr>
        <w:t>易价格的，以其他反映市场参与者对资产或负债定价时所使用的参数为依据确定公允价值。尽可能使用相关的可观察输入值，</w:t>
      </w:r>
      <w:r>
        <w:rPr>
          <w:spacing w:val="-44"/>
        </w:rPr>
        <w:t> </w:t>
      </w:r>
      <w:r>
        <w:rPr>
          <w:spacing w:val="-44"/>
        </w:rPr>
      </w:r>
      <w:r>
        <w:rPr/>
        <w:t>尽量避免使用不可观察输入值。</w:t>
      </w:r>
    </w:p>
    <w:p>
      <w:pPr>
        <w:spacing w:line="240" w:lineRule="auto" w:before="11"/>
        <w:rPr>
          <w:rFonts w:ascii="宋体" w:hAnsi="宋体" w:cs="宋体" w:eastAsia="宋体" w:hint="default"/>
          <w:sz w:val="22"/>
          <w:szCs w:val="22"/>
        </w:rPr>
      </w:pPr>
    </w:p>
    <w:p>
      <w:pPr>
        <w:pStyle w:val="Heading3"/>
        <w:spacing w:line="240" w:lineRule="auto"/>
        <w:ind w:right="184"/>
        <w:jc w:val="left"/>
        <w:rPr>
          <w:b w:val="0"/>
          <w:bCs w:val="0"/>
        </w:rPr>
      </w:pPr>
      <w:r>
        <w:rPr/>
        <w:t>（</w:t>
      </w:r>
      <w:r>
        <w:rPr>
          <w:rFonts w:ascii="Times New Roman" w:hAnsi="Times New Roman" w:cs="Times New Roman" w:eastAsia="Times New Roman" w:hint="default"/>
        </w:rPr>
        <w:t>6</w:t>
      </w:r>
      <w:r>
        <w:rPr/>
        <w:t>）金融资产（不含应收</w:t>
      </w:r>
      <w:bookmarkStart w:name="（6）金融资产（不含应收款项）减值测试方法、减值准备计提方法" w:id="109"/>
      <w:bookmarkEnd w:id="109"/>
      <w:r>
        <w:rPr/>
        <w:t>款项）减值测试方</w:t>
      </w:r>
      <w:r>
        <w:rPr/>
        <w:t>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2" w:right="184"/>
        <w:jc w:val="left"/>
      </w:pPr>
      <w:r>
        <w:rPr/>
        <w:t>资产负债表日，本公司对以公允价值计量且其变动计入当期损益的金融资产以外的金融资产的账面价值进行检查。 对于持有至到期投资，有客观证据表明其发生了减值的，根据其账面价值与预计未来现金流量现值之间差额计算确认</w:t>
      </w:r>
    </w:p>
    <w:p>
      <w:pPr>
        <w:pStyle w:val="BodyText"/>
        <w:spacing w:line="316" w:lineRule="auto" w:before="18"/>
        <w:ind w:right="184"/>
        <w:jc w:val="left"/>
      </w:pPr>
      <w:r>
        <w:rPr>
          <w:spacing w:val="-2"/>
        </w:rPr>
        <w:t>减值损失；计提后如有证据表明其价值已恢复，原确认的减值损失可予以转回，记入当期损益，但该转回的账面价值不超过</w:t>
      </w:r>
      <w:r>
        <w:rPr>
          <w:spacing w:val="-65"/>
        </w:rPr>
        <w:t> </w:t>
      </w:r>
      <w:r>
        <w:rPr>
          <w:spacing w:val="-65"/>
        </w:rPr>
      </w:r>
      <w:r>
        <w:rPr/>
        <w:t>假定不计提减值准备情况下该金融资产在转回日的摊余成本。</w:t>
      </w:r>
    </w:p>
    <w:p>
      <w:pPr>
        <w:pStyle w:val="BodyText"/>
        <w:spacing w:line="316" w:lineRule="auto" w:before="18"/>
        <w:ind w:right="193" w:firstLine="419"/>
        <w:jc w:val="both"/>
      </w:pPr>
      <w:r>
        <w:rPr/>
        <w:t>对于可供出售金融资产，如果其公允价值出现持续大幅度下降，且预期该下降为非暂时性的，则根据其初始投资成本 </w:t>
      </w:r>
      <w:r>
        <w:rPr>
          <w:spacing w:val="-2"/>
        </w:rPr>
        <w:t>扣除已收回本金和已摊销金额及当期公允价值后的差额计算确认减值损失；在计提减值损失时将原直接计入所有者权益的公</w:t>
      </w:r>
      <w:r>
        <w:rPr>
          <w:spacing w:val="-64"/>
        </w:rPr>
        <w:t> </w:t>
      </w:r>
      <w:r>
        <w:rPr>
          <w:spacing w:val="-64"/>
        </w:rPr>
      </w:r>
      <w:r>
        <w:rPr/>
        <w:t>允价值下降形成的累计损失一并转出，计入</w:t>
      </w:r>
      <w:r>
        <w:rPr>
          <w:rFonts w:ascii="Times New Roman" w:hAnsi="Times New Roman" w:cs="Times New Roman" w:eastAsia="Times New Roman" w:hint="default"/>
        </w:rPr>
        <w:t>“</w:t>
      </w:r>
      <w:r>
        <w:rPr/>
        <w:t>资产减值损失</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right="184"/>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8"/>
          <w:szCs w:val="28"/>
        </w:rPr>
      </w:pPr>
    </w:p>
    <w:p>
      <w:pPr>
        <w:pStyle w:val="BodyText"/>
        <w:spacing w:line="240" w:lineRule="auto"/>
        <w:ind w:left="572" w:right="184"/>
        <w:jc w:val="left"/>
      </w:pPr>
      <w:r>
        <w:rPr/>
        <w:t>公司应收款项坏账核算采用备抵法。</w:t>
      </w:r>
    </w:p>
    <w:p>
      <w:pPr>
        <w:spacing w:line="240" w:lineRule="auto" w:before="0"/>
        <w:rPr>
          <w:rFonts w:ascii="宋体" w:hAnsi="宋体" w:cs="宋体" w:eastAsia="宋体" w:hint="default"/>
          <w:sz w:val="18"/>
          <w:szCs w:val="18"/>
        </w:rPr>
      </w:pPr>
    </w:p>
    <w:p>
      <w:pPr>
        <w:pStyle w:val="Heading3"/>
        <w:spacing w:line="240" w:lineRule="auto" w:before="120"/>
        <w:ind w:right="184"/>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3"/>
        <w:gridCol w:w="4514"/>
      </w:tblGrid>
      <w:tr>
        <w:trPr>
          <w:trHeight w:val="1027" w:hRule="exact"/>
        </w:trPr>
        <w:tc>
          <w:tcPr>
            <w:tcW w:w="5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bookmarkStart w:name="10、应收款项坏账准备的确认标准和计提方法" w:id="110"/>
            <w:bookmarkEnd w:id="110"/>
            <w:r>
              <w:rPr/>
            </w:r>
            <w:bookmarkStart w:name="（1）单项金额重大的应收款项坏账准备" w:id="111"/>
            <w:bookmarkEnd w:id="111"/>
            <w:r>
              <w:rPr/>
            </w:r>
            <w:r>
              <w:rPr>
                <w:rFonts w:ascii="宋体" w:hAnsi="宋体" w:cs="宋体" w:eastAsia="宋体" w:hint="default"/>
                <w:spacing w:val="-2"/>
                <w:sz w:val="18"/>
                <w:szCs w:val="18"/>
              </w:rPr>
              <w:t>对于单项金额重大的应收款项，单独进行减值测试。本公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司单项金额重大的应收账款是指单个客户金额</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 上的应收款项。</w:t>
            </w:r>
          </w:p>
        </w:tc>
      </w:tr>
      <w:tr>
        <w:trPr>
          <w:trHeight w:val="1337" w:hRule="exact"/>
        </w:trPr>
        <w:tc>
          <w:tcPr>
            <w:tcW w:w="5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对个别回收风险显著不同的款项采用个别认定法进行计 </w:t>
            </w:r>
            <w:r>
              <w:rPr>
                <w:rFonts w:ascii="宋体" w:hAnsi="宋体" w:cs="宋体" w:eastAsia="宋体" w:hint="default"/>
                <w:spacing w:val="-2"/>
                <w:sz w:val="18"/>
                <w:szCs w:val="18"/>
              </w:rPr>
              <w:t>提。将其余款项按账龄划分为若干个应收款项组合，并估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计每个组合发生减值的可能性，以此来确定相应的坏账准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84"/>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6"/>
        <w:gridCol w:w="4783"/>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以账龄为信用风险组合确认依据</w:t>
            </w:r>
          </w:p>
        </w:tc>
      </w:tr>
    </w:tbl>
    <w:p>
      <w:pPr>
        <w:pStyle w:val="BodyText"/>
        <w:spacing w:line="240" w:lineRule="auto" w:before="49"/>
        <w:ind w:right="184"/>
        <w:jc w:val="left"/>
      </w:pPr>
      <w:r>
        <w:rPr/>
        <w:t>组合中，采用账龄分析法计提坏账准备的</w:t>
      </w:r>
    </w:p>
    <w:p>
      <w:pPr>
        <w:pStyle w:val="BodyText"/>
        <w:spacing w:line="240" w:lineRule="auto" w:before="115"/>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8"/>
        <w:gridCol w:w="2976"/>
        <w:gridCol w:w="39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bookmarkStart w:name="（4）存货的盘存制度" w:id="112"/>
      <w:bookmarkEnd w:id="112"/>
      <w:r>
        <w:rPr/>
      </w:r>
      <w:bookmarkStart w:name="（5）低值易耗品和包装物的摊销方法" w:id="113"/>
      <w:bookmarkEnd w:id="113"/>
      <w:r>
        <w:rPr/>
      </w:r>
      <w:r>
        <w:rPr/>
        <w:t>组合中，采用余额百分比法计提坏账准备的</w:t>
      </w:r>
    </w:p>
    <w:p>
      <w:pPr>
        <w:pStyle w:val="BodyText"/>
        <w:spacing w:line="340" w:lineRule="auto" w:before="115"/>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w:t>
      </w:r>
      <w:bookmarkStart w:name="（3）单项金额虽不重大但单项计提坏账准备的应收账款" w:id="114"/>
      <w:bookmarkEnd w:id="114"/>
      <w:r>
        <w:rPr/>
        <w:t>准备</w:t>
      </w:r>
      <w:r>
        <w:rPr/>
        <w:t>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42"/>
        <w:gridCol w:w="6226"/>
      </w:tblGrid>
      <w:tr>
        <w:trPr>
          <w:trHeight w:val="401" w:hRule="exact"/>
        </w:trPr>
        <w:tc>
          <w:tcPr>
            <w:tcW w:w="33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2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有确凿证据表明该款项的信用风险特征明显不同于组合的信用风险特征</w:t>
            </w:r>
          </w:p>
        </w:tc>
      </w:tr>
      <w:tr>
        <w:trPr>
          <w:trHeight w:val="403" w:hRule="exact"/>
        </w:trPr>
        <w:tc>
          <w:tcPr>
            <w:tcW w:w="33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2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公司存货分为：库存商品、发出商品，周转材料等。</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计价方法：加权平均法</w:t>
      </w:r>
    </w:p>
    <w:p>
      <w:pPr>
        <w:pStyle w:val="Heading4"/>
        <w:spacing w:line="240" w:lineRule="auto" w:before="94"/>
        <w:ind w:right="0"/>
        <w:jc w:val="left"/>
      </w:pPr>
      <w:r>
        <w:rPr/>
        <w:t>存货发出时采用加权平均法确定发出存货成本。</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w:t>
      </w:r>
      <w:bookmarkStart w:name="11、存货" w:id="115"/>
      <w:bookmarkEnd w:id="115"/>
      <w:r>
        <w:rPr/>
        <w:t>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期末存货采用成本与可变现净值孰低计价。</w:t>
      </w:r>
      <w:bookmarkStart w:name="（1）存货的分类" w:id="116"/>
      <w:bookmarkEnd w:id="116"/>
      <w:r>
        <w:rPr>
          <w:spacing w:val="-2"/>
        </w:rPr>
        <w:t>期末存货采用成本与可变现净值孰低计量</w:t>
      </w:r>
      <w:r>
        <w:rPr>
          <w:spacing w:val="-2"/>
        </w:rPr>
        <w:t>，</w:t>
      </w:r>
      <w:bookmarkStart w:name="（2）发出存货的计价方法" w:id="117"/>
      <w:bookmarkEnd w:id="117"/>
      <w:r>
        <w:rPr>
          <w:spacing w:val="-2"/>
        </w:rPr>
      </w:r>
      <w:bookmarkStart w:name="（3）存货可变现净值的确定依据及存货跌价准备的计提方法" w:id="118"/>
      <w:bookmarkEnd w:id="118"/>
      <w:r>
        <w:rPr>
          <w:spacing w:val="-2"/>
        </w:rPr>
        <w:t>按照单个存货项目计提存货跌价</w:t>
      </w:r>
      <w:r>
        <w:rPr/>
        <w:t> </w:t>
      </w:r>
      <w:r>
        <w:rPr>
          <w:spacing w:val="-2"/>
        </w:rPr>
        <w:t>准备。对于数量繁多、单价较低的存货，按照存货类别计提存货跌价准备。与在同一地区生产和销售的产品系列相关、具有</w:t>
      </w:r>
      <w:r>
        <w:rPr>
          <w:spacing w:val="-67"/>
        </w:rPr>
        <w:t> </w:t>
      </w:r>
      <w:r>
        <w:rPr>
          <w:spacing w:val="-67"/>
        </w:rPr>
      </w:r>
      <w:r>
        <w:rPr/>
        <w:t>相同或类似最终用途或目的，且难以与其他项目分开计量的存货，合并计提存货跌价准备。</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254"/>
        <w:jc w:val="left"/>
      </w:pPr>
      <w:r>
        <w:rPr/>
        <w:t>盘存制度：永续盘存制 存货的盘存制度为永续盘存制。</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pPr>
      <w:r>
        <w:rPr/>
        <w:t>低值易耗品 摊销方法：一次摊销法</w:t>
      </w:r>
    </w:p>
    <w:p>
      <w:pPr>
        <w:pStyle w:val="BodyText"/>
        <w:spacing w:line="240" w:lineRule="auto" w:before="29"/>
        <w:ind w:right="0"/>
        <w:jc w:val="left"/>
      </w:pPr>
      <w:r>
        <w:rPr/>
        <w:t>低值易耗品按照一次转销法进行摊销。</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7974"/>
        <w:jc w:val="left"/>
      </w:pPr>
      <w:bookmarkStart w:name="（4）减值测试方法及减值准备计提方法" w:id="119"/>
      <w:bookmarkEnd w:id="119"/>
      <w:r>
        <w:rPr/>
      </w:r>
      <w:bookmarkStart w:name="13、投资性房地产" w:id="120"/>
      <w:bookmarkEnd w:id="120"/>
      <w:r>
        <w:rPr/>
      </w:r>
      <w:r>
        <w:rPr/>
        <w:t>包装物 摊销方法：一次摊销法</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bookmarkStart w:name="12、长期股权投资" w:id="121"/>
      <w:bookmarkEnd w:id="121"/>
      <w:r>
        <w:rPr>
          <w:rFonts w:ascii="Times New Roman" w:hAnsi="Times New Roman" w:cs="Times New Roman" w:eastAsia="Times New Roman" w:hint="default"/>
        </w:rPr>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w:t>
      </w:r>
      <w:bookmarkStart w:name="（1）投资成本的确定" w:id="122"/>
      <w:bookmarkEnd w:id="122"/>
      <w:r>
        <w:rPr/>
        <w:t>定</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50" w:firstLine="542"/>
        <w:jc w:val="both"/>
      </w:pPr>
      <w:r>
        <w:rPr>
          <w:spacing w:val="-2"/>
        </w:rPr>
        <w:t>本公司对子公司的投资按照初始投资成本计价，控股合并形成的长期股权投资的初始计量参见本附注四之</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1"/>
        </w:rPr>
        <w:t>同一控制</w:t>
      </w:r>
      <w:r>
        <w:rPr/>
        <w:t> </w:t>
      </w:r>
      <w:r>
        <w:rPr>
          <w:spacing w:val="-2"/>
        </w:rPr>
        <w:t>下和非同一控制下企业合并的会计处理方法。追加或收回投资调整长期股权投资的成本。本公司对被投资单位具有共同控制</w:t>
      </w:r>
      <w:r>
        <w:rPr>
          <w:spacing w:val="-64"/>
        </w:rPr>
        <w:t> </w:t>
      </w:r>
      <w:r>
        <w:rPr>
          <w:spacing w:val="-64"/>
        </w:rPr>
      </w:r>
      <w:r>
        <w:rPr>
          <w:spacing w:val="-2"/>
        </w:rPr>
        <w:t>或重大影响的长期股权投资，以及对被投资单位不具有共同控制或重大影响，并且在活跃市场中没有报价、公允价值不能可</w:t>
      </w:r>
      <w:r>
        <w:rPr>
          <w:spacing w:val="-63"/>
        </w:rPr>
        <w:t> </w:t>
      </w:r>
      <w:r>
        <w:rPr>
          <w:spacing w:val="-63"/>
        </w:rPr>
      </w:r>
      <w:r>
        <w:rPr/>
        <w:t>靠计量的长期股权投资，均按照初始投资成本计价。</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542"/>
        <w:jc w:val="both"/>
      </w:pPr>
      <w:r>
        <w:rPr>
          <w:spacing w:val="-2"/>
        </w:rPr>
        <w:t>本公司对子公司的投资</w:t>
      </w:r>
      <w:bookmarkStart w:name="（2）后续计量及损益确认" w:id="123"/>
      <w:bookmarkEnd w:id="123"/>
      <w:r>
        <w:rPr>
          <w:spacing w:val="-2"/>
        </w:rPr>
        <w:t>的后续计量采用成本法核算</w:t>
      </w:r>
      <w:r>
        <w:rPr>
          <w:spacing w:val="-2"/>
        </w:rPr>
        <w:t>，编制合并财务报表时按照权益法进行调整。除取得投资时实际支</w:t>
      </w:r>
      <w:r>
        <w:rPr/>
        <w:t> </w:t>
      </w:r>
      <w:r>
        <w:rPr>
          <w:spacing w:val="-2"/>
        </w:rPr>
        <w:t>付的价款或对价中包含的已宣告但尚未发放的现金股利或利润外，按照享有被投资单位宣告发放的现金股利或利润确认投资</w:t>
      </w:r>
      <w:r>
        <w:rPr>
          <w:spacing w:val="-64"/>
        </w:rPr>
        <w:t> </w:t>
      </w:r>
      <w:r>
        <w:rPr>
          <w:spacing w:val="-64"/>
        </w:rPr>
      </w:r>
      <w:r>
        <w:rPr>
          <w:spacing w:val="-2"/>
        </w:rPr>
        <w:t>收益。本公司对被投资单位具有共同控制或重大影响的长期股权投资，后续计量采用权益法核算。长期股权投资的初始投资</w:t>
      </w:r>
      <w:r>
        <w:rPr>
          <w:spacing w:val="-63"/>
        </w:rPr>
        <w:t> </w:t>
      </w:r>
      <w:r>
        <w:rPr>
          <w:spacing w:val="-63"/>
        </w:rPr>
      </w:r>
      <w:r>
        <w:rPr>
          <w:spacing w:val="-2"/>
        </w:rPr>
        <w:t>成本大于投资时应享有被投资单位可辨认净资产公允价值份额的，不调整长期股权投资的初始投资成本；长期股权投资的初</w:t>
      </w:r>
      <w:r>
        <w:rPr>
          <w:spacing w:val="-64"/>
        </w:rPr>
        <w:t> </w:t>
      </w:r>
      <w:r>
        <w:rPr>
          <w:spacing w:val="-64"/>
        </w:rPr>
      </w:r>
      <w:r>
        <w:rPr>
          <w:spacing w:val="-2"/>
        </w:rPr>
        <w:t>始投资成本小于投资时应享有被投资单位可辨认净资产公允价值份额的，其差额计入当期损益，同时调整长期股权投资的成</w:t>
      </w:r>
      <w:r>
        <w:rPr>
          <w:spacing w:val="-64"/>
        </w:rPr>
        <w:t> </w:t>
      </w:r>
      <w:r>
        <w:rPr>
          <w:spacing w:val="-64"/>
        </w:rPr>
      </w:r>
      <w:r>
        <w:rPr>
          <w:spacing w:val="-2"/>
        </w:rPr>
        <w:t>本。取得长期股权投资后，按照应享有或应分担的被投资单位实现的净损益的份额，确认投资损益并调整长期股权投资的账</w:t>
      </w:r>
      <w:r>
        <w:rPr>
          <w:spacing w:val="-66"/>
        </w:rPr>
        <w:t> </w:t>
      </w:r>
      <w:r>
        <w:rPr>
          <w:spacing w:val="-66"/>
        </w:rPr>
      </w:r>
      <w:r>
        <w:rPr>
          <w:spacing w:val="-2"/>
        </w:rPr>
        <w:t>面价值。本公司按照被投资单位宣告分派的利润或现金股利计算应分得的部分，相应减少长期股权投资的账面价值。本公司</w:t>
      </w:r>
      <w:r>
        <w:rPr>
          <w:spacing w:val="-63"/>
        </w:rPr>
        <w:t> </w:t>
      </w:r>
      <w:r>
        <w:rPr>
          <w:spacing w:val="-63"/>
        </w:rPr>
      </w:r>
      <w:r>
        <w:rPr>
          <w:spacing w:val="-2"/>
        </w:rPr>
        <w:t>对被投资单位不具有共同控制或重大影响，并且在活跃市场中没有报价、公允价值不能可靠计量的长期股权投资，后续计量</w:t>
      </w:r>
      <w:r>
        <w:rPr>
          <w:spacing w:val="-63"/>
        </w:rPr>
        <w:t> </w:t>
      </w:r>
      <w:r>
        <w:rPr>
          <w:spacing w:val="-63"/>
        </w:rPr>
      </w:r>
      <w:r>
        <w:rPr/>
        <w:t>采用成本法核算。</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633"/>
        <w:jc w:val="both"/>
      </w:pPr>
      <w:r>
        <w:rPr/>
        <w:t>共同控制，是指按照合</w:t>
      </w:r>
      <w:bookmarkStart w:name="（3）确定对被投资单位具有共同控制、重大影响的依据" w:id="124"/>
      <w:bookmarkEnd w:id="124"/>
      <w:r>
        <w:rPr/>
        <w:t>同约定对某项经济活动所共有的控制，仅在与该项经济活动相关的重要财务和经营决策需要</w:t>
      </w:r>
      <w:r>
        <w:rPr/>
        <w:t> </w:t>
      </w:r>
      <w:r>
        <w:rPr>
          <w:spacing w:val="-2"/>
        </w:rPr>
        <w:t>分享控制权的投资方一致同意时存在。投资企业与其他方对被投资单位实施共同控制的，被投资单位为其合营企业；重大影</w:t>
      </w:r>
      <w:r>
        <w:rPr>
          <w:spacing w:val="-63"/>
        </w:rPr>
        <w:t> </w:t>
      </w:r>
      <w:r>
        <w:rPr>
          <w:spacing w:val="-63"/>
        </w:rPr>
      </w:r>
      <w:r>
        <w:rPr>
          <w:spacing w:val="-2"/>
        </w:rPr>
        <w:t>响，是指对一个企业的财务和经营政策有参与决策的权力，但并不能够控制或者与其他方一起共同控制这些政策的制定。投</w:t>
      </w:r>
      <w:r>
        <w:rPr>
          <w:spacing w:val="-63"/>
        </w:rPr>
        <w:t> </w:t>
      </w:r>
      <w:r>
        <w:rPr>
          <w:spacing w:val="-63"/>
        </w:rPr>
      </w:r>
      <w:r>
        <w:rPr/>
        <w:t>资企业能够对被投资单位施加重大影响的，被投资单位为其联营企业。</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288"/>
        <w:jc w:val="both"/>
      </w:pPr>
      <w:r>
        <w:rPr>
          <w:spacing w:val="-1"/>
        </w:rPr>
        <w:t>资产负债表日，若因市价持续下跌或被投资单位经营状况恶化等原因使长期股权投资存在减值迹象时，根据单项长期股</w:t>
      </w:r>
      <w:r>
        <w:rPr/>
        <w:t> 权投资的公允价值减去处置费用后的净额与长期股权投资预计未来现金流量的现值两者之间较高者确定长期股权投资的可</w:t>
      </w:r>
      <w:r>
        <w:rPr>
          <w:spacing w:val="-7"/>
        </w:rPr>
        <w:t> </w:t>
      </w:r>
      <w:r>
        <w:rPr>
          <w:spacing w:val="-7"/>
        </w:rPr>
      </w:r>
      <w:r>
        <w:rPr>
          <w:spacing w:val="-2"/>
        </w:rPr>
        <w:t>收回金额。长期股权投资的可收回金额低于账面价值时，将资产的账面价值减记至可收回金额，减记的金额确认为资产减值</w:t>
      </w:r>
      <w:r>
        <w:rPr>
          <w:spacing w:val="-63"/>
        </w:rPr>
        <w:t> </w:t>
      </w:r>
      <w:r>
        <w:rPr>
          <w:spacing w:val="-63"/>
        </w:rPr>
      </w:r>
      <w:r>
        <w:rPr/>
        <w:t>损失，计入当期损益，同时计提相应的资产减值准备。长期股权投资减值损失一经确认，在以后会计期间不再转回。</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41" w:right="0"/>
        <w:jc w:val="left"/>
        <w:rPr>
          <w:b w:val="0"/>
          <w:bCs w:val="0"/>
        </w:rPr>
      </w:pPr>
      <w:r>
        <w:rPr/>
        <w:t>（</w:t>
      </w:r>
      <w:r>
        <w:rPr>
          <w:rFonts w:ascii="Times New Roman" w:hAnsi="Times New Roman" w:cs="Times New Roman" w:eastAsia="Times New Roman" w:hint="default"/>
        </w:rPr>
        <w:t>1</w:t>
      </w:r>
      <w:r>
        <w:rPr/>
        <w:t>）确认</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公司将为赚取租金或资本增值，或两者兼有而持有的且能单独计量和出售房地产，确认为投资性房地产，包括已出租的</w:t>
      </w:r>
      <w:r>
        <w:rPr/>
        <w:t> 土地使用权，持有并准备增值后转让的土地使用权和已出租的建筑物。</w:t>
      </w:r>
    </w:p>
    <w:p>
      <w:pPr>
        <w:pStyle w:val="BodyText"/>
        <w:spacing w:line="240" w:lineRule="auto" w:before="19"/>
        <w:ind w:left="512" w:right="0"/>
        <w:jc w:val="left"/>
      </w:pPr>
      <w:r>
        <w:rPr/>
        <w:t>某项房地产，部分用于赚取租金或资本增值、部分用于生产商品、提供劳务或经营管理，能够单独计量和出售的、用于</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bookmarkStart w:name="14、固定资产" w:id="125"/>
      <w:bookmarkEnd w:id="125"/>
      <w:r>
        <w:rPr/>
      </w:r>
      <w:bookmarkStart w:name="（1）固定资产确认条件" w:id="126"/>
      <w:bookmarkEnd w:id="126"/>
      <w:r>
        <w:rPr/>
      </w:r>
      <w:bookmarkStart w:name="（2）各类固定资产的折旧方法" w:id="127"/>
      <w:bookmarkEnd w:id="127"/>
      <w:r>
        <w:rPr/>
      </w:r>
      <w:r>
        <w:rPr>
          <w:spacing w:val="-2"/>
        </w:rPr>
        <w:t>赚取租金或资本增值的部分，应当确认为投资性房地产；不能够单独计量和出售的、用于赚取租金或资本增值的部分，不确</w:t>
      </w:r>
      <w:r>
        <w:rPr>
          <w:spacing w:val="-65"/>
        </w:rPr>
        <w:t> </w:t>
      </w:r>
      <w:r>
        <w:rPr>
          <w:spacing w:val="-65"/>
        </w:rPr>
      </w:r>
      <w:r>
        <w:rPr/>
        <w:t>认为投资性房地产。</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）初始计量</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投资性房地产按照成本进行初始计量，与投资性房地产有关的后续支出相关的经济利益很可能流入公司且成本能够可靠</w:t>
      </w:r>
      <w:r>
        <w:rPr/>
        <w:t> 地计量的，计入投资性房地产成本。</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）后续计量</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360"/>
        <w:jc w:val="left"/>
        <w:rPr>
          <w:rFonts w:ascii="Times New Roman" w:hAnsi="Times New Roman" w:cs="Times New Roman" w:eastAsia="Times New Roman" w:hint="default"/>
        </w:rPr>
      </w:pPr>
      <w:r>
        <w:rPr/>
        <w:t>公司采用成本模式对于投资性房地产进行后续计量。采用成本模式计量的建筑物，采用年限平均法计算折旧</w:t>
      </w:r>
      <w:r>
        <w:rPr>
          <w:rFonts w:ascii="Times New Roman" w:hAnsi="Times New Roman" w:cs="Times New Roman" w:eastAsia="Times New Roman" w:hint="default"/>
        </w:rPr>
        <w:t>,</w:t>
      </w:r>
      <w:r>
        <w:rPr/>
        <w:t>按估计经 济使用年限和估计残值率确定其折旧率</w:t>
      </w:r>
      <w:r>
        <w:rPr>
          <w:rFonts w:ascii="Times New Roman" w:hAnsi="Times New Roman" w:cs="Times New Roman" w:eastAsia="Times New Roman" w:hint="default"/>
        </w:rPr>
        <w:t>,</w:t>
      </w:r>
    </w:p>
    <w:p>
      <w:pPr>
        <w:pStyle w:val="BodyText"/>
        <w:spacing w:line="316" w:lineRule="auto" w:before="13"/>
        <w:ind w:left="512" w:right="0"/>
        <w:jc w:val="left"/>
      </w:pPr>
      <w:r>
        <w:rPr/>
        <w:t>采用成本模式计量的土地使用权，采用直线法，按土地使用权的使用年限进行摊销。 </w:t>
      </w:r>
      <w:r>
        <w:rPr>
          <w:spacing w:val="-2"/>
        </w:rPr>
        <w:t>期末，逐项对采用成本模式计量的投资性房地产进行全面检查，按可收回金额低于其账面价值的差额计提减值准备，计</w:t>
      </w:r>
    </w:p>
    <w:p>
      <w:pPr>
        <w:pStyle w:val="BodyText"/>
        <w:spacing w:line="240" w:lineRule="auto" w:before="18"/>
        <w:ind w:right="0"/>
        <w:jc w:val="left"/>
      </w:pPr>
      <w:r>
        <w:rPr/>
        <w:t>入当期损益。资产减值损失一经确认，无论价值是否得到回升，在以后会计期间不得转回。</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）转换</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有确凿证据表明房地产用途发生改变，满足下列条件之一的，应当将投资性房地产转换为其他资产或者将其他资产转换</w:t>
      </w:r>
      <w:r>
        <w:rPr/>
        <w:t> 为投资性房地产：</w:t>
      </w:r>
    </w:p>
    <w:p>
      <w:pPr>
        <w:pStyle w:val="BodyText"/>
        <w:spacing w:line="240" w:lineRule="auto" w:before="18"/>
        <w:ind w:left="512" w:right="0"/>
        <w:jc w:val="left"/>
      </w:pPr>
      <w:r>
        <w:rPr/>
        <w:t>①</w:t>
      </w:r>
      <w:r>
        <w:rPr>
          <w:spacing w:val="-18"/>
        </w:rPr>
        <w:t> </w:t>
      </w:r>
      <w:r>
        <w:rPr/>
        <w:t>投资性房地产开始自用。</w:t>
      </w:r>
    </w:p>
    <w:p>
      <w:pPr>
        <w:pStyle w:val="BodyText"/>
        <w:spacing w:line="240" w:lineRule="auto" w:before="76"/>
        <w:ind w:left="512" w:right="0"/>
        <w:jc w:val="left"/>
      </w:pPr>
      <w:r>
        <w:rPr/>
        <w:t>②</w:t>
      </w:r>
      <w:r>
        <w:rPr>
          <w:spacing w:val="-18"/>
        </w:rPr>
        <w:t> </w:t>
      </w:r>
      <w:r>
        <w:rPr/>
        <w:t>作为存货的房地产，改为出租。</w:t>
      </w:r>
    </w:p>
    <w:p>
      <w:pPr>
        <w:pStyle w:val="BodyText"/>
        <w:spacing w:line="240" w:lineRule="auto" w:before="76"/>
        <w:ind w:left="512" w:right="0"/>
        <w:jc w:val="left"/>
      </w:pPr>
      <w:r>
        <w:rPr/>
        <w:t>③</w:t>
      </w:r>
      <w:r>
        <w:rPr>
          <w:spacing w:val="-18"/>
        </w:rPr>
        <w:t> </w:t>
      </w:r>
      <w:r>
        <w:rPr/>
        <w:t>自用土地使用权停止自用，用于赚取租金或资本增值。</w:t>
      </w:r>
    </w:p>
    <w:p>
      <w:pPr>
        <w:pStyle w:val="BodyText"/>
        <w:spacing w:line="360" w:lineRule="auto" w:before="76"/>
        <w:ind w:right="3654" w:firstLine="360"/>
        <w:jc w:val="left"/>
      </w:pPr>
      <w:r>
        <w:rPr/>
        <w:t>④</w:t>
      </w:r>
      <w:r>
        <w:rPr>
          <w:spacing w:val="-18"/>
        </w:rPr>
        <w:t> </w:t>
      </w:r>
      <w:r>
        <w:rPr/>
        <w:t>自用建筑物停止自用，改为出租。</w:t>
      </w:r>
      <w:r>
        <w:rPr/>
        <w:t> 在成本计量模式下，应当将房地产转换前的账面价值作为转换后的入账价值。</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）处置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5" w:firstLine="360"/>
        <w:jc w:val="left"/>
      </w:pPr>
      <w:r>
        <w:rPr/>
        <w:t>①</w:t>
      </w:r>
      <w:r>
        <w:rPr>
          <w:spacing w:val="-1"/>
        </w:rPr>
        <w:t> </w:t>
      </w:r>
      <w:r>
        <w:rPr/>
        <w:t>当投资性房地产被处置，或者永久退出使用且预计不能从其处置中取得经济利益时，应当终止确认该项投资性房地</w:t>
      </w:r>
      <w:r>
        <w:rPr/>
        <w:t> 产。</w:t>
      </w:r>
    </w:p>
    <w:p>
      <w:pPr>
        <w:pStyle w:val="BodyText"/>
        <w:spacing w:line="316" w:lineRule="auto" w:before="18"/>
        <w:ind w:right="145" w:firstLine="360"/>
        <w:jc w:val="left"/>
      </w:pPr>
      <w:r>
        <w:rPr/>
        <w:t>②</w:t>
      </w:r>
      <w:r>
        <w:rPr>
          <w:spacing w:val="-1"/>
        </w:rPr>
        <w:t> </w:t>
      </w:r>
      <w:r>
        <w:rPr/>
        <w:t>公司出售、转让、报废投资性房地产或者发生投资性房地产毁损，应当将处置收入扣除其账面价值和相关税费后的</w:t>
      </w:r>
      <w:r>
        <w:rPr/>
        <w:t> 金额计入当期损益。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542"/>
        <w:jc w:val="both"/>
      </w:pPr>
      <w:r>
        <w:rPr>
          <w:spacing w:val="-2"/>
        </w:rPr>
        <w:t>固定资产是指为生产商品、提供劳务、出租或经营管理而持有的使用寿命超过一个会计年度的有形资产，但不包括作</w:t>
      </w:r>
      <w:r>
        <w:rPr/>
        <w:t> </w:t>
      </w:r>
      <w:r>
        <w:rPr>
          <w:spacing w:val="-2"/>
        </w:rPr>
        <w:t>为投资性房地产的以经营租赁方式租出的建筑物。其确认条件为与该固定资产有关的经济利益很可能流入公司且该固定资产</w:t>
      </w:r>
      <w:r>
        <w:rPr>
          <w:spacing w:val="-64"/>
        </w:rPr>
        <w:t> </w:t>
      </w:r>
      <w:r>
        <w:rPr>
          <w:spacing w:val="-64"/>
        </w:rPr>
      </w:r>
      <w:r>
        <w:rPr/>
        <w:t>的成本能够可靠地计量。</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2" w:right="5214"/>
        <w:jc w:val="left"/>
      </w:pPr>
      <w:r>
        <w:rPr/>
        <w:t>计量基础为按照成本进行初始计量并按月计提折旧。 固定资产的折旧方法为年限平均法。</w:t>
      </w:r>
    </w:p>
    <w:p>
      <w:pPr>
        <w:spacing w:after="0" w:line="316" w:lineRule="auto"/>
        <w:jc w:val="left"/>
        <w:sectPr>
          <w:footerReference w:type="default" r:id="rId14"/>
          <w:pgSz w:w="11910" w:h="16840"/>
          <w:pgMar w:footer="982" w:header="745" w:top="1060" w:bottom="1180" w:left="980" w:right="980"/>
          <w:pgNumType w:start="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6"/>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sz w:val="19"/>
          <w:szCs w:val="19"/>
        </w:rPr>
      </w:pPr>
    </w:p>
    <w:p>
      <w:pPr>
        <w:pStyle w:val="Heading3"/>
        <w:spacing w:line="240" w:lineRule="auto" w:before="36"/>
        <w:ind w:right="184"/>
        <w:jc w:val="left"/>
        <w:rPr>
          <w:b w:val="0"/>
          <w:bCs w:val="0"/>
        </w:rPr>
      </w:pPr>
      <w:bookmarkStart w:name="（3）在建工程的减值测试方法、减值准备计提方法" w:id="128"/>
      <w:bookmarkEnd w:id="128"/>
      <w:r>
        <w:rPr>
          <w:b w:val="0"/>
          <w:bCs w:val="0"/>
        </w:rPr>
      </w:r>
      <w:r>
        <w:rPr/>
        <w:t>（</w:t>
      </w:r>
      <w:r>
        <w:rPr>
          <w:rFonts w:ascii="Times New Roman" w:hAnsi="Times New Roman" w:cs="Times New Roman" w:eastAsia="Times New Roman" w:hint="default"/>
        </w:rPr>
        <w:t>3</w:t>
      </w:r>
      <w:r>
        <w:rPr/>
        <w:t>）固定资产的减值测试</w:t>
      </w:r>
      <w:bookmarkStart w:name="（3）固定资产的减值测试方法、减值准备计提方法" w:id="129"/>
      <w:bookmarkEnd w:id="129"/>
      <w:r>
        <w:rPr/>
        <w:t>方法、减值准备计</w:t>
      </w:r>
      <w:r>
        <w:rPr/>
        <w:t>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5" w:firstLine="419"/>
        <w:jc w:val="both"/>
      </w:pPr>
      <w:r>
        <w:rPr/>
        <w:t>每年年度终了，公司对固定资产的使用寿命、预计净残值和折旧方法进行复核。使用寿命预计数与原先估计数有差异 </w:t>
      </w:r>
      <w:r>
        <w:rPr>
          <w:spacing w:val="-2"/>
        </w:rPr>
        <w:t>的，调整固定资产使用寿命。净残值预计数与原先估计数有差异的，调整预计净残值。公司持有待售的固定资产，对其预计</w:t>
      </w:r>
      <w:r>
        <w:rPr>
          <w:spacing w:val="-67"/>
        </w:rPr>
        <w:t> </w:t>
      </w:r>
      <w:r>
        <w:rPr>
          <w:spacing w:val="-67"/>
        </w:rPr>
      </w:r>
      <w:r>
        <w:rPr/>
        <w:t>净残值进行调整。公司将发生的固定资产后续支出计入固定资产成本的，终止确认被替换部分的账面价值。</w:t>
      </w:r>
    </w:p>
    <w:p>
      <w:pPr>
        <w:pStyle w:val="BodyText"/>
        <w:spacing w:line="316" w:lineRule="auto" w:before="18"/>
        <w:ind w:left="572" w:right="5254"/>
        <w:jc w:val="left"/>
      </w:pPr>
      <w:r>
        <w:rPr/>
        <w:t>固定资产减值准备的计提见资产减值相关会计政策。 减值损失一经确认，在以后会计期间不得转回。 已全额计提减值准备的固定资产，不再计提折旧。</w:t>
      </w:r>
    </w:p>
    <w:p>
      <w:pPr>
        <w:spacing w:line="240" w:lineRule="auto" w:before="11"/>
        <w:rPr>
          <w:rFonts w:ascii="宋体" w:hAnsi="宋体" w:cs="宋体" w:eastAsia="宋体" w:hint="default"/>
          <w:sz w:val="22"/>
          <w:szCs w:val="22"/>
        </w:rPr>
      </w:pPr>
    </w:p>
    <w:p>
      <w:pPr>
        <w:pStyle w:val="Heading3"/>
        <w:spacing w:line="240" w:lineRule="auto"/>
        <w:ind w:right="184"/>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4" w:firstLine="419"/>
        <w:jc w:val="left"/>
      </w:pPr>
      <w:r>
        <w:rPr/>
        <w:t>公司出售、转让、报废固定资产或发生固定资产毁损，将处</w:t>
      </w:r>
      <w:bookmarkStart w:name="（4）其他说明" w:id="130"/>
      <w:bookmarkEnd w:id="130"/>
      <w:r>
        <w:rPr/>
        <w:t>置收入</w:t>
      </w:r>
      <w:r>
        <w:rPr/>
        <w:t>扣除账面价值和相关税费后的金额计入当期损益。</w:t>
      </w:r>
      <w:r>
        <w:rPr/>
        <w:t> 固定资产的账面价值是固定资产成本扣减累计折旧和累计减值准备后的金额。</w:t>
      </w:r>
    </w:p>
    <w:p>
      <w:pPr>
        <w:spacing w:line="240" w:lineRule="auto" w:before="10"/>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4"/>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4"/>
        <w:jc w:val="left"/>
      </w:pPr>
      <w:r>
        <w:rPr/>
        <w:t>在建工程包括自营工程、出包工程、设备安装工程等。</w:t>
      </w:r>
    </w:p>
    <w:p>
      <w:pPr>
        <w:spacing w:line="240" w:lineRule="auto" w:before="0"/>
        <w:rPr>
          <w:rFonts w:ascii="宋体" w:hAnsi="宋体" w:cs="宋体" w:eastAsia="宋体" w:hint="default"/>
          <w:sz w:val="18"/>
          <w:szCs w:val="18"/>
        </w:rPr>
      </w:pPr>
    </w:p>
    <w:p>
      <w:pPr>
        <w:pStyle w:val="Heading3"/>
        <w:spacing w:line="240" w:lineRule="auto" w:before="120"/>
        <w:ind w:right="184"/>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542"/>
        <w:jc w:val="both"/>
      </w:pPr>
      <w:r>
        <w:rPr>
          <w:spacing w:val="-2"/>
        </w:rPr>
        <w:t>将该项在建工程达到预定可使用状态前所发生的必要支出转入固定资产，</w:t>
      </w:r>
      <w:bookmarkStart w:name="15、在建工程" w:id="131"/>
      <w:bookmarkEnd w:id="131"/>
      <w:r>
        <w:rPr>
          <w:spacing w:val="-2"/>
        </w:rPr>
        <w:t>从次月开始计提折旧</w:t>
      </w:r>
      <w:bookmarkStart w:name="（1）在建工程的类别" w:id="132"/>
      <w:bookmarkEnd w:id="132"/>
      <w:r>
        <w:rPr>
          <w:spacing w:val="-2"/>
        </w:rPr>
        <w:t>。</w:t>
      </w:r>
      <w:bookmarkStart w:name="（2）在建工程结转为固定资产的标准和时点" w:id="133"/>
      <w:bookmarkEnd w:id="133"/>
      <w:r>
        <w:rPr>
          <w:spacing w:val="-2"/>
        </w:rPr>
        <w:t>已达到预定可使用状</w:t>
      </w:r>
      <w:r>
        <w:rPr/>
        <w:t> </w:t>
      </w:r>
      <w:r>
        <w:rPr>
          <w:spacing w:val="-2"/>
        </w:rPr>
        <w:t>态但尚未办理竣工决算的固定资产，应当按照估计价值确定其成本，并计提折旧；待办理竣工决算后，再按实际成本调整原</w:t>
      </w:r>
      <w:r>
        <w:rPr>
          <w:spacing w:val="-64"/>
        </w:rPr>
        <w:t> </w:t>
      </w:r>
      <w:r>
        <w:rPr>
          <w:spacing w:val="-64"/>
        </w:rPr>
      </w:r>
      <w:r>
        <w:rPr/>
        <w:t>来的暂估价值，但不需要调整原已计提的折旧额。</w:t>
      </w:r>
    </w:p>
    <w:p>
      <w:pPr>
        <w:spacing w:line="240" w:lineRule="auto" w:before="10"/>
        <w:rPr>
          <w:rFonts w:ascii="宋体" w:hAnsi="宋体" w:cs="宋体" w:eastAsia="宋体" w:hint="default"/>
          <w:sz w:val="22"/>
          <w:szCs w:val="22"/>
        </w:rPr>
      </w:pPr>
    </w:p>
    <w:p>
      <w:pPr>
        <w:pStyle w:val="Heading3"/>
        <w:spacing w:line="240" w:lineRule="auto"/>
        <w:ind w:right="184"/>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t>资产负债表日，本公司对在建工程按照账面价值与可收回金额孰低计量，按单项工程可收回金额低于账面价值的差额， </w:t>
      </w:r>
      <w:r>
        <w:rPr>
          <w:spacing w:val="-2"/>
        </w:rPr>
        <w:t>计提在建工程减值准备，计入当期损益，同时计提相应的资产减值准备。在建工程减值损失一经确认，在以后会计期间不再</w:t>
      </w:r>
      <w:r>
        <w:rPr>
          <w:spacing w:val="-65"/>
        </w:rPr>
        <w:t> </w:t>
      </w:r>
      <w:r>
        <w:rPr>
          <w:spacing w:val="-65"/>
        </w:rPr>
      </w:r>
      <w:r>
        <w:rPr/>
        <w:t>转回。</w:t>
      </w:r>
    </w:p>
    <w:p>
      <w:pPr>
        <w:spacing w:after="0" w:line="316"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7、无形资产" w:id="134"/>
      <w:bookmarkEnd w:id="134"/>
      <w:r>
        <w:rPr>
          <w:b w:val="0"/>
          <w:bCs w:val="0"/>
        </w:rPr>
      </w:r>
      <w:bookmarkStart w:name="（1）无形资产的计价方法" w:id="135"/>
      <w:bookmarkEnd w:id="135"/>
      <w:r>
        <w:rPr>
          <w:b w:val="0"/>
          <w:bCs w:val="0"/>
        </w:rPr>
      </w:r>
      <w:bookmarkStart w:name="（2）使用寿命有限的无形资产的使用寿命估计情况" w:id="136"/>
      <w:bookmarkEnd w:id="136"/>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6、借款费用" w:id="137"/>
      <w:bookmarkEnd w:id="137"/>
      <w:r>
        <w:rPr>
          <w:rFonts w:ascii="Times New Roman" w:hAnsi="Times New Roman" w:cs="Times New Roman" w:eastAsia="Times New Roman" w:hint="default"/>
        </w:rPr>
      </w:r>
      <w:bookmarkStart w:name="（1）借款费用资本化的确认原则" w:id="138"/>
      <w:bookmarkEnd w:id="138"/>
      <w:r>
        <w:rPr>
          <w:rFonts w:ascii="Times New Roman" w:hAnsi="Times New Roman" w:cs="Times New Roman" w:eastAsia="Times New Roman" w:hint="default"/>
        </w:rPr>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发生的借款费用，可直接归属于需要经过相当长时间的购建或者生产活动才能达到预定可使用或者可销售状态的固定资</w:t>
      </w:r>
      <w:r>
        <w:rPr/>
        <w:t> </w:t>
      </w:r>
      <w:r>
        <w:rPr>
          <w:spacing w:val="-2"/>
        </w:rPr>
        <w:t>产、投资性房地产和存货等资产的购建或者生产的，予以资本化，计入相关资产成本；其他借款费用，在发生时根据其发生</w:t>
      </w:r>
      <w:r>
        <w:rPr>
          <w:spacing w:val="-67"/>
        </w:rPr>
        <w:t> </w:t>
      </w:r>
      <w:r>
        <w:rPr>
          <w:spacing w:val="-67"/>
        </w:rPr>
      </w:r>
      <w:r>
        <w:rPr/>
        <w:t>额确认为费用，计入当期损益。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left="512" w:right="0" w:hanging="1"/>
        <w:jc w:val="left"/>
      </w:pPr>
      <w:r>
        <w:rPr>
          <w:sz w:val="21"/>
          <w:szCs w:val="21"/>
        </w:rPr>
        <w:t>①</w:t>
      </w:r>
      <w:r>
        <w:rPr>
          <w:spacing w:val="-33"/>
          <w:sz w:val="21"/>
          <w:szCs w:val="21"/>
        </w:rPr>
        <w:t> </w:t>
      </w:r>
      <w:r>
        <w:rPr/>
        <w:t>开始资本化</w:t>
      </w:r>
      <w:r>
        <w:rPr/>
        <w:t> </w:t>
      </w:r>
      <w:bookmarkStart w:name="（2）借款费用资本化期间" w:id="139"/>
      <w:bookmarkEnd w:id="139"/>
      <w:r>
        <w:rPr>
          <w:spacing w:val="-2"/>
        </w:rPr>
        <w:t>同时满足下列条件的开始资本化</w:t>
      </w:r>
      <w:r>
        <w:rPr>
          <w:spacing w:val="-2"/>
        </w:rPr>
        <w:t>：资产支出已经发生，资产支出包括为购建或者生产符合资本化条件的资产而以支付现</w:t>
      </w:r>
    </w:p>
    <w:p>
      <w:pPr>
        <w:pStyle w:val="BodyText"/>
        <w:spacing w:line="316" w:lineRule="auto" w:before="38"/>
        <w:ind w:right="0"/>
        <w:jc w:val="left"/>
      </w:pPr>
      <w:r>
        <w:rPr>
          <w:spacing w:val="-2"/>
        </w:rPr>
        <w:t>金、转移非现金资产或者承担带息债务形式发生的支出；借款费用已经发生；为使资产达到预定可使用或者可销售状态所必</w:t>
      </w:r>
      <w:r>
        <w:rPr>
          <w:spacing w:val="-63"/>
        </w:rPr>
        <w:t> </w:t>
      </w:r>
      <w:r>
        <w:rPr>
          <w:spacing w:val="-63"/>
        </w:rPr>
      </w:r>
      <w:r>
        <w:rPr/>
        <w:t>要的购建或者生产活动已经开始。</w:t>
      </w:r>
    </w:p>
    <w:p>
      <w:pPr>
        <w:spacing w:line="240" w:lineRule="auto" w:before="9"/>
        <w:rPr>
          <w:rFonts w:ascii="宋体" w:hAnsi="宋体" w:cs="宋体" w:eastAsia="宋体" w:hint="default"/>
          <w:sz w:val="23"/>
          <w:szCs w:val="23"/>
        </w:rPr>
      </w:pPr>
    </w:p>
    <w:p>
      <w:pPr>
        <w:pStyle w:val="BodyText"/>
        <w:spacing w:line="290" w:lineRule="auto"/>
        <w:ind w:left="512" w:right="1494" w:hanging="1"/>
        <w:jc w:val="left"/>
      </w:pPr>
      <w:r>
        <w:rPr>
          <w:sz w:val="21"/>
          <w:szCs w:val="21"/>
        </w:rPr>
        <w:t>②</w:t>
      </w:r>
      <w:r>
        <w:rPr>
          <w:spacing w:val="-33"/>
          <w:sz w:val="21"/>
          <w:szCs w:val="21"/>
        </w:rPr>
        <w:t> </w:t>
      </w:r>
      <w:r>
        <w:rPr/>
        <w:t>停止资本化</w:t>
      </w:r>
      <w:r>
        <w:rPr/>
        <w:t> 购建或者生产符合资本化条件的资产达到预定可使用或者可销售状态时，借款费用应当停止资本化。</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2" w:firstLine="359"/>
        <w:jc w:val="both"/>
      </w:pPr>
      <w:r>
        <w:rPr/>
        <w:t>符合资本化条件的资产在购建或者生产过程中发生非正常中断、</w:t>
      </w:r>
      <w:bookmarkStart w:name="（3）暂停资本化期间" w:id="140"/>
      <w:bookmarkEnd w:id="140"/>
      <w:r>
        <w:rPr/>
        <w:t>且中断时间连续超过</w:t>
      </w:r>
      <w:r>
        <w:rPr>
          <w:spacing w:val="-37"/>
        </w:rPr>
        <w:t> </w:t>
      </w:r>
      <w:r>
        <w:rPr>
          <w:rFonts w:ascii="Times New Roman" w:hAnsi="Times New Roman" w:cs="Times New Roman" w:eastAsia="Times New Roman" w:hint="default"/>
          <w:spacing w:val="-3"/>
        </w:rPr>
        <w:t>3</w:t>
      </w:r>
      <w:r>
        <w:rPr>
          <w:spacing w:val="-3"/>
        </w:rPr>
        <w:t>个月的，应当暂停借款费用的资</w:t>
      </w:r>
      <w:r>
        <w:rPr/>
        <w:t> 本化。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①为购建或者生产符合资本化条件的资产而借入专门借款的，</w:t>
      </w:r>
      <w:bookmarkStart w:name="（4）借款费用资本化金额的计算方法" w:id="141"/>
      <w:bookmarkEnd w:id="141"/>
      <w:r>
        <w:rPr>
          <w:spacing w:val="-2"/>
        </w:rPr>
        <w:t>应当以专门借款当期实际发生的利息费用</w:t>
      </w:r>
      <w:r>
        <w:rPr>
          <w:spacing w:val="-2"/>
        </w:rPr>
        <w:t>，减去将尚未动</w:t>
      </w:r>
      <w:r>
        <w:rPr/>
        <w:t> 用的借款资金存入银行取得的利息收入或进行暂时性投资取得的投资收益后的金额确定。</w:t>
      </w:r>
    </w:p>
    <w:p>
      <w:pPr>
        <w:pStyle w:val="BodyText"/>
        <w:spacing w:line="316" w:lineRule="auto" w:before="18"/>
        <w:ind w:right="153" w:firstLine="360"/>
        <w:jc w:val="both"/>
      </w:pPr>
      <w:r>
        <w:rPr>
          <w:spacing w:val="-2"/>
        </w:rPr>
        <w:t>②为购建或者生产符合资本化条件的资产而占用了一般借款的，公司根据累计资产支出超过专门借款部分的资产支出加</w:t>
      </w:r>
      <w:r>
        <w:rPr/>
        <w:t> </w:t>
      </w:r>
      <w:r>
        <w:rPr>
          <w:spacing w:val="-2"/>
        </w:rPr>
        <w:t>权平均数乘以所占用一般借款的资本化率，计算确定一般借款应予资本化的利息金额。资本化率应当根据一般借款加权平均</w:t>
      </w:r>
      <w:r>
        <w:rPr>
          <w:spacing w:val="-64"/>
        </w:rPr>
        <w:t> </w:t>
      </w:r>
      <w:r>
        <w:rPr>
          <w:spacing w:val="-64"/>
        </w:rPr>
      </w:r>
      <w:r>
        <w:rPr/>
        <w:t>利率计算确定。</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外购无形资产的成本，按购买价款、相关税费以及直接归属于使该项资产达到预定用途所发生的其他支出进行计量。自</w:t>
      </w:r>
      <w:r>
        <w:rPr/>
        <w:t> </w:t>
      </w:r>
      <w:r>
        <w:rPr>
          <w:spacing w:val="-2"/>
        </w:rPr>
        <w:t>行开发的无形资产，按开发阶段所发生的支出总额进行计量，但是对于以前期间已经费用化的支出不再调整。投资者投入无</w:t>
      </w:r>
      <w:r>
        <w:rPr>
          <w:spacing w:val="-63"/>
        </w:rPr>
        <w:t> </w:t>
      </w:r>
      <w:r>
        <w:rPr>
          <w:spacing w:val="-63"/>
        </w:rPr>
      </w:r>
      <w:r>
        <w:rPr/>
        <w:t>形资产的成本，按照投资合同或协议约定的价值确定，但合同或协议约定价值不公允的除外。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2" w:right="0"/>
        <w:jc w:val="left"/>
      </w:pPr>
      <w:r>
        <w:rPr/>
        <w:t>使用寿命有限的无形资产按使用寿命采用直线法摊销的方法进行摊销，使用寿命不确定的无形资产不摊销。每年年度</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84"/>
        <w:jc w:val="left"/>
      </w:pPr>
      <w:bookmarkStart w:name="18、长期待摊费用" w:id="142"/>
      <w:bookmarkEnd w:id="142"/>
      <w:r>
        <w:rPr/>
      </w:r>
      <w:r>
        <w:rPr>
          <w:spacing w:val="-2"/>
        </w:rPr>
        <w:t>终了，对使用寿命有限的无形资产的使用寿命及摊销方法进行复核。无形资产的使用寿命及摊销方法与以前估计不同的，改</w:t>
      </w:r>
      <w:r>
        <w:rPr>
          <w:spacing w:val="-63"/>
        </w:rPr>
        <w:t> </w:t>
      </w:r>
      <w:r>
        <w:rPr>
          <w:spacing w:val="-63"/>
        </w:rPr>
      </w:r>
      <w:r>
        <w:rPr/>
        <w:t>变摊销期限和摊销方法。</w:t>
      </w:r>
    </w:p>
    <w:p>
      <w:pPr>
        <w:spacing w:line="240" w:lineRule="auto" w:before="1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280"/>
        <w:gridCol w:w="2215"/>
        <w:gridCol w:w="5074"/>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3"/>
        <w:rPr>
          <w:rFonts w:ascii="宋体" w:hAnsi="宋体" w:cs="宋体" w:eastAsia="宋体" w:hint="default"/>
          <w:sz w:val="19"/>
          <w:szCs w:val="19"/>
        </w:rPr>
      </w:pPr>
    </w:p>
    <w:p>
      <w:pPr>
        <w:pStyle w:val="Heading3"/>
        <w:spacing w:line="240" w:lineRule="auto" w:before="36"/>
        <w:ind w:right="184"/>
        <w:jc w:val="left"/>
        <w:rPr>
          <w:b w:val="0"/>
          <w:bCs w:val="0"/>
        </w:rPr>
      </w:pPr>
      <w:r>
        <w:rPr/>
        <w:t>（</w:t>
      </w:r>
      <w:r>
        <w:rPr>
          <w:rFonts w:ascii="Times New Roman" w:hAnsi="Times New Roman" w:cs="Times New Roman" w:eastAsia="Times New Roman" w:hint="default"/>
        </w:rPr>
        <w:t>3</w:t>
      </w:r>
      <w:r>
        <w:rPr/>
        <w:t>）使用寿命不确</w:t>
      </w:r>
      <w:bookmarkStart w:name="（3）使用寿命不确定的无形资产的判断依据" w:id="143"/>
      <w:bookmarkEnd w:id="143"/>
      <w:r>
        <w:rPr/>
        <w:t>定的</w:t>
      </w:r>
      <w:r>
        <w:rPr/>
        <w:t>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84"/>
        <w:jc w:val="left"/>
      </w:pPr>
      <w:r>
        <w:rPr/>
        <w:t>使用寿命不确定的无形资产不摊销。每年年度终了，对使用寿命有限的无形资产的使用寿命及摊销方法进行复核。</w:t>
      </w:r>
    </w:p>
    <w:p>
      <w:pPr>
        <w:spacing w:line="240" w:lineRule="auto" w:before="0"/>
        <w:rPr>
          <w:rFonts w:ascii="宋体" w:hAnsi="宋体" w:cs="宋体" w:eastAsia="宋体" w:hint="default"/>
          <w:sz w:val="18"/>
          <w:szCs w:val="18"/>
        </w:rPr>
      </w:pPr>
    </w:p>
    <w:p>
      <w:pPr>
        <w:pStyle w:val="Heading3"/>
        <w:spacing w:line="240" w:lineRule="auto" w:before="120"/>
        <w:ind w:right="184"/>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94" w:firstLine="360"/>
        <w:jc w:val="left"/>
      </w:pPr>
      <w:r>
        <w:rPr>
          <w:spacing w:val="-2"/>
        </w:rPr>
        <w:t>资产负债表日，</w:t>
      </w:r>
      <w:bookmarkStart w:name="（4）无形资产减值准备的计提" w:id="144"/>
      <w:bookmarkEnd w:id="144"/>
      <w:r>
        <w:rPr>
          <w:spacing w:val="-2"/>
        </w:rPr>
        <w:t>有迹象表明无形资产可能发生减值的</w:t>
      </w:r>
      <w:r>
        <w:rPr>
          <w:spacing w:val="-2"/>
        </w:rPr>
        <w:t>，以单项资产为基础估计其可收回金额；难以对单项资产的可收回</w:t>
      </w:r>
      <w:r>
        <w:rPr/>
        <w:t> </w:t>
      </w:r>
      <w:r>
        <w:rPr>
          <w:spacing w:val="-4"/>
        </w:rPr>
        <w:t>金额进行估计的，以该资产所属的资产组为基础确定其可收回金额。因企业合并所形成的商誉和使用寿命不确定的无形资产，</w:t>
      </w:r>
      <w:r>
        <w:rPr>
          <w:spacing w:val="-44"/>
        </w:rPr>
        <w:t> </w:t>
      </w:r>
      <w:r>
        <w:rPr>
          <w:spacing w:val="-44"/>
        </w:rPr>
      </w:r>
      <w:r>
        <w:rPr>
          <w:spacing w:val="-2"/>
        </w:rPr>
        <w:t>无论是否存在减值迹象，每年年末都进行减值测试。单项资产的可收回金额低于其账面价值的，按单项资产的账面价值与可</w:t>
      </w:r>
      <w:r>
        <w:rPr>
          <w:spacing w:val="-63"/>
        </w:rPr>
        <w:t> </w:t>
      </w:r>
      <w:r>
        <w:rPr>
          <w:spacing w:val="-63"/>
        </w:rPr>
      </w:r>
      <w:r>
        <w:rPr>
          <w:spacing w:val="-2"/>
        </w:rPr>
        <w:t>收回金额的差额计提相应的资产减值准备。资产组的可收回金额低于其账面价值的，确认其相应的减值损失，减值损失金额</w:t>
      </w:r>
      <w:r>
        <w:rPr>
          <w:spacing w:val="-63"/>
        </w:rPr>
        <w:t> </w:t>
      </w:r>
      <w:r>
        <w:rPr>
          <w:spacing w:val="-63"/>
        </w:rPr>
      </w:r>
      <w:r>
        <w:rPr>
          <w:spacing w:val="-2"/>
        </w:rPr>
        <w:t>先抵减分摊至资产组中商誉的账面价值，再根据资产组中除商誉之外的其他各项资产的账面价值所占比重，按比例抵减其他</w:t>
      </w:r>
      <w:r>
        <w:rPr>
          <w:spacing w:val="-64"/>
        </w:rPr>
        <w:t> </w:t>
      </w:r>
      <w:r>
        <w:rPr>
          <w:spacing w:val="-64"/>
        </w:rPr>
      </w:r>
      <w:r>
        <w:rPr/>
        <w:t>各项资产的账面价值；以上资产账面价值的抵减，作为各单项资产</w:t>
      </w:r>
      <w:r>
        <w:rPr>
          <w:rFonts w:ascii="Times New Roman" w:hAnsi="Times New Roman" w:cs="Times New Roman" w:eastAsia="Times New Roman" w:hint="default"/>
        </w:rPr>
        <w:t>(</w:t>
      </w:r>
      <w:r>
        <w:rPr/>
        <w:t>包括商誉</w:t>
      </w:r>
      <w:r>
        <w:rPr>
          <w:rFonts w:ascii="Times New Roman" w:hAnsi="Times New Roman" w:cs="Times New Roman" w:eastAsia="Times New Roman" w:hint="default"/>
        </w:rPr>
        <w:t>)</w:t>
      </w:r>
      <w:r>
        <w:rPr/>
        <w:t>的减值损失，计提各单项资产的减值准备。上 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184"/>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为获取新的技术和知识等进行的有计划的调查阶段，应确定为研究阶段，</w:t>
      </w:r>
      <w:bookmarkStart w:name="（5）划分公司内部研究开发项目的研究阶段和开发阶段具体标准" w:id="145"/>
      <w:bookmarkEnd w:id="145"/>
      <w:r>
        <w:rPr>
          <w:spacing w:val="-2"/>
        </w:rPr>
        <w:t>该阶段具有计划性和探索性等特点</w:t>
      </w:r>
      <w:r>
        <w:rPr>
          <w:spacing w:val="-2"/>
        </w:rPr>
        <w:t>；在进行商</w:t>
      </w:r>
      <w:r>
        <w:rPr/>
        <w:t> </w:t>
      </w:r>
      <w:r>
        <w:rPr>
          <w:spacing w:val="-2"/>
        </w:rPr>
        <w:t>业性生产或使用前，将研究成果或其他知识应用于某项计划或设计，以生产出新的或具有实质性改进的材料、装置、产品等</w:t>
      </w:r>
      <w:r>
        <w:rPr>
          <w:spacing w:val="-64"/>
        </w:rPr>
        <w:t> </w:t>
      </w:r>
      <w:r>
        <w:rPr>
          <w:spacing w:val="-64"/>
        </w:rPr>
      </w:r>
      <w:r>
        <w:rPr/>
        <w:t>阶段，应确定为开发阶段，该阶段具有针对性和形成成果的可能性较大等特点。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84"/>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84"/>
        <w:jc w:val="left"/>
      </w:pPr>
      <w:r>
        <w:rPr/>
        <w:t>内部研究开发项目开发阶段的支出，同时满足下列条件的，确认为无形资产：</w:t>
      </w:r>
    </w:p>
    <w:p>
      <w:pPr>
        <w:pStyle w:val="BodyText"/>
        <w:spacing w:line="240" w:lineRule="auto" w:before="76"/>
        <w:ind w:left="512" w:right="184"/>
        <w:jc w:val="left"/>
      </w:pPr>
      <w:r>
        <w:rPr/>
        <w:t>①</w:t>
      </w:r>
      <w:r>
        <w:rPr>
          <w:spacing w:val="-18"/>
        </w:rPr>
        <w:t> </w:t>
      </w:r>
      <w:r>
        <w:rPr/>
        <w:t>完成该无形资产以使其能够使用或出售在技术上具有可行性；</w:t>
      </w:r>
    </w:p>
    <w:p>
      <w:pPr>
        <w:pStyle w:val="BodyText"/>
        <w:spacing w:line="240" w:lineRule="auto" w:before="76"/>
        <w:ind w:left="512" w:right="184"/>
        <w:jc w:val="left"/>
      </w:pPr>
      <w:r>
        <w:rPr/>
        <w:t>②</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具有完成该无形资产并使用或出售的意图；</w:t>
      </w:r>
    </w:p>
    <w:p>
      <w:pPr>
        <w:pStyle w:val="BodyText"/>
        <w:spacing w:line="316" w:lineRule="auto" w:before="62"/>
        <w:ind w:right="202" w:firstLine="360"/>
        <w:jc w:val="left"/>
      </w:pPr>
      <w:r>
        <w:rPr/>
        <w:t>③</w:t>
      </w:r>
      <w:r>
        <w:rPr>
          <w:spacing w:val="-18"/>
        </w:rPr>
        <w:t> </w:t>
      </w:r>
      <w:bookmarkStart w:name="（6）内部研究开发项目支出的核算" w:id="146"/>
      <w:bookmarkEnd w:id="146"/>
      <w:r>
        <w:rPr/>
        <w:t>无形资产产生经济利益的方式，包括能够证明运用该无形资产生产的产品存在市场或无形资产自身存在市场，无形</w:t>
      </w:r>
      <w:r>
        <w:rPr/>
        <w:t> 资产将在内部使用的，可证明其有用性；</w:t>
      </w:r>
    </w:p>
    <w:p>
      <w:pPr>
        <w:pStyle w:val="BodyText"/>
        <w:spacing w:line="240" w:lineRule="auto" w:before="18"/>
        <w:ind w:left="512" w:right="184"/>
        <w:jc w:val="left"/>
      </w:pPr>
      <w:r>
        <w:rPr/>
        <w:t>④</w:t>
      </w:r>
      <w:r>
        <w:rPr>
          <w:spacing w:val="-18"/>
        </w:rPr>
        <w:t> </w:t>
      </w:r>
      <w:r>
        <w:rPr/>
        <w:t>有足够的技术、财务资源和其他资源支持，以完成该无形资产的开发，并有能力使用或出售该无形资产；</w:t>
      </w:r>
    </w:p>
    <w:p>
      <w:pPr>
        <w:pStyle w:val="BodyText"/>
        <w:spacing w:line="240" w:lineRule="auto" w:before="76"/>
        <w:ind w:left="512" w:right="184"/>
        <w:jc w:val="left"/>
      </w:pPr>
      <w:r>
        <w:rPr/>
        <w:t>⑤</w:t>
      </w:r>
      <w:r>
        <w:rPr>
          <w:spacing w:val="-18"/>
        </w:rPr>
        <w:t> </w:t>
      </w:r>
      <w:r>
        <w:rPr/>
        <w:t>归属于该无形资产开发阶段的支出能够可靠地计量。</w:t>
      </w:r>
    </w:p>
    <w:p>
      <w:pPr>
        <w:spacing w:line="240" w:lineRule="auto" w:before="0"/>
        <w:rPr>
          <w:rFonts w:ascii="宋体" w:hAnsi="宋体" w:cs="宋体" w:eastAsia="宋体" w:hint="default"/>
          <w:sz w:val="18"/>
          <w:szCs w:val="18"/>
        </w:rPr>
      </w:pPr>
    </w:p>
    <w:p>
      <w:pPr>
        <w:pStyle w:val="Heading3"/>
        <w:spacing w:line="240" w:lineRule="auto" w:before="120"/>
        <w:ind w:right="184"/>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4" w:firstLine="360"/>
        <w:jc w:val="left"/>
      </w:pPr>
      <w:r>
        <w:rPr>
          <w:spacing w:val="-2"/>
        </w:rPr>
        <w:t>长期待摊费用按实际发生额入账，按受益期限平均摊销。不能使以后会计期间受益的长期待摊费用项目，在确定时将该</w:t>
      </w:r>
      <w:r>
        <w:rPr/>
        <w:t> 项目的摊余价值全部计入当期损益。</w:t>
      </w:r>
    </w:p>
    <w:p>
      <w:pPr>
        <w:spacing w:after="0" w:line="316"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84"/>
        <w:jc w:val="left"/>
        <w:rPr>
          <w:b w:val="0"/>
          <w:bCs w:val="0"/>
        </w:rPr>
      </w:pPr>
      <w:bookmarkStart w:name="（3）确认可行权权益工具最佳估计的依据" w:id="147"/>
      <w:bookmarkEnd w:id="147"/>
      <w:r>
        <w:rPr>
          <w:b w:val="0"/>
          <w:bCs w:val="0"/>
        </w:rPr>
      </w:r>
      <w:bookmarkStart w:name="（4）实施、修改、终止股份支付计划的相关会计处理" w:id="148"/>
      <w:bookmarkEnd w:id="148"/>
      <w:r>
        <w:rPr>
          <w:b w:val="0"/>
          <w:bCs w:val="0"/>
        </w:rPr>
      </w:r>
      <w:r>
        <w:rPr>
          <w:rFonts w:ascii="Times New Roman" w:hAnsi="Times New Roman" w:cs="Times New Roman" w:eastAsia="Times New Roman" w:hint="default"/>
        </w:rPr>
        <w:t>19</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4"/>
        <w:jc w:val="left"/>
        <w:rPr>
          <w:b w:val="0"/>
          <w:bCs w:val="0"/>
        </w:rPr>
      </w:pPr>
      <w:r>
        <w:rPr/>
        <w:t>（</w:t>
      </w:r>
      <w:r>
        <w:rPr>
          <w:rFonts w:ascii="Times New Roman" w:hAnsi="Times New Roman" w:cs="Times New Roman" w:eastAsia="Times New Roman" w:hint="default"/>
        </w:rPr>
        <w:t>1</w:t>
      </w:r>
      <w:bookmarkStart w:name="19、预计负债" w:id="149"/>
      <w:bookmarkEnd w:id="149"/>
      <w:r>
        <w:rPr>
          <w:rFonts w:ascii="Times New Roman" w:hAnsi="Times New Roman" w:cs="Times New Roman" w:eastAsia="Times New Roman" w:hint="default"/>
        </w:rPr>
      </w:r>
      <w:bookmarkStart w:name="（1）预计负债的确认标准" w:id="150"/>
      <w:bookmarkEnd w:id="150"/>
      <w:r>
        <w:rPr>
          <w:rFonts w:ascii="Times New Roman" w:hAnsi="Times New Roman" w:cs="Times New Roman" w:eastAsia="Times New Roman" w:hint="default"/>
        </w:rPr>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left="512" w:right="3274"/>
        <w:jc w:val="left"/>
      </w:pPr>
      <w:r>
        <w:rPr/>
        <w:t>①</w:t>
      </w:r>
      <w:r>
        <w:rPr>
          <w:spacing w:val="-18"/>
        </w:rPr>
        <w:t> </w:t>
      </w:r>
      <w:r>
        <w:rPr/>
        <w:t>公司与或有事项相关的义务同时满足下列条件的，应当确认为预计负债：</w:t>
      </w:r>
      <w:r>
        <w:rPr/>
        <w:t> </w:t>
      </w:r>
      <w:r>
        <w:rPr>
          <w:rFonts w:ascii="Times New Roman" w:hAnsi="Times New Roman" w:cs="Times New Roman" w:eastAsia="Times New Roman" w:hint="default"/>
        </w:rPr>
        <w:t>A</w:t>
      </w:r>
      <w:r>
        <w:rPr/>
        <w:t>．该义务是公司承担的现时义务； </w:t>
      </w:r>
      <w:r>
        <w:rPr>
          <w:rFonts w:ascii="Times New Roman" w:hAnsi="Times New Roman" w:cs="Times New Roman" w:eastAsia="Times New Roman" w:hint="default"/>
        </w:rPr>
        <w:t>B</w:t>
      </w:r>
      <w:r>
        <w:rPr/>
        <w:t>．履行该义务很可能（大于</w:t>
      </w:r>
      <w:r>
        <w:rPr>
          <w:rFonts w:ascii="Times New Roman" w:hAnsi="Times New Roman" w:cs="Times New Roman" w:eastAsia="Times New Roman" w:hint="default"/>
        </w:rPr>
        <w:t>50%</w:t>
      </w:r>
      <w:r>
        <w:rPr/>
        <w:t>但小于或等于</w:t>
      </w:r>
      <w:r>
        <w:rPr>
          <w:rFonts w:ascii="Times New Roman" w:hAnsi="Times New Roman" w:cs="Times New Roman" w:eastAsia="Times New Roman" w:hint="default"/>
        </w:rPr>
        <w:t>95%</w:t>
      </w:r>
      <w:r>
        <w:rPr/>
        <w:t>）导致经济利益流出公司； </w:t>
      </w:r>
      <w:r>
        <w:rPr>
          <w:rFonts w:ascii="Times New Roman" w:hAnsi="Times New Roman" w:cs="Times New Roman" w:eastAsia="Times New Roman" w:hint="default"/>
        </w:rPr>
        <w:t>C</w:t>
      </w:r>
      <w:r>
        <w:rPr/>
        <w:t>．该义务的金额能够可靠地计量。</w:t>
      </w:r>
    </w:p>
    <w:p>
      <w:pPr>
        <w:pStyle w:val="BodyText"/>
        <w:spacing w:line="240" w:lineRule="auto" w:before="48"/>
        <w:ind w:left="440" w:right="184"/>
        <w:jc w:val="left"/>
      </w:pPr>
      <w:r>
        <w:rPr/>
        <w:t>②</w:t>
      </w:r>
      <w:r>
        <w:rPr>
          <w:spacing w:val="-18"/>
        </w:rPr>
        <w:t> </w:t>
      </w:r>
      <w:r>
        <w:rPr/>
        <w:t>公司不应当确认或有负债和或有资产，并不应当就未来经营亏损确认预计负债。</w:t>
      </w:r>
    </w:p>
    <w:p>
      <w:pPr>
        <w:spacing w:line="240" w:lineRule="auto" w:before="0"/>
        <w:rPr>
          <w:rFonts w:ascii="宋体" w:hAnsi="宋体" w:cs="宋体" w:eastAsia="宋体" w:hint="default"/>
          <w:sz w:val="18"/>
          <w:szCs w:val="18"/>
        </w:rPr>
      </w:pPr>
    </w:p>
    <w:p>
      <w:pPr>
        <w:pStyle w:val="Heading3"/>
        <w:spacing w:line="240" w:lineRule="auto" w:before="118"/>
        <w:ind w:right="184"/>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 w:firstLine="360"/>
        <w:jc w:val="both"/>
      </w:pPr>
      <w:bookmarkStart w:name="（2）预计负债的计量方法" w:id="151"/>
      <w:bookmarkEnd w:id="151"/>
      <w:r>
        <w:rPr/>
      </w:r>
      <w:r>
        <w:rPr/>
        <w:t>确认负债的金额是清偿该负债所需支出的最佳估计数。如果所需支出存在一个金额范围，则最佳估计数按该范围的上、 下限金额的平均数确定；如果所需支出不存在一个金额范围，则最佳估计数按如下方法确定：</w:t>
      </w:r>
    </w:p>
    <w:p>
      <w:pPr>
        <w:pStyle w:val="BodyText"/>
        <w:spacing w:line="300" w:lineRule="auto" w:before="18"/>
        <w:ind w:left="512" w:right="94"/>
        <w:jc w:val="left"/>
      </w:pPr>
      <w:r>
        <w:rPr>
          <w:rFonts w:ascii="Times New Roman" w:hAnsi="Times New Roman" w:cs="Times New Roman" w:eastAsia="Times New Roman" w:hint="default"/>
        </w:rPr>
        <w:t>A</w:t>
      </w:r>
      <w:r>
        <w:rPr/>
        <w:t>．或有事项涉及单个项目时，最佳估计数按最可能发生金额确定； </w:t>
      </w:r>
      <w:r>
        <w:rPr>
          <w:rFonts w:ascii="Times New Roman" w:hAnsi="Times New Roman" w:cs="Times New Roman" w:eastAsia="Times New Roman" w:hint="default"/>
        </w:rPr>
        <w:t>B</w:t>
      </w:r>
      <w:r>
        <w:rPr/>
        <w:t>．或有事项涉及多个项目时，最佳估计数按各种可能发生额及其发生概率计算确定。 确认的负债所需支出全部或部分预期由第三方或其他方补偿的，则补偿金额在基本确定能收到时，作为资产单独确认。</w:t>
      </w:r>
    </w:p>
    <w:p>
      <w:pPr>
        <w:pStyle w:val="BodyText"/>
        <w:spacing w:line="240" w:lineRule="auto" w:before="31"/>
        <w:ind w:right="184"/>
        <w:jc w:val="left"/>
      </w:pPr>
      <w:r>
        <w:rPr/>
        <w:t>确认的补偿金额不超过所确认负债的账面价值。</w:t>
      </w:r>
    </w:p>
    <w:p>
      <w:pPr>
        <w:spacing w:line="240" w:lineRule="auto" w:before="0"/>
        <w:rPr>
          <w:rFonts w:ascii="宋体" w:hAnsi="宋体" w:cs="宋体" w:eastAsia="宋体" w:hint="default"/>
          <w:sz w:val="18"/>
          <w:szCs w:val="18"/>
        </w:rPr>
      </w:pPr>
    </w:p>
    <w:p>
      <w:pPr>
        <w:pStyle w:val="Heading3"/>
        <w:spacing w:line="240" w:lineRule="auto" w:before="120"/>
        <w:ind w:right="184"/>
        <w:jc w:val="left"/>
        <w:rPr>
          <w:b w:val="0"/>
          <w:bCs w:val="0"/>
        </w:rPr>
      </w:pPr>
      <w:r>
        <w:rPr>
          <w:rFonts w:ascii="Times New Roman" w:hAnsi="Times New Roman" w:cs="Times New Roman" w:eastAsia="Times New Roman" w:hint="default"/>
        </w:rPr>
        <w:t>20</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4"/>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06" w:right="184"/>
        <w:jc w:val="left"/>
      </w:pPr>
      <w:r>
        <w:rPr/>
        <w:t>股份支付分为以权益结算的股份支付和以现金结算的股份支付。</w:t>
      </w:r>
    </w:p>
    <w:p>
      <w:pPr>
        <w:spacing w:line="240" w:lineRule="auto" w:before="0"/>
        <w:rPr>
          <w:rFonts w:ascii="宋体" w:hAnsi="宋体" w:cs="宋体" w:eastAsia="宋体" w:hint="default"/>
          <w:sz w:val="18"/>
          <w:szCs w:val="18"/>
        </w:rPr>
      </w:pPr>
    </w:p>
    <w:p>
      <w:pPr>
        <w:pStyle w:val="Heading3"/>
        <w:spacing w:line="240" w:lineRule="auto" w:before="120"/>
        <w:ind w:right="184"/>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01" w:firstLine="360"/>
        <w:jc w:val="both"/>
      </w:pPr>
      <w:r>
        <w:rPr>
          <w:spacing w:val="-2"/>
        </w:rPr>
        <w:t>对于授予的存在活跃市场的期权等权益工具，</w:t>
      </w:r>
      <w:bookmarkStart w:name="20、股份支付及权益工具" w:id="152"/>
      <w:bookmarkEnd w:id="152"/>
      <w:r>
        <w:rPr>
          <w:spacing w:val="-2"/>
        </w:rPr>
      </w:r>
      <w:bookmarkStart w:name="（1）股份支付的种类" w:id="153"/>
      <w:bookmarkEnd w:id="153"/>
      <w:r>
        <w:rPr>
          <w:spacing w:val="-2"/>
        </w:rPr>
        <w:t>按照活跃市场中的报价确定其公允价值</w:t>
      </w:r>
      <w:r>
        <w:rPr>
          <w:spacing w:val="-2"/>
        </w:rPr>
        <w:t>。</w:t>
      </w:r>
      <w:bookmarkStart w:name="（2）权益工具公允价值的确定方法" w:id="154"/>
      <w:bookmarkEnd w:id="154"/>
      <w:r>
        <w:rPr>
          <w:spacing w:val="-2"/>
        </w:rPr>
        <w:t>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74"/>
        </w:rPr>
        <w:t> </w:t>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316" w:lineRule="auto" w:before="5"/>
        <w:ind w:right="190"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4"/>
        </w:rPr>
        <w:t> </w:t>
      </w:r>
      <w:r>
        <w:rPr>
          <w:spacing w:val="-64"/>
        </w:rPr>
      </w:r>
      <w:r>
        <w:rPr/>
        <w:t>相对应的成本费用。</w:t>
      </w:r>
    </w:p>
    <w:p>
      <w:pPr>
        <w:spacing w:line="240" w:lineRule="auto" w:before="11"/>
        <w:rPr>
          <w:rFonts w:ascii="宋体" w:hAnsi="宋体" w:cs="宋体" w:eastAsia="宋体" w:hint="default"/>
          <w:sz w:val="22"/>
          <w:szCs w:val="22"/>
        </w:rPr>
      </w:pPr>
    </w:p>
    <w:p>
      <w:pPr>
        <w:pStyle w:val="Heading3"/>
        <w:spacing w:line="240" w:lineRule="auto"/>
        <w:ind w:right="184"/>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1" w:firstLine="633"/>
        <w:jc w:val="left"/>
      </w:pPr>
      <w:r>
        <w:rPr/>
        <w:t>等待期内每个资产负债表日，根据最新取得的可行权职工人数变动等后续信息作出最佳估计，修正预计可行权的权 益工具数量。在可行权日，最终预计可行权权益工具的数量与实际可行权数量一致。</w:t>
      </w:r>
    </w:p>
    <w:p>
      <w:pPr>
        <w:spacing w:line="240" w:lineRule="auto" w:before="10"/>
        <w:rPr>
          <w:rFonts w:ascii="宋体" w:hAnsi="宋体" w:cs="宋体" w:eastAsia="宋体" w:hint="default"/>
          <w:sz w:val="22"/>
          <w:szCs w:val="22"/>
        </w:rPr>
      </w:pPr>
    </w:p>
    <w:p>
      <w:pPr>
        <w:pStyle w:val="Heading3"/>
        <w:spacing w:line="240" w:lineRule="auto"/>
        <w:ind w:right="184"/>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以权益结算的股份支付，按授予职工权益工具的公允价值计量。授予后立即可行权的，在授予日按照权益工具的公允价</w:t>
      </w:r>
      <w:r>
        <w:rPr/>
        <w:t> </w:t>
      </w: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51" w:firstLine="360"/>
        <w:jc w:val="both"/>
      </w:pPr>
      <w:bookmarkStart w:name="22、政府补助" w:id="155"/>
      <w:bookmarkEnd w:id="155"/>
      <w:r>
        <w:rPr/>
      </w:r>
      <w:bookmarkStart w:name="（1）类型" w:id="156"/>
      <w:bookmarkEnd w:id="156"/>
      <w:r>
        <w:rPr/>
      </w: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16" w:lineRule="auto" w:before="18"/>
        <w:ind w:right="153" w:firstLine="360"/>
        <w:jc w:val="both"/>
      </w:pPr>
      <w:r>
        <w:rPr>
          <w:spacing w:val="-2"/>
        </w:rPr>
        <w:t>若在等待期内取消了授予的权益工具（因未满足可行权条件而被取消的除外），本公司对取消所授予的权益性工具作为</w:t>
      </w:r>
      <w:r>
        <w:rPr/>
        <w:t> </w:t>
      </w:r>
      <w:r>
        <w:rPr>
          <w:spacing w:val="-2"/>
        </w:rPr>
        <w:t>加速可行权处理，将剩余等待期内应确认的金额立即计入当期损益，同时确认资本公积。职工或其他方能够选择满足非可行</w:t>
      </w:r>
      <w:r>
        <w:rPr>
          <w:spacing w:val="-65"/>
        </w:rPr>
        <w:t> </w:t>
      </w:r>
      <w:r>
        <w:rPr>
          <w:spacing w:val="-65"/>
        </w:rPr>
      </w:r>
      <w:r>
        <w:rPr/>
        <w:t>权条件但在等待期内未满足的，本公司将其作为授予权益工具的取消处理。</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）销售商品收入确认时</w:t>
      </w:r>
      <w:bookmarkStart w:name="21、收入" w:id="157"/>
      <w:bookmarkEnd w:id="157"/>
      <w:r>
        <w:rPr/>
      </w:r>
      <w:bookmarkStart w:name="（1）销售商品收入确认时间的具体判断标准" w:id="158"/>
      <w:bookmarkEnd w:id="158"/>
      <w:r>
        <w:rPr/>
        <w:t>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633"/>
        <w:jc w:val="both"/>
      </w:pPr>
      <w:r>
        <w:rPr/>
        <w:t>公司已将商品 </w:t>
      </w:r>
      <w:r>
        <w:rPr>
          <w:spacing w:val="-2"/>
        </w:rPr>
        <w:t>所有权上的主要风险和报酬转移给购货方；公司既没有保留通常与所有权相联系的继续管理权，也没</w:t>
      </w:r>
      <w:r>
        <w:rPr/>
        <w:t> </w:t>
      </w:r>
      <w:r>
        <w:rPr>
          <w:spacing w:val="-2"/>
        </w:rPr>
        <w:t>有对已售出的商品实施有效控制；收入的金额能够可靠地计量；相关的经济利益很可能流入公司；相关的已发生或将发生的</w:t>
      </w:r>
      <w:r>
        <w:rPr>
          <w:spacing w:val="-63"/>
        </w:rPr>
        <w:t> </w:t>
      </w:r>
      <w:r>
        <w:rPr>
          <w:spacing w:val="-63"/>
        </w:rPr>
      </w:r>
      <w:r>
        <w:rPr/>
        <w:t>成本能够可靠地计量。</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相关的经济利益很可能流入公司；收入的金额能够可靠地计量</w:t>
      </w:r>
      <w:bookmarkStart w:name="（2）确认让渡资产使用权收入的依据" w:id="159"/>
      <w:bookmarkEnd w:id="159"/>
      <w:r>
        <w:rPr>
          <w:spacing w:val="-2"/>
        </w:rPr>
        <w:t>。</w:t>
      </w:r>
      <w:r>
        <w:rPr>
          <w:spacing w:val="-2"/>
        </w:rPr>
        <w:t>利息收入金额，按照他人使用本公司货币资金的时间和</w:t>
      </w:r>
      <w:r>
        <w:rPr/>
        <w:t> 实际利率计算确定；使用费收入金额，按照有关合同或协议约定的收费时间和方法计算确定。</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根据合同约定提供了相应服务，取得明确的收款证据，相关成本能够可靠地计量时</w:t>
      </w:r>
      <w:bookmarkStart w:name="（3）确认提供劳务收入的依据" w:id="160"/>
      <w:bookmarkEnd w:id="160"/>
      <w:r>
        <w:rPr>
          <w:spacing w:val="-2"/>
        </w:rPr>
        <w:t>，</w:t>
      </w:r>
      <w:r>
        <w:rPr>
          <w:spacing w:val="-2"/>
        </w:rPr>
        <w:t>确认收入。合同规定约定服务期限</w:t>
      </w:r>
      <w:r>
        <w:rPr/>
        <w:t> </w:t>
      </w:r>
      <w:r>
        <w:rPr>
          <w:spacing w:val="-2"/>
        </w:rPr>
        <w:t>的，在合同约定的服务期限内，按进度确认收入；合同明确约定了服务成果需经客户验收确认的，根据客户验收情况确认收</w:t>
      </w:r>
      <w:r>
        <w:rPr>
          <w:spacing w:val="-64"/>
        </w:rPr>
        <w:t> </w:t>
      </w:r>
      <w:r>
        <w:rPr>
          <w:spacing w:val="-64"/>
        </w:rPr>
      </w:r>
      <w:r>
        <w:rPr/>
        <w:t>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w:t>
      </w:r>
      <w:bookmarkStart w:name="（4）按完工百分比法确认提供劳务的收入和建造合同收入时，确定合同完工进度的依据和" w:id="161"/>
      <w:bookmarkEnd w:id="161"/>
      <w:r>
        <w:rPr/>
        <w:t>进度的依据和方法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0"/>
        <w:jc w:val="left"/>
      </w:pPr>
      <w:r>
        <w:rPr/>
        <w:t>定制软件销售收入确认原则： </w:t>
      </w:r>
      <w:r>
        <w:rPr>
          <w:spacing w:val="-2"/>
        </w:rPr>
        <w:t>提供定制软件劳务交易的结果在资产负债表日能够可靠估计的（同时满足收入的金额能够可靠地计量、相关经济利益很</w:t>
      </w:r>
    </w:p>
    <w:p>
      <w:pPr>
        <w:pStyle w:val="BodyText"/>
        <w:spacing w:line="316" w:lineRule="auto" w:before="18"/>
        <w:ind w:right="0"/>
        <w:jc w:val="left"/>
      </w:pPr>
      <w:r>
        <w:rPr>
          <w:spacing w:val="-2"/>
        </w:rPr>
        <w:t>可能流入、交易的完工进度能够可靠地确定、交易中已发生和将发生的成本能够可靠地计量），采用完工百分比法确认提供</w:t>
      </w:r>
      <w:r>
        <w:rPr>
          <w:spacing w:val="-64"/>
        </w:rPr>
        <w:t> </w:t>
      </w:r>
      <w:r>
        <w:rPr>
          <w:spacing w:val="-64"/>
        </w:rPr>
      </w:r>
      <w:r>
        <w:rPr/>
        <w:t>劳务的收入，并按已经发生的成本占估计总成本的比例确定提供劳务交易的完工进度。</w:t>
      </w:r>
    </w:p>
    <w:p>
      <w:pPr>
        <w:pStyle w:val="BodyText"/>
        <w:spacing w:line="316" w:lineRule="auto" w:before="18"/>
        <w:ind w:right="150" w:firstLine="360"/>
        <w:jc w:val="both"/>
      </w:pPr>
      <w:r>
        <w:rPr>
          <w:spacing w:val="-2"/>
        </w:rPr>
        <w:t>提供定制软件劳务交易的结果在资产负债表日不能够可靠估计的，若已经发生的劳务成本预计能够得到补偿，按已经发</w:t>
      </w:r>
      <w:r>
        <w:rPr/>
        <w:t> </w:t>
      </w:r>
      <w:r>
        <w:rPr>
          <w:spacing w:val="-2"/>
        </w:rPr>
        <w:t>生的劳务成本金额确认提供劳务收入，并按相同金额结转劳务成本；若已经发生的劳务成本预计不能够得到补偿，将已经发</w:t>
      </w:r>
      <w:r>
        <w:rPr>
          <w:spacing w:val="-63"/>
        </w:rPr>
        <w:t> </w:t>
      </w:r>
      <w:r>
        <w:rPr>
          <w:spacing w:val="-63"/>
        </w:rPr>
      </w:r>
      <w:r>
        <w:rPr/>
        <w:t>生的劳务成本计入当期损益，不确认劳务收入。</w:t>
      </w:r>
    </w:p>
    <w:p>
      <w:pPr>
        <w:pStyle w:val="BodyText"/>
        <w:spacing w:line="240" w:lineRule="auto" w:before="18"/>
        <w:ind w:left="512" w:right="0"/>
        <w:jc w:val="left"/>
      </w:pPr>
      <w:r>
        <w:rPr/>
        <w:t>由公司负责免费维护的完工软件产品，在确认收入的同时，合理地估计并按收入的</w:t>
      </w:r>
      <w:r>
        <w:rPr>
          <w:rFonts w:ascii="Times New Roman" w:hAnsi="Times New Roman" w:cs="Times New Roman" w:eastAsia="Times New Roman" w:hint="default"/>
        </w:rPr>
        <w:t>2%</w:t>
      </w:r>
      <w:r>
        <w:rPr/>
        <w:t>预提软件维护费用。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5" w:firstLine="633"/>
        <w:jc w:val="both"/>
      </w:pPr>
      <w:r>
        <w:rPr/>
        <w:t>政府补助，是指公司从政府无偿取得货币性资产或非货币性资产，但不包括政府作为公司所有者投入的资本以及除 </w:t>
      </w:r>
      <w:r>
        <w:rPr>
          <w:spacing w:val="-2"/>
        </w:rPr>
        <w:t>税收返还之外的直接减征、免征、增加计税抵扣额、抵免部分税额、增值税出口退税等税收优惠。政府补助的形式包括：财</w:t>
      </w:r>
    </w:p>
    <w:p>
      <w:pPr>
        <w:spacing w:after="0" w:line="316" w:lineRule="auto"/>
        <w:jc w:val="both"/>
        <w:sectPr>
          <w:footerReference w:type="default" r:id="rId15"/>
          <w:pgSz w:w="11910" w:h="16840"/>
          <w:pgMar w:footer="982" w:header="745" w:top="1060" w:bottom="1180" w:left="980" w:right="980"/>
          <w:pgNumType w:start="85"/>
        </w:sectPr>
      </w:pPr>
    </w:p>
    <w:p>
      <w:pPr>
        <w:spacing w:line="240" w:lineRule="auto" w:before="9"/>
        <w:rPr>
          <w:rFonts w:ascii="宋体" w:hAnsi="宋体" w:cs="宋体" w:eastAsia="宋体" w:hint="default"/>
          <w:sz w:val="25"/>
          <w:szCs w:val="25"/>
        </w:rPr>
      </w:pPr>
    </w:p>
    <w:p>
      <w:pPr>
        <w:pStyle w:val="BodyText"/>
        <w:spacing w:line="316" w:lineRule="auto" w:before="44"/>
        <w:ind w:right="151"/>
        <w:jc w:val="both"/>
      </w:pPr>
      <w:bookmarkStart w:name="24、经营租赁、融资租赁" w:id="162"/>
      <w:bookmarkEnd w:id="162"/>
      <w:r>
        <w:rPr/>
      </w:r>
      <w:bookmarkStart w:name="（1）经营租赁会计处理" w:id="163"/>
      <w:bookmarkEnd w:id="163"/>
      <w:r>
        <w:rPr/>
      </w:r>
      <w:r>
        <w:rPr/>
        <w:t>政拨款、财政贴息、税收返还、无偿划拨非货币性资产等。 政府补助分为与资产相关的政府补助和与收益相关的政 </w:t>
      </w:r>
      <w:r>
        <w:rPr>
          <w:spacing w:val="-2"/>
        </w:rPr>
        <w:t>府补助。与资产相关的政府补助，是指公司取得的、用于购建或以其他方式形成长期资产的政府补助。与收益相关的政府补</w:t>
      </w:r>
      <w:r>
        <w:rPr>
          <w:spacing w:val="-64"/>
        </w:rPr>
        <w:t> </w:t>
      </w:r>
      <w:r>
        <w:rPr>
          <w:spacing w:val="-64"/>
        </w:rPr>
      </w:r>
      <w:r>
        <w:rPr/>
        <w:t>助，是指除与资产相关的政府补助之外的政府补助。</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bookmarkStart w:name="（2）会计处理方法" w:id="164"/>
      <w:bookmarkEnd w:id="164"/>
      <w:r>
        <w:rPr>
          <w:rFonts w:ascii="Times New Roman" w:hAnsi="Times New Roman" w:cs="Times New Roman" w:eastAsia="Times New Roman" w:hint="default"/>
        </w:rPr>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2" w:right="4242"/>
        <w:jc w:val="left"/>
      </w:pPr>
      <w:r>
        <w:rPr/>
        <w:t>①</w:t>
      </w:r>
      <w:r>
        <w:rPr>
          <w:spacing w:val="-18"/>
        </w:rPr>
        <w:t> </w:t>
      </w:r>
      <w:r>
        <w:rPr/>
        <w:t>政府补助为货币性资产的，应当按照收到或应收的金额计量。</w:t>
      </w:r>
      <w:r>
        <w:rPr/>
        <w:t> 政府补助为非货币性资产的，应当按照公允价值计量。</w:t>
      </w:r>
    </w:p>
    <w:p>
      <w:pPr>
        <w:pStyle w:val="BodyText"/>
        <w:spacing w:line="316" w:lineRule="auto" w:before="18"/>
        <w:ind w:right="137" w:firstLine="419"/>
        <w:jc w:val="left"/>
      </w:pPr>
      <w:r>
        <w:rPr/>
        <w:t>②</w:t>
      </w:r>
      <w:r>
        <w:rPr>
          <w:spacing w:val="-52"/>
        </w:rPr>
        <w:t> </w:t>
      </w:r>
      <w:r>
        <w:rPr/>
        <w:t>与资产相关的政府补助，应当确认为递延收益，自相关资产达到预定可使用状态时起，在相关资产使用寿命内平均</w:t>
      </w:r>
      <w:r>
        <w:rPr/>
        <w:t> 分配，分次计入以后各期营业外收入。按照名义金额计量的政府补助，直接计入营业外收入。</w:t>
      </w:r>
    </w:p>
    <w:p>
      <w:pPr>
        <w:pStyle w:val="BodyText"/>
        <w:spacing w:line="316" w:lineRule="auto" w:before="18"/>
        <w:ind w:right="0" w:firstLine="419"/>
        <w:jc w:val="left"/>
      </w:pPr>
      <w:r>
        <w:rPr/>
        <w:t>相关资产在使用寿命结束前被出售、转让、报废或发生毁损的，应将尚未分配的递延收益余额一次性转入资产处置当 期的损益（营业外收入）。</w:t>
      </w:r>
    </w:p>
    <w:p>
      <w:pPr>
        <w:pStyle w:val="BodyText"/>
        <w:spacing w:line="316" w:lineRule="auto" w:before="18"/>
        <w:ind w:left="572" w:right="174"/>
        <w:jc w:val="left"/>
      </w:pPr>
      <w:r>
        <w:rPr/>
        <w:t>③</w:t>
      </w:r>
      <w:r>
        <w:rPr>
          <w:spacing w:val="-18"/>
        </w:rPr>
        <w:t> </w:t>
      </w:r>
      <w:r>
        <w:rPr/>
        <w:t>与收益相关的政府补助，应当分别下列情况处理：</w:t>
      </w:r>
      <w:r>
        <w:rPr/>
        <w:t> 用于补偿公司以后期间的相关费用或损失的，取得时确认为递延收益，并在确认相关费用的期间，计入营业外收入。 用于补偿公司已发生的相关费用或损失的，取得时直接计入营业外收入。</w:t>
      </w:r>
    </w:p>
    <w:p>
      <w:pPr>
        <w:pStyle w:val="BodyText"/>
        <w:spacing w:line="316" w:lineRule="auto" w:before="18"/>
        <w:ind w:left="572" w:right="3054"/>
        <w:jc w:val="left"/>
      </w:pPr>
      <w:r>
        <w:rPr/>
        <w:t>④</w:t>
      </w:r>
      <w:r>
        <w:rPr>
          <w:spacing w:val="-18"/>
        </w:rPr>
        <w:t> </w:t>
      </w:r>
      <w:r>
        <w:rPr/>
        <w:t>已确认的政府补助需要返还的，应当分别下列情况处理：</w:t>
      </w:r>
      <w:r>
        <w:rPr/>
        <w:t> 存在相关递延收益的，冲减相关递延收益账面余额，超出部分计入营业外支出。 不存在相关递延收益的，直接计入营业外支出。</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633"/>
        <w:jc w:val="both"/>
      </w:pPr>
      <w:r>
        <w:rPr/>
        <w:t>公司以很可能取得用来</w:t>
      </w:r>
      <w:bookmarkStart w:name="23、递延所得税资产和递延所得税负债" w:id="165"/>
      <w:bookmarkEnd w:id="165"/>
      <w:r>
        <w:rPr/>
      </w:r>
      <w:bookmarkStart w:name="（1）确认递延所得税资产的依据" w:id="166"/>
      <w:bookmarkEnd w:id="166"/>
      <w:r>
        <w:rPr/>
        <w:t>抵扣可抵扣暂时性差异的应纳税所得额为限，确认由可抵扣暂时性差异产生的递延所得税资</w:t>
      </w:r>
      <w:r>
        <w:rPr/>
        <w:t> 产。但同时具有下列特征的交易中因资产或负债的初始确认所产生的递延所得税资产不予确认： ①</w:t>
      </w:r>
      <w:r>
        <w:rPr>
          <w:spacing w:val="7"/>
        </w:rPr>
        <w:t> </w:t>
      </w:r>
      <w:r>
        <w:rPr/>
        <w:t>该项交易不是企</w:t>
      </w:r>
      <w:r>
        <w:rPr/>
        <w:t> 业合并； ② </w:t>
      </w:r>
      <w:r>
        <w:rPr>
          <w:spacing w:val="-4"/>
        </w:rPr>
        <w:t>交易发生时既不影响会计利润也不影响应纳税所得额（或可抵扣亏损）。</w:t>
      </w:r>
      <w:r>
        <w:rPr>
          <w:spacing w:val="73"/>
        </w:rPr>
        <w:t> </w:t>
      </w:r>
      <w:r>
        <w:rPr>
          <w:spacing w:val="-3"/>
        </w:rPr>
        <w:t>资产负债表日，有确凿</w:t>
      </w:r>
      <w:r>
        <w:rPr/>
        <w:t> </w:t>
      </w:r>
      <w:r>
        <w:rPr>
          <w:spacing w:val="-2"/>
        </w:rPr>
        <w:t>证据表明未来期间很可能获得足够的应纳税所得额用来抵扣可抵扣暂时性差异的，应当确认以前期间未确认的递延所得税资</w:t>
      </w:r>
      <w:r>
        <w:rPr>
          <w:spacing w:val="-64"/>
        </w:rPr>
        <w:t> </w:t>
      </w:r>
      <w:r>
        <w:rPr>
          <w:spacing w:val="-64"/>
        </w:rPr>
      </w:r>
      <w:r>
        <w:rPr/>
        <w:t>产。</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tabs>
          <w:tab w:pos="1393" w:val="left" w:leader="none"/>
          <w:tab w:pos="7832" w:val="left" w:leader="none"/>
          <w:tab w:pos="8255" w:val="left" w:leader="none"/>
        </w:tabs>
        <w:spacing w:line="316" w:lineRule="auto"/>
        <w:ind w:right="153" w:firstLine="633"/>
        <w:jc w:val="left"/>
      </w:pPr>
      <w:r>
        <w:rPr/>
        <w:t>公司以很可能取得用来</w:t>
      </w:r>
      <w:bookmarkStart w:name="（2）确认递延所得税负债的依据" w:id="167"/>
      <w:bookmarkEnd w:id="167"/>
      <w:r>
        <w:rPr/>
        <w:t>抵扣可抵扣暂时性差异的应纳税所得额为限，确认由可抵扣暂时性差异产生的递延所得税资</w:t>
      </w:r>
      <w:r>
        <w:rPr/>
        <w:t> 产。但同时具有下列特征的交易中因资产或负债的初始确认所产生的递延所得税资产不予确认：</w:t>
        <w:tab/>
        <w:tab/>
        <w:t>①</w:t>
      </w:r>
      <w:r>
        <w:rPr>
          <w:spacing w:val="-2"/>
        </w:rPr>
        <w:t> </w:t>
      </w:r>
      <w:r>
        <w:rPr/>
        <w:t>该项交易不是企</w:t>
      </w:r>
      <w:r>
        <w:rPr/>
        <w:t> 业合并；</w:t>
        <w:tab/>
        <w:t>②</w:t>
      </w:r>
      <w:r>
        <w:rPr>
          <w:spacing w:val="12"/>
        </w:rPr>
        <w:t> </w:t>
      </w:r>
      <w:r>
        <w:rPr>
          <w:spacing w:val="-4"/>
        </w:rPr>
        <w:t>交易发生时既不影响会计利润也不影响应纳税所得额（或可抵扣亏损）。</w:t>
        <w:tab/>
      </w:r>
      <w:r>
        <w:rPr>
          <w:spacing w:val="-2"/>
        </w:rPr>
        <w:t>资产负债表日，有确凿证</w:t>
      </w:r>
      <w:r>
        <w:rPr/>
        <w:t> 据表明未来期间很可能获得足够的应纳税所得额用来抵扣可抵扣暂时性差异的，应当确认以前期间未确认的递延所得税资 产。</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24"/>
          <w:szCs w:val="24"/>
        </w:rPr>
      </w:pPr>
    </w:p>
    <w:p>
      <w:pPr>
        <w:pStyle w:val="BodyText"/>
        <w:spacing w:line="321" w:lineRule="auto"/>
        <w:ind w:left="572" w:right="1614" w:hanging="420"/>
        <w:jc w:val="left"/>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、经营租赁中承租人的会计处理</w:t>
      </w:r>
      <w:r>
        <w:rPr>
          <w:rFonts w:ascii="宋体" w:hAnsi="宋体" w:cs="宋体" w:eastAsia="宋体" w:hint="default"/>
          <w:b/>
          <w:bCs/>
          <w:w w:val="100"/>
          <w:sz w:val="21"/>
          <w:szCs w:val="21"/>
        </w:rPr>
        <w:t> </w:t>
      </w:r>
      <w:r>
        <w:rPr/>
        <w:t>对于经营租赁的租金，承租人应当在租赁期内各个期间按照直线法计入相关资产成本或当期损益。 承租人发生的初始直接费用，应当计入管理费用。</w:t>
      </w:r>
    </w:p>
    <w:p>
      <w:pPr>
        <w:pStyle w:val="BodyText"/>
        <w:spacing w:line="240" w:lineRule="auto" w:before="15"/>
        <w:ind w:left="572" w:right="0"/>
        <w:jc w:val="left"/>
      </w:pPr>
      <w:r>
        <w:rPr/>
        <w:t>或有租金应当在实际发生时计入当期损益。</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BodyText"/>
        <w:spacing w:line="319" w:lineRule="auto" w:before="36"/>
        <w:ind w:left="572" w:right="0" w:hanging="420"/>
        <w:jc w:val="left"/>
      </w:pPr>
      <w:bookmarkStart w:name="25、主要会计政策、会计估计的变更" w:id="168"/>
      <w:bookmarkEnd w:id="168"/>
      <w:r>
        <w:rPr/>
      </w:r>
      <w:bookmarkStart w:name="（1）会计政策变更" w:id="169"/>
      <w:bookmarkEnd w:id="169"/>
      <w:r>
        <w:rPr/>
      </w:r>
      <w:bookmarkStart w:name="（2）会计估计变更" w:id="170"/>
      <w:bookmarkEnd w:id="170"/>
      <w:r>
        <w:rPr/>
      </w:r>
      <w:bookmarkStart w:name="26、前期会计差错更正" w:id="171"/>
      <w:bookmarkEnd w:id="1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、经营租赁中出租人的会计处理</w:t>
      </w:r>
      <w:r>
        <w:rPr>
          <w:rFonts w:ascii="宋体" w:hAnsi="宋体" w:cs="宋体" w:eastAsia="宋体" w:hint="default"/>
          <w:b/>
          <w:bCs/>
          <w:w w:val="100"/>
          <w:sz w:val="21"/>
          <w:szCs w:val="21"/>
        </w:rPr>
        <w:t> </w:t>
      </w:r>
      <w:r>
        <w:rPr/>
        <w:t>出租人应当按资产的性质，将用作经营租赁的资产包括在资产负债表中的相关项目内。 对于经营租赁的租金，出租人应当在租赁期内各个期间按照直线法确认为当期损益。 出租人发生的初始直接费用，应当计入管理费用。 对于经营租赁资产中的固定资产，出租人应当采用类似资产的折旧政策计提折旧；对于其他经营租赁资产，应当采用</w:t>
      </w:r>
    </w:p>
    <w:p>
      <w:pPr>
        <w:pStyle w:val="BodyText"/>
        <w:spacing w:line="316" w:lineRule="auto" w:before="17"/>
        <w:ind w:left="572" w:right="5934" w:hanging="420"/>
        <w:jc w:val="left"/>
      </w:pPr>
      <w:r>
        <w:rPr/>
        <w:t>系统合理的方法进行摊销。 或有租金应当在实际发生时计入当期损益。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、融资租赁中承租人的会</w:t>
      </w:r>
      <w:bookmarkStart w:name="（2）融资租赁会计处理" w:id="172"/>
      <w:bookmarkEnd w:id="172"/>
      <w:r>
        <w:rPr/>
        <w:t>计处理</w:t>
      </w:r>
      <w:r>
        <w:rPr>
          <w:b w:val="0"/>
          <w:bCs w:val="0"/>
        </w:rPr>
      </w:r>
    </w:p>
    <w:p>
      <w:pPr>
        <w:pStyle w:val="BodyText"/>
        <w:spacing w:line="316" w:lineRule="auto" w:before="102"/>
        <w:ind w:right="156" w:firstLine="419"/>
        <w:jc w:val="both"/>
      </w:pPr>
      <w:r>
        <w:rPr/>
        <w:t>在租赁期开始日，承租人应当将租赁开始日租赁资产公允价值与最低租赁付款额现值两者中较低者作为租入资产的入 账价值，将最低租赁付款额作为长期应付款的入账价值，其差额作为未确认融资费用。</w:t>
      </w:r>
    </w:p>
    <w:p>
      <w:pPr>
        <w:pStyle w:val="BodyText"/>
        <w:spacing w:line="316" w:lineRule="auto" w:before="18"/>
        <w:ind w:right="156" w:firstLine="419"/>
        <w:jc w:val="both"/>
      </w:pPr>
      <w:r>
        <w:rPr/>
        <w:t>承租人应当采用实际利率法将未确认融资费用在租赁期内各个期间进行分摊，计入当期损益（财务费用）。实际利率 可采用出租人租赁内含利率、租赁合同规定的利率或同期银行贷款利率。</w:t>
      </w:r>
    </w:p>
    <w:p>
      <w:pPr>
        <w:pStyle w:val="BodyText"/>
        <w:spacing w:line="316" w:lineRule="auto" w:before="18"/>
        <w:ind w:left="572" w:right="3774"/>
        <w:jc w:val="left"/>
      </w:pPr>
      <w:r>
        <w:rPr/>
        <w:t>承租人应当采用与自有固定资产相一致的折旧政策计提租赁资产折旧。 或有租金应当在实际发生时计入当期损益。</w:t>
      </w:r>
    </w:p>
    <w:p>
      <w:pPr>
        <w:pStyle w:val="Heading3"/>
        <w:spacing w:line="240" w:lineRule="auto" w:before="58"/>
        <w:ind w:right="0"/>
        <w:jc w:val="left"/>
        <w:rPr>
          <w:b w:val="0"/>
          <w:bCs w:val="0"/>
        </w:rPr>
      </w:pPr>
      <w:r>
        <w:rPr>
          <w:rFonts w:ascii="Times New Roman" w:hAnsi="Times New Roman" w:cs="Times New Roman" w:eastAsia="Times New Roman" w:hint="default"/>
        </w:rPr>
        <w:t>2</w:t>
      </w:r>
      <w:r>
        <w:rPr/>
        <w:t>、融资租赁中出租人的会计处理</w:t>
      </w:r>
      <w:r>
        <w:rPr>
          <w:b w:val="0"/>
          <w:bCs w:val="0"/>
        </w:rPr>
      </w:r>
    </w:p>
    <w:p>
      <w:pPr>
        <w:pStyle w:val="BodyText"/>
        <w:spacing w:line="316" w:lineRule="auto" w:before="102"/>
        <w:ind w:right="150" w:firstLine="419"/>
        <w:jc w:val="both"/>
      </w:pPr>
      <w:r>
        <w:rPr/>
        <w:t>在租赁期开始日，出租人应当将租赁开始日最低租赁收款额与初始直接费用之和作为应收融资租赁款的入账价值，同 </w:t>
      </w:r>
      <w:r>
        <w:rPr>
          <w:spacing w:val="-2"/>
        </w:rPr>
        <w:t>时记录未担保余值；将最低租赁收款额、初始直接费用及未担保余值之和与其现值之和的差额确认为未实现融资收益。出租</w:t>
      </w:r>
      <w:r>
        <w:rPr>
          <w:spacing w:val="-63"/>
        </w:rPr>
        <w:t> </w:t>
      </w:r>
      <w:r>
        <w:rPr>
          <w:spacing w:val="-63"/>
        </w:rPr>
      </w:r>
      <w:r>
        <w:rPr>
          <w:spacing w:val="-2"/>
        </w:rPr>
        <w:t>人在租赁期开始日按照上述规定转出租赁资产，租赁资产公允价值与其账面价值如有差额，应当计入当期损益。出租人发生</w:t>
      </w:r>
      <w:r>
        <w:rPr>
          <w:spacing w:val="-66"/>
        </w:rPr>
        <w:t> </w:t>
      </w:r>
      <w:r>
        <w:rPr>
          <w:spacing w:val="-66"/>
        </w:rPr>
      </w:r>
      <w:r>
        <w:rPr/>
        <w:t>的初始直接费用，在确认各期融资收入时作为收入的调整，计入各期损益。</w:t>
      </w:r>
    </w:p>
    <w:p>
      <w:pPr>
        <w:pStyle w:val="BodyText"/>
        <w:spacing w:line="316" w:lineRule="auto" w:before="18"/>
        <w:ind w:left="572" w:right="1254"/>
        <w:jc w:val="left"/>
      </w:pPr>
      <w:r>
        <w:rPr/>
        <w:t>未实现融资收益在租赁期内各个期间进行分配。出租人应当采用实际利率法计算确认当期的融资收入。 或有租金应当在实际发生时计入当期损益。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7"/>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7"/>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7"/>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26</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spacing w:after="0" w:line="240" w:lineRule="auto"/>
        <w:jc w:val="left"/>
        <w:sectPr>
          <w:footerReference w:type="default" r:id="rId16"/>
          <w:pgSz w:w="11910" w:h="16840"/>
          <w:pgMar w:footer="982" w:header="745" w:top="1060" w:bottom="1180" w:left="980" w:right="980"/>
          <w:pgNumType w:start="87"/>
        </w:sectPr>
      </w:pPr>
    </w:p>
    <w:p>
      <w:pPr>
        <w:spacing w:line="240" w:lineRule="auto" w:before="9"/>
        <w:rPr>
          <w:rFonts w:ascii="宋体" w:hAnsi="宋体" w:cs="宋体" w:eastAsia="宋体" w:hint="default"/>
          <w:sz w:val="25"/>
          <w:szCs w:val="25"/>
        </w:rPr>
      </w:pPr>
    </w:p>
    <w:p>
      <w:pPr>
        <w:pStyle w:val="BodyText"/>
        <w:spacing w:line="360" w:lineRule="auto" w:before="44"/>
        <w:ind w:right="6934" w:hanging="1"/>
        <w:jc w:val="left"/>
      </w:pPr>
      <w:r>
        <w:rPr/>
        <w:t>□ 是 √</w:t>
      </w:r>
      <w:r>
        <w:rPr>
          <w:spacing w:val="3"/>
        </w:rPr>
        <w:t> </w:t>
      </w:r>
      <w:r>
        <w:rPr/>
        <w:t>否</w:t>
      </w:r>
      <w:r>
        <w:rPr/>
        <w:t> 本期公司无重要前期差错更正事项。</w:t>
      </w:r>
    </w:p>
    <w:p>
      <w:pPr>
        <w:spacing w:line="240" w:lineRule="auto" w:before="5"/>
        <w:rPr>
          <w:rFonts w:ascii="宋体" w:hAnsi="宋体" w:cs="宋体" w:eastAsia="宋体" w:hint="default"/>
          <w:sz w:val="18"/>
          <w:szCs w:val="18"/>
        </w:rPr>
      </w:pPr>
    </w:p>
    <w:p>
      <w:pPr>
        <w:pStyle w:val="Heading2"/>
        <w:spacing w:line="240" w:lineRule="auto" w:before="0"/>
        <w:ind w:right="184"/>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bookmarkStart w:name="五、税项" w:id="173"/>
      <w:bookmarkEnd w:id="173"/>
      <w:r>
        <w:rPr>
          <w:rFonts w:ascii="Times New Roman" w:hAnsi="Times New Roman" w:cs="Times New Roman" w:eastAsia="Times New Roman" w:hint="default"/>
        </w:rPr>
      </w:r>
      <w:r>
        <w:rPr/>
        <w:t>、公司主要税种和</w:t>
      </w:r>
      <w:bookmarkStart w:name="1、公司主要税种和税率" w:id="174"/>
      <w:bookmarkEnd w:id="174"/>
      <w:r>
        <w:rPr/>
        <w:t>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6"/>
        <w:gridCol w:w="3024"/>
        <w:gridCol w:w="3026"/>
      </w:tblGrid>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516" w:type="dxa"/>
            <w:tcBorders>
              <w:top w:val="single" w:sz="4" w:space="0" w:color="000000"/>
              <w:left w:val="single" w:sz="4" w:space="0" w:color="000000"/>
              <w:bottom w:val="nil" w:sz="6" w:space="0" w:color="auto"/>
              <w:right w:val="single" w:sz="4" w:space="0" w:color="000000"/>
            </w:tcBorders>
            <w:shd w:val="clear" w:color="auto" w:fill="D4D4D4"/>
          </w:tcPr>
          <w:p>
            <w:pPr/>
          </w:p>
        </w:tc>
        <w:tc>
          <w:tcPr>
            <w:tcW w:w="3024" w:type="dxa"/>
            <w:vMerge w:val="restart"/>
            <w:tcBorders>
              <w:top w:val="single" w:sz="4" w:space="0" w:color="000000"/>
              <w:left w:val="single" w:sz="10" w:space="0" w:color="D4D4D4"/>
              <w:right w:val="single" w:sz="4" w:space="0" w:color="000000"/>
            </w:tcBorders>
          </w:tcPr>
          <w:p>
            <w:pPr>
              <w:pStyle w:val="TableParagraph"/>
              <w:spacing w:line="316" w:lineRule="auto" w:before="49"/>
              <w:ind w:left="16" w:right="108"/>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 的增值额</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51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4D4D4"/>
              <w:right w:val="single" w:sz="4" w:space="0" w:color="000000"/>
            </w:tcBorders>
          </w:tcPr>
          <w:p>
            <w:pPr/>
          </w:p>
        </w:tc>
        <w:tc>
          <w:tcPr>
            <w:tcW w:w="3026" w:type="dxa"/>
            <w:vMerge/>
            <w:tcBorders>
              <w:left w:val="single" w:sz="4" w:space="0" w:color="000000"/>
              <w:right w:val="single" w:sz="4" w:space="0" w:color="000000"/>
            </w:tcBorders>
          </w:tcPr>
          <w:p>
            <w:pPr/>
          </w:p>
        </w:tc>
      </w:tr>
      <w:tr>
        <w:trPr>
          <w:trHeight w:val="161" w:hRule="exact"/>
        </w:trPr>
        <w:tc>
          <w:tcPr>
            <w:tcW w:w="3516" w:type="dxa"/>
            <w:tcBorders>
              <w:top w:val="nil" w:sz="6" w:space="0" w:color="auto"/>
              <w:left w:val="single" w:sz="4" w:space="0" w:color="000000"/>
              <w:bottom w:val="single" w:sz="4" w:space="0" w:color="000000"/>
              <w:right w:val="single" w:sz="4" w:space="0" w:color="000000"/>
            </w:tcBorders>
            <w:shd w:val="clear" w:color="auto" w:fill="D4D4D4"/>
          </w:tcPr>
          <w:p>
            <w:pPr/>
          </w:p>
        </w:tc>
        <w:tc>
          <w:tcPr>
            <w:tcW w:w="3024" w:type="dxa"/>
            <w:vMerge/>
            <w:tcBorders>
              <w:left w:val="single" w:sz="10" w:space="0" w:color="D4D4D4"/>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提供应税劳务</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49"/>
        <w:ind w:right="184"/>
        <w:jc w:val="left"/>
      </w:pPr>
      <w:r>
        <w:rPr/>
        <w:t>各分公司、分厂执行的所得税税率</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545"/>
        <w:gridCol w:w="2976"/>
        <w:gridCol w:w="3067"/>
      </w:tblGrid>
      <w:tr>
        <w:trPr>
          <w:trHeight w:val="34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税率</w:t>
            </w:r>
          </w:p>
        </w:tc>
        <w:tc>
          <w:tcPr>
            <w:tcW w:w="3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江苏金仕达卫宁软件有限公司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w:t>
            </w:r>
          </w:p>
        </w:tc>
        <w:tc>
          <w:tcPr>
            <w:tcW w:w="306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上海金仕达卫宁信息技术有限公司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w:t>
            </w:r>
          </w:p>
        </w:tc>
        <w:tc>
          <w:tcPr>
            <w:tcW w:w="306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上海金仕达卫宁软件科技有限公司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w:t>
            </w:r>
          </w:p>
        </w:tc>
        <w:tc>
          <w:tcPr>
            <w:tcW w:w="306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西安金仕达卫宁软件有限公司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w:t>
            </w:r>
          </w:p>
        </w:tc>
        <w:tc>
          <w:tcPr>
            <w:tcW w:w="30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84"/>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153" w:right="190" w:firstLine="299"/>
        <w:jc w:val="both"/>
      </w:pPr>
      <w:r>
        <w:rPr/>
        <w:t>（</w:t>
      </w:r>
      <w:r>
        <w:rPr>
          <w:rFonts w:ascii="Times New Roman" w:hAnsi="Times New Roman" w:cs="Times New Roman" w:eastAsia="Times New Roman" w:hint="default"/>
        </w:rPr>
        <w:t>1</w:t>
      </w:r>
      <w:r>
        <w:rPr/>
        <w:t>）根据《财政部</w:t>
      </w:r>
      <w:r>
        <w:rPr>
          <w:spacing w:val="-52"/>
        </w:rPr>
        <w:t> </w:t>
      </w:r>
      <w:r>
        <w:rPr/>
        <w:t>国家税务总局关于软件产品增值税政策的通知》（财税</w:t>
      </w:r>
      <w:r>
        <w:rPr>
          <w:rFonts w:ascii="Times New Roman" w:hAnsi="Times New Roman" w:cs="Times New Roman" w:eastAsia="Times New Roman" w:hint="default"/>
        </w:rPr>
        <w:t>[2011]100</w:t>
      </w:r>
      <w:r>
        <w:rPr/>
        <w:t>号），自</w:t>
      </w:r>
      <w:bookmarkStart w:name="2、税收优惠及批文" w:id="175"/>
      <w:bookmarkEnd w:id="175"/>
      <w:r>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日起增值税一 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w:t>
      </w:r>
      <w:r>
        <w:rPr>
          <w:spacing w:val="-39"/>
        </w:rPr>
        <w:t> </w:t>
      </w:r>
      <w:r>
        <w:rPr>
          <w:spacing w:val="-39"/>
        </w:rPr>
      </w:r>
      <w:r>
        <w:rPr/>
        <w:t>策。</w:t>
      </w:r>
    </w:p>
    <w:p>
      <w:pPr>
        <w:pStyle w:val="BodyText"/>
        <w:spacing w:line="300" w:lineRule="auto" w:before="31"/>
        <w:ind w:left="153" w:right="84" w:firstLine="299"/>
        <w:jc w:val="left"/>
      </w:pPr>
      <w:r>
        <w:rPr>
          <w:spacing w:val="-5"/>
        </w:rPr>
        <w:t>（</w:t>
      </w:r>
      <w:r>
        <w:rPr>
          <w:rFonts w:ascii="Times New Roman" w:hAnsi="Times New Roman" w:cs="Times New Roman" w:eastAsia="Times New Roman" w:hint="default"/>
          <w:spacing w:val="-5"/>
        </w:rPr>
        <w:t>2</w:t>
      </w:r>
      <w:r>
        <w:rPr>
          <w:spacing w:val="-5"/>
        </w:rPr>
        <w:t>）根据《财政部</w:t>
      </w:r>
      <w:r>
        <w:rPr>
          <w:spacing w:val="-65"/>
        </w:rPr>
        <w:t> </w:t>
      </w:r>
      <w:r>
        <w:rPr/>
        <w:t>国家税务总局关于贯彻落实〈中共中央国务院关于加强技术创新，发展高科技，实现产业化的决定〉</w:t>
      </w:r>
      <w:r>
        <w:rPr/>
        <w:t> 有关税收问题的通知》（财税字</w:t>
      </w:r>
      <w:r>
        <w:rPr>
          <w:rFonts w:ascii="Times New Roman" w:hAnsi="Times New Roman" w:cs="Times New Roman" w:eastAsia="Times New Roman" w:hint="default"/>
        </w:rPr>
        <w:t>[1999]273</w:t>
      </w:r>
      <w:r>
        <w:rPr/>
        <w:t>号），本公司符合条件的技术开发转让收入免征营业税。根据财税</w:t>
      </w:r>
      <w:r>
        <w:rPr>
          <w:rFonts w:ascii="Times New Roman" w:hAnsi="Times New Roman" w:cs="Times New Roman" w:eastAsia="Times New Roman" w:hint="default"/>
        </w:rPr>
        <w:t>[2011]111</w:t>
      </w:r>
      <w:r>
        <w:rPr/>
        <w:t>号文</w:t>
      </w:r>
      <w:r>
        <w:rPr>
          <w:spacing w:val="-67"/>
        </w:rPr>
        <w:t> </w:t>
      </w:r>
      <w:r>
        <w:rPr/>
        <w:t>相关规定，本公司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日起服务业务收入改征增值税，税率为</w:t>
      </w:r>
      <w:r>
        <w:rPr>
          <w:rFonts w:ascii="Times New Roman" w:hAnsi="Times New Roman" w:cs="Times New Roman" w:eastAsia="Times New Roman" w:hint="default"/>
        </w:rPr>
        <w:t>6%</w:t>
      </w:r>
      <w:r>
        <w:rPr/>
        <w:t>，原营业税优惠政策可以延续。本公司报告期内部</w:t>
      </w:r>
      <w:r>
        <w:rPr>
          <w:spacing w:val="-59"/>
        </w:rPr>
        <w:t> </w:t>
      </w:r>
      <w:r>
        <w:rPr>
          <w:spacing w:val="-59"/>
        </w:rPr>
      </w:r>
      <w:r>
        <w:rPr/>
        <w:t>分业务收入符合上述政策规定，可免征增值税。</w:t>
      </w:r>
    </w:p>
    <w:p>
      <w:pPr>
        <w:pStyle w:val="BodyText"/>
        <w:spacing w:line="300" w:lineRule="auto" w:before="31"/>
        <w:ind w:left="153" w:right="193" w:firstLine="300"/>
        <w:jc w:val="both"/>
      </w:pPr>
      <w:r>
        <w:rPr/>
        <w:t>（</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2009</w:t>
      </w:r>
      <w:r>
        <w:rPr/>
        <w:t>年被上海市科学技术委员会、上海市财政局、上海市国家税务局、上海市地方税务局联合认定为高 新技术企业（证书编号：</w:t>
      </w:r>
      <w:r>
        <w:rPr>
          <w:rFonts w:ascii="Times New Roman" w:hAnsi="Times New Roman" w:cs="Times New Roman" w:eastAsia="Times New Roman" w:hint="default"/>
        </w:rPr>
        <w:t>GR20093100077</w:t>
      </w:r>
      <w:r>
        <w:rPr/>
        <w:t>，有效期三年），</w:t>
      </w:r>
      <w:r>
        <w:rPr>
          <w:rFonts w:ascii="Times New Roman" w:hAnsi="Times New Roman" w:cs="Times New Roman" w:eastAsia="Times New Roman" w:hint="default"/>
        </w:rPr>
        <w:t>2012</w:t>
      </w:r>
      <w:r>
        <w:rPr/>
        <w:t>年，本公司在高新技术企业复审中获得通过（证书编号：</w:t>
      </w:r>
      <w:r>
        <w:rPr>
          <w:spacing w:val="2"/>
        </w:rPr>
        <w:t> </w:t>
      </w:r>
      <w:r>
        <w:rPr>
          <w:rFonts w:ascii="Times New Roman" w:hAnsi="Times New Roman" w:cs="Times New Roman" w:eastAsia="Times New Roman" w:hint="default"/>
        </w:rPr>
        <w:t>GF201231000411</w:t>
      </w:r>
      <w:r>
        <w:rPr/>
        <w:t>，有效期三年），根据国家对高新技术企业的相关税收政策，本公司自</w:t>
      </w:r>
      <w:r>
        <w:rPr>
          <w:rFonts w:ascii="Times New Roman" w:hAnsi="Times New Roman" w:cs="Times New Roman" w:eastAsia="Times New Roman" w:hint="default"/>
        </w:rPr>
        <w:t>2009</w:t>
      </w:r>
      <w:r>
        <w:rPr/>
        <w:t>年起按</w:t>
      </w:r>
      <w:r>
        <w:rPr>
          <w:rFonts w:ascii="Times New Roman" w:hAnsi="Times New Roman" w:cs="Times New Roman" w:eastAsia="Times New Roman" w:hint="default"/>
        </w:rPr>
        <w:t>15</w:t>
      </w:r>
      <w:r>
        <w:rPr/>
        <w:t>％的税率缴纳企业所</w:t>
      </w:r>
      <w:r>
        <w:rPr>
          <w:spacing w:val="-58"/>
        </w:rPr>
        <w:t> </w:t>
      </w:r>
      <w:r>
        <w:rPr>
          <w:spacing w:val="-58"/>
        </w:rPr>
      </w:r>
      <w:r>
        <w:rPr/>
        <w:t>得税。</w:t>
      </w:r>
    </w:p>
    <w:p>
      <w:pPr>
        <w:pStyle w:val="BodyText"/>
        <w:spacing w:line="309" w:lineRule="auto" w:before="72"/>
        <w:ind w:left="153" w:right="190" w:firstLine="216"/>
        <w:jc w:val="both"/>
      </w:pPr>
      <w:r>
        <w:rPr>
          <w:spacing w:val="-2"/>
        </w:rPr>
        <w:t>（</w:t>
      </w:r>
      <w:r>
        <w:rPr>
          <w:rFonts w:ascii="Times New Roman" w:hAnsi="Times New Roman" w:cs="Times New Roman" w:eastAsia="Times New Roman" w:hint="default"/>
          <w:spacing w:val="-2"/>
        </w:rPr>
        <w:t>4</w:t>
      </w:r>
      <w:r>
        <w:rPr>
          <w:spacing w:val="-2"/>
        </w:rPr>
        <w:t>）根据《财政部、国家税务总局关于企业所得税若干优惠政策的通知》（财税</w:t>
      </w:r>
      <w:r>
        <w:rPr>
          <w:rFonts w:ascii="Times New Roman" w:hAnsi="Times New Roman" w:cs="Times New Roman" w:eastAsia="Times New Roman" w:hint="default"/>
          <w:spacing w:val="-2"/>
        </w:rPr>
        <w:t>[2008]1</w:t>
      </w:r>
      <w:r>
        <w:rPr>
          <w:spacing w:val="-2"/>
        </w:rPr>
        <w:t>号），软件生产企业实行增值税</w:t>
      </w:r>
      <w:r>
        <w:rPr/>
        <w:t> </w:t>
      </w:r>
      <w:r>
        <w:rPr>
          <w:spacing w:val="-2"/>
        </w:rPr>
        <w:t>即征即退政策所退还的税款，由企业用于研究开发软件产品和扩大再生产，不作为企业所得税应税收入，不予征收企业所得</w:t>
      </w:r>
      <w:r>
        <w:rPr>
          <w:spacing w:val="-63"/>
        </w:rPr>
        <w:t> </w:t>
      </w:r>
      <w:r>
        <w:rPr>
          <w:spacing w:val="-63"/>
        </w:rPr>
      </w:r>
      <w:r>
        <w:rPr/>
        <w:t>税。</w:t>
      </w:r>
    </w:p>
    <w:p>
      <w:pPr>
        <w:spacing w:after="0" w:line="309"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ind w:right="184"/>
        <w:jc w:val="left"/>
        <w:rPr>
          <w:b w:val="0"/>
          <w:bCs w:val="0"/>
        </w:rPr>
      </w:pPr>
      <w:r>
        <w:rPr/>
        <w:t>六</w:t>
      </w:r>
      <w:bookmarkStart w:name="六、企业合并及合并财务报表" w:id="176"/>
      <w:bookmarkEnd w:id="176"/>
      <w:r>
        <w:rPr/>
        <w:t>、</w:t>
      </w:r>
      <w:r>
        <w:rPr/>
        <w:t>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bookmarkStart w:name="1、子公司情况" w:id="177"/>
      <w:bookmarkEnd w:id="177"/>
      <w:r>
        <w:rPr>
          <w:rFonts w:ascii="Times New Roman" w:hAnsi="Times New Roman" w:cs="Times New Roman" w:eastAsia="Times New Roman" w:hint="default"/>
        </w:rPr>
      </w:r>
      <w:r>
        <w:rPr/>
        <w:t>、子公司情况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4" w:firstLine="360"/>
        <w:jc w:val="left"/>
      </w:pPr>
      <w:r>
        <w:rPr>
          <w:spacing w:val="-4"/>
        </w:rPr>
        <w:t>截至本报告期末，公司通过投资新设共拥有</w:t>
      </w:r>
      <w:r>
        <w:rPr>
          <w:rFonts w:ascii="Times New Roman" w:hAnsi="Times New Roman" w:cs="Times New Roman" w:eastAsia="Times New Roman" w:hint="default"/>
          <w:spacing w:val="-4"/>
        </w:rPr>
        <w:t>3</w:t>
      </w:r>
      <w:r>
        <w:rPr>
          <w:spacing w:val="-4"/>
        </w:rPr>
        <w:t>家全资子公司和</w:t>
      </w:r>
      <w:r>
        <w:rPr>
          <w:rFonts w:ascii="Times New Roman" w:hAnsi="Times New Roman" w:cs="Times New Roman" w:eastAsia="Times New Roman" w:hint="default"/>
          <w:spacing w:val="-4"/>
        </w:rPr>
        <w:t>1</w:t>
      </w:r>
      <w:r>
        <w:rPr>
          <w:spacing w:val="-4"/>
        </w:rPr>
        <w:t>家控股子公司，分别为上海金仕达卫宁信息技术有限公司、</w:t>
      </w:r>
      <w:r>
        <w:rPr/>
        <w:t> 江苏金仕达卫宁软件有限公司、西安金仕达卫宁软件有限公司和上海金仕达卫宁软件科技有限公司。</w:t>
      </w:r>
    </w:p>
    <w:p>
      <w:pPr>
        <w:pStyle w:val="BodyText"/>
        <w:spacing w:line="240" w:lineRule="auto" w:before="31"/>
        <w:ind w:left="512" w:right="184"/>
        <w:jc w:val="left"/>
      </w:pPr>
      <w:r>
        <w:rPr/>
        <w:t>其中：</w:t>
      </w:r>
    </w:p>
    <w:p>
      <w:pPr>
        <w:pStyle w:val="BodyText"/>
        <w:spacing w:line="240" w:lineRule="auto" w:before="76"/>
        <w:ind w:left="512" w:right="184"/>
        <w:jc w:val="left"/>
      </w:pPr>
      <w:r>
        <w:rPr/>
        <w:t>（</w:t>
      </w:r>
      <w:r>
        <w:rPr>
          <w:rFonts w:ascii="Times New Roman" w:hAnsi="Times New Roman" w:cs="Times New Roman" w:eastAsia="Times New Roman" w:hint="default"/>
        </w:rPr>
        <w:t>1</w:t>
      </w:r>
      <w:r>
        <w:rPr/>
        <w:t>）上海金仕达卫宁信息技术有限公司已歇业清算，正在办理工商注销手续。</w:t>
      </w:r>
    </w:p>
    <w:p>
      <w:pPr>
        <w:pStyle w:val="BodyText"/>
        <w:spacing w:line="240" w:lineRule="auto" w:before="62"/>
        <w:ind w:left="512" w:right="94"/>
        <w:jc w:val="left"/>
      </w:pPr>
      <w:r>
        <w:rPr/>
        <w:t>（</w:t>
      </w:r>
      <w:r>
        <w:rPr>
          <w:rFonts w:ascii="Times New Roman" w:hAnsi="Times New Roman" w:cs="Times New Roman" w:eastAsia="Times New Roman" w:hint="default"/>
        </w:rPr>
        <w:t>2</w:t>
      </w:r>
      <w:r>
        <w:rPr/>
        <w:t>）上海金仕达卫宁软件科技有限公司、西安金仕达卫宁软件有限公司、上海金仕达卫宁信息科技有限公司系本公司</w:t>
      </w:r>
    </w:p>
    <w:p>
      <w:pPr>
        <w:pStyle w:val="BodyText"/>
        <w:spacing w:line="240" w:lineRule="auto" w:before="62"/>
        <w:ind w:right="184"/>
        <w:jc w:val="left"/>
      </w:pPr>
      <w:r>
        <w:rPr>
          <w:rFonts w:ascii="Times New Roman" w:hAnsi="Times New Roman" w:cs="Times New Roman" w:eastAsia="Times New Roman" w:hint="default"/>
        </w:rPr>
        <w:t>2012</w:t>
      </w:r>
      <w:r>
        <w:rPr/>
        <w:t>年新设成立。</w:t>
      </w:r>
    </w:p>
    <w:p>
      <w:pPr>
        <w:spacing w:line="240" w:lineRule="auto" w:before="2"/>
        <w:rPr>
          <w:rFonts w:ascii="宋体" w:hAnsi="宋体" w:cs="宋体" w:eastAsia="宋体" w:hint="default"/>
          <w:sz w:val="26"/>
          <w:szCs w:val="26"/>
        </w:rPr>
      </w:pPr>
    </w:p>
    <w:p>
      <w:pPr>
        <w:pStyle w:val="Heading3"/>
        <w:spacing w:line="240" w:lineRule="auto"/>
        <w:ind w:right="184"/>
        <w:jc w:val="left"/>
        <w:rPr>
          <w:b w:val="0"/>
          <w:bCs w:val="0"/>
        </w:rPr>
      </w:pPr>
      <w:r>
        <w:rPr/>
        <w:t>（</w:t>
      </w:r>
      <w:r>
        <w:rPr>
          <w:rFonts w:ascii="Times New Roman" w:hAnsi="Times New Roman" w:cs="Times New Roman" w:eastAsia="Times New Roman" w:hint="default"/>
        </w:rPr>
        <w:t>1</w:t>
      </w:r>
      <w:r>
        <w:rPr/>
        <w:t>）通过设立或投资等方</w:t>
      </w:r>
      <w:bookmarkStart w:name="（1）通过设立或投资等方式取得的子公司" w:id="178"/>
      <w:bookmarkEnd w:id="178"/>
      <w:r>
        <w:rPr/>
        <w:t>式取得的子公司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3209"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08"/>
              <w:jc w:val="both"/>
              <w:rPr>
                <w:rFonts w:ascii="宋体" w:hAnsi="宋体" w:cs="宋体" w:eastAsia="宋体" w:hint="default"/>
                <w:sz w:val="18"/>
                <w:szCs w:val="18"/>
              </w:rPr>
            </w:pPr>
            <w:r>
              <w:rPr>
                <w:rFonts w:ascii="宋体" w:hAnsi="宋体" w:cs="宋体" w:eastAsia="宋体" w:hint="default"/>
                <w:sz w:val="18"/>
                <w:szCs w:val="18"/>
              </w:rPr>
              <w:t>上海金 仕达卫 宁信息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10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7"/>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计算机 软硬件 技术专 业领域 内的</w:t>
            </w:r>
            <w:r>
              <w:rPr>
                <w:rFonts w:ascii="Times New Roman" w:hAnsi="Times New Roman" w:cs="Times New Roman" w:eastAsia="Times New Roman" w:hint="default"/>
                <w:sz w:val="18"/>
                <w:szCs w:val="18"/>
              </w:rPr>
              <w:t>“</w:t>
            </w:r>
            <w:r>
              <w:rPr>
                <w:rFonts w:ascii="宋体" w:hAnsi="宋体" w:cs="宋体" w:eastAsia="宋体" w:hint="default"/>
                <w:sz w:val="18"/>
                <w:szCs w:val="18"/>
              </w:rPr>
              <w:t>四 技</w:t>
            </w:r>
            <w:r>
              <w:rPr>
                <w:rFonts w:ascii="Times New Roman" w:hAnsi="Times New Roman" w:cs="Times New Roman" w:eastAsia="Times New Roman" w:hint="default"/>
                <w:sz w:val="18"/>
                <w:szCs w:val="18"/>
              </w:rPr>
              <w:t>”</w:t>
            </w:r>
            <w:r>
              <w:rPr>
                <w:rFonts w:ascii="宋体" w:hAnsi="宋体" w:cs="宋体" w:eastAsia="宋体" w:hint="default"/>
                <w:sz w:val="18"/>
                <w:szCs w:val="18"/>
              </w:rPr>
              <w:t>服 务，销 售计算 机及配 件</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江苏金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软件销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504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仕达卫 宁软件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售、技 术服务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7"/>
              <w:jc w:val="both"/>
              <w:rPr>
                <w:rFonts w:ascii="宋体" w:hAnsi="宋体" w:cs="宋体" w:eastAsia="宋体" w:hint="default"/>
                <w:sz w:val="18"/>
                <w:szCs w:val="18"/>
              </w:rPr>
            </w:pPr>
            <w:r>
              <w:rPr>
                <w:rFonts w:ascii="宋体" w:hAnsi="宋体" w:cs="宋体" w:eastAsia="宋体" w:hint="default"/>
                <w:sz w:val="18"/>
                <w:szCs w:val="18"/>
              </w:rPr>
              <w:t>软件的 技术开 发、设 计和制 作、技 术咨询 和技术 服务及 计算机 配件的 销售； 计算机 网络信 息系统 集成的 维护</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78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上海金 仕达卫 宁软件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6" w:right="10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软件销 售、技 术服务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计算机 软硬件 的开 发、设 计和制 作，销 售自产 产品</w:t>
            </w:r>
          </w:p>
          <w:p>
            <w:pPr>
              <w:pStyle w:val="TableParagraph"/>
              <w:spacing w:line="316" w:lineRule="auto" w:before="19"/>
              <w:ind w:left="24" w:right="107"/>
              <w:jc w:val="both"/>
              <w:rPr>
                <w:rFonts w:ascii="宋体" w:hAnsi="宋体" w:cs="宋体" w:eastAsia="宋体" w:hint="default"/>
                <w:sz w:val="18"/>
                <w:szCs w:val="18"/>
              </w:rPr>
            </w:pPr>
            <w:r>
              <w:rPr>
                <w:rFonts w:ascii="宋体" w:hAnsi="宋体" w:cs="宋体" w:eastAsia="宋体" w:hint="default"/>
                <w:sz w:val="18"/>
                <w:szCs w:val="18"/>
              </w:rPr>
              <w:t>（除计 算机信 息系统 安全专 用产</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pacing w:val="-24"/>
                <w:sz w:val="18"/>
                <w:szCs w:val="18"/>
              </w:rPr>
              <w:t>品），计</w:t>
            </w:r>
            <w:r>
              <w:rPr>
                <w:rFonts w:ascii="宋体" w:hAnsi="宋体" w:cs="宋体" w:eastAsia="宋体" w:hint="default"/>
                <w:sz w:val="18"/>
                <w:szCs w:val="18"/>
              </w:rPr>
              <w:t> 算机及 辅助设 备的销 售，计 算机网 络信息 系统集 成及维 护，并 提供相 关的技 术开 发、技 术转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21" w:right="0"/>
              <w:jc w:val="left"/>
              <w:rPr>
                <w:rFonts w:ascii="Times New Roman" w:hAnsi="Times New Roman" w:cs="Times New Roman" w:eastAsia="Times New Roman" w:hint="default"/>
                <w:sz w:val="18"/>
                <w:szCs w:val="18"/>
              </w:rPr>
            </w:pPr>
            <w:r>
              <w:rPr>
                <w:rFonts w:ascii="Times New Roman"/>
                <w:sz w:val="18"/>
              </w:rPr>
              <w:t>65%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21" w:right="0"/>
              <w:jc w:val="left"/>
              <w:rPr>
                <w:rFonts w:ascii="Times New Roman" w:hAnsi="Times New Roman" w:cs="Times New Roman" w:eastAsia="Times New Roman" w:hint="default"/>
                <w:sz w:val="18"/>
                <w:szCs w:val="18"/>
              </w:rPr>
            </w:pPr>
            <w:r>
              <w:rPr>
                <w:rFonts w:ascii="Times New Roman"/>
                <w:sz w:val="18"/>
              </w:rPr>
              <w:t>65%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1298"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7"/>
              <w:jc w:val="both"/>
              <w:rPr>
                <w:rFonts w:ascii="宋体" w:hAnsi="宋体" w:cs="宋体" w:eastAsia="宋体" w:hint="default"/>
                <w:sz w:val="18"/>
                <w:szCs w:val="18"/>
              </w:rPr>
            </w:pPr>
            <w:r>
              <w:rPr>
                <w:rFonts w:ascii="宋体" w:hAnsi="宋体" w:cs="宋体" w:eastAsia="宋体" w:hint="default"/>
                <w:sz w:val="18"/>
                <w:szCs w:val="18"/>
              </w:rPr>
              <w:t>让、技 术咨询 和技术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32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108"/>
              <w:jc w:val="both"/>
              <w:rPr>
                <w:rFonts w:ascii="宋体" w:hAnsi="宋体" w:cs="宋体" w:eastAsia="宋体" w:hint="default"/>
                <w:sz w:val="18"/>
                <w:szCs w:val="18"/>
              </w:rPr>
            </w:pPr>
            <w:r>
              <w:rPr>
                <w:rFonts w:ascii="宋体" w:hAnsi="宋体" w:cs="宋体" w:eastAsia="宋体" w:hint="default"/>
                <w:sz w:val="18"/>
                <w:szCs w:val="18"/>
              </w:rPr>
              <w:t>西安金 仕达卫 宁软件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0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软件销 售、技 术服务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计算机 软硬件 的研 发、销 售；计 算机及 辅助设 备的销 售；计 算机网 络信息 系统集 成、技 术开 发、技 术转 让、技 术咨询 和技术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29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上海金 仕达卫 宁信息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6" w:right="10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软件销 售、技 术服务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计算机 软硬件 的开 发、设 计和制 作、销 售自产 产品， 计算机 及辅助 设备的 销售； 计算机 网络信 息系统 集成及 维护， 并提供 技术开 发、技</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7"/>
              <w:jc w:val="righ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1610"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7"/>
              <w:jc w:val="left"/>
              <w:rPr>
                <w:rFonts w:ascii="宋体" w:hAnsi="宋体" w:cs="宋体" w:eastAsia="宋体" w:hint="default"/>
                <w:sz w:val="18"/>
                <w:szCs w:val="18"/>
              </w:rPr>
            </w:pPr>
            <w:r>
              <w:rPr>
                <w:rFonts w:ascii="宋体" w:hAnsi="宋体" w:cs="宋体" w:eastAsia="宋体" w:hint="default"/>
                <w:sz w:val="18"/>
                <w:szCs w:val="18"/>
              </w:rPr>
              <w:t>术转 让、技 术咨询 和技术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994"/>
        <w:jc w:val="left"/>
      </w:pPr>
      <w:bookmarkStart w:name="（3）非同一控制下企业合并取得的子公司" w:id="179"/>
      <w:bookmarkEnd w:id="179"/>
      <w:r>
        <w:rPr/>
      </w:r>
      <w:r>
        <w:rPr/>
        <w:t>通过设立或投资等方式取得的子公司的其他说明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）同一控制下企业合并</w:t>
      </w:r>
      <w:bookmarkStart w:name="（2）同一控制下企业合并取得的子公司" w:id="180"/>
      <w:bookmarkEnd w:id="180"/>
      <w:r>
        <w:rPr/>
        <w:t>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5705"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360" w:lineRule="auto" w:before="49"/>
        <w:ind w:right="5814"/>
        <w:jc w:val="left"/>
      </w:pPr>
      <w:r>
        <w:rPr/>
        <w:t>通过同一控制下企业合并取得的子公司的其他说明 不适用</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2546"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315" w:hRule="exact"/>
        </w:trPr>
        <w:tc>
          <w:tcPr>
            <w:tcW w:w="683" w:type="dxa"/>
            <w:vMerge w:val="restart"/>
            <w:tcBorders>
              <w:top w:val="single" w:sz="4" w:space="0" w:color="000000"/>
              <w:left w:val="single" w:sz="4" w:space="0" w:color="000000"/>
              <w:right w:val="single" w:sz="4" w:space="0" w:color="000000"/>
            </w:tcBorders>
            <w:shd w:val="clear" w:color="auto" w:fill="D4D4D4"/>
          </w:tcPr>
          <w:p>
            <w:pPr/>
          </w:p>
        </w:tc>
        <w:tc>
          <w:tcPr>
            <w:tcW w:w="684" w:type="dxa"/>
            <w:vMerge w:val="restart"/>
            <w:tcBorders>
              <w:top w:val="single" w:sz="4" w:space="0" w:color="000000"/>
              <w:left w:val="single" w:sz="4" w:space="0" w:color="000000"/>
              <w:right w:val="single" w:sz="4" w:space="0" w:color="000000"/>
            </w:tcBorders>
            <w:shd w:val="clear" w:color="auto" w:fill="D4D4D4"/>
          </w:tcPr>
          <w:p>
            <w:pPr/>
          </w:p>
        </w:tc>
        <w:tc>
          <w:tcPr>
            <w:tcW w:w="684" w:type="dxa"/>
            <w:vMerge w:val="restart"/>
            <w:tcBorders>
              <w:top w:val="single" w:sz="4" w:space="0" w:color="000000"/>
              <w:left w:val="single" w:sz="4" w:space="0" w:color="000000"/>
              <w:right w:val="single" w:sz="4" w:space="0" w:color="000000"/>
            </w:tcBorders>
            <w:shd w:val="clear" w:color="auto" w:fill="D4D4D4"/>
          </w:tcPr>
          <w:p>
            <w:pPr/>
          </w:p>
        </w:tc>
        <w:tc>
          <w:tcPr>
            <w:tcW w:w="682" w:type="dxa"/>
            <w:vMerge w:val="restart"/>
            <w:tcBorders>
              <w:top w:val="single" w:sz="4" w:space="0" w:color="000000"/>
              <w:left w:val="single" w:sz="4" w:space="0" w:color="000000"/>
              <w:right w:val="single" w:sz="4" w:space="0" w:color="000000"/>
            </w:tcBorders>
            <w:shd w:val="clear" w:color="auto" w:fill="D4D4D4"/>
          </w:tcPr>
          <w:p>
            <w:pPr/>
          </w:p>
        </w:tc>
        <w:tc>
          <w:tcPr>
            <w:tcW w:w="684" w:type="dxa"/>
            <w:vMerge w:val="restart"/>
            <w:tcBorders>
              <w:top w:val="single" w:sz="4" w:space="0" w:color="000000"/>
              <w:left w:val="single" w:sz="4" w:space="0" w:color="000000"/>
              <w:right w:val="single" w:sz="4" w:space="0" w:color="000000"/>
            </w:tcBorders>
            <w:shd w:val="clear" w:color="auto" w:fill="D4D4D4"/>
          </w:tcPr>
          <w:p>
            <w:pPr/>
          </w:p>
        </w:tc>
        <w:tc>
          <w:tcPr>
            <w:tcW w:w="682" w:type="dxa"/>
            <w:vMerge w:val="restart"/>
            <w:tcBorders>
              <w:top w:val="single" w:sz="4" w:space="0" w:color="000000"/>
              <w:left w:val="single" w:sz="4" w:space="0" w:color="000000"/>
              <w:right w:val="single" w:sz="4" w:space="0" w:color="000000"/>
            </w:tcBorders>
            <w:shd w:val="clear" w:color="auto" w:fill="D4D4D4"/>
          </w:tcPr>
          <w:p>
            <w:pPr/>
          </w:p>
        </w:tc>
        <w:tc>
          <w:tcPr>
            <w:tcW w:w="684" w:type="dxa"/>
            <w:vMerge w:val="restart"/>
            <w:tcBorders>
              <w:top w:val="single" w:sz="4" w:space="0" w:color="000000"/>
              <w:left w:val="single" w:sz="4" w:space="0" w:color="000000"/>
              <w:right w:val="single" w:sz="4" w:space="0" w:color="000000"/>
            </w:tcBorders>
            <w:shd w:val="clear" w:color="auto" w:fill="D4D4D4"/>
          </w:tcPr>
          <w:p>
            <w:pPr/>
          </w:p>
        </w:tc>
        <w:tc>
          <w:tcPr>
            <w:tcW w:w="684" w:type="dxa"/>
            <w:vMerge w:val="restart"/>
            <w:tcBorders>
              <w:top w:val="single" w:sz="4" w:space="0" w:color="000000"/>
              <w:left w:val="single" w:sz="4" w:space="0" w:color="000000"/>
              <w:right w:val="single" w:sz="4" w:space="0" w:color="000000"/>
            </w:tcBorders>
            <w:shd w:val="clear" w:color="auto" w:fill="D4D4D4"/>
          </w:tcPr>
          <w:p>
            <w:pPr/>
          </w:p>
        </w:tc>
        <w:tc>
          <w:tcPr>
            <w:tcW w:w="682" w:type="dxa"/>
            <w:vMerge w:val="restart"/>
            <w:tcBorders>
              <w:top w:val="single" w:sz="4" w:space="0" w:color="000000"/>
              <w:left w:val="single" w:sz="4" w:space="0" w:color="000000"/>
              <w:right w:val="single" w:sz="4" w:space="0" w:color="000000"/>
            </w:tcBorders>
            <w:shd w:val="clear" w:color="auto" w:fill="D4D4D4"/>
          </w:tcPr>
          <w:p>
            <w:pPr/>
          </w:p>
        </w:tc>
        <w:tc>
          <w:tcPr>
            <w:tcW w:w="684" w:type="dxa"/>
            <w:vMerge w:val="restart"/>
            <w:tcBorders>
              <w:top w:val="single" w:sz="4" w:space="0" w:color="000000"/>
              <w:left w:val="single" w:sz="4" w:space="0" w:color="000000"/>
              <w:right w:val="single" w:sz="4" w:space="0" w:color="000000"/>
            </w:tcBorders>
            <w:shd w:val="clear" w:color="auto" w:fill="D4D4D4"/>
          </w:tcPr>
          <w:p>
            <w:pPr/>
          </w:p>
        </w:tc>
        <w:tc>
          <w:tcPr>
            <w:tcW w:w="682" w:type="dxa"/>
            <w:vMerge w:val="restart"/>
            <w:tcBorders>
              <w:top w:val="single" w:sz="4" w:space="0" w:color="000000"/>
              <w:left w:val="single" w:sz="4" w:space="0" w:color="000000"/>
              <w:right w:val="single" w:sz="4" w:space="0" w:color="000000"/>
            </w:tcBorders>
            <w:shd w:val="clear" w:color="auto" w:fill="D4D4D4"/>
          </w:tcPr>
          <w:p>
            <w:pPr/>
          </w:p>
        </w:tc>
        <w:tc>
          <w:tcPr>
            <w:tcW w:w="684" w:type="dxa"/>
            <w:vMerge w:val="restart"/>
            <w:tcBorders>
              <w:top w:val="single" w:sz="4" w:space="0" w:color="000000"/>
              <w:left w:val="single" w:sz="4" w:space="0" w:color="000000"/>
              <w:right w:val="single" w:sz="4" w:space="0" w:color="000000"/>
            </w:tcBorders>
            <w:shd w:val="clear" w:color="auto" w:fill="D4D4D4"/>
          </w:tcPr>
          <w:p>
            <w:pPr/>
          </w:p>
        </w:tc>
        <w:tc>
          <w:tcPr>
            <w:tcW w:w="682" w:type="dxa"/>
            <w:vMerge w:val="restart"/>
            <w:tcBorders>
              <w:top w:val="single" w:sz="4" w:space="0" w:color="000000"/>
              <w:left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3"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3"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3"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3"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3"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3"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3"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3"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2" w:type="dxa"/>
            <w:vMerge/>
            <w:tcBorders>
              <w:left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60" w:hRule="exact"/>
        </w:trPr>
        <w:tc>
          <w:tcPr>
            <w:tcW w:w="683"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2"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2"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2"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2"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2" w:type="dxa"/>
            <w:vMerge/>
            <w:tcBorders>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余额</w:t>
            </w:r>
          </w:p>
        </w:tc>
      </w:tr>
    </w:tbl>
    <w:p>
      <w:pPr>
        <w:pStyle w:val="BodyText"/>
        <w:spacing w:line="357" w:lineRule="auto" w:before="49"/>
        <w:ind w:right="5634"/>
        <w:jc w:val="left"/>
      </w:pPr>
      <w:r>
        <w:rPr/>
        <w:t>通过非同一控制下企业合并取得的子公司的其他说明 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合并报表范围发生变更说明 是</w:t>
      </w:r>
    </w:p>
    <w:p>
      <w:pPr>
        <w:pStyle w:val="BodyText"/>
        <w:spacing w:line="338" w:lineRule="auto" w:before="27"/>
        <w:ind w:right="581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与上年相比本年（期）新增合并单位</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家，原因为</w:t>
      </w:r>
    </w:p>
    <w:p>
      <w:pPr>
        <w:pStyle w:val="BodyText"/>
        <w:spacing w:line="300" w:lineRule="auto" w:before="22"/>
        <w:ind w:right="0" w:firstLine="288"/>
        <w:jc w:val="left"/>
      </w:pPr>
      <w:r>
        <w:rPr>
          <w:spacing w:val="-1"/>
        </w:rPr>
        <w:t>上海金仕达卫宁软件科技有限公司、</w:t>
      </w:r>
      <w:bookmarkStart w:name="2、合并范围发生变更的说明" w:id="181"/>
      <w:bookmarkEnd w:id="181"/>
      <w:r>
        <w:rPr>
          <w:spacing w:val="-1"/>
        </w:rPr>
        <w:t>西安金仕达卫宁软件有限公司</w:t>
      </w:r>
      <w:r>
        <w:rPr>
          <w:spacing w:val="-1"/>
        </w:rPr>
        <w:t>、上海金仕达卫宁信息科技有限公司系本公司</w:t>
      </w:r>
      <w:r>
        <w:rPr>
          <w:rFonts w:ascii="Times New Roman" w:hAnsi="Times New Roman" w:cs="Times New Roman" w:eastAsia="Times New Roman" w:hint="default"/>
          <w:spacing w:val="-1"/>
        </w:rPr>
        <w:t>2012</w:t>
      </w:r>
      <w:r>
        <w:rPr>
          <w:spacing w:val="-1"/>
        </w:rPr>
        <w:t>年</w:t>
      </w:r>
      <w:r>
        <w:rPr/>
        <w:t> 新设成立。</w:t>
      </w:r>
    </w:p>
    <w:p>
      <w:pPr>
        <w:pStyle w:val="BodyText"/>
        <w:spacing w:line="338" w:lineRule="auto" w:before="72"/>
        <w:ind w:left="440" w:right="5813" w:hanging="288"/>
        <w:jc w:val="left"/>
      </w:pPr>
      <w:r>
        <w:rPr/>
        <w:t>与上年相比本年（期）减少合并单位</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家，原因为 公司不存在减少合并单位的事项。</w:t>
      </w:r>
    </w:p>
    <w:p>
      <w:pPr>
        <w:spacing w:line="240" w:lineRule="auto" w:before="8"/>
        <w:rPr>
          <w:rFonts w:ascii="宋体" w:hAnsi="宋体" w:cs="宋体" w:eastAsia="宋体" w:hint="default"/>
          <w:sz w:val="19"/>
          <w:szCs w:val="19"/>
        </w:rPr>
      </w:pPr>
    </w:p>
    <w:p>
      <w:pPr>
        <w:pStyle w:val="Heading2"/>
        <w:spacing w:line="240" w:lineRule="auto" w:before="0"/>
        <w:ind w:right="0"/>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bookmarkStart w:name="七、合并财务报表主要项目注释" w:id="182"/>
      <w:bookmarkEnd w:id="182"/>
      <w:r>
        <w:rPr/>
      </w:r>
      <w:bookmarkStart w:name="1、货币资金" w:id="183"/>
      <w:bookmarkEnd w:id="183"/>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7"/>
        <w:gridCol w:w="1327"/>
        <w:gridCol w:w="918"/>
        <w:gridCol w:w="1484"/>
        <w:gridCol w:w="1318"/>
        <w:gridCol w:w="917"/>
        <w:gridCol w:w="1606"/>
      </w:tblGrid>
      <w:tr>
        <w:trPr>
          <w:trHeight w:val="206" w:hRule="exact"/>
        </w:trPr>
        <w:tc>
          <w:tcPr>
            <w:tcW w:w="1987" w:type="dxa"/>
            <w:tcBorders>
              <w:top w:val="single" w:sz="4" w:space="0" w:color="000000"/>
              <w:left w:val="single" w:sz="4" w:space="0" w:color="000000"/>
              <w:bottom w:val="nil" w:sz="6" w:space="0" w:color="auto"/>
              <w:right w:val="single" w:sz="4" w:space="0" w:color="000000"/>
            </w:tcBorders>
            <w:shd w:val="clear" w:color="auto" w:fill="D4D4D4"/>
          </w:tcPr>
          <w:p>
            <w:pPr/>
          </w:p>
        </w:tc>
        <w:tc>
          <w:tcPr>
            <w:tcW w:w="373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gridSpan w:val="3"/>
            <w:vMerge/>
            <w:tcBorders>
              <w:left w:val="single" w:sz="4" w:space="0" w:color="000000"/>
              <w:bottom w:val="single" w:sz="4" w:space="0" w:color="000000"/>
              <w:right w:val="single" w:sz="4" w:space="0" w:color="000000"/>
            </w:tcBorders>
            <w:shd w:val="clear" w:color="auto" w:fill="D4D4D4"/>
          </w:tcPr>
          <w:p>
            <w:pPr/>
          </w:p>
        </w:tc>
        <w:tc>
          <w:tcPr>
            <w:tcW w:w="3840"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7" w:type="dxa"/>
            <w:vMerge/>
            <w:tcBorders>
              <w:left w:val="single" w:sz="4" w:space="0" w:color="000000"/>
              <w:bottom w:val="nil" w:sz="6" w:space="0" w:color="auto"/>
              <w:right w:val="single" w:sz="4" w:space="0" w:color="000000"/>
            </w:tcBorders>
            <w:shd w:val="clear" w:color="auto" w:fill="D4D4D4"/>
          </w:tcPr>
          <w:p>
            <w:pP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918" w:type="dxa"/>
            <w:vMerge/>
            <w:tcBorders>
              <w:left w:val="single" w:sz="4" w:space="0" w:color="000000"/>
              <w:bottom w:val="single" w:sz="4" w:space="0" w:color="000000"/>
              <w:right w:val="single" w:sz="4" w:space="0" w:color="000000"/>
            </w:tcBorders>
            <w:shd w:val="clear" w:color="auto" w:fill="D4D4D4"/>
          </w:tcPr>
          <w:p>
            <w:pPr/>
          </w:p>
        </w:tc>
        <w:tc>
          <w:tcPr>
            <w:tcW w:w="1484" w:type="dxa"/>
            <w:vMerge/>
            <w:tcBorders>
              <w:left w:val="single" w:sz="4" w:space="0" w:color="000000"/>
              <w:bottom w:val="single" w:sz="4" w:space="0" w:color="000000"/>
              <w:right w:val="single" w:sz="4" w:space="0" w:color="000000"/>
            </w:tcBorders>
            <w:shd w:val="clear" w:color="auto" w:fill="D4D4D4"/>
          </w:tcPr>
          <w:p>
            <w:pPr/>
          </w:p>
        </w:tc>
        <w:tc>
          <w:tcPr>
            <w:tcW w:w="1318" w:type="dxa"/>
            <w:vMerge/>
            <w:tcBorders>
              <w:left w:val="single" w:sz="4" w:space="0" w:color="000000"/>
              <w:bottom w:val="single" w:sz="4" w:space="0" w:color="000000"/>
              <w:right w:val="single" w:sz="4" w:space="0" w:color="000000"/>
            </w:tcBorders>
            <w:shd w:val="clear" w:color="auto" w:fill="D4D4D4"/>
          </w:tcPr>
          <w:p>
            <w:pPr/>
          </w:p>
        </w:tc>
        <w:tc>
          <w:tcPr>
            <w:tcW w:w="917" w:type="dxa"/>
            <w:vMerge/>
            <w:tcBorders>
              <w:left w:val="single" w:sz="4" w:space="0" w:color="000000"/>
              <w:bottom w:val="single" w:sz="4" w:space="0" w:color="000000"/>
              <w:right w:val="single" w:sz="4" w:space="0" w:color="000000"/>
            </w:tcBorders>
            <w:shd w:val="clear" w:color="auto" w:fill="D4D4D4"/>
          </w:tcPr>
          <w:p>
            <w:pPr/>
          </w:p>
        </w:tc>
        <w:tc>
          <w:tcPr>
            <w:tcW w:w="160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18,035.64</w:t>
            </w: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219,101.10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18,035.64</w:t>
            </w: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219,101.10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412,366,253.55</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400,387,501.77</w:t>
            </w:r>
            <w:r>
              <w:rPr>
                <w:rFonts w:ascii="Times New Roman"/>
                <w:sz w:val="18"/>
              </w:rPr>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412,366,253.55</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400,387,501.77</w:t>
            </w:r>
            <w:r>
              <w:rPr>
                <w:rFonts w:ascii="Times New Roman"/>
                <w:sz w:val="18"/>
              </w:rPr>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5,322,172.00</w:t>
            </w:r>
            <w:r>
              <w:rPr>
                <w:rFonts w:ascii="Times New Roman"/>
                <w:sz w:val="18"/>
              </w:rPr>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5,322,172.00</w:t>
            </w:r>
            <w:r>
              <w:rPr>
                <w:rFonts w:ascii="Times New Roman"/>
                <w:sz w:val="18"/>
              </w:rPr>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412,384,289.19</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405,928,774.87</w:t>
            </w:r>
            <w:r>
              <w:rPr>
                <w:rFonts w:ascii="Times New Roman"/>
                <w:sz w:val="18"/>
              </w:rPr>
            </w:r>
          </w:p>
        </w:tc>
      </w:tr>
    </w:tbl>
    <w:p>
      <w:pPr>
        <w:pStyle w:val="BodyText"/>
        <w:spacing w:line="360" w:lineRule="auto" w:before="49"/>
        <w:ind w:left="512" w:right="2574" w:hanging="360"/>
        <w:jc w:val="left"/>
      </w:pPr>
      <w:r>
        <w:rPr/>
        <w:t>如有因抵押、质押或冻结等对使用有限制、存放在境外、有潜在回收风险的款项应单独说明 注</w:t>
      </w:r>
      <w:r>
        <w:rPr>
          <w:rFonts w:ascii="Times New Roman" w:hAnsi="Times New Roman" w:cs="Times New Roman" w:eastAsia="Times New Roman" w:hint="default"/>
        </w:rPr>
        <w:t>1</w:t>
      </w:r>
      <w:r>
        <w:rPr/>
        <w:t>：期初其他货币资金为银行承兑汇票保证金。</w:t>
      </w:r>
    </w:p>
    <w:p>
      <w:pPr>
        <w:spacing w:after="0" w:line="36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0" w:firstLine="360"/>
        <w:jc w:val="left"/>
      </w:pPr>
      <w:r>
        <w:rPr/>
        <w:t>注</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日止，银行存款中</w:t>
      </w:r>
      <w:r>
        <w:rPr>
          <w:rFonts w:ascii="Times New Roman" w:hAnsi="Times New Roman" w:cs="Times New Roman" w:eastAsia="Times New Roman" w:hint="default"/>
        </w:rPr>
        <w:t>4,462,080.00</w:t>
      </w:r>
      <w:r>
        <w:rPr>
          <w:rFonts w:ascii="Times New Roman" w:hAnsi="Times New Roman" w:cs="Times New Roman" w:eastAsia="Times New Roman" w:hint="default"/>
          <w:spacing w:val="36"/>
        </w:rPr>
        <w:t> </w:t>
      </w:r>
      <w:r>
        <w:rPr/>
        <w:t>元为尚未到期的履约保函保证金（其中</w:t>
      </w:r>
      <w:r>
        <w:rPr>
          <w:rFonts w:ascii="Times New Roman" w:hAnsi="Times New Roman" w:cs="Times New Roman" w:eastAsia="Times New Roman" w:hint="default"/>
        </w:rPr>
        <w:t>3,462,080.00</w:t>
      </w:r>
      <w:r>
        <w:rPr/>
        <w:t>元距保证期 结束超过</w:t>
      </w:r>
      <w:r>
        <w:rPr>
          <w:rFonts w:ascii="Times New Roman" w:hAnsi="Times New Roman" w:cs="Times New Roman" w:eastAsia="Times New Roman" w:hint="default"/>
        </w:rPr>
        <w:t>3</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2、应收票据" w:id="184"/>
      <w:bookmarkEnd w:id="184"/>
      <w:r>
        <w:rPr>
          <w:rFonts w:ascii="Times New Roman" w:hAnsi="Times New Roman" w:cs="Times New Roman" w:eastAsia="Times New Roman" w:hint="default"/>
        </w:rPr>
      </w:r>
      <w:r>
        <w:rPr/>
        <w:t>）应收票据的分类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1）应收票据的分类" w:id="185"/>
      <w:bookmarkEnd w:id="18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89"/>
        <w:gridCol w:w="2657"/>
        <w:gridCol w:w="2921"/>
      </w:tblGrid>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3,769,172.00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1,231,400.00</w:t>
            </w:r>
            <w:r>
              <w:rPr>
                <w:rFonts w:ascii="Times New Roman"/>
                <w:sz w:val="18"/>
              </w:rPr>
            </w:r>
          </w:p>
        </w:tc>
      </w:tr>
      <w:tr>
        <w:trPr>
          <w:trHeight w:val="401"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3,783,672.00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1,231,400.00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应收利息" w:id="186"/>
      <w:bookmarkEnd w:id="186"/>
      <w:r>
        <w:rPr/>
      </w:r>
      <w:bookmarkStart w:name="（1）应收利息" w:id="187"/>
      <w:bookmarkEnd w:id="18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2"/>
        <w:gridCol w:w="1860"/>
        <w:gridCol w:w="1862"/>
        <w:gridCol w:w="1860"/>
        <w:gridCol w:w="2126"/>
      </w:tblGrid>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2,372,001.48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4,588,478.77</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5,172,544.30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1,787,935.95</w:t>
            </w:r>
            <w:r>
              <w:rPr>
                <w:rFonts w:ascii="Times New Roman"/>
                <w:sz w:val="18"/>
              </w:rPr>
            </w:r>
          </w:p>
        </w:tc>
      </w:tr>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2,372,001.48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4,588,478.77</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5,172,544.30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1,787,935.95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应收账款" w:id="188"/>
      <w:bookmarkEnd w:id="188"/>
      <w:r>
        <w:rPr/>
      </w:r>
      <w:bookmarkStart w:name="（1）应收账款按种类披露" w:id="189"/>
      <w:bookmarkEnd w:id="18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929"/>
        <w:gridCol w:w="931"/>
        <w:gridCol w:w="929"/>
        <w:gridCol w:w="929"/>
        <w:gridCol w:w="797"/>
        <w:gridCol w:w="929"/>
        <w:gridCol w:w="1063"/>
        <w:gridCol w:w="1066"/>
      </w:tblGrid>
      <w:tr>
        <w:trPr>
          <w:trHeight w:val="403"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9" w:type="dxa"/>
            <w:vMerge/>
            <w:tcBorders>
              <w:left w:val="single" w:sz="4" w:space="0" w:color="000000"/>
              <w:right w:val="single" w:sz="4" w:space="0" w:color="000000"/>
            </w:tcBorders>
            <w:shd w:val="clear" w:color="auto" w:fill="D4D4D4"/>
          </w:tcPr>
          <w:p>
            <w:pP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113,748,10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9,019,149.4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65,574,33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4,388,108.64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113,748,10</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8.01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9,019,149.4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65,574,33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4,388,108.64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w:t>
            </w:r>
          </w:p>
        </w:tc>
      </w:tr>
      <w:tr>
        <w:trPr>
          <w:trHeight w:val="1027"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757,795.00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757,795.00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757,795.0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757,795.00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4" w:right="0"/>
              <w:jc w:val="center"/>
              <w:rPr>
                <w:rFonts w:ascii="Times New Roman" w:hAnsi="Times New Roman" w:cs="Times New Roman" w:eastAsia="Times New Roman" w:hint="default"/>
                <w:sz w:val="18"/>
                <w:szCs w:val="18"/>
              </w:rPr>
            </w:pPr>
            <w:r>
              <w:rPr>
                <w:rFonts w:ascii="Times New Roman"/>
                <w:sz w:val="18"/>
              </w:rPr>
              <w:t>114,505,90</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 w:right="0"/>
              <w:jc w:val="center"/>
              <w:rPr>
                <w:rFonts w:ascii="Times New Roman" w:hAnsi="Times New Roman" w:cs="Times New Roman" w:eastAsia="Times New Roman" w:hint="default"/>
                <w:sz w:val="18"/>
                <w:szCs w:val="18"/>
              </w:rPr>
            </w:pPr>
            <w:r>
              <w:rPr>
                <w:rFonts w:ascii="Times New Roman"/>
                <w:sz w:val="18"/>
              </w:rPr>
              <w:t>9,776,944.4</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 w:right="0"/>
              <w:jc w:val="center"/>
              <w:rPr>
                <w:rFonts w:ascii="Times New Roman" w:hAnsi="Times New Roman" w:cs="Times New Roman" w:eastAsia="Times New Roman" w:hint="default"/>
                <w:sz w:val="18"/>
                <w:szCs w:val="18"/>
              </w:rPr>
            </w:pPr>
            <w:r>
              <w:rPr>
                <w:rFonts w:ascii="Times New Roman"/>
                <w:sz w:val="18"/>
              </w:rPr>
              <w:t>66,332,12</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5,145,903.64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930"/>
        <w:gridCol w:w="930"/>
        <w:gridCol w:w="929"/>
        <w:gridCol w:w="929"/>
        <w:gridCol w:w="798"/>
        <w:gridCol w:w="928"/>
        <w:gridCol w:w="1064"/>
        <w:gridCol w:w="1064"/>
      </w:tblGrid>
      <w:tr>
        <w:trPr>
          <w:trHeight w:val="36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3" w:right="0"/>
              <w:jc w:val="left"/>
              <w:rPr>
                <w:rFonts w:ascii="Times New Roman" w:hAnsi="Times New Roman" w:cs="Times New Roman" w:eastAsia="Times New Roman" w:hint="default"/>
                <w:sz w:val="18"/>
                <w:szCs w:val="18"/>
              </w:rPr>
            </w:pPr>
            <w:r>
              <w:rPr>
                <w:rFonts w:ascii="Times New Roman"/>
                <w:sz w:val="18"/>
              </w:rPr>
              <w:t>3.01</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8.08</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pStyle w:val="BodyText"/>
        <w:spacing w:line="357" w:lineRule="auto" w:before="49"/>
        <w:ind w:left="440" w:right="-18" w:hanging="288"/>
        <w:jc w:val="left"/>
      </w:pPr>
      <w:bookmarkStart w:name="（2）本报告期应收账款中持有公司5％（含5％）以上表决权股份的股东单位情况" w:id="190"/>
      <w:bookmarkEnd w:id="190"/>
      <w:r>
        <w:rPr/>
      </w:r>
      <w:r>
        <w:rPr/>
        <w:t>应收账款种类的说明 本公司单项金额重大的应收账款是指单个客户金额</w:t>
      </w:r>
      <w:r>
        <w:rPr>
          <w:rFonts w:ascii="Times New Roman" w:hAnsi="Times New Roman" w:cs="Times New Roman" w:eastAsia="Times New Roman" w:hint="default"/>
        </w:rPr>
        <w:t>100</w:t>
      </w:r>
      <w:r>
        <w:rPr/>
        <w:t>万元以上的应收款项。</w:t>
      </w:r>
    </w:p>
    <w:p>
      <w:pPr>
        <w:pStyle w:val="BodyText"/>
        <w:spacing w:line="240" w:lineRule="auto" w:before="6"/>
        <w:ind w:right="-18"/>
        <w:jc w:val="left"/>
      </w:pPr>
      <w:r>
        <w:rPr/>
        <w:t>期末单项金额重大并单项计提坏账准备的应收账款</w:t>
      </w:r>
    </w:p>
    <w:p>
      <w:pPr>
        <w:pStyle w:val="BodyText"/>
        <w:spacing w:line="338" w:lineRule="auto" w:before="117"/>
        <w:ind w:right="25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473" w:space="2355"/>
            <w:col w:w="112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6"/>
        <w:gridCol w:w="1594"/>
        <w:gridCol w:w="929"/>
        <w:gridCol w:w="1728"/>
        <w:gridCol w:w="1459"/>
        <w:gridCol w:w="931"/>
        <w:gridCol w:w="1459"/>
      </w:tblGrid>
      <w:tr>
        <w:trPr>
          <w:trHeight w:val="403" w:hRule="exact"/>
        </w:trPr>
        <w:tc>
          <w:tcPr>
            <w:tcW w:w="14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6" w:type="dxa"/>
            <w:vMerge/>
            <w:tcBorders>
              <w:left w:val="single" w:sz="4" w:space="0" w:color="000000"/>
              <w:right w:val="single" w:sz="4" w:space="0" w:color="000000"/>
            </w:tcBorders>
            <w:shd w:val="clear" w:color="auto" w:fill="D4D4D4"/>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4D4D4"/>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w:t>
            </w:r>
            <w:r>
              <w:rPr>
                <w:rFonts w:ascii="宋体" w:hAnsi="宋体" w:cs="宋体" w:eastAsia="宋体" w:hint="default"/>
                <w:spacing w:val="-75"/>
                <w:sz w:val="18"/>
                <w:szCs w:val="18"/>
              </w:rPr>
              <w:t>内</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FFFFFF"/>
              <w:bottom w:val="single" w:sz="4" w:space="0" w:color="000000"/>
              <w:right w:val="single" w:sz="4" w:space="0" w:color="000000"/>
            </w:tcBorders>
          </w:tcPr>
          <w:p>
            <w:pPr>
              <w:pStyle w:val="TableParagraph"/>
              <w:tabs>
                <w:tab w:pos="515" w:val="left" w:leader="none"/>
              </w:tabs>
              <w:spacing w:line="240" w:lineRule="auto" w:before="49"/>
              <w:ind w:left="-132"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80,717,123.06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70.49%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4,035,856.15</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54,452,119.64</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82.09%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2,722,605.98</w:t>
            </w:r>
            <w:r>
              <w:rPr>
                <w:rFonts w:ascii="Times New Roman"/>
                <w:sz w:val="18"/>
              </w:rPr>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80,717,123.06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70.49%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4,035,856.15</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54,452,119.64</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82.09%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2,722,605.98</w:t>
            </w:r>
            <w:r>
              <w:rPr>
                <w:rFonts w:ascii="Times New Roman"/>
                <w:sz w:val="18"/>
              </w:rPr>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26,926,288.55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2,692,628.86</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8,365,473.84</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836,547.38</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3,808,418.80</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1,142,525.64</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2,747,072.60</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824,121.78</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2,296,277.60</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1,148,138.80</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9,667.00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4,833.50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2,296,277.60</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1,148,138.80</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9,667.00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4,833.50</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113,748,108.01</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9,019,149.45</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65,574,333.08</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4,388,108.64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组合中，采用余额百分比法计提坏账准备的应收账款</w:t>
      </w:r>
    </w:p>
    <w:p>
      <w:pPr>
        <w:pStyle w:val="BodyText"/>
        <w:spacing w:line="338" w:lineRule="auto" w:before="117"/>
        <w:ind w:right="521"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43"/>
        <w:ind w:left="153"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39"/>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4" w:space="4354"/>
            <w:col w:w="1122"/>
          </w:cols>
        </w:sectPr>
      </w:pPr>
    </w:p>
    <w:p>
      <w:pPr>
        <w:spacing w:line="240" w:lineRule="auto" w:before="4"/>
        <w:rPr>
          <w:rFonts w:ascii="宋体" w:hAnsi="宋体" w:cs="宋体" w:eastAsia="宋体" w:hint="default"/>
          <w:sz w:val="8"/>
          <w:szCs w:val="8"/>
        </w:rPr>
      </w:pPr>
      <w:r>
        <w:rPr/>
        <w:pict>
          <v:group style="position:absolute;margin-left:131.399994pt;margin-top:316.799988pt;width:76.95pt;height:19.6pt;mso-position-horizontal-relative:page;mso-position-vertical-relative:page;z-index:-749200" coordorigin="2628,6336" coordsize="1539,392">
            <v:shape style="position:absolute;left:2628;top:6336;width:1539;height:392" coordorigin="2628,6336" coordsize="1539,392" path="m2628,6727l4166,6727,4166,6336,2628,6336,2628,6727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应收软件款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334,395.00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334,395.00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 回</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应收软件款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423,400.00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 回</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757,795.00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757,795.00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）本报告期应收账款中持有公司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8"/>
        <w:gridCol w:w="1728"/>
        <w:gridCol w:w="1594"/>
        <w:gridCol w:w="1860"/>
        <w:gridCol w:w="1726"/>
      </w:tblGrid>
      <w:tr>
        <w:trPr>
          <w:trHeight w:val="402" w:hRule="exact"/>
        </w:trPr>
        <w:tc>
          <w:tcPr>
            <w:tcW w:w="26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8"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bookmarkStart w:name="（3）应收账款中金额前五名单位情况" w:id="191"/>
      <w:bookmarkEnd w:id="191"/>
      <w:r>
        <w:rPr>
          <w:rFonts w:ascii="Times New Roman" w:hAnsi="Times New Roman" w:cs="Times New Roman" w:eastAsia="Times New Roman" w:hint="default"/>
        </w:rPr>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4,401,719.20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2,663,678.00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2,534,900.00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18,570,297.20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其他应收款" w:id="192"/>
      <w:bookmarkEnd w:id="192"/>
      <w:r>
        <w:rPr/>
      </w:r>
      <w:bookmarkStart w:name="（1）其他应收款按种类披露" w:id="193"/>
      <w:bookmarkEnd w:id="193"/>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3"/>
        <w:gridCol w:w="1056"/>
        <w:gridCol w:w="792"/>
        <w:gridCol w:w="1058"/>
        <w:gridCol w:w="794"/>
        <w:gridCol w:w="1058"/>
        <w:gridCol w:w="926"/>
        <w:gridCol w:w="1190"/>
        <w:gridCol w:w="790"/>
      </w:tblGrid>
      <w:tr>
        <w:trPr>
          <w:trHeight w:val="403"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370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7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7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7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r>
      <w:tr>
        <w:trPr>
          <w:trHeight w:val="1025"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21,123,601.3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10,414,675.8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46.24%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按组合计提坏账准备的 其他应收款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14,064,535.3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39.97%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1,386,407.46</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12,108,862.1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53.76%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1,059,110.65</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8.75%</w:t>
            </w:r>
          </w:p>
        </w:tc>
      </w:tr>
      <w:tr>
        <w:trPr>
          <w:trHeight w:val="715"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14,064,535.3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39.97%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1,386,407.46</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12,108,862.1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53.76%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1,059,110.65</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35,188,136.7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1,386,407.46</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22,523,537.9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1,059,110.65</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440" w:right="3276" w:hanging="288"/>
        <w:jc w:val="left"/>
      </w:pPr>
      <w:r>
        <w:rPr/>
        <w:t>其他应收款种类的说明 本公司单项金额重大的其他应收款是指单个客户金额</w:t>
      </w:r>
      <w:r>
        <w:rPr>
          <w:rFonts w:ascii="Times New Roman" w:hAnsi="Times New Roman" w:cs="Times New Roman" w:eastAsia="Times New Roman" w:hint="default"/>
        </w:rPr>
        <w:t>100</w:t>
      </w:r>
      <w:r>
        <w:rPr/>
        <w:t>万元以上的应收款项。</w:t>
      </w:r>
    </w:p>
    <w:p>
      <w:pPr>
        <w:pStyle w:val="BodyText"/>
        <w:spacing w:line="240" w:lineRule="auto" w:before="4"/>
        <w:ind w:right="0"/>
        <w:jc w:val="left"/>
      </w:pPr>
      <w:r>
        <w:rPr/>
        <w:t>期末单项金额重大并单项计提坏账准备的其他应收款</w:t>
      </w:r>
    </w:p>
    <w:p>
      <w:pPr>
        <w:pStyle w:val="BodyText"/>
        <w:spacing w:line="240" w:lineRule="auto" w:before="115"/>
        <w:ind w:right="0"/>
        <w:jc w:val="left"/>
      </w:pPr>
      <w:r>
        <w:rPr/>
        <w:t>√ 适用 □</w:t>
      </w:r>
      <w:r>
        <w:rPr>
          <w:spacing w:val="3"/>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bookmarkStart w:name="（2）本报告期其他应收款中持有公司5％（含5％）以上表决权股份的股东单位情况" w:id="194"/>
      <w:bookmarkEnd w:id="19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软件产品增值税即征即 退税款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12,088,974.94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预计无坏账风险</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9,034,626.39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预计无坏账风险</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21,123,601.33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组合中，采用账龄分析法计提坏账准备的其他应收款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7"/>
        <w:gridCol w:w="1450"/>
        <w:gridCol w:w="658"/>
        <w:gridCol w:w="1668"/>
      </w:tblGrid>
      <w:tr>
        <w:trPr>
          <w:trHeight w:val="402" w:hRule="exact"/>
        </w:trPr>
        <w:tc>
          <w:tcPr>
            <w:tcW w:w="18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00000"/>
              <w:right w:val="single" w:sz="4" w:space="0" w:color="000000"/>
            </w:tcBorders>
            <w:shd w:val="clear" w:color="auto" w:fill="D4D4D4"/>
          </w:tcPr>
          <w:p>
            <w:pPr/>
          </w:p>
        </w:tc>
        <w:tc>
          <w:tcPr>
            <w:tcW w:w="24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00000"/>
              <w:bottom w:val="single" w:sz="4" w:space="0" w:color="000000"/>
              <w:right w:val="single" w:sz="4" w:space="0" w:color="000000"/>
            </w:tcBorders>
            <w:shd w:val="clear" w:color="auto" w:fill="D4D4D4"/>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4D4D4"/>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10,074,381.59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28.63%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503,719.08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7,554,375.48</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377,718.78</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10,074,381.59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28.63%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503,719.08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7,554,375.48</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33.54%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377,718.78</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1,711,788.78</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171,178.88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3,861,808.20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386,180.82</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2,138,365.00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641,509.50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484,203.50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145,261.05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208,475.00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149,950.00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140,000.00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56,100.00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28,050.00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152,375.00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121,900.00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14,064,535.37</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1,386,407.46</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12,108,862.18</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1,059,110.65</w:t>
            </w:r>
            <w:r>
              <w:rPr>
                <w:rFonts w:ascii="Times New Roman"/>
                <w:sz w:val="18"/>
              </w:rPr>
            </w:r>
          </w:p>
        </w:tc>
      </w:tr>
    </w:tbl>
    <w:p>
      <w:pPr>
        <w:pStyle w:val="BodyText"/>
        <w:spacing w:line="240" w:lineRule="auto" w:before="49"/>
        <w:ind w:right="0"/>
        <w:jc w:val="left"/>
      </w:pPr>
      <w:r>
        <w:rPr/>
        <w:t>组合中，采用余额百分比法计提坏账准备的其他应收款</w:t>
      </w:r>
    </w:p>
    <w:p>
      <w:pPr>
        <w:pStyle w:val="BodyText"/>
        <w:spacing w:line="360" w:lineRule="auto" w:before="115"/>
        <w:ind w:right="5814" w:hanging="1"/>
        <w:jc w:val="left"/>
      </w:pPr>
      <w:r>
        <w:rPr/>
        <w:t>□ 适用 √</w:t>
      </w:r>
      <w:r>
        <w:rPr>
          <w:spacing w:val="3"/>
        </w:rPr>
        <w:t> </w:t>
      </w:r>
      <w:r>
        <w:rPr/>
        <w:t>不适用</w:t>
      </w:r>
      <w:r>
        <w:rPr/>
        <w:t> 组合中，采用其他方法计提坏账准备的其他应收款</w:t>
      </w:r>
    </w:p>
    <w:p>
      <w:pPr>
        <w:pStyle w:val="BodyText"/>
        <w:spacing w:line="357" w:lineRule="auto" w:before="27"/>
        <w:ind w:left="153" w:right="5273" w:hanging="1"/>
        <w:jc w:val="left"/>
      </w:pPr>
      <w:r>
        <w:rPr/>
        <w:t>□ 适用 √</w:t>
      </w:r>
      <w:r>
        <w:rPr>
          <w:spacing w:val="3"/>
        </w:rPr>
        <w:t> </w:t>
      </w:r>
      <w:r>
        <w:rPr/>
        <w:t>不适用</w:t>
      </w:r>
      <w:r>
        <w:rPr/>
        <w:t> 期末单项金额虽不重大但单项计提坏账准备的其他应收款</w:t>
      </w:r>
    </w:p>
    <w:p>
      <w:pPr>
        <w:pStyle w:val="BodyText"/>
        <w:spacing w:line="240" w:lineRule="auto" w:before="29"/>
        <w:ind w:left="153"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）本报告期其他应收款中持有公司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1728"/>
        <w:gridCol w:w="1594"/>
        <w:gridCol w:w="1860"/>
        <w:gridCol w:w="1594"/>
      </w:tblGrid>
      <w:tr>
        <w:trPr>
          <w:trHeight w:val="402" w:hRule="exact"/>
        </w:trPr>
        <w:tc>
          <w:tcPr>
            <w:tcW w:w="27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0"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其他应收款金额前五名单位情况" w:id="195"/>
      <w:bookmarkEnd w:id="195"/>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455,448.00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4,704,748.00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预付款项" w:id="196"/>
      <w:bookmarkEnd w:id="196"/>
      <w:r>
        <w:rPr/>
      </w:r>
      <w:bookmarkStart w:name="（1）预付款项按账龄列示" w:id="197"/>
      <w:bookmarkEnd w:id="19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8"/>
        <w:gridCol w:w="1063"/>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4D4D4"/>
          </w:tcPr>
          <w:p>
            <w:pPr/>
          </w:p>
        </w:tc>
        <w:tc>
          <w:tcPr>
            <w:tcW w:w="426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4D4D4"/>
          </w:tcPr>
          <w:p>
            <w:pPr/>
          </w:p>
        </w:tc>
        <w:tc>
          <w:tcPr>
            <w:tcW w:w="411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4D4D4"/>
          </w:tcPr>
          <w:p>
            <w:pPr/>
          </w:p>
        </w:tc>
        <w:tc>
          <w:tcPr>
            <w:tcW w:w="3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8"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305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3,071,584.66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2,765,168.79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97.96%</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36,673.39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57,469.00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42,190.00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3,150,448.05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2,822,637.79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154"/>
        <w:jc w:val="left"/>
      </w:pPr>
      <w:r>
        <w:rPr/>
        <w:t>预付款项账龄的说明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bookmarkStart w:name="（2）预付款项金额前五名单位情况" w:id="198"/>
      <w:bookmarkEnd w:id="198"/>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615,068.00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2,576,068.00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7794"/>
        <w:jc w:val="left"/>
      </w:pPr>
      <w:r>
        <w:rPr/>
        <w:t>预付款项主要单位的说明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向投资企业转移资金的能力受到限制的有关情况" w:id="199"/>
      <w:bookmarkEnd w:id="199"/>
      <w:r>
        <w:rPr>
          <w:b w:val="0"/>
          <w:bCs w:val="0"/>
        </w:rPr>
      </w:r>
      <w:r>
        <w:rPr/>
        <w:t>（</w:t>
      </w:r>
      <w:r>
        <w:rPr>
          <w:rFonts w:ascii="Times New Roman" w:hAnsi="Times New Roman" w:cs="Times New Roman" w:eastAsia="Times New Roman" w:hint="default"/>
        </w:rPr>
        <w:t>3</w:t>
      </w:r>
      <w:r>
        <w:rPr/>
        <w:t>）本报告期预付款项中持有本公司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本报告期预付款项中持有本公司5％（含5％）以上表决权股份的股东单位情况" w:id="200"/>
      <w:bookmarkEnd w:id="200"/>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1728"/>
        <w:gridCol w:w="1594"/>
        <w:gridCol w:w="1728"/>
        <w:gridCol w:w="1715"/>
      </w:tblGrid>
      <w:tr>
        <w:trPr>
          <w:trHeight w:val="403" w:hRule="exact"/>
        </w:trPr>
        <w:tc>
          <w:tcPr>
            <w:tcW w:w="27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0"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7、存货" w:id="201"/>
      <w:bookmarkEnd w:id="201"/>
      <w:r>
        <w:rPr/>
      </w:r>
      <w:bookmarkStart w:name="（1）存货分类" w:id="202"/>
      <w:bookmarkEnd w:id="20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8"/>
        <w:gridCol w:w="1460"/>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4D4D4"/>
          </w:tcPr>
          <w:p>
            <w:pPr/>
          </w:p>
        </w:tc>
        <w:tc>
          <w:tcPr>
            <w:tcW w:w="3983"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8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3" w:type="dxa"/>
            <w:gridSpan w:val="3"/>
            <w:vMerge/>
            <w:tcBorders>
              <w:left w:val="single" w:sz="4" w:space="0" w:color="000000"/>
              <w:bottom w:val="single" w:sz="4" w:space="0" w:color="000000"/>
              <w:right w:val="single" w:sz="4" w:space="0" w:color="000000"/>
            </w:tcBorders>
            <w:shd w:val="clear" w:color="auto" w:fill="D4D4D4"/>
          </w:tcPr>
          <w:p>
            <w:pPr/>
          </w:p>
        </w:tc>
        <w:tc>
          <w:tcPr>
            <w:tcW w:w="3984"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588" w:type="dxa"/>
            <w:vMerge/>
            <w:tcBorders>
              <w:left w:val="single" w:sz="4" w:space="0" w:color="000000"/>
              <w:bottom w:val="nil" w:sz="6" w:space="0" w:color="auto"/>
              <w:right w:val="single" w:sz="4" w:space="0" w:color="000000"/>
            </w:tcBorders>
            <w:shd w:val="clear" w:color="auto" w:fill="D4D4D4"/>
          </w:tcPr>
          <w:p>
            <w:pPr/>
          </w:p>
        </w:tc>
        <w:tc>
          <w:tcPr>
            <w:tcW w:w="14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4D4D4"/>
          </w:tcPr>
          <w:p>
            <w:pPr/>
          </w:p>
        </w:tc>
        <w:tc>
          <w:tcPr>
            <w:tcW w:w="1460" w:type="dxa"/>
            <w:vMerge/>
            <w:tcBorders>
              <w:left w:val="single" w:sz="4" w:space="0" w:color="000000"/>
              <w:bottom w:val="single" w:sz="4" w:space="0" w:color="000000"/>
              <w:right w:val="single" w:sz="4" w:space="0" w:color="000000"/>
            </w:tcBorders>
            <w:shd w:val="clear" w:color="auto" w:fill="D4D4D4"/>
          </w:tcPr>
          <w:p>
            <w:pPr/>
          </w:p>
        </w:tc>
        <w:tc>
          <w:tcPr>
            <w:tcW w:w="1193"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3,290,598.46</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3,290,598.46</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115,920.70</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115,920.70</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108,933.49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108,933.49</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22,744,308.72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22,744,308.72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8,401,473.50</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8,401,473.50</w:t>
            </w:r>
            <w:r>
              <w:rPr>
                <w:rFonts w:ascii="Times New Roman"/>
                <w:sz w:val="18"/>
              </w:rPr>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26,150,827.88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26,150,827.88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8,510,406.99</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8,510,406.99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8、长期股权投资" w:id="203"/>
      <w:bookmarkEnd w:id="203"/>
      <w:r>
        <w:rPr/>
      </w:r>
      <w:bookmarkStart w:name="（1）长期股权投资明细情况" w:id="204"/>
      <w:bookmarkEnd w:id="20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2"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65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上海卫生 信息工程 技术研究 中心有限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14.29%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14.29%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154"/>
        <w:jc w:val="left"/>
      </w:pPr>
      <w:bookmarkStart w:name="10、无形资产" w:id="205"/>
      <w:bookmarkEnd w:id="205"/>
      <w:r>
        <w:rPr/>
      </w:r>
      <w:bookmarkStart w:name="（1）无形资产情况" w:id="206"/>
      <w:bookmarkEnd w:id="206"/>
      <w:r>
        <w:rPr/>
      </w:r>
      <w:r>
        <w:rPr/>
        <w:t>长期股权投资的说明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9、固定资产" w:id="207"/>
      <w:bookmarkEnd w:id="207"/>
      <w:r>
        <w:rPr/>
      </w:r>
      <w:bookmarkStart w:name="（1）固定资产情况" w:id="208"/>
      <w:bookmarkEnd w:id="20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6"/>
        <w:gridCol w:w="1459"/>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16,403,617.33</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12,828,931.09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23,759.42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29,208,789.00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1,118,698.21</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1,118,698.21</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14,328,808.49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12,579,523.49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23,759.42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26,884,572.56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956,110.63</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249,407.60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1,205,518.23</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1,988,961.33</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3,637,703.86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7,806.04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5,618,859.15</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233,645.05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201,524.22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435,169.27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1,484,223.54</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3,339,749.19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7,806.04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4,816,166.69</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271,092.74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96,430.45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367,523.19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14,414,656.00</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23,589,929.85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885,053.16</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683,528.94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12,844,584.95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22,068,405.87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685,017.89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837,995.04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14,414,656.00</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23,589,929.85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885,053.16</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683,528.94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12,844,584.95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22,068,405.87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685,017.89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837,995.04</w:t>
            </w:r>
          </w:p>
        </w:tc>
      </w:tr>
    </w:tbl>
    <w:p>
      <w:pPr>
        <w:pStyle w:val="BodyText"/>
        <w:spacing w:line="240" w:lineRule="auto" w:before="49"/>
        <w:ind w:right="0"/>
        <w:jc w:val="left"/>
      </w:pPr>
      <w:r>
        <w:rPr/>
        <w:t>本期折旧额</w:t>
      </w:r>
      <w:r>
        <w:rPr>
          <w:spacing w:val="-48"/>
        </w:rPr>
        <w:t> </w:t>
      </w:r>
      <w:r>
        <w:rPr>
          <w:rFonts w:ascii="Times New Roman" w:hAnsi="Times New Roman" w:cs="Times New Roman" w:eastAsia="Times New Roman" w:hint="default"/>
        </w:rPr>
        <w:t>3,637,703.86</w:t>
      </w:r>
      <w:r>
        <w:rPr>
          <w:rFonts w:ascii="Times New Roman" w:hAnsi="Times New Roman" w:cs="Times New Roman" w:eastAsia="Times New Roman" w:hint="default"/>
          <w:spacing w:val="-2"/>
        </w:rPr>
        <w:t> </w:t>
      </w:r>
      <w:r>
        <w:rPr/>
        <w:t>元；本期由在建工程转入固定资产原价为</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footerReference w:type="default" r:id="rId17"/>
          <w:pgSz w:w="11910" w:h="16840"/>
          <w:pgMar w:footer="982" w:header="745"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464,883.27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1,924,828.19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2,389,711.46</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26,337.61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34,537.61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438,545.66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1,916,628.19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2,355,173.85</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71,854.82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155,021.57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226,876.39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6,999.87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4,103.09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11,102.96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64,854.95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150,918.48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215,773.43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393,028.45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1,769,806.62</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2,162,835.07</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19,337.74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4,096.91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23,434.65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373,690.71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1,765,709.71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2,139,400.42</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393,028.45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1,769,806.62</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2,162,835.07</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19,337.74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4,096.91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23,434.65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373,690.71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1,765,709.71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2,139,400.42</w:t>
            </w:r>
            <w:r>
              <w:rPr>
                <w:rFonts w:ascii="Times New Roman"/>
                <w:sz w:val="18"/>
              </w:rPr>
            </w:r>
          </w:p>
        </w:tc>
      </w:tr>
    </w:tbl>
    <w:p>
      <w:pPr>
        <w:pStyle w:val="BodyText"/>
        <w:spacing w:line="240" w:lineRule="auto" w:before="49"/>
        <w:ind w:right="0"/>
        <w:jc w:val="left"/>
      </w:pPr>
      <w:r>
        <w:rPr/>
        <w:t>本期摊销额</w:t>
      </w:r>
      <w:r>
        <w:rPr>
          <w:spacing w:val="-48"/>
        </w:rPr>
        <w:t> </w:t>
      </w:r>
      <w:r>
        <w:rPr>
          <w:rFonts w:ascii="Times New Roman" w:hAnsi="Times New Roman" w:cs="Times New Roman" w:eastAsia="Times New Roman" w:hint="default"/>
        </w:rPr>
        <w:t>155,021.57</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11</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3"/>
        <w:jc w:val="right"/>
      </w:pPr>
      <w:bookmarkStart w:name="11、递延所得税资产和递延所得税负债" w:id="209"/>
      <w:bookmarkEnd w:id="209"/>
      <w:r>
        <w:rPr/>
      </w:r>
      <w:bookmarkStart w:name="（1）递延所得税资产和递延所得税负债不以抵销后的净额列示" w:id="210"/>
      <w:bookmarkEnd w:id="21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3"/>
        <w:gridCol w:w="2920"/>
      </w:tblGrid>
      <w:tr>
        <w:trPr>
          <w:trHeight w:val="406"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1,744,188.05</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962,324.15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1,552,521.80</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839,679.42</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预提质保金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382,423.40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282,550.70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1,341,495.55</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797,972.08</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1,101,075.00</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20,625.00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6,121,703.80</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2,903,151.35</w:t>
            </w:r>
            <w:r>
              <w:rPr>
                <w:rFonts w:ascii="Times New Roman"/>
                <w:sz w:val="18"/>
              </w:rPr>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0"/>
        <w:jc w:val="left"/>
      </w:pPr>
      <w:r>
        <w:rPr/>
        <w:t>未确认递延所得税资产明细</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0"/>
        <w:gridCol w:w="2934"/>
        <w:gridCol w:w="2921"/>
      </w:tblGrid>
      <w:tr>
        <w:trPr>
          <w:trHeight w:val="403" w:hRule="exact"/>
        </w:trPr>
        <w:tc>
          <w:tcPr>
            <w:tcW w:w="3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3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2" w:header="745" w:top="1060" w:bottom="1180" w:left="980" w:right="98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bookmarkStart w:name="13、应付票据" w:id="211"/>
      <w:bookmarkEnd w:id="211"/>
      <w:r>
        <w:rPr/>
      </w:r>
      <w:r>
        <w:rPr/>
        <w:t>未确认递延所得税资产的可抵扣亏损将于以下年度到期</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8"/>
        <w:gridCol w:w="1994"/>
        <w:gridCol w:w="3319"/>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应纳税差异和可抵扣差异项目明细</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4"/>
        <w:gridCol w:w="2926"/>
        <w:gridCol w:w="2786"/>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4D4D4"/>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11,163,351.91</w:t>
            </w:r>
            <w:r>
              <w:rPr>
                <w:rFonts w:ascii="Times New Roman"/>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6,205,014.29</w:t>
            </w:r>
            <w:r>
              <w:rPr>
                <w:rFonts w:ascii="Times New Roman"/>
                <w:sz w:val="18"/>
              </w:rPr>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、预提质保金</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2,447,070.82</w:t>
            </w:r>
            <w:r>
              <w:rPr>
                <w:rFonts w:ascii="Times New Roman"/>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1,839,422.00</w:t>
            </w:r>
            <w:r>
              <w:rPr>
                <w:rFonts w:ascii="Times New Roman"/>
                <w:sz w:val="18"/>
              </w:rPr>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、应付职工薪酬</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7,233,911.07</w:t>
            </w:r>
            <w:r>
              <w:rPr>
                <w:rFonts w:ascii="Times New Roman"/>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4,417,239.10</w:t>
            </w:r>
            <w:r>
              <w:rPr>
                <w:rFonts w:ascii="Times New Roman"/>
                <w:sz w:val="18"/>
              </w:rPr>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、递延收益</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7,340,500.00</w:t>
            </w:r>
            <w:r>
              <w:rPr>
                <w:rFonts w:ascii="Times New Roman"/>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137,500.00</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、可抵扣亏损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6,210,087.18</w:t>
            </w:r>
            <w:r>
              <w:rPr>
                <w:rFonts w:ascii="Times New Roman"/>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3,358,717.66</w:t>
            </w:r>
            <w:r>
              <w:rPr>
                <w:rFonts w:ascii="Times New Roman"/>
                <w:sz w:val="18"/>
              </w:rPr>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34,394,920.98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15,957,893.05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12、资产减值准备明细" w:id="212"/>
      <w:bookmarkEnd w:id="21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6"/>
        <w:gridCol w:w="1529"/>
        <w:gridCol w:w="1399"/>
        <w:gridCol w:w="1397"/>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9" w:type="dxa"/>
            <w:tcBorders>
              <w:top w:val="single" w:sz="4" w:space="0" w:color="000000"/>
              <w:left w:val="single" w:sz="4" w:space="0" w:color="000000"/>
              <w:bottom w:val="nil" w:sz="6" w:space="0" w:color="auto"/>
              <w:right w:val="single" w:sz="4" w:space="0" w:color="000000"/>
            </w:tcBorders>
            <w:shd w:val="clear" w:color="auto" w:fill="D4D4D4"/>
          </w:tcPr>
          <w:p>
            <w:pPr/>
          </w:p>
        </w:tc>
        <w:tc>
          <w:tcPr>
            <w:tcW w:w="279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22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4D4D4"/>
          </w:tcPr>
          <w:p>
            <w:pPr/>
          </w:p>
        </w:tc>
        <w:tc>
          <w:tcPr>
            <w:tcW w:w="14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54" w:type="dxa"/>
            <w:vMerge/>
            <w:tcBorders>
              <w:left w:val="single" w:sz="4" w:space="0" w:color="000000"/>
              <w:bottom w:val="nil" w:sz="6" w:space="0" w:color="auto"/>
              <w:right w:val="single" w:sz="4" w:space="0" w:color="000000"/>
            </w:tcBorders>
            <w:shd w:val="clear" w:color="auto" w:fill="D4D4D4"/>
          </w:tcPr>
          <w:p>
            <w:pPr/>
          </w:p>
        </w:tc>
        <w:tc>
          <w:tcPr>
            <w:tcW w:w="1526" w:type="dxa"/>
            <w:vMerge/>
            <w:tcBorders>
              <w:left w:val="single" w:sz="4" w:space="0" w:color="000000"/>
              <w:bottom w:val="nil" w:sz="6" w:space="0" w:color="auto"/>
              <w:right w:val="single" w:sz="4" w:space="0" w:color="000000"/>
            </w:tcBorders>
            <w:shd w:val="clear" w:color="auto" w:fill="D4D4D4"/>
          </w:tcPr>
          <w:p>
            <w:pPr/>
          </w:p>
        </w:tc>
        <w:tc>
          <w:tcPr>
            <w:tcW w:w="1529" w:type="dxa"/>
            <w:vMerge/>
            <w:tcBorders>
              <w:left w:val="single" w:sz="4" w:space="0" w:color="000000"/>
              <w:bottom w:val="nil" w:sz="6" w:space="0" w:color="auto"/>
              <w:right w:val="single" w:sz="4" w:space="0" w:color="000000"/>
            </w:tcBorders>
            <w:shd w:val="clear" w:color="auto" w:fill="D4D4D4"/>
          </w:tcPr>
          <w:p>
            <w:pPr/>
          </w:p>
        </w:tc>
        <w:tc>
          <w:tcPr>
            <w:tcW w:w="13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99" w:type="dxa"/>
            <w:vMerge/>
            <w:tcBorders>
              <w:left w:val="single" w:sz="4" w:space="0" w:color="000000"/>
              <w:bottom w:val="single" w:sz="4" w:space="0" w:color="000000"/>
              <w:right w:val="single" w:sz="4" w:space="0" w:color="000000"/>
            </w:tcBorders>
            <w:shd w:val="clear" w:color="auto" w:fill="D4D4D4"/>
          </w:tcPr>
          <w:p>
            <w:pPr/>
          </w:p>
        </w:tc>
        <w:tc>
          <w:tcPr>
            <w:tcW w:w="1397" w:type="dxa"/>
            <w:vMerge/>
            <w:tcBorders>
              <w:left w:val="single" w:sz="4" w:space="0" w:color="000000"/>
              <w:bottom w:val="single" w:sz="4" w:space="0" w:color="000000"/>
              <w:right w:val="single" w:sz="4" w:space="0" w:color="000000"/>
            </w:tcBorders>
            <w:shd w:val="clear" w:color="auto" w:fill="D4D4D4"/>
          </w:tcPr>
          <w:p>
            <w:pPr/>
          </w:p>
        </w:tc>
        <w:tc>
          <w:tcPr>
            <w:tcW w:w="145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6,205,014.29</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4,958,337.62</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11,163,351.91</w:t>
            </w:r>
            <w:r>
              <w:rPr>
                <w:rFonts w:ascii="Times New Roman"/>
                <w:sz w:val="18"/>
              </w:rPr>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6,205,014.29</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4,958,337.62</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11,163,351.91</w:t>
            </w:r>
            <w:r>
              <w:rPr>
                <w:rFonts w:ascii="Times New Roman"/>
                <w:sz w:val="18"/>
              </w:rPr>
            </w:r>
          </w:p>
        </w:tc>
      </w:tr>
    </w:tbl>
    <w:p>
      <w:pPr>
        <w:pStyle w:val="BodyText"/>
        <w:spacing w:line="357" w:lineRule="auto" w:before="49"/>
        <w:ind w:right="7794"/>
        <w:jc w:val="left"/>
      </w:pPr>
      <w:r>
        <w:rPr/>
        <w:t>资产减值明细情况的说明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13</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8"/>
        <w:gridCol w:w="2932"/>
        <w:gridCol w:w="3058"/>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5,322,172.00</w:t>
            </w:r>
            <w:r>
              <w:rPr>
                <w:rFonts w:ascii="Times New Roman"/>
                <w:sz w:val="18"/>
              </w:rPr>
            </w: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5,322,172.00</w:t>
            </w:r>
            <w:r>
              <w:rPr>
                <w:rFonts w:ascii="Times New Roman"/>
                <w:sz w:val="18"/>
              </w:rPr>
            </w:r>
          </w:p>
        </w:tc>
      </w:tr>
    </w:tbl>
    <w:p>
      <w:pPr>
        <w:pStyle w:val="BodyText"/>
        <w:spacing w:line="340" w:lineRule="auto" w:before="49"/>
        <w:ind w:right="6850"/>
        <w:jc w:val="left"/>
      </w:pPr>
      <w:r>
        <w:rPr/>
        <w:t>下一会计期间将到期的金额</w:t>
      </w:r>
      <w:r>
        <w:rPr>
          <w:spacing w:val="-46"/>
        </w:rPr>
        <w:t> </w:t>
      </w:r>
      <w:r>
        <w:rPr>
          <w:rFonts w:ascii="Times New Roman" w:hAnsi="Times New Roman" w:cs="Times New Roman" w:eastAsia="Times New Roman" w:hint="default"/>
        </w:rPr>
        <w:t>0.00 </w:t>
      </w:r>
      <w:r>
        <w:rPr/>
        <w:t>元。 应付票据的说明</w:t>
      </w:r>
    </w:p>
    <w:p>
      <w:pPr>
        <w:pStyle w:val="BodyText"/>
        <w:spacing w:line="240" w:lineRule="auto" w:before="39"/>
        <w:ind w:right="0"/>
        <w:jc w:val="left"/>
      </w:pPr>
      <w:r>
        <w:rPr/>
        <w:t>无</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本报告期预收账款中预收持有公司5％（含5％）以上表决权股份的股东单位款项" w:id="213"/>
      <w:bookmarkEnd w:id="213"/>
      <w:r>
        <w:rPr>
          <w:b w:val="0"/>
          <w:bCs w:val="0"/>
        </w:rPr>
      </w:r>
      <w:bookmarkStart w:name="16、应付职工薪酬" w:id="214"/>
      <w:bookmarkEnd w:id="214"/>
      <w:r>
        <w:rPr>
          <w:b w:val="0"/>
          <w:bCs w:val="0"/>
        </w:rPr>
      </w:r>
      <w:r>
        <w:rPr>
          <w:rFonts w:ascii="Times New Roman" w:hAnsi="Times New Roman" w:cs="Times New Roman" w:eastAsia="Times New Roman" w:hint="default"/>
        </w:rPr>
        <w:t>14</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4、应付账款" w:id="215"/>
      <w:bookmarkEnd w:id="215"/>
      <w:r>
        <w:rPr>
          <w:rFonts w:ascii="Times New Roman" w:hAnsi="Times New Roman" w:cs="Times New Roman" w:eastAsia="Times New Roman" w:hint="default"/>
        </w:rPr>
      </w:r>
      <w:bookmarkStart w:name="（1）应付账款情况" w:id="216"/>
      <w:bookmarkEnd w:id="216"/>
      <w:r>
        <w:rPr>
          <w:rFonts w:ascii="Times New Roman" w:hAnsi="Times New Roman" w:cs="Times New Roman" w:eastAsia="Times New Roman" w:hint="default"/>
        </w:rPr>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25,929,768.58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9,717,273.15</w:t>
            </w:r>
            <w:r>
              <w:rPr>
                <w:rFonts w:ascii="Times New Roman"/>
                <w:sz w:val="18"/>
              </w:rPr>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725,710.00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73,683.40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39,840.48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78,522.90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73,937.00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26,769,256.06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9,869,479.45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6"/>
        </w:rPr>
        <w:t> </w:t>
      </w:r>
      <w:r>
        <w:rPr>
          <w:rFonts w:ascii="Times New Roman" w:hAnsi="Times New Roman" w:cs="Times New Roman" w:eastAsia="Times New Roman" w:hint="default"/>
        </w:rPr>
        <w:t>5</w:t>
      </w:r>
      <w:bookmarkStart w:name="（2）本报告期应付账款中应付持有公司5％（含5％）以上表决权股份的股东单位款项" w:id="217"/>
      <w:bookmarkEnd w:id="217"/>
      <w:r>
        <w:rPr>
          <w:rFonts w:ascii="Times New Roman" w:hAnsi="Times New Roman" w:cs="Times New Roman" w:eastAsia="Times New Roman" w:hint="default"/>
        </w:rPr>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15、预收账款" w:id="218"/>
      <w:bookmarkEnd w:id="218"/>
      <w:r>
        <w:rPr/>
      </w:r>
      <w:bookmarkStart w:name="（1）预收账款情况" w:id="219"/>
      <w:bookmarkEnd w:id="21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4"/>
        <w:gridCol w:w="2791"/>
        <w:gridCol w:w="2921"/>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37,480,687.32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12,064,204.76</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4,986,958.70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1,958,515.78</w:t>
            </w:r>
            <w:r>
              <w:rPr>
                <w:rFonts w:ascii="Times New Roman"/>
                <w:sz w:val="18"/>
              </w:rPr>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79,882.30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242,475.00</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33,300.00</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42,608,828.32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14,298,495.54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4"/>
        <w:gridCol w:w="2791"/>
        <w:gridCol w:w="2921"/>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79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3"/>
        <w:gridCol w:w="1873"/>
        <w:gridCol w:w="1992"/>
        <w:gridCol w:w="2258"/>
        <w:gridCol w:w="1860"/>
      </w:tblGrid>
      <w:tr>
        <w:trPr>
          <w:trHeight w:val="401"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4,246,985.32</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65,408,896.35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62,822,046.55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6,833,835.12</w:t>
            </w:r>
            <w:r>
              <w:rPr>
                <w:rFonts w:ascii="Times New Roman"/>
                <w:sz w:val="18"/>
              </w:rPr>
            </w:r>
          </w:p>
        </w:tc>
      </w:tr>
      <w:tr>
        <w:trPr>
          <w:trHeight w:val="401"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3" w:type="dxa"/>
            <w:tcBorders>
              <w:top w:val="single" w:sz="4" w:space="0" w:color="000000"/>
              <w:left w:val="single" w:sz="10"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565,708.32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565,708.32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65,978.78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8,342,473.09</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8,202,252.67</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206,199.20</w:t>
            </w:r>
          </w:p>
        </w:tc>
      </w:tr>
      <w:tr>
        <w:trPr>
          <w:trHeight w:val="401"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104,275.00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2,528,727.71</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2,439,125.96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193,876.75</w:t>
            </w: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3" w:type="dxa"/>
            <w:tcBorders>
              <w:top w:val="single" w:sz="4" w:space="0" w:color="000000"/>
              <w:left w:val="single" w:sz="10"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459,335.00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459,335.00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09"/>
              <w:jc w:val="left"/>
              <w:rPr>
                <w:rFonts w:ascii="宋体" w:hAnsi="宋体" w:cs="宋体" w:eastAsia="宋体" w:hint="default"/>
                <w:sz w:val="18"/>
                <w:szCs w:val="18"/>
              </w:rPr>
            </w:pPr>
            <w:r>
              <w:rPr>
                <w:rFonts w:ascii="宋体" w:hAnsi="宋体" w:cs="宋体" w:eastAsia="宋体" w:hint="default"/>
                <w:sz w:val="18"/>
                <w:szCs w:val="18"/>
              </w:rPr>
              <w:t>工会和职工教育经 费</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459,335.00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459,335.00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4,417,239.10</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77,305,140.47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74,488,468.50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7,233,911.07</w:t>
            </w:r>
            <w:r>
              <w:rPr>
                <w:rFonts w:ascii="Times New Roman"/>
                <w:sz w:val="18"/>
              </w:rPr>
            </w:r>
          </w:p>
        </w:tc>
      </w:tr>
    </w:tbl>
    <w:p>
      <w:pPr>
        <w:pStyle w:val="BodyText"/>
        <w:spacing w:line="240" w:lineRule="auto" w:before="49"/>
        <w:ind w:right="0"/>
        <w:jc w:val="left"/>
      </w:pPr>
      <w:bookmarkStart w:name="18、其他应付款" w:id="220"/>
      <w:bookmarkEnd w:id="220"/>
      <w:r>
        <w:rPr/>
      </w:r>
      <w:bookmarkStart w:name="（1）其他应付款情况" w:id="221"/>
      <w:bookmarkEnd w:id="221"/>
      <w:r>
        <w:rPr/>
      </w:r>
      <w:r>
        <w:rPr/>
        <w:t>应付职工薪酬中属于拖欠性质的金额</w:t>
      </w:r>
      <w:r>
        <w:rPr>
          <w:spacing w:val="-46"/>
        </w:rPr>
        <w:t> </w:t>
      </w:r>
      <w:r>
        <w:rPr>
          <w:rFonts w:ascii="Times New Roman" w:hAnsi="Times New Roman" w:cs="Times New Roman" w:eastAsia="Times New Roman" w:hint="default"/>
        </w:rPr>
        <w:t>0.00 </w:t>
      </w:r>
      <w:r>
        <w:rPr/>
        <w:t>元。</w:t>
      </w:r>
    </w:p>
    <w:p>
      <w:pPr>
        <w:pStyle w:val="BodyText"/>
        <w:spacing w:line="340" w:lineRule="auto" w:before="101"/>
        <w:ind w:right="1233"/>
        <w:jc w:val="left"/>
      </w:pPr>
      <w:r>
        <w:rPr/>
        <w:t>工会经费和职工教育经费金额</w:t>
      </w:r>
      <w:r>
        <w:rPr>
          <w:spacing w:val="-47"/>
        </w:rPr>
        <w:t> </w:t>
      </w:r>
      <w:r>
        <w:rPr>
          <w:rFonts w:ascii="Times New Roman" w:hAnsi="Times New Roman" w:cs="Times New Roman" w:eastAsia="Times New Roman" w:hint="default"/>
        </w:rPr>
        <w:t>459,335.00</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w:t>
      </w:r>
    </w:p>
    <w:p>
      <w:pPr>
        <w:pStyle w:val="BodyText"/>
        <w:spacing w:line="240" w:lineRule="auto" w:before="41"/>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17、应交税费" w:id="222"/>
      <w:bookmarkEnd w:id="22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3"/>
        <w:gridCol w:w="2789"/>
        <w:gridCol w:w="2657"/>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-6,242,726.60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274,368.28</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2,501.41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-63,335.41</w:t>
            </w:r>
            <w:r>
              <w:rPr>
                <w:rFonts w:ascii="Times New Roman"/>
                <w:sz w:val="18"/>
              </w:rPr>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791,116.21</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1,392,242.27</w:t>
            </w:r>
            <w:r>
              <w:rPr>
                <w:rFonts w:ascii="Times New Roman"/>
                <w:sz w:val="18"/>
              </w:rPr>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151,867.43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17,575.60</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-439,436.92</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26,356.83</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-272,500.76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11,315.08</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-79,273.54</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4,090.89</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-30,654.96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12,426.59</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236,681.62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201,003.55</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-5,882,426.11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1,876,043.68</w:t>
            </w:r>
            <w:r>
              <w:rPr>
                <w:rFonts w:ascii="Times New Roman"/>
                <w:sz w:val="18"/>
              </w:rPr>
            </w:r>
          </w:p>
        </w:tc>
      </w:tr>
    </w:tbl>
    <w:p>
      <w:pPr>
        <w:pStyle w:val="BodyText"/>
        <w:spacing w:line="357" w:lineRule="auto" w:before="49"/>
        <w:ind w:right="1494"/>
        <w:jc w:val="left"/>
      </w:pPr>
      <w:r>
        <w:rPr/>
        <w:t>应交税费说明，所在地税务机关同意各分公司、分厂之间应纳税所得额相互调剂的，应说明税款计算过程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1"/>
        <w:gridCol w:w="3058"/>
        <w:gridCol w:w="2789"/>
      </w:tblGrid>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9,430,345.71</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4,659,192.74</w:t>
            </w:r>
            <w:r>
              <w:rPr>
                <w:rFonts w:ascii="Times New Roman"/>
                <w:sz w:val="18"/>
              </w:rPr>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357,998.20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622,057.00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104,329.56</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9,788,343.91</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5,385,579.30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0、其他非流动负债" w:id="223"/>
      <w:bookmarkEnd w:id="223"/>
      <w:r>
        <w:rPr>
          <w:b w:val="0"/>
          <w:bCs w:val="0"/>
        </w:rPr>
      </w:r>
      <w:r>
        <w:rPr/>
        <w:t>（</w:t>
      </w:r>
      <w:r>
        <w:rPr>
          <w:rFonts w:ascii="Times New Roman" w:hAnsi="Times New Roman" w:cs="Times New Roman" w:eastAsia="Times New Roman" w:hint="default"/>
        </w:rPr>
        <w:t>2</w:t>
      </w:r>
      <w:r>
        <w:rPr/>
        <w:t>）本报告期其他</w:t>
      </w:r>
      <w:bookmarkStart w:name="（2）本报告期其他应付款中应付持有公司5％（含5％）以上表决权股份的股东单位款项" w:id="224"/>
      <w:bookmarkEnd w:id="224"/>
      <w:r>
        <w:rPr/>
        <w:t>应付</w:t>
      </w:r>
      <w:r>
        <w:rPr/>
        <w:t>款中应付持有公司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w:t>
      </w:r>
      <w:bookmarkStart w:name="（3）账龄超过一年的大额其他应付款情况的说明" w:id="225"/>
      <w:bookmarkEnd w:id="225"/>
      <w:r>
        <w:rPr/>
        <w:t>其他应付款情况的</w:t>
      </w:r>
      <w:r>
        <w:rPr/>
        <w:t>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日止，余额中无账龄超过</w:t>
      </w:r>
      <w:r>
        <w:rPr>
          <w:rFonts w:ascii="Times New Roman" w:hAnsi="Times New Roman" w:cs="Times New Roman" w:eastAsia="Times New Roman" w:hint="default"/>
        </w:rPr>
        <w:t>1</w:t>
      </w:r>
      <w:r>
        <w:rPr/>
        <w:t>年的大额其他应付款。</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金额较大的其他应付款说明内容" w:id="226"/>
      <w:bookmarkEnd w:id="226"/>
      <w:r>
        <w:rPr/>
      </w:r>
      <w:bookmarkStart w:name="19、预计负债" w:id="227"/>
      <w:bookmarkEnd w:id="22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2"/>
        <w:gridCol w:w="1860"/>
        <w:gridCol w:w="1860"/>
        <w:gridCol w:w="1994"/>
      </w:tblGrid>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1,839,422.00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607,648.82</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2,447,070.82</w:t>
            </w:r>
            <w:r>
              <w:rPr>
                <w:rFonts w:ascii="Times New Roman"/>
                <w:sz w:val="18"/>
              </w:rPr>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1,839,422.00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607,648.82</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2,447,070.82</w:t>
            </w:r>
            <w:r>
              <w:rPr>
                <w:rFonts w:ascii="Times New Roman"/>
                <w:sz w:val="18"/>
              </w:rPr>
            </w:r>
          </w:p>
        </w:tc>
      </w:tr>
    </w:tbl>
    <w:p>
      <w:pPr>
        <w:pStyle w:val="BodyText"/>
        <w:spacing w:line="360" w:lineRule="auto" w:before="49"/>
        <w:ind w:right="8694"/>
        <w:jc w:val="left"/>
      </w:pPr>
      <w:r>
        <w:rPr/>
        <w:t>预计负债说明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20</w:t>
      </w:r>
      <w:r>
        <w:rPr/>
        <w:t>、其他非流动负债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2"/>
        <w:gridCol w:w="2789"/>
        <w:gridCol w:w="3058"/>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递延收益－电子发展基金项目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6,500,000.00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递延收益－上海市科委课题研究经费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840,500.00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137,500.00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7,340,500.00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137,500.00</w:t>
            </w:r>
          </w:p>
        </w:tc>
      </w:tr>
    </w:tbl>
    <w:p>
      <w:pPr>
        <w:pStyle w:val="BodyText"/>
        <w:spacing w:line="360" w:lineRule="auto" w:before="49"/>
        <w:ind w:right="2034"/>
        <w:jc w:val="left"/>
      </w:pPr>
      <w:r>
        <w:rPr/>
        <w:t>其他非流动负债说明，包括本报告期取得的各类与资产相关、与收益相关的政府补助及其期末金额 无</w:t>
      </w:r>
    </w:p>
    <w:p>
      <w:pPr>
        <w:spacing w:after="0" w:line="36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4、未分配利润" w:id="228"/>
      <w:bookmarkEnd w:id="228"/>
      <w:r>
        <w:rPr>
          <w:b w:val="0"/>
          <w:bCs w:val="0"/>
        </w:rPr>
      </w:r>
      <w:r>
        <w:rPr>
          <w:rFonts w:ascii="Times New Roman" w:hAnsi="Times New Roman" w:cs="Times New Roman" w:eastAsia="Times New Roman" w:hint="default"/>
        </w:rPr>
        <w:t>21</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1、股本" w:id="229"/>
      <w:bookmarkEnd w:id="229"/>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210"/>
        <w:gridCol w:w="1183"/>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6"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2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6"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210" w:type="dxa"/>
            <w:vMerge/>
            <w:tcBorders>
              <w:left w:val="single" w:sz="4" w:space="0" w:color="000000"/>
              <w:bottom w:val="nil" w:sz="6" w:space="0" w:color="auto"/>
              <w:right w:val="single" w:sz="4" w:space="0" w:color="000000"/>
            </w:tcBorders>
            <w:shd w:val="clear" w:color="auto" w:fill="D4D4D4"/>
          </w:tcPr>
          <w:p>
            <w:pPr/>
          </w:p>
        </w:tc>
        <w:tc>
          <w:tcPr>
            <w:tcW w:w="11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53,500,000.00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53,500,000.00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53,500,000.00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107,000,000.00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5"/>
        </w:rPr>
        <w:t> </w:t>
      </w:r>
      <w:r>
        <w:rPr>
          <w:rFonts w:ascii="Times New Roman" w:hAnsi="Times New Roman" w:cs="Times New Roman" w:eastAsia="Times New Roman" w:hint="default"/>
        </w:rPr>
        <w:t>3</w:t>
      </w:r>
    </w:p>
    <w:p>
      <w:pPr>
        <w:pStyle w:val="BodyText"/>
        <w:spacing w:line="357" w:lineRule="auto" w:before="62"/>
        <w:ind w:left="512" w:right="0" w:hanging="360"/>
        <w:jc w:val="left"/>
      </w:pPr>
      <w:r>
        <w:rPr/>
        <w:t>年的股份有限公司，设立前的年份只需说明净资产情况；有限责任公司整体变更为股份公司应说明公司设立时的验资情况 </w:t>
      </w:r>
      <w:r>
        <w:rPr>
          <w:spacing w:val="-1"/>
        </w:rPr>
        <w:t>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日召开的</w:t>
      </w:r>
      <w:r>
        <w:rPr>
          <w:rFonts w:ascii="Times New Roman" w:hAnsi="Times New Roman" w:cs="Times New Roman" w:eastAsia="Times New Roman" w:hint="default"/>
          <w:spacing w:val="-1"/>
        </w:rPr>
        <w:t>2011</w:t>
      </w:r>
      <w:r>
        <w:rPr>
          <w:spacing w:val="-1"/>
        </w:rPr>
        <w:t>年度股东大会决议和修改后的公司章程规定，公司申请增加股本</w:t>
      </w:r>
      <w:r>
        <w:rPr>
          <w:rFonts w:ascii="Times New Roman" w:hAnsi="Times New Roman" w:cs="Times New Roman" w:eastAsia="Times New Roman" w:hint="default"/>
          <w:spacing w:val="-1"/>
        </w:rPr>
        <w:t>5,350</w:t>
      </w:r>
      <w:r>
        <w:rPr>
          <w:spacing w:val="-1"/>
        </w:rPr>
        <w:t>万元，由资本公积</w:t>
      </w:r>
    </w:p>
    <w:p>
      <w:pPr>
        <w:pStyle w:val="BodyText"/>
        <w:spacing w:line="214" w:lineRule="exact"/>
        <w:ind w:right="0"/>
        <w:jc w:val="left"/>
      </w:pPr>
      <w:r>
        <w:rPr/>
        <w:t>转增股本，变更后总股本为</w:t>
      </w:r>
      <w:r>
        <w:rPr>
          <w:rFonts w:ascii="Times New Roman" w:hAnsi="Times New Roman" w:cs="Times New Roman" w:eastAsia="Times New Roman" w:hint="default"/>
        </w:rPr>
        <w:t>10,700</w:t>
      </w:r>
      <w:r>
        <w:rPr/>
        <w:t>万元。上述股本业经中磊会计师事务所有限责任公司（</w:t>
      </w:r>
      <w:r>
        <w:rPr>
          <w:rFonts w:ascii="Times New Roman" w:hAnsi="Times New Roman" w:cs="Times New Roman" w:eastAsia="Times New Roman" w:hint="default"/>
        </w:rPr>
        <w:t>2012</w:t>
      </w:r>
      <w:r>
        <w:rPr/>
        <w:t>）中磊（验</w:t>
      </w:r>
      <w:r>
        <w:rPr>
          <w:rFonts w:ascii="Times New Roman" w:hAnsi="Times New Roman" w:cs="Times New Roman" w:eastAsia="Times New Roman" w:hint="default"/>
        </w:rPr>
        <w:t>A</w:t>
      </w:r>
      <w:r>
        <w:rPr/>
        <w:t>）字第</w:t>
      </w:r>
      <w:r>
        <w:rPr>
          <w:rFonts w:ascii="Times New Roman" w:hAnsi="Times New Roman" w:cs="Times New Roman" w:eastAsia="Times New Roman" w:hint="default"/>
        </w:rPr>
        <w:t>0012</w:t>
      </w:r>
      <w:r>
        <w:rPr/>
        <w:t>号验</w:t>
      </w:r>
    </w:p>
    <w:p>
      <w:pPr>
        <w:pStyle w:val="BodyText"/>
        <w:spacing w:line="240" w:lineRule="auto" w:before="62"/>
        <w:ind w:right="0"/>
        <w:jc w:val="left"/>
      </w:pPr>
      <w:r>
        <w:rPr/>
        <w:t>资报告验证。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22</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bookmarkStart w:name="22、资本公积" w:id="230"/>
      <w:bookmarkEnd w:id="230"/>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2"/>
        <w:gridCol w:w="1728"/>
        <w:gridCol w:w="1594"/>
      </w:tblGrid>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708" w:right="0"/>
              <w:jc w:val="left"/>
              <w:rPr>
                <w:rFonts w:ascii="Times New Roman" w:hAnsi="Times New Roman" w:cs="Times New Roman" w:eastAsia="Times New Roman" w:hint="default"/>
                <w:sz w:val="18"/>
                <w:szCs w:val="18"/>
              </w:rPr>
            </w:pPr>
            <w:r>
              <w:rPr>
                <w:rFonts w:ascii="Times New Roman"/>
                <w:sz w:val="18"/>
              </w:rPr>
              <w:t>338,392,309.64</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284,892,309.64</w:t>
            </w:r>
            <w:r>
              <w:rPr>
                <w:rFonts w:ascii="Times New Roman"/>
                <w:sz w:val="18"/>
              </w:rPr>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2" w:type="dxa"/>
            <w:tcBorders>
              <w:top w:val="single" w:sz="4" w:space="0" w:color="000000"/>
              <w:left w:val="single" w:sz="10"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3,252,895.71</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3,252,895.71</w:t>
            </w:r>
            <w:r>
              <w:rPr>
                <w:rFonts w:ascii="Times New Roman"/>
                <w:sz w:val="18"/>
              </w:rPr>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708" w:right="0"/>
              <w:jc w:val="left"/>
              <w:rPr>
                <w:rFonts w:ascii="Times New Roman" w:hAnsi="Times New Roman" w:cs="Times New Roman" w:eastAsia="Times New Roman" w:hint="default"/>
                <w:sz w:val="18"/>
                <w:szCs w:val="18"/>
              </w:rPr>
            </w:pPr>
            <w:r>
              <w:rPr>
                <w:rFonts w:ascii="Times New Roman"/>
                <w:sz w:val="18"/>
              </w:rPr>
              <w:t>338,392,309.64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3,252,895.71</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288,145,205.35</w:t>
            </w:r>
            <w:r>
              <w:rPr>
                <w:rFonts w:ascii="Times New Roman"/>
                <w:sz w:val="18"/>
              </w:rPr>
            </w:r>
          </w:p>
        </w:tc>
      </w:tr>
    </w:tbl>
    <w:p>
      <w:pPr>
        <w:pStyle w:val="BodyText"/>
        <w:spacing w:line="240" w:lineRule="auto" w:before="49"/>
        <w:ind w:right="0"/>
        <w:jc w:val="left"/>
      </w:pPr>
      <w:r>
        <w:rPr/>
        <w:t>资本公积说明</w:t>
      </w:r>
    </w:p>
    <w:p>
      <w:pPr>
        <w:pStyle w:val="BodyText"/>
        <w:spacing w:line="300" w:lineRule="auto" w:before="115"/>
        <w:ind w:left="512" w:right="3384"/>
        <w:jc w:val="left"/>
      </w:pPr>
      <w:r>
        <w:rPr/>
        <w:t>注</w:t>
      </w:r>
      <w:r>
        <w:rPr>
          <w:rFonts w:ascii="Times New Roman" w:hAnsi="Times New Roman" w:cs="Times New Roman" w:eastAsia="Times New Roman" w:hint="default"/>
        </w:rPr>
        <w:t>1</w:t>
      </w:r>
      <w:r>
        <w:rPr/>
        <w:t>：资本公积本年减少额为资本公积转增股本。 注</w:t>
      </w:r>
      <w:r>
        <w:rPr>
          <w:rFonts w:ascii="Times New Roman" w:hAnsi="Times New Roman" w:cs="Times New Roman" w:eastAsia="Times New Roman" w:hint="default"/>
        </w:rPr>
        <w:t>2</w:t>
      </w:r>
      <w:r>
        <w:rPr/>
        <w:t>：资本公积本年增加额为公司股票期权计划的各期分摊的股权激励成本。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r>
        <w:rPr>
          <w:rFonts w:ascii="Times New Roman" w:hAnsi="Times New Roman" w:cs="Times New Roman" w:eastAsia="Times New Roman" w:hint="default"/>
        </w:rPr>
        <w:t>23</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3、盈余公积" w:id="231"/>
      <w:bookmarkEnd w:id="23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2"/>
        <w:gridCol w:w="1728"/>
        <w:gridCol w:w="1594"/>
      </w:tblGrid>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10,858,559.35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5,306,773.29</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16,165,332.64</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10,858,559.35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5,306,773.29</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16,165,332.64</w:t>
            </w:r>
          </w:p>
        </w:tc>
      </w:tr>
    </w:tbl>
    <w:p>
      <w:pPr>
        <w:pStyle w:val="BodyText"/>
        <w:spacing w:line="357" w:lineRule="auto" w:before="49"/>
        <w:ind w:left="512" w:right="0" w:hanging="360"/>
        <w:jc w:val="left"/>
      </w:pPr>
      <w:r>
        <w:rPr/>
        <w:t>盈余公积说明，用盈余公积转增股本、弥补亏损、分派股利的，应说明有关决议 </w:t>
      </w:r>
      <w:r>
        <w:rPr>
          <w:spacing w:val="-1"/>
        </w:rPr>
        <w:t>根据公司章程规定，法定盈余公积金按净利润之</w:t>
      </w:r>
      <w:r>
        <w:rPr>
          <w:rFonts w:ascii="Times New Roman" w:hAnsi="Times New Roman" w:cs="Times New Roman" w:eastAsia="Times New Roman" w:hint="default"/>
          <w:spacing w:val="-1"/>
        </w:rPr>
        <w:t>10%</w:t>
      </w:r>
      <w:r>
        <w:rPr>
          <w:spacing w:val="-1"/>
        </w:rPr>
        <w:t>提取。公司法定盈余公积金累计额为公司注册资本</w:t>
      </w:r>
      <w:r>
        <w:rPr>
          <w:rFonts w:ascii="Times New Roman" w:hAnsi="Times New Roman" w:cs="Times New Roman" w:eastAsia="Times New Roman" w:hint="default"/>
          <w:spacing w:val="-1"/>
        </w:rPr>
        <w:t>50%</w:t>
      </w:r>
      <w:r>
        <w:rPr>
          <w:spacing w:val="-1"/>
        </w:rPr>
        <w:t>以上的，可</w:t>
      </w:r>
    </w:p>
    <w:p>
      <w:pPr>
        <w:pStyle w:val="BodyText"/>
        <w:spacing w:line="201" w:lineRule="exact"/>
        <w:ind w:right="0"/>
        <w:jc w:val="left"/>
      </w:pPr>
      <w:r>
        <w:rPr/>
        <w:t>不再提取。</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24</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5"/>
        <w:gridCol w:w="3752"/>
        <w:gridCol w:w="2098"/>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62"/>
              <w:jc w:val="right"/>
              <w:rPr>
                <w:rFonts w:ascii="宋体" w:hAnsi="宋体" w:cs="宋体" w:eastAsia="宋体" w:hint="default"/>
                <w:sz w:val="18"/>
                <w:szCs w:val="18"/>
              </w:rPr>
            </w:pPr>
            <w:r>
              <w:rPr>
                <w:rFonts w:ascii="宋体" w:hAnsi="宋体" w:cs="宋体" w:eastAsia="宋体" w:hint="default"/>
                <w:sz w:val="18"/>
                <w:szCs w:val="18"/>
              </w:rPr>
              <w:t>项目</w:t>
            </w:r>
          </w:p>
        </w:tc>
        <w:tc>
          <w:tcPr>
            <w:tcW w:w="3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91"/>
              <w:jc w:val="righ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2"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75,329,908.65</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6"/>
        <w:gridCol w:w="3730"/>
        <w:gridCol w:w="2122"/>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75,329,908.65</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52,849,948.41</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5,306,773.29</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5,350,000.00</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117,523,083.77</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bookmarkStart w:name="（3）主营业务（分产品）" w:id="232"/>
      <w:bookmarkEnd w:id="232"/>
      <w:r>
        <w:rPr/>
      </w:r>
      <w:r>
        <w:rPr/>
        <w:t>调整年初未分配利润明细：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4" w:lineRule="auto" w:before="103"/>
        <w:ind w:right="0"/>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25、营业收入、营业成本" w:id="233"/>
      <w:bookmarkEnd w:id="233"/>
      <w:r>
        <w:rPr/>
      </w:r>
      <w:bookmarkStart w:name="（1）营业收入、营业成本" w:id="234"/>
      <w:bookmarkEnd w:id="23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9"/>
        <w:gridCol w:w="3068"/>
        <w:gridCol w:w="3190"/>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265,771,223.38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169,919,002.90</w:t>
            </w:r>
            <w:r>
              <w:rPr>
                <w:rFonts w:ascii="Times New Roman"/>
                <w:sz w:val="18"/>
              </w:rPr>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120,823,323.64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67,890,246.83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主营业务（分行业）" w:id="235"/>
      <w:bookmarkEnd w:id="23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医疗卫生信息化行业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265,771,223.38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120,823,323.64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169,919,002.90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67,890,246.83</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265,771,223.38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120,823,323.64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169,919,002.90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67,890,246.83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2"/>
        <w:gridCol w:w="1726"/>
        <w:gridCol w:w="1726"/>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136,658,939.10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42,879,289.29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91,004,944.04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24,584,918.82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71,153,842.19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54,413,563.45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45,263,264.62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35,450,753.32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57,958,442.09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23,530,470.90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33,650,794.24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7,854,574.69</w:t>
            </w:r>
            <w:r>
              <w:rPr>
                <w:rFonts w:ascii="Times New Roman"/>
                <w:sz w:val="18"/>
              </w:rPr>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265,771,223.38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120,823,323.64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169,919,002.90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67,890,246.83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6、营业税金及附加" w:id="236"/>
      <w:bookmarkEnd w:id="236"/>
      <w:r>
        <w:rPr>
          <w:b w:val="0"/>
          <w:bCs w:val="0"/>
        </w:rPr>
      </w:r>
      <w:r>
        <w:rPr/>
        <w:t>（</w:t>
      </w:r>
      <w:r>
        <w:rPr>
          <w:rFonts w:ascii="Times New Roman" w:hAnsi="Times New Roman" w:cs="Times New Roman" w:eastAsia="Times New Roman" w:hint="default"/>
        </w:rPr>
        <w:t>4</w:t>
      </w:r>
      <w:bookmarkStart w:name="（4）主营业务（分地区）" w:id="237"/>
      <w:bookmarkEnd w:id="237"/>
      <w:r>
        <w:rPr>
          <w:rFonts w:ascii="Times New Roman" w:hAnsi="Times New Roman" w:cs="Times New Roman" w:eastAsia="Times New Roman" w:hint="default"/>
        </w:rPr>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123,833,940.28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59,156,740.03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76,412,969.53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26,765,601.61</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24,540,822.22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9,745,920.35</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13,448,543.75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6,887,840.42</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16,818,998.67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8,156,721.31</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22,705,121.43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14,316,966.54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22,647,304.22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13,968,282.69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13,552,333.36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4,389,364.68</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7,894,457.39</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3,084,563.76</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8,882,296.87</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3,427,989.39</w:t>
            </w:r>
            <w:r>
              <w:rPr>
                <w:rFonts w:ascii="Times New Roman"/>
                <w:sz w:val="18"/>
              </w:rPr>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31,870,888.28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11,222,002.04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16,966,759.91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6,495,177.86</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38,164,812.32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15,489,093.46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17,950,978.05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5,607,306.33</w:t>
            </w:r>
            <w:r>
              <w:rPr>
                <w:rFonts w:ascii="Times New Roman"/>
                <w:sz w:val="18"/>
              </w:rPr>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265,771,223.38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120,823,323.64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169,919,002.90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67,890,246.83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公司前五名客户的营业收入情况" w:id="238"/>
      <w:bookmarkEnd w:id="23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4"/>
        <w:gridCol w:w="2849"/>
        <w:gridCol w:w="4126"/>
      </w:tblGrid>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17,389,339.61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6.54%</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15,972,687.10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6.01%</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11,837,606.85</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4.45%</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9,865,384.61</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3.71%</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5,894,188.03</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60,959,206.20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22.93%</w:t>
            </w:r>
          </w:p>
        </w:tc>
      </w:tr>
    </w:tbl>
    <w:p>
      <w:pPr>
        <w:pStyle w:val="BodyText"/>
        <w:spacing w:line="357" w:lineRule="auto" w:before="49"/>
        <w:ind w:right="8514"/>
        <w:jc w:val="left"/>
      </w:pPr>
      <w:r>
        <w:rPr/>
        <w:t>营业收入的说明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26</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1"/>
        <w:gridCol w:w="2003"/>
        <w:gridCol w:w="1862"/>
        <w:gridCol w:w="2921"/>
      </w:tblGrid>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377,758.84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1,345,935.92</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1,849,361.48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1,206,445.70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应缴纳流转税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4"/>
        <w:gridCol w:w="1992"/>
        <w:gridCol w:w="1862"/>
        <w:gridCol w:w="2921"/>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1,320,255.96</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861,746.93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应缴纳流转税</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233,172.26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171,448.36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应缴纳流转税</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3,780,548.54</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3,585,576.91</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7974"/>
        <w:jc w:val="left"/>
      </w:pPr>
      <w:bookmarkStart w:name="29、财务费用" w:id="239"/>
      <w:bookmarkEnd w:id="239"/>
      <w:r>
        <w:rPr/>
      </w:r>
      <w:r>
        <w:rPr/>
        <w:t>营业税金及附加的说明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7、销售费用" w:id="240"/>
      <w:bookmarkEnd w:id="240"/>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13,194,596.68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6,459,729.21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17,365,147.06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8,663,854.65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14,574,925.76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8,349,617.94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11,443,185.50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6,261,967.53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3,046,284.01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1,451,993.76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607,648.82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1,236,847.07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25,046.90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60,264,758.83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32,449,057.06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8、管理费用" w:id="241"/>
      <w:bookmarkEnd w:id="24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9,626,999.87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4,984,795.79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4,482,663.14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6,006,555.53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3,620,380.88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972,374.15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27,114,904.52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19,008,869.05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3,022,392.79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1,712,868.99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226,948.03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105,264.28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469,775.56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306,030.00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48,564,064.79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33,096,757.79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-8,748,965.60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-4,013,820.48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130,879.50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100,752.63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-8,618,086.10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-3,913,067.85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2、营业外收入" w:id="242"/>
      <w:bookmarkEnd w:id="242"/>
      <w:r>
        <w:rPr>
          <w:b w:val="0"/>
          <w:bCs w:val="0"/>
        </w:rPr>
      </w:r>
      <w:bookmarkStart w:name="（1）营业外收入情况" w:id="243"/>
      <w:bookmarkEnd w:id="243"/>
      <w:r>
        <w:rPr>
          <w:b w:val="0"/>
          <w:bCs w:val="0"/>
        </w:rPr>
      </w:r>
      <w:r>
        <w:rPr>
          <w:rFonts w:ascii="Times New Roman" w:hAnsi="Times New Roman" w:cs="Times New Roman" w:eastAsia="Times New Roman" w:hint="default"/>
        </w:rPr>
        <w:t>30</w:t>
      </w:r>
      <w:bookmarkStart w:name="30、投资收益" w:id="244"/>
      <w:bookmarkEnd w:id="244"/>
      <w:r>
        <w:rPr>
          <w:rFonts w:ascii="Times New Roman" w:hAnsi="Times New Roman" w:cs="Times New Roman" w:eastAsia="Times New Roman" w:hint="default"/>
        </w:rPr>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bookmarkStart w:name="（1）投资收益明细情况" w:id="245"/>
      <w:bookmarkEnd w:id="245"/>
      <w:r>
        <w:rPr/>
        <w:t>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1"/>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4D4D4"/>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38,356.16</w:t>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4D4D4"/>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38,356.16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按成本法核算的长期股权投资收益" w:id="246"/>
      <w:bookmarkEnd w:id="246"/>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21"/>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按权益法核算的长期股权投资收益" w:id="247"/>
      <w:bookmarkEnd w:id="24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21"/>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1674"/>
        <w:jc w:val="left"/>
      </w:pPr>
      <w:r>
        <w:rPr/>
        <w:t>投资收益的说明，若投资收益汇回有重大限制的，应予以说明。若不存在此类重大限制，也应做出说明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31</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1、资产减值损失" w:id="248"/>
      <w:bookmarkEnd w:id="24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4,958,337.62</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3,456,650.19</w:t>
            </w:r>
            <w:r>
              <w:rPr>
                <w:rFonts w:ascii="Times New Roman"/>
                <w:sz w:val="18"/>
              </w:rPr>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4,958,337.62</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3,456,650.19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2"/>
        <w:gridCol w:w="1956"/>
        <w:gridCol w:w="2160"/>
        <w:gridCol w:w="2160"/>
      </w:tblGrid>
      <w:tr>
        <w:trPr>
          <w:trHeight w:val="715" w:hRule="exact"/>
        </w:trPr>
        <w:tc>
          <w:tcPr>
            <w:tcW w:w="3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95" w:right="83"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bl>
    <w:p>
      <w:pPr>
        <w:spacing w:after="0" w:line="316" w:lineRule="auto"/>
        <w:jc w:val="left"/>
        <w:rPr>
          <w:rFonts w:ascii="宋体" w:hAnsi="宋体" w:cs="宋体" w:eastAsia="宋体" w:hint="default"/>
          <w:sz w:val="18"/>
          <w:szCs w:val="18"/>
        </w:rPr>
        <w:sectPr>
          <w:footerReference w:type="default" r:id="rId19"/>
          <w:pgSz w:w="11910" w:h="16840"/>
          <w:pgMar w:footer="982" w:header="745" w:top="1060" w:bottom="1180" w:left="980" w:right="98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3"/>
        <w:gridCol w:w="1956"/>
        <w:gridCol w:w="2160"/>
        <w:gridCol w:w="2160"/>
      </w:tblGrid>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71,287.80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71,287.80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21,715,308.97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15,354,133.98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2,453,073.30</w:t>
            </w:r>
            <w:r>
              <w:rPr>
                <w:rFonts w:ascii="Times New Roman"/>
                <w:sz w:val="18"/>
              </w:rPr>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45,555.85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241,580.45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45,555.85</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21,760,864.82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15,667,002.23</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2,498,629.15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3、营业外支出" w:id="249"/>
      <w:bookmarkEnd w:id="249"/>
      <w:r>
        <w:rPr>
          <w:b w:val="0"/>
          <w:bCs w:val="0"/>
        </w:rPr>
      </w: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政府补助明细" w:id="250"/>
      <w:bookmarkEnd w:id="25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59"/>
        <w:gridCol w:w="1994"/>
        <w:gridCol w:w="1994"/>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19,262,235.67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11,838,161.98</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电子发展基金项目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上海市科委课题研究</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1,137,000.00</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三林世博功能区域管理委员会经 济发展专项资金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803,438.00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上海市科技小巨人培育企业资助 经费</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433,334.00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浦东新区职工职业培训财政补贴 拨款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282,196.00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区、街道财政资助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28,277.30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116,700.00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21,715,308.97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15,354,133.98</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营业外收入说明</w:t>
      </w:r>
    </w:p>
    <w:p>
      <w:pPr>
        <w:pStyle w:val="BodyText"/>
        <w:spacing w:line="240" w:lineRule="auto" w:before="115"/>
        <w:ind w:left="0" w:right="151"/>
        <w:jc w:val="right"/>
        <w:rPr>
          <w:rFonts w:ascii="Times New Roman" w:hAnsi="Times New Roman" w:cs="Times New Roman" w:eastAsia="Times New Roman" w:hint="default"/>
        </w:rPr>
      </w:pPr>
      <w:r>
        <w:rPr>
          <w:spacing w:val="-25"/>
        </w:rPr>
        <w:t>注</w:t>
      </w:r>
      <w:r>
        <w:rPr>
          <w:rFonts w:ascii="Times New Roman" w:hAnsi="Times New Roman" w:cs="Times New Roman" w:eastAsia="Times New Roman" w:hint="default"/>
          <w:spacing w:val="-25"/>
        </w:rPr>
        <w:t>1</w:t>
      </w:r>
      <w:r>
        <w:rPr>
          <w:spacing w:val="-25"/>
        </w:rPr>
        <w:t>：截至</w:t>
      </w:r>
      <w:r>
        <w:rPr>
          <w:spacing w:val="18"/>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w:t>
      </w:r>
      <w:r>
        <w:rPr>
          <w:rFonts w:ascii="Times New Roman" w:hAnsi="Times New Roman" w:cs="Times New Roman" w:eastAsia="Times New Roman" w:hint="default"/>
          <w:spacing w:val="-2"/>
        </w:rPr>
        <w:t>2012</w:t>
      </w:r>
      <w:r>
        <w:rPr>
          <w:spacing w:val="-2"/>
        </w:rPr>
        <w:t>年度已获得主管税务机关批准的软件产品增值税即征即退税额为</w:t>
      </w:r>
      <w:r>
        <w:rPr>
          <w:rFonts w:ascii="Times New Roman" w:hAnsi="Times New Roman" w:cs="Times New Roman" w:eastAsia="Times New Roman" w:hint="default"/>
          <w:spacing w:val="-2"/>
        </w:rPr>
        <w:t>19,262,235.67</w:t>
      </w:r>
    </w:p>
    <w:p>
      <w:pPr>
        <w:pStyle w:val="BodyText"/>
        <w:spacing w:line="300" w:lineRule="auto" w:before="62"/>
        <w:ind w:left="512" w:right="3204" w:hanging="361"/>
        <w:jc w:val="left"/>
      </w:pPr>
      <w:r>
        <w:rPr/>
        <w:t>元，其中</w:t>
      </w:r>
      <w:r>
        <w:rPr>
          <w:rFonts w:ascii="Times New Roman" w:hAnsi="Times New Roman" w:cs="Times New Roman" w:eastAsia="Times New Roman" w:hint="default"/>
        </w:rPr>
        <w:t>2012</w:t>
      </w:r>
      <w:r>
        <w:rPr/>
        <w:t>年度实际收到</w:t>
      </w:r>
      <w:r>
        <w:rPr>
          <w:rFonts w:ascii="Times New Roman" w:hAnsi="Times New Roman" w:cs="Times New Roman" w:eastAsia="Times New Roman" w:hint="default"/>
        </w:rPr>
        <w:t>7,173,260.73</w:t>
      </w:r>
      <w:r>
        <w:rPr/>
        <w:t>元，其余</w:t>
      </w:r>
      <w:r>
        <w:rPr>
          <w:rFonts w:ascii="Times New Roman" w:hAnsi="Times New Roman" w:cs="Times New Roman" w:eastAsia="Times New Roman" w:hint="default"/>
        </w:rPr>
        <w:t>12,088,974.94</w:t>
      </w:r>
      <w:r>
        <w:rPr/>
        <w:t>元在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月收到。 注</w:t>
      </w:r>
      <w:r>
        <w:rPr>
          <w:rFonts w:ascii="Times New Roman" w:hAnsi="Times New Roman" w:cs="Times New Roman" w:eastAsia="Times New Roman" w:hint="default"/>
        </w:rPr>
        <w:t>2</w:t>
      </w:r>
      <w:r>
        <w:rPr/>
        <w:t>：以上政府补助除软件产品增值税即征即退税额外，均计入非经常性损益。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r>
        <w:rPr>
          <w:rFonts w:ascii="Times New Roman" w:hAnsi="Times New Roman" w:cs="Times New Roman" w:eastAsia="Times New Roman" w:hint="default"/>
        </w:rPr>
        <w:t>33</w:t>
      </w:r>
      <w:r>
        <w:rPr/>
        <w:t>、营业外支出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7"/>
        <w:gridCol w:w="2032"/>
        <w:gridCol w:w="1915"/>
        <w:gridCol w:w="1913"/>
      </w:tblGrid>
      <w:tr>
        <w:trPr>
          <w:trHeight w:val="161" w:hRule="exact"/>
        </w:trPr>
        <w:tc>
          <w:tcPr>
            <w:tcW w:w="3697" w:type="dxa"/>
            <w:tcBorders>
              <w:top w:val="single" w:sz="4" w:space="0" w:color="000000"/>
              <w:left w:val="single" w:sz="4" w:space="0" w:color="000000"/>
              <w:bottom w:val="nil" w:sz="6" w:space="0" w:color="auto"/>
              <w:right w:val="single" w:sz="4" w:space="0" w:color="000000"/>
            </w:tcBorders>
            <w:shd w:val="clear" w:color="auto" w:fill="D4D4D4"/>
          </w:tcPr>
          <w:p>
            <w:pPr/>
          </w:p>
        </w:tc>
        <w:tc>
          <w:tcPr>
            <w:tcW w:w="203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81"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6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4D4D4"/>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4D4D4"/>
          </w:tcPr>
          <w:p>
            <w:pPr/>
          </w:p>
        </w:tc>
        <w:tc>
          <w:tcPr>
            <w:tcW w:w="203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5,310.37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5,310.37</w:t>
            </w: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5,310.37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5,310.37</w:t>
            </w:r>
          </w:p>
        </w:tc>
      </w:tr>
      <w:tr>
        <w:trPr>
          <w:trHeight w:val="401"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15,310.37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15,310.37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8514"/>
        <w:jc w:val="left"/>
      </w:pPr>
      <w:r>
        <w:rPr/>
        <w:t>营业外支出说明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34</w:t>
      </w:r>
      <w:bookmarkStart w:name="34、所得税费用" w:id="251"/>
      <w:bookmarkEnd w:id="251"/>
      <w:r>
        <w:rPr>
          <w:rFonts w:ascii="Times New Roman" w:hAnsi="Times New Roman" w:cs="Times New Roman" w:eastAsia="Times New Roman" w:hint="default"/>
        </w:rPr>
      </w:r>
      <w:r>
        <w:rPr/>
        <w:t>、所得税费用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2"/>
        <w:gridCol w:w="2534"/>
        <w:gridCol w:w="2390"/>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8,489,210.79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6,361,736.00</w:t>
            </w:r>
            <w:r>
              <w:rPr>
                <w:rFonts w:ascii="Times New Roman"/>
                <w:sz w:val="18"/>
              </w:rPr>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-3,218,552.45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-1,605,487.50</w:t>
            </w:r>
            <w:r>
              <w:rPr>
                <w:rFonts w:ascii="Times New Roman"/>
                <w:sz w:val="18"/>
              </w:rPr>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5,270,658.34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4,756,248.50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、基本每股收益和稀释</w:t>
      </w:r>
      <w:bookmarkStart w:name="35、基本每股收益和稀释每股收益的计算过程" w:id="252"/>
      <w:bookmarkEnd w:id="252"/>
      <w:r>
        <w:rPr/>
        <w:t>每股收益的计算过程</w:t>
      </w:r>
      <w:r>
        <w:rPr>
          <w:b w:val="0"/>
          <w:bCs w:val="0"/>
        </w:rPr>
      </w:r>
    </w:p>
    <w:p>
      <w:pPr>
        <w:spacing w:line="240" w:lineRule="auto" w:before="10"/>
        <w:rPr>
          <w:rFonts w:ascii="宋体" w:hAnsi="宋体" w:cs="宋体" w:eastAsia="宋体" w:hint="default"/>
          <w:b/>
          <w:bCs/>
          <w:sz w:val="24"/>
          <w:szCs w:val="24"/>
        </w:rPr>
      </w:pPr>
    </w:p>
    <w:p>
      <w:pPr>
        <w:pStyle w:val="Heading4"/>
        <w:spacing w:line="256" w:lineRule="auto" w:before="0"/>
        <w:ind w:right="151" w:firstLine="420"/>
        <w:jc w:val="both"/>
      </w:pPr>
      <w:r>
        <w:rPr/>
        <w:t>本公司按照中国证监会《公开发行证券的公司信息披露编报规则第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净资产收益率和每股收益</w:t>
      </w:r>
      <w:r>
        <w:rPr>
          <w:w w:val="100"/>
        </w:rPr>
        <w:t> </w:t>
      </w:r>
      <w:r>
        <w:rPr/>
        <w:t>的计算及披露（</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中国证券监督管理委员会公告</w:t>
      </w:r>
      <w:r>
        <w:rPr>
          <w:rFonts w:ascii="Times New Roman" w:hAnsi="Times New Roman" w:cs="Times New Roman" w:eastAsia="Times New Roman" w:hint="default"/>
        </w:rPr>
        <w:t>[2010]2</w:t>
      </w:r>
      <w:r>
        <w:rPr/>
        <w:t>号）、《公开发行证券的公司信</w:t>
      </w:r>
      <w:r>
        <w:rPr>
          <w:spacing w:val="-49"/>
        </w:rPr>
        <w:t> </w:t>
      </w:r>
      <w:r>
        <w:rPr>
          <w:spacing w:val="-49"/>
        </w:rPr>
      </w:r>
      <w:r>
        <w:rPr>
          <w:spacing w:val="-2"/>
        </w:rPr>
        <w:t>息披露解释性公告第</w:t>
      </w:r>
      <w:r>
        <w:rPr>
          <w:rFonts w:ascii="Times New Roman" w:hAnsi="Times New Roman" w:cs="Times New Roman" w:eastAsia="Times New Roman" w:hint="default"/>
          <w:spacing w:val="-2"/>
        </w:rPr>
        <w:t>1</w:t>
      </w:r>
      <w:r>
        <w:rPr>
          <w:spacing w:val="-2"/>
        </w:rPr>
        <w:t>号</w:t>
      </w:r>
      <w:r>
        <w:rPr>
          <w:rFonts w:ascii="Times New Roman" w:hAnsi="Times New Roman" w:cs="Times New Roman" w:eastAsia="Times New Roman" w:hint="default"/>
          <w:spacing w:val="-2"/>
        </w:rPr>
        <w:t>——</w:t>
      </w:r>
      <w:r>
        <w:rPr>
          <w:spacing w:val="-2"/>
        </w:rPr>
        <w:t>非经常性损益（</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w:t>
      </w:r>
      <w:r>
        <w:rPr>
          <w:spacing w:val="-2"/>
        </w:rPr>
        <w:t>中国证券监督管理委员会公告</w:t>
      </w:r>
      <w:r>
        <w:rPr>
          <w:rFonts w:ascii="Times New Roman" w:hAnsi="Times New Roman" w:cs="Times New Roman" w:eastAsia="Times New Roman" w:hint="default"/>
          <w:spacing w:val="-2"/>
        </w:rPr>
        <w:t>[2008]43</w:t>
      </w:r>
      <w:r>
        <w:rPr>
          <w:spacing w:val="-2"/>
        </w:rPr>
        <w:t>号</w:t>
      </w:r>
      <w:r>
        <w:rPr>
          <w:rFonts w:ascii="Times New Roman" w:hAnsi="Times New Roman" w:cs="Times New Roman" w:eastAsia="Times New Roman" w:hint="default"/>
          <w:spacing w:val="-2"/>
        </w:rPr>
        <w:t>”</w:t>
      </w:r>
      <w:r>
        <w:rPr>
          <w:spacing w:val="-2"/>
        </w:rPr>
        <w:t>）要求</w:t>
      </w:r>
      <w:r>
        <w:rPr>
          <w:spacing w:val="-46"/>
        </w:rPr>
        <w:t> </w:t>
      </w:r>
      <w:r>
        <w:rPr>
          <w:spacing w:val="-46"/>
        </w:rPr>
      </w:r>
      <w:r>
        <w:rPr/>
        <w:t>计算的每股收益如下：</w:t>
      </w:r>
    </w:p>
    <w:p>
      <w:pPr>
        <w:pStyle w:val="Heading3"/>
        <w:spacing w:line="240" w:lineRule="auto" w:before="82"/>
        <w:ind w:left="640" w:right="0"/>
        <w:jc w:val="left"/>
        <w:rPr>
          <w:b w:val="0"/>
          <w:bCs w:val="0"/>
        </w:rPr>
      </w:pPr>
      <w:r>
        <w:rPr>
          <w:rFonts w:ascii="宋体" w:hAnsi="宋体" w:cs="宋体" w:eastAsia="宋体" w:hint="default"/>
        </w:rPr>
        <w:t>1.</w:t>
      </w:r>
      <w:r>
        <w:rPr>
          <w:rFonts w:ascii="宋体" w:hAnsi="宋体" w:cs="宋体" w:eastAsia="宋体" w:hint="default"/>
          <w:spacing w:val="43"/>
        </w:rPr>
        <w:t> </w:t>
      </w:r>
      <w:r>
        <w:rPr/>
        <w:t>计算结果</w:t>
      </w:r>
      <w:r>
        <w:rPr>
          <w:b w:val="0"/>
          <w:bCs w:val="0"/>
        </w:rPr>
      </w:r>
    </w:p>
    <w:p>
      <w:pPr>
        <w:spacing w:line="240" w:lineRule="auto" w:before="5"/>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3869"/>
        <w:gridCol w:w="1270"/>
        <w:gridCol w:w="1241"/>
        <w:gridCol w:w="1193"/>
        <w:gridCol w:w="1272"/>
      </w:tblGrid>
      <w:tr>
        <w:trPr>
          <w:trHeight w:val="353" w:hRule="exact"/>
        </w:trPr>
        <w:tc>
          <w:tcPr>
            <w:tcW w:w="3869" w:type="dxa"/>
            <w:vMerge w:val="restart"/>
            <w:tcBorders>
              <w:top w:val="single" w:sz="6" w:space="0" w:color="000000"/>
              <w:left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51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65" w:type="dxa"/>
            <w:gridSpan w:val="2"/>
            <w:tcBorders>
              <w:top w:val="single" w:sz="6" w:space="0" w:color="000000"/>
              <w:left w:val="single" w:sz="6" w:space="0" w:color="000000"/>
              <w:bottom w:val="single" w:sz="12"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665" w:hRule="exact"/>
        </w:trPr>
        <w:tc>
          <w:tcPr>
            <w:tcW w:w="3869" w:type="dxa"/>
            <w:vMerge/>
            <w:tcBorders>
              <w:left w:val="single" w:sz="6" w:space="0" w:color="000000"/>
              <w:bottom w:val="single" w:sz="12" w:space="0" w:color="000000"/>
              <w:right w:val="single" w:sz="6" w:space="0" w:color="000000"/>
            </w:tcBorders>
          </w:tcPr>
          <w:p>
            <w:pP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520" w:right="98" w:hanging="421"/>
              <w:jc w:val="left"/>
              <w:rPr>
                <w:rFonts w:ascii="宋体" w:hAnsi="宋体" w:cs="宋体" w:eastAsia="宋体" w:hint="default"/>
                <w:sz w:val="21"/>
                <w:szCs w:val="21"/>
              </w:rPr>
            </w:pPr>
            <w:r>
              <w:rPr>
                <w:rFonts w:ascii="宋体" w:hAnsi="宋体" w:cs="宋体" w:eastAsia="宋体" w:hint="default"/>
                <w:sz w:val="21"/>
                <w:szCs w:val="21"/>
              </w:rPr>
              <w:t>基本每股收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506" w:right="84" w:hanging="421"/>
              <w:jc w:val="left"/>
              <w:rPr>
                <w:rFonts w:ascii="宋体" w:hAnsi="宋体" w:cs="宋体" w:eastAsia="宋体" w:hint="default"/>
                <w:sz w:val="21"/>
                <w:szCs w:val="21"/>
              </w:rPr>
            </w:pPr>
            <w:r>
              <w:rPr>
                <w:rFonts w:ascii="宋体" w:hAnsi="宋体" w:cs="宋体" w:eastAsia="宋体" w:hint="default"/>
                <w:sz w:val="21"/>
                <w:szCs w:val="21"/>
              </w:rPr>
              <w:t>稀释每股收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85" w:right="57" w:hanging="421"/>
              <w:jc w:val="left"/>
              <w:rPr>
                <w:rFonts w:ascii="宋体" w:hAnsi="宋体" w:cs="宋体" w:eastAsia="宋体" w:hint="default"/>
                <w:sz w:val="21"/>
                <w:szCs w:val="21"/>
              </w:rPr>
            </w:pPr>
            <w:r>
              <w:rPr>
                <w:rFonts w:ascii="宋体" w:hAnsi="宋体" w:cs="宋体" w:eastAsia="宋体" w:hint="default"/>
                <w:sz w:val="21"/>
                <w:szCs w:val="21"/>
              </w:rPr>
              <w:t>基本每股收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272"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525" w:right="103" w:hanging="421"/>
              <w:jc w:val="left"/>
              <w:rPr>
                <w:rFonts w:ascii="宋体" w:hAnsi="宋体" w:cs="宋体" w:eastAsia="宋体" w:hint="default"/>
                <w:sz w:val="21"/>
                <w:szCs w:val="21"/>
              </w:rPr>
            </w:pPr>
            <w:r>
              <w:rPr>
                <w:rFonts w:ascii="宋体" w:hAnsi="宋体" w:cs="宋体" w:eastAsia="宋体" w:hint="default"/>
                <w:sz w:val="21"/>
                <w:szCs w:val="21"/>
              </w:rPr>
              <w:t>稀释每股收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r>
      <w:tr>
        <w:trPr>
          <w:trHeight w:val="350" w:hRule="exact"/>
        </w:trPr>
        <w:tc>
          <w:tcPr>
            <w:tcW w:w="386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0.49</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0.49</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0.50</w:t>
            </w:r>
          </w:p>
        </w:tc>
        <w:tc>
          <w:tcPr>
            <w:tcW w:w="12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0.50</w:t>
            </w:r>
          </w:p>
        </w:tc>
      </w:tr>
      <w:tr>
        <w:trPr>
          <w:trHeight w:val="667" w:hRule="exact"/>
        </w:trPr>
        <w:tc>
          <w:tcPr>
            <w:tcW w:w="386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东的净利润</w:t>
            </w: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0.47</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0.47</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0.46</w:t>
            </w:r>
          </w:p>
        </w:tc>
        <w:tc>
          <w:tcPr>
            <w:tcW w:w="12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z w:val="21"/>
              </w:rPr>
              <w:t>0.46</w:t>
            </w:r>
          </w:p>
        </w:tc>
      </w:tr>
    </w:tbl>
    <w:p>
      <w:pPr>
        <w:spacing w:line="240" w:lineRule="auto" w:before="8"/>
        <w:rPr>
          <w:rFonts w:ascii="宋体" w:hAnsi="宋体" w:cs="宋体" w:eastAsia="宋体" w:hint="default"/>
          <w:b/>
          <w:bCs/>
          <w:sz w:val="14"/>
          <w:szCs w:val="14"/>
        </w:rPr>
      </w:pPr>
    </w:p>
    <w:p>
      <w:pPr>
        <w:pStyle w:val="Heading3"/>
        <w:spacing w:line="240" w:lineRule="auto" w:before="36"/>
        <w:ind w:left="640" w:right="0"/>
        <w:jc w:val="left"/>
        <w:rPr>
          <w:b w:val="0"/>
          <w:bCs w:val="0"/>
        </w:rPr>
      </w:pPr>
      <w:r>
        <w:rPr>
          <w:rFonts w:ascii="宋体" w:hAnsi="宋体" w:cs="宋体" w:eastAsia="宋体" w:hint="default"/>
        </w:rPr>
        <w:t>1.</w:t>
      </w:r>
      <w:r>
        <w:rPr>
          <w:rFonts w:ascii="宋体" w:hAnsi="宋体" w:cs="宋体" w:eastAsia="宋体" w:hint="default"/>
          <w:spacing w:val="44"/>
        </w:rPr>
        <w:t> </w:t>
      </w:r>
      <w:r>
        <w:rPr/>
        <w:t>每股收益的计算过程</w:t>
      </w:r>
      <w:r>
        <w:rPr>
          <w:b w:val="0"/>
          <w:bCs w:val="0"/>
        </w:rPr>
      </w:r>
    </w:p>
    <w:p>
      <w:pPr>
        <w:spacing w:line="240" w:lineRule="auto" w:before="5"/>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6746"/>
        <w:gridCol w:w="1985"/>
      </w:tblGrid>
      <w:tr>
        <w:trPr>
          <w:trHeight w:val="353" w:hRule="exact"/>
        </w:trPr>
        <w:tc>
          <w:tcPr>
            <w:tcW w:w="674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本年数</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52,849,948.41</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扣除非经常性损益后的归属于本公司普通股股东的净利润</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50,742,707.24</w:t>
            </w:r>
          </w:p>
        </w:tc>
      </w:tr>
      <w:tr>
        <w:trPr>
          <w:trHeight w:val="350"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53,500,000.00</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报告期因公积金转增股本增加的股份数</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53,500,000.00</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w:t>
            </w:r>
          </w:p>
        </w:tc>
      </w:tr>
      <w:tr>
        <w:trPr>
          <w:trHeight w:val="350"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107,000,000.00</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基本每股收益：归属于公司普通股股东的每股收益</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z w:val="21"/>
              </w:rPr>
              <w:t>0.49</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基本每股收益：扣除非经常性损益后归属于公司普通股股东的每股收益</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0.47</w:t>
            </w:r>
          </w:p>
        </w:tc>
      </w:tr>
      <w:tr>
        <w:trPr>
          <w:trHeight w:val="350"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报告期因股权激励增加的潜在普通股股份数</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365,806.59</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股权激励增加潜在普通股下一月份起至报告期年末的月份数</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w w:val="100"/>
                <w:sz w:val="21"/>
              </w:rPr>
              <w:t>4</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107,121,935.53</w:t>
            </w:r>
          </w:p>
        </w:tc>
      </w:tr>
      <w:tr>
        <w:trPr>
          <w:trHeight w:val="350"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稀释每股收益：归属于公司普通股股东的每股收益</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0.49</w:t>
            </w:r>
          </w:p>
        </w:tc>
      </w:tr>
      <w:tr>
        <w:trPr>
          <w:trHeight w:val="353" w:hRule="exact"/>
        </w:trPr>
        <w:tc>
          <w:tcPr>
            <w:tcW w:w="674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稀释每股收益：扣除非经常性损益后归属于公司普通股股东的每股收益</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z w:val="21"/>
              </w:rPr>
              <w:t>0.47</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357" w:lineRule="auto" w:before="36"/>
        <w:ind w:left="572" w:right="7533"/>
        <w:jc w:val="left"/>
        <w:rPr>
          <w:rFonts w:ascii="Times New Roman" w:hAnsi="Times New Roman" w:cs="Times New Roman" w:eastAsia="Times New Roman" w:hint="default"/>
        </w:rPr>
      </w:pPr>
      <w:bookmarkStart w:name="（2）支付的其他与经营活动有关的现金" w:id="253"/>
      <w:bookmarkEnd w:id="253"/>
      <w:r>
        <w:rPr/>
      </w:r>
      <w:r>
        <w:rPr/>
        <w:t>（</w:t>
      </w:r>
      <w:r>
        <w:rPr>
          <w:rFonts w:ascii="Times New Roman" w:hAnsi="Times New Roman" w:cs="Times New Roman" w:eastAsia="Times New Roman" w:hint="default"/>
        </w:rPr>
        <w:t>1</w:t>
      </w:r>
      <w:r>
        <w:rPr/>
        <w:t>）基本每股收益</w:t>
      </w:r>
      <w:r>
        <w:rPr>
          <w:spacing w:val="-3"/>
          <w:w w:val="100"/>
        </w:rPr>
        <w:t> </w:t>
      </w:r>
      <w:r>
        <w:rPr>
          <w:spacing w:val="-1"/>
        </w:rPr>
        <w:t>基本每股收益</w:t>
      </w:r>
      <w:r>
        <w:rPr>
          <w:rFonts w:ascii="Times New Roman" w:hAnsi="Times New Roman" w:cs="Times New Roman" w:eastAsia="Times New Roman" w:hint="default"/>
          <w:spacing w:val="-1"/>
        </w:rPr>
        <w:t>=P0÷S</w:t>
      </w:r>
    </w:p>
    <w:p>
      <w:pPr>
        <w:pStyle w:val="Heading4"/>
        <w:spacing w:line="240" w:lineRule="auto" w:before="27"/>
        <w:ind w:left="572"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0"/>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Heading4"/>
        <w:spacing w:line="256" w:lineRule="auto"/>
        <w:ind w:right="147" w:firstLine="420"/>
        <w:jc w:val="both"/>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w:t>
      </w:r>
      <w:r>
        <w:rPr>
          <w:w w:val="100"/>
        </w:rPr>
        <w:t> </w:t>
      </w:r>
      <w:r>
        <w:rPr>
          <w:spacing w:val="-3"/>
        </w:rPr>
        <w:t>发行在外的普通股加权平均数；</w:t>
      </w:r>
      <w:r>
        <w:rPr>
          <w:rFonts w:ascii="Times New Roman" w:hAnsi="Times New Roman" w:cs="Times New Roman" w:eastAsia="Times New Roman" w:hint="default"/>
          <w:spacing w:val="-3"/>
        </w:rPr>
        <w:t>S0</w:t>
      </w:r>
      <w:r>
        <w:rPr>
          <w:spacing w:val="-3"/>
        </w:rPr>
        <w:t>为期初股份总数；</w:t>
      </w:r>
      <w:r>
        <w:rPr>
          <w:rFonts w:ascii="Times New Roman" w:hAnsi="Times New Roman" w:cs="Times New Roman" w:eastAsia="Times New Roman" w:hint="default"/>
          <w:spacing w:val="-3"/>
        </w:rPr>
        <w:t>S1</w:t>
      </w:r>
      <w:r>
        <w:rPr>
          <w:spacing w:val="-3"/>
        </w:rPr>
        <w:t>为报告期因公积金转增股本或股票股利分配等增加</w:t>
      </w:r>
      <w:r>
        <w:rPr>
          <w:spacing w:val="-16"/>
        </w:rPr>
        <w:t> </w:t>
      </w:r>
      <w:r>
        <w:rPr>
          <w:spacing w:val="-16"/>
        </w:rPr>
      </w:r>
      <w:r>
        <w:rPr>
          <w:spacing w:val="-1"/>
        </w:rPr>
        <w:t>股份数；</w:t>
      </w:r>
      <w:r>
        <w:rPr>
          <w:rFonts w:ascii="Times New Roman" w:hAnsi="Times New Roman" w:cs="Times New Roman" w:eastAsia="Times New Roman" w:hint="default"/>
          <w:spacing w:val="-1"/>
        </w:rPr>
        <w:t>Si</w:t>
      </w:r>
      <w:r>
        <w:rPr>
          <w:spacing w:val="-1"/>
        </w:rPr>
        <w:t>为报告期因发行新股或债转股等增加股份数；</w:t>
      </w:r>
      <w:r>
        <w:rPr>
          <w:rFonts w:ascii="Times New Roman" w:hAnsi="Times New Roman" w:cs="Times New Roman" w:eastAsia="Times New Roman" w:hint="default"/>
          <w:spacing w:val="-1"/>
        </w:rPr>
        <w:t>Sj</w:t>
      </w:r>
      <w:r>
        <w:rPr>
          <w:spacing w:val="-1"/>
        </w:rPr>
        <w:t>为报告期因回购等减少股份数；</w:t>
      </w:r>
      <w:r>
        <w:rPr>
          <w:rFonts w:ascii="Times New Roman" w:hAnsi="Times New Roman" w:cs="Times New Roman" w:eastAsia="Times New Roman" w:hint="default"/>
          <w:spacing w:val="-1"/>
        </w:rPr>
        <w:t>Sk</w:t>
      </w:r>
      <w:r>
        <w:rPr>
          <w:spacing w:val="-1"/>
        </w:rPr>
        <w:t>为报告期缩</w:t>
      </w:r>
      <w:r>
        <w:rPr>
          <w:spacing w:val="-24"/>
        </w:rPr>
        <w:t> </w:t>
      </w:r>
      <w:r>
        <w:rPr>
          <w:spacing w:val="-24"/>
        </w:rPr>
      </w:r>
      <w:r>
        <w:rPr>
          <w:spacing w:val="-1"/>
        </w:rPr>
        <w:t>股数；</w:t>
      </w:r>
      <w:r>
        <w:rPr>
          <w:rFonts w:ascii="Times New Roman" w:hAnsi="Times New Roman" w:cs="Times New Roman" w:eastAsia="Times New Roman" w:hint="default"/>
          <w:spacing w:val="-1"/>
        </w:rPr>
        <w:t>M0</w:t>
      </w:r>
      <w:r>
        <w:rPr>
          <w:spacing w:val="-1"/>
        </w:rPr>
        <w:t>报告期月份数；</w:t>
      </w:r>
      <w:r>
        <w:rPr>
          <w:rFonts w:ascii="Times New Roman" w:hAnsi="Times New Roman" w:cs="Times New Roman" w:eastAsia="Times New Roman" w:hint="default"/>
          <w:spacing w:val="-1"/>
        </w:rPr>
        <w:t>Mi</w:t>
      </w:r>
      <w:r>
        <w:rPr>
          <w:spacing w:val="-1"/>
        </w:rPr>
        <w:t>为增加股份次月起至报告期期末的累计月数；</w:t>
      </w:r>
      <w:r>
        <w:rPr>
          <w:rFonts w:ascii="Times New Roman" w:hAnsi="Times New Roman" w:cs="Times New Roman" w:eastAsia="Times New Roman" w:hint="default"/>
          <w:spacing w:val="-1"/>
        </w:rPr>
        <w:t>Mj</w:t>
      </w:r>
      <w:r>
        <w:rPr>
          <w:spacing w:val="-1"/>
        </w:rPr>
        <w:t>为减少股份次月起至报告期</w:t>
      </w:r>
      <w:r>
        <w:rPr>
          <w:spacing w:val="-28"/>
        </w:rPr>
        <w:t> </w:t>
      </w:r>
      <w:r>
        <w:rPr>
          <w:spacing w:val="-28"/>
        </w:rPr>
      </w:r>
      <w:r>
        <w:rPr/>
        <w:t>期末的累计月数。</w:t>
      </w:r>
    </w:p>
    <w:p>
      <w:pPr>
        <w:pStyle w:val="Heading4"/>
        <w:spacing w:line="430" w:lineRule="atLeast" w:before="3"/>
        <w:ind w:left="572" w:right="0"/>
        <w:jc w:val="left"/>
      </w:pPr>
      <w:r>
        <w:rPr/>
        <w:t>（</w:t>
      </w:r>
      <w:r>
        <w:rPr>
          <w:rFonts w:ascii="Times New Roman" w:hAnsi="Times New Roman" w:cs="Times New Roman" w:eastAsia="Times New Roman" w:hint="default"/>
        </w:rPr>
        <w:t>2</w:t>
      </w:r>
      <w:r>
        <w:rPr/>
        <w:t>）稀释每股收益</w:t>
      </w:r>
      <w:r>
        <w:rPr>
          <w:spacing w:val="-3"/>
          <w:w w:val="100"/>
        </w:rPr>
        <w:t> </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Si×Mi÷M0–Sj×Mj÷M0–Sk+</w:t>
      </w:r>
      <w:r>
        <w:rPr>
          <w:spacing w:val="-2"/>
        </w:rPr>
        <w:t>认股权证、股份期权、可转换债券等增加的普</w:t>
      </w:r>
    </w:p>
    <w:p>
      <w:pPr>
        <w:pStyle w:val="Heading4"/>
        <w:spacing w:line="240" w:lineRule="auto" w:before="21"/>
        <w:ind w:right="0"/>
        <w:jc w:val="left"/>
        <w:rPr>
          <w:rFonts w:ascii="Times New Roman" w:hAnsi="Times New Roman" w:cs="Times New Roman" w:eastAsia="Times New Roman" w:hint="default"/>
        </w:rPr>
      </w:pPr>
      <w:r>
        <w:rPr/>
        <w:t>通股加权平均数</w:t>
      </w:r>
      <w:r>
        <w:rPr>
          <w:rFonts w:ascii="Times New Roman" w:hAnsi="Times New Roman" w:cs="Times New Roman" w:eastAsia="Times New Roman" w:hint="default"/>
        </w:rPr>
        <w:t>)</w:t>
      </w:r>
    </w:p>
    <w:p>
      <w:pPr>
        <w:pStyle w:val="Heading4"/>
        <w:spacing w:line="268" w:lineRule="auto"/>
        <w:ind w:right="115" w:firstLine="420"/>
        <w:jc w:val="both"/>
      </w:pPr>
      <w:r>
        <w:rPr>
          <w:spacing w:val="-2"/>
        </w:rPr>
        <w:t>其中，</w:t>
      </w:r>
      <w:r>
        <w:rPr>
          <w:rFonts w:ascii="Times New Roman" w:hAnsi="Times New Roman" w:cs="Times New Roman" w:eastAsia="Times New Roman" w:hint="default"/>
          <w:spacing w:val="-2"/>
        </w:rPr>
        <w:t>P1</w:t>
      </w:r>
      <w:r>
        <w:rPr>
          <w:spacing w:val="-2"/>
        </w:rPr>
        <w:t>为归属于公司普通股股东的净利润或扣除非经常性损益后归属于公司普通股股东的净利润，</w:t>
      </w:r>
      <w:r>
        <w:rPr>
          <w:w w:val="100"/>
        </w:rPr>
        <w:t> </w:t>
      </w:r>
      <w:r>
        <w:rPr>
          <w:spacing w:val="-3"/>
        </w:rPr>
        <w:t>并考虑稀释性潜在普通股对其影响，按《企业会计准则》及有关规定进行调整。公司在计算稀释每股收益</w:t>
      </w:r>
      <w:r>
        <w:rPr>
          <w:spacing w:val="-11"/>
        </w:rPr>
        <w:t> </w:t>
      </w:r>
      <w:r>
        <w:rPr>
          <w:spacing w:val="-11"/>
        </w:rPr>
      </w:r>
      <w:r>
        <w:rPr>
          <w:spacing w:val="-2"/>
        </w:rPr>
        <w:t>时，考虑所有稀释性潜在普通股对归属于公司普通股股东的净利润或扣除非经常性损益后归属于公司普通</w:t>
      </w:r>
      <w:r>
        <w:rPr>
          <w:spacing w:val="-43"/>
        </w:rPr>
        <w:t> </w:t>
      </w:r>
      <w:r>
        <w:rPr>
          <w:spacing w:val="-43"/>
        </w:rPr>
      </w:r>
      <w:r>
        <w:rPr>
          <w:spacing w:val="-2"/>
        </w:rPr>
        <w:t>股股东的净利润和加权平均股数的影响，按照其稀释程度从大到小的顺序计入稀释每股收益，直至稀释每</w:t>
      </w:r>
      <w:r>
        <w:rPr>
          <w:spacing w:val="-43"/>
        </w:rPr>
        <w:t> </w:t>
      </w:r>
      <w:r>
        <w:rPr>
          <w:spacing w:val="-43"/>
        </w:rPr>
      </w:r>
      <w:r>
        <w:rPr/>
        <w:t>股收益达到最小值。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36</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36、现金流量表附注" w:id="254"/>
      <w:bookmarkEnd w:id="254"/>
      <w:r>
        <w:rPr/>
      </w:r>
      <w:bookmarkStart w:name="（1）收到的其他与经营活动有关的现金" w:id="255"/>
      <w:bookmarkEnd w:id="25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9,701,629.15</w:t>
            </w:r>
            <w:r>
              <w:rPr>
                <w:rFonts w:ascii="Times New Roman"/>
                <w:sz w:val="18"/>
              </w:rPr>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9,333,031.13</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r>
              <w:rPr>
                <w:rFonts w:ascii="Times New Roman" w:hAnsi="Times New Roman" w:cs="Times New Roman" w:eastAsia="Times New Roman" w:hint="default"/>
                <w:sz w:val="18"/>
                <w:szCs w:val="18"/>
              </w:rPr>
              <w:t>/</w:t>
            </w:r>
            <w:r>
              <w:rPr>
                <w:rFonts w:ascii="宋体" w:hAnsi="宋体" w:cs="宋体" w:eastAsia="宋体" w:hint="default"/>
                <w:sz w:val="18"/>
                <w:szCs w:val="18"/>
              </w:rPr>
              <w:t>暂支款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19,147,047.99</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履约保证金及其他往来款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20,366,632.17</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58,548,340.44</w:t>
            </w:r>
          </w:p>
        </w:tc>
      </w:tr>
    </w:tbl>
    <w:p>
      <w:pPr>
        <w:pStyle w:val="BodyText"/>
        <w:spacing w:line="357" w:lineRule="auto" w:before="49"/>
        <w:ind w:right="6714"/>
        <w:jc w:val="left"/>
      </w:pPr>
      <w:r>
        <w:rPr/>
        <w:t>收到的其他与经营活动有关的现金说明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55,433,614.62</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r>
              <w:rPr>
                <w:rFonts w:ascii="Times New Roman" w:hAnsi="Times New Roman" w:cs="Times New Roman" w:eastAsia="Times New Roman" w:hint="default"/>
                <w:sz w:val="18"/>
                <w:szCs w:val="18"/>
              </w:rPr>
              <w:t>/</w:t>
            </w:r>
            <w:r>
              <w:rPr>
                <w:rFonts w:ascii="宋体" w:hAnsi="宋体" w:cs="宋体" w:eastAsia="宋体" w:hint="default"/>
                <w:sz w:val="18"/>
                <w:szCs w:val="18"/>
              </w:rPr>
              <w:t>暂支款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18,309,839.86</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履约保证金及其他往来款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21,996,770.86</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95,750,225.34</w:t>
            </w:r>
          </w:p>
        </w:tc>
      </w:tr>
    </w:tbl>
    <w:p>
      <w:pPr>
        <w:pStyle w:val="BodyText"/>
        <w:spacing w:line="357" w:lineRule="auto" w:before="49"/>
        <w:ind w:right="6714"/>
        <w:jc w:val="left"/>
      </w:pPr>
      <w:bookmarkStart w:name="（2）本报告期取得或处置子公司及其他营业单位的相关信息" w:id="256"/>
      <w:bookmarkEnd w:id="256"/>
      <w:r>
        <w:rPr/>
      </w:r>
      <w:r>
        <w:rPr/>
        <w:t>支付的其他与经营活动有关的现金说明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37</w:t>
      </w:r>
      <w:bookmarkStart w:name="37、现金流量表补充资料" w:id="257"/>
      <w:bookmarkEnd w:id="257"/>
      <w:r>
        <w:rPr>
          <w:rFonts w:ascii="Times New Roman" w:hAnsi="Times New Roman" w:cs="Times New Roman" w:eastAsia="Times New Roman" w:hint="default"/>
        </w:rPr>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1）现金流量表补充资料" w:id="258"/>
      <w:bookmarkEnd w:id="25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7"/>
        <w:gridCol w:w="2533"/>
        <w:gridCol w:w="2657"/>
      </w:tblGrid>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52,473,172.17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44,292,891.86</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4,958,337.62</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3,456,650.19</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3,637,703.86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895,026.60</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155,021.57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37,596.00</w:t>
            </w:r>
          </w:p>
        </w:tc>
      </w:tr>
      <w:tr>
        <w:trPr>
          <w:trHeight w:val="71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5,310.37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-71,287.80</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-38,356.16</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-3,218,552.45</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-1,605,487.50</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-17,640,420.89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-8,150,978.06</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-61,376,414.16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-53,100,330.62</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47,918,059.35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18,659,026.31</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460,950.71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223,865.00</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27,373,168.15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4,598,615.82</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408,922,209.19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405,258,639.87</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405,258,639.87</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73,786,787.82</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3,663,569.32</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331,471,852.05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8"/>
        <w:gridCol w:w="2524"/>
        <w:gridCol w:w="2656"/>
      </w:tblGrid>
      <w:tr>
        <w:trPr>
          <w:trHeight w:val="401" w:hRule="exact"/>
        </w:trPr>
        <w:tc>
          <w:tcPr>
            <w:tcW w:w="4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391"/>
        <w:gridCol w:w="2524"/>
        <w:gridCol w:w="2656"/>
      </w:tblGrid>
      <w:tr>
        <w:trPr>
          <w:trHeight w:val="402" w:hRule="exact"/>
        </w:trPr>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2、本企业的子公司情况" w:id="259"/>
      <w:bookmarkEnd w:id="259"/>
      <w:r>
        <w:rPr>
          <w:b w:val="0"/>
          <w:bCs w:val="0"/>
        </w:rPr>
      </w:r>
      <w:r>
        <w:rPr/>
        <w:t>（</w:t>
      </w:r>
      <w:r>
        <w:rPr>
          <w:rFonts w:ascii="Times New Roman" w:hAnsi="Times New Roman" w:cs="Times New Roman" w:eastAsia="Times New Roman" w:hint="default"/>
        </w:rPr>
        <w:t>3</w:t>
      </w:r>
      <w:bookmarkStart w:name="（3）现金和现金等价物的构成" w:id="260"/>
      <w:bookmarkEnd w:id="260"/>
      <w:r>
        <w:rPr>
          <w:rFonts w:ascii="Times New Roman" w:hAnsi="Times New Roman" w:cs="Times New Roman" w:eastAsia="Times New Roman" w:hint="default"/>
        </w:rPr>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75"/>
        <w:gridCol w:w="2536"/>
        <w:gridCol w:w="2657"/>
      </w:tblGrid>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408,922,209.19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405,258,639.87</w:t>
            </w:r>
            <w:r>
              <w:rPr>
                <w:rFonts w:ascii="Times New Roman"/>
                <w:sz w:val="18"/>
              </w:rPr>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18,035.64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219,101.10</w:t>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408,904,173.55</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399,717,366.77</w:t>
            </w:r>
            <w:r>
              <w:rPr>
                <w:rFonts w:ascii="Times New Roman"/>
                <w:sz w:val="18"/>
              </w:rPr>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5,322,172.00</w:t>
            </w:r>
            <w:r>
              <w:rPr>
                <w:rFonts w:ascii="Times New Roman"/>
                <w:sz w:val="18"/>
              </w:rPr>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408,922,209.19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405,258,639.87</w:t>
            </w:r>
            <w:r>
              <w:rPr>
                <w:rFonts w:ascii="Times New Roman"/>
                <w:sz w:val="18"/>
              </w:rPr>
            </w:r>
          </w:p>
        </w:tc>
      </w:tr>
    </w:tbl>
    <w:p>
      <w:pPr>
        <w:pStyle w:val="BodyText"/>
        <w:spacing w:line="357" w:lineRule="auto" w:before="49"/>
        <w:ind w:right="7614"/>
        <w:jc w:val="left"/>
      </w:pPr>
      <w:r>
        <w:rPr/>
        <w:t>现金流量表补充资料的说明 无</w:t>
      </w:r>
    </w:p>
    <w:p>
      <w:pPr>
        <w:spacing w:line="240" w:lineRule="auto" w:before="7"/>
        <w:rPr>
          <w:rFonts w:ascii="宋体" w:hAnsi="宋体" w:cs="宋体" w:eastAsia="宋体" w:hint="default"/>
          <w:sz w:val="18"/>
          <w:szCs w:val="18"/>
        </w:rPr>
      </w:pPr>
    </w:p>
    <w:p>
      <w:pPr>
        <w:pStyle w:val="Heading2"/>
        <w:spacing w:line="240" w:lineRule="auto" w:before="0"/>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八、关联方及关联交易" w:id="261"/>
      <w:bookmarkEnd w:id="261"/>
      <w:r>
        <w:rPr/>
      </w:r>
      <w:bookmarkStart w:name="1、本企业的母公司情况" w:id="262"/>
      <w:bookmarkEnd w:id="26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1"/>
        <w:gridCol w:w="869"/>
        <w:gridCol w:w="862"/>
      </w:tblGrid>
      <w:tr>
        <w:trPr>
          <w:trHeight w:val="1339" w:hRule="exact"/>
        </w:trPr>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69"/>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713"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16.56%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王英（注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w:t>
            </w:r>
          </w:p>
          <w:p>
            <w:pPr>
              <w:pStyle w:val="TableParagraph"/>
              <w:spacing w:line="15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人</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2" w:right="5274" w:hanging="360"/>
        <w:jc w:val="left"/>
      </w:pPr>
      <w:r>
        <w:rPr/>
        <w:pict>
          <v:group style="position:absolute;margin-left:100.559998pt;margin-top:-36.358273pt;width:41.9pt;height:36.5pt;mso-position-horizontal-relative:page;mso-position-vertical-relative:paragraph;z-index:-749176" coordorigin="2011,-727" coordsize="838,730">
            <v:group style="position:absolute;left:2023;top:-715;width:2;height:706" coordorigin="2023,-715" coordsize="2,706">
              <v:shape style="position:absolute;left:2023;top:-715;width:2;height:706" coordorigin="2023,-715" coordsize="0,706" path="m2023,-715l2023,-10e" filled="false" stroked="true" strokeweight="1.2pt" strokecolor="#ffffff">
                <v:path arrowok="t"/>
              </v:shape>
            </v:group>
            <v:group style="position:absolute;left:2035;top:-715;width:814;height:353" coordorigin="2035,-715" coordsize="814,353">
              <v:shape style="position:absolute;left:2035;top:-715;width:814;height:353" coordorigin="2035,-715" coordsize="814,353" path="m2035,-362l2849,-362,2849,-715,2035,-715,2035,-362xe" filled="true" fillcolor="#ffffff" stroked="false">
                <v:path arrowok="t"/>
                <v:fill type="solid"/>
              </v:shape>
            </v:group>
            <v:group style="position:absolute;left:2035;top:-362;width:814;height:353" coordorigin="2035,-362" coordsize="814,353">
              <v:shape style="position:absolute;left:2035;top:-362;width:814;height:353" coordorigin="2035,-362" coordsize="814,353" path="m2035,-10l2849,-10,2849,-362,2035,-362,2035,-10xe" filled="true" fillcolor="#ffffff" stroked="false">
                <v:path arrowok="t"/>
                <v:fill type="solid"/>
              </v:shape>
            </v:group>
            <w10:wrap type="none"/>
          </v:group>
        </w:pict>
      </w:r>
      <w:r>
        <w:rPr/>
        <w:t>本企业的母公司情况的说明 注：王英与周炜系夫妻关系，为本公司实际控制人。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上海金仕达 卫宁信息技 术有限公司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66778346-1</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
              <w:jc w:val="right"/>
              <w:rPr>
                <w:rFonts w:ascii="宋体" w:hAnsi="宋体" w:cs="宋体" w:eastAsia="宋体" w:hint="default"/>
                <w:sz w:val="18"/>
                <w:szCs w:val="18"/>
              </w:rPr>
            </w:pPr>
            <w:r>
              <w:rPr>
                <w:rFonts w:ascii="宋体" w:hAnsi="宋体" w:cs="宋体" w:eastAsia="宋体" w:hint="default"/>
                <w:sz w:val="18"/>
                <w:szCs w:val="18"/>
              </w:rPr>
              <w:t>江苏金仕达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有限责任公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41"/>
              <w:jc w:val="center"/>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55804351-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5"/>
        <w:gridCol w:w="958"/>
        <w:gridCol w:w="958"/>
      </w:tblGrid>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卫宁软件有 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X</w:t>
            </w:r>
            <w:r>
              <w:rPr>
                <w:rFonts w:ascii="Times New Roman"/>
                <w:sz w:val="18"/>
              </w:rPr>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上海金仕达 卫宁软件科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软件销售、 技术服务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59316104-4</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西安金仕达 卫宁软件有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软件销售、 技术服务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05159955-1</w:t>
            </w:r>
          </w:p>
        </w:tc>
      </w:tr>
    </w:tbl>
    <w:p>
      <w:pPr>
        <w:spacing w:line="240" w:lineRule="auto" w:before="1"/>
        <w:rPr>
          <w:rFonts w:ascii="宋体" w:hAnsi="宋体" w:cs="宋体" w:eastAsia="宋体" w:hint="default"/>
          <w:sz w:val="18"/>
          <w:szCs w:val="18"/>
        </w:rPr>
      </w:pPr>
    </w:p>
    <w:p>
      <w:pPr>
        <w:pStyle w:val="Heading2"/>
        <w:spacing w:line="240" w:lineRule="auto"/>
        <w:ind w:right="184"/>
        <w:jc w:val="left"/>
        <w:rPr>
          <w:b w:val="0"/>
          <w:bCs w:val="0"/>
        </w:rPr>
      </w:pPr>
      <w:r>
        <w:rPr/>
        <w:t>九、股份支付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bookmarkStart w:name="九、股份支付" w:id="263"/>
      <w:bookmarkEnd w:id="263"/>
      <w:r>
        <w:rPr/>
      </w:r>
      <w:bookmarkStart w:name="1、股份支付总体情况" w:id="264"/>
      <w:bookmarkEnd w:id="26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4,416,000.00</w:t>
            </w:r>
            <w:r>
              <w:rPr>
                <w:rFonts w:ascii="Times New Roman"/>
                <w:sz w:val="18"/>
              </w:rPr>
            </w:r>
          </w:p>
        </w:tc>
      </w:tr>
      <w:tr>
        <w:trPr>
          <w:trHeight w:val="715"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9"/>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bl>
    <w:p>
      <w:pPr>
        <w:pStyle w:val="BodyText"/>
        <w:spacing w:line="240" w:lineRule="auto" w:before="49"/>
        <w:ind w:right="184"/>
        <w:jc w:val="left"/>
      </w:pPr>
      <w:r>
        <w:rPr/>
        <w:t>股份支付情况的说明</w:t>
      </w:r>
    </w:p>
    <w:p>
      <w:pPr>
        <w:pStyle w:val="BodyText"/>
        <w:spacing w:line="307" w:lineRule="auto" w:before="115"/>
        <w:ind w:right="94" w:firstLine="36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日，公司召开</w:t>
      </w:r>
      <w:r>
        <w:rPr>
          <w:rFonts w:ascii="Times New Roman" w:hAnsi="Times New Roman" w:cs="Times New Roman" w:eastAsia="Times New Roman" w:hint="default"/>
        </w:rPr>
        <w:t>2012</w:t>
      </w:r>
      <w:r>
        <w:rPr/>
        <w:t>年第二次临时股东大会，审议通过了《上海金仕达卫宁软件股份有限公司股票期 </w:t>
      </w:r>
      <w:r>
        <w:rPr>
          <w:spacing w:val="-3"/>
        </w:rPr>
        <w:t>权激励计划（草案修订稿）》。</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日，公司召开第二届董事会第七次会议，审议通过了《关于调整股票期权激励 </w:t>
      </w:r>
      <w:r>
        <w:rPr>
          <w:spacing w:val="-2"/>
        </w:rPr>
        <w:t>计划股票期权数量和行权价格的议案》、《关于公司股票期权激励计划授予相关事项的议案》，鉴于公司实施了分红派息方</w:t>
      </w:r>
      <w:r>
        <w:rPr>
          <w:spacing w:val="-65"/>
        </w:rPr>
        <w:t> </w:t>
      </w:r>
      <w:r>
        <w:rPr>
          <w:spacing w:val="-65"/>
        </w:rPr>
      </w:r>
      <w:r>
        <w:rPr>
          <w:spacing w:val="-2"/>
        </w:rPr>
        <w:t>案和资本公积转增股本方案以及原部分激励对象因个人原因离职，不再满足成为股权激励对象的条件，股票期权数量和行权</w:t>
      </w:r>
      <w:r>
        <w:rPr>
          <w:spacing w:val="-64"/>
        </w:rPr>
        <w:t> </w:t>
      </w:r>
      <w:r>
        <w:rPr>
          <w:spacing w:val="-64"/>
        </w:rPr>
      </w:r>
      <w:r>
        <w:rPr>
          <w:spacing w:val="-3"/>
        </w:rPr>
        <w:t>价格按激励计划规定应作相应调整；经上述调整后，激励对象共</w:t>
      </w:r>
      <w:r>
        <w:rPr>
          <w:rFonts w:ascii="Times New Roman" w:hAnsi="Times New Roman" w:cs="Times New Roman" w:eastAsia="Times New Roman" w:hint="default"/>
          <w:spacing w:val="-3"/>
        </w:rPr>
        <w:t>168</w:t>
      </w:r>
      <w:r>
        <w:rPr>
          <w:spacing w:val="-3"/>
        </w:rPr>
        <w:t>人，首次授予股票期权数量由</w:t>
      </w:r>
      <w:r>
        <w:rPr>
          <w:rFonts w:ascii="Times New Roman" w:hAnsi="Times New Roman" w:cs="Times New Roman" w:eastAsia="Times New Roman" w:hint="default"/>
          <w:spacing w:val="-3"/>
        </w:rPr>
        <w:t>225</w:t>
      </w:r>
      <w:r>
        <w:rPr>
          <w:spacing w:val="-3"/>
        </w:rPr>
        <w:t>万份调整至</w:t>
      </w:r>
      <w:r>
        <w:rPr>
          <w:rFonts w:ascii="Times New Roman" w:hAnsi="Times New Roman" w:cs="Times New Roman" w:eastAsia="Times New Roman" w:hint="default"/>
          <w:spacing w:val="-3"/>
        </w:rPr>
        <w:t>441.60</w:t>
      </w:r>
      <w:r>
        <w:rPr>
          <w:spacing w:val="-3"/>
        </w:rPr>
        <w:t>万份；</w:t>
      </w:r>
      <w:r>
        <w:rPr>
          <w:spacing w:val="-40"/>
        </w:rPr>
        <w:t> </w:t>
      </w:r>
      <w:r>
        <w:rPr>
          <w:spacing w:val="-40"/>
        </w:rPr>
      </w:r>
      <w:r>
        <w:rPr/>
        <w:t>预留部分股票期权由</w:t>
      </w:r>
      <w:r>
        <w:rPr>
          <w:rFonts w:ascii="Times New Roman" w:hAnsi="Times New Roman" w:cs="Times New Roman" w:eastAsia="Times New Roman" w:hint="default"/>
        </w:rPr>
        <w:t>25</w:t>
      </w:r>
      <w:r>
        <w:rPr/>
        <w:t>万份调整至</w:t>
      </w:r>
      <w:r>
        <w:rPr>
          <w:rFonts w:ascii="Times New Roman" w:hAnsi="Times New Roman" w:cs="Times New Roman" w:eastAsia="Times New Roman" w:hint="default"/>
        </w:rPr>
        <w:t>50</w:t>
      </w:r>
      <w:r>
        <w:rPr/>
        <w:t>万份，行权价格由</w:t>
      </w:r>
      <w:r>
        <w:rPr>
          <w:rFonts w:ascii="Times New Roman" w:hAnsi="Times New Roman" w:cs="Times New Roman" w:eastAsia="Times New Roman" w:hint="default"/>
        </w:rPr>
        <w:t>37.80</w:t>
      </w:r>
      <w:r>
        <w:rPr/>
        <w:t>元调整为</w:t>
      </w:r>
      <w:r>
        <w:rPr>
          <w:rFonts w:ascii="Times New Roman" w:hAnsi="Times New Roman" w:cs="Times New Roman" w:eastAsia="Times New Roman" w:hint="default"/>
        </w:rPr>
        <w:t>18.85</w:t>
      </w:r>
      <w:r>
        <w:rPr/>
        <w:t>元。</w:t>
      </w:r>
    </w:p>
    <w:p>
      <w:pPr>
        <w:pStyle w:val="BodyText"/>
        <w:spacing w:line="300" w:lineRule="auto" w:before="7"/>
        <w:ind w:right="192" w:firstLine="359"/>
        <w:jc w:val="both"/>
      </w:pPr>
      <w:r>
        <w:rPr/>
        <w:t>注</w:t>
      </w:r>
      <w:r>
        <w:rPr>
          <w:rFonts w:ascii="Times New Roman" w:hAnsi="Times New Roman" w:cs="Times New Roman" w:eastAsia="Times New Roman" w:hint="default"/>
        </w:rPr>
        <w:t>2</w:t>
      </w:r>
      <w:r>
        <w:rPr/>
        <w:t>：本计划有效期为自股票期权授权之日起</w:t>
      </w:r>
      <w:r>
        <w:rPr>
          <w:rFonts w:ascii="Times New Roman" w:hAnsi="Times New Roman" w:cs="Times New Roman" w:eastAsia="Times New Roman" w:hint="default"/>
        </w:rPr>
        <w:t>5</w:t>
      </w:r>
      <w:r>
        <w:rPr/>
        <w:t>年。预留部分期权的有效期为自预留部分期权授权日起</w:t>
      </w:r>
      <w:r>
        <w:rPr>
          <w:rFonts w:ascii="Times New Roman" w:hAnsi="Times New Roman" w:cs="Times New Roman" w:eastAsia="Times New Roman" w:hint="default"/>
        </w:rPr>
        <w:t>4</w:t>
      </w:r>
      <w:r>
        <w:rPr/>
        <w:t>年，本计划授予 </w:t>
      </w:r>
      <w:r>
        <w:rPr>
          <w:spacing w:val="-2"/>
        </w:rPr>
        <w:t>的股票期权自本期激励计划授予日起满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48</w:t>
      </w:r>
      <w:r>
        <w:rPr>
          <w:spacing w:val="-2"/>
        </w:rPr>
        <w:t>个月内分四期行权。本次授予期权行权期及各期行权</w:t>
      </w:r>
      <w:r>
        <w:rPr>
          <w:spacing w:val="-62"/>
        </w:rPr>
        <w:t> </w:t>
      </w:r>
      <w:r>
        <w:rPr>
          <w:spacing w:val="-62"/>
        </w:rPr>
      </w:r>
      <w:r>
        <w:rPr/>
        <w:t>时间安排如表所示：</w:t>
      </w:r>
    </w:p>
    <w:tbl>
      <w:tblPr>
        <w:tblW w:w="0" w:type="auto"/>
        <w:jc w:val="left"/>
        <w:tblInd w:w="145" w:type="dxa"/>
        <w:tblLayout w:type="fixed"/>
        <w:tblCellMar>
          <w:top w:w="0" w:type="dxa"/>
          <w:left w:w="0" w:type="dxa"/>
          <w:bottom w:w="0" w:type="dxa"/>
          <w:right w:w="0" w:type="dxa"/>
        </w:tblCellMar>
        <w:tblLook w:val="01E0"/>
      </w:tblPr>
      <w:tblGrid>
        <w:gridCol w:w="2412"/>
        <w:gridCol w:w="4534"/>
        <w:gridCol w:w="1898"/>
      </w:tblGrid>
      <w:tr>
        <w:trPr>
          <w:trHeight w:val="667" w:hRule="exact"/>
        </w:trPr>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4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9"/>
              <w:ind w:left="583" w:right="45" w:hanging="540"/>
              <w:jc w:val="left"/>
              <w:rPr>
                <w:rFonts w:ascii="宋体" w:hAnsi="宋体" w:cs="宋体" w:eastAsia="宋体" w:hint="default"/>
                <w:sz w:val="18"/>
                <w:szCs w:val="18"/>
              </w:rPr>
            </w:pPr>
            <w:r>
              <w:rPr>
                <w:rFonts w:ascii="宋体" w:hAnsi="宋体" w:cs="宋体" w:eastAsia="宋体" w:hint="default"/>
                <w:sz w:val="18"/>
                <w:szCs w:val="18"/>
              </w:rPr>
              <w:t>可行权数量占获授期权 数量比例</w:t>
            </w:r>
          </w:p>
        </w:tc>
      </w:tr>
      <w:tr>
        <w:trPr>
          <w:trHeight w:val="662" w:hRule="exact"/>
        </w:trPr>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4534"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2" w:right="1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 的最后一个交易日当日止</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w:t>
            </w:r>
          </w:p>
        </w:tc>
      </w:tr>
      <w:tr>
        <w:trPr>
          <w:trHeight w:val="665" w:hRule="exact"/>
        </w:trPr>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4534"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 的最后一个交易日当日止</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w:t>
            </w:r>
          </w:p>
        </w:tc>
      </w:tr>
      <w:tr>
        <w:trPr>
          <w:trHeight w:val="665" w:hRule="exact"/>
        </w:trPr>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4534"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 的最后一个交易日当日止</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w:t>
            </w:r>
          </w:p>
        </w:tc>
      </w:tr>
      <w:tr>
        <w:trPr>
          <w:trHeight w:val="665" w:hRule="exact"/>
        </w:trPr>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第四个行权期</w:t>
            </w:r>
          </w:p>
        </w:tc>
        <w:tc>
          <w:tcPr>
            <w:tcW w:w="4534"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2" w:right="1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个月内 的最后一个交易日当日止</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w:t>
            </w:r>
          </w:p>
        </w:tc>
      </w:tr>
    </w:tbl>
    <w:p>
      <w:pPr>
        <w:pStyle w:val="BodyText"/>
        <w:spacing w:line="300" w:lineRule="auto" w:before="32"/>
        <w:ind w:right="140" w:firstLine="360"/>
        <w:jc w:val="both"/>
      </w:pPr>
      <w:r>
        <w:rPr/>
        <w:t>注</w:t>
      </w:r>
      <w:r>
        <w:rPr>
          <w:rFonts w:ascii="Times New Roman" w:hAnsi="Times New Roman" w:cs="Times New Roman" w:eastAsia="Times New Roman" w:hint="default"/>
        </w:rPr>
        <w:t>3</w:t>
      </w:r>
      <w:r>
        <w:rPr/>
        <w:t>：股票期权的主要行权条件：在本股票期权激励计划有效期内，以</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年营业收入为基数，</w:t>
      </w:r>
      <w:r>
        <w:rPr>
          <w:spacing w:val="-54"/>
        </w:rPr>
        <w:t> </w:t>
      </w:r>
      <w:r>
        <w:rPr>
          <w:rFonts w:ascii="Times New Roman" w:hAnsi="Times New Roman" w:cs="Times New Roman" w:eastAsia="Times New Roman" w:hint="default"/>
        </w:rPr>
        <w:t>2012-2015</w:t>
      </w:r>
      <w:r>
        <w:rPr>
          <w:rFonts w:ascii="Times New Roman" w:hAnsi="Times New Roman" w:cs="Times New Roman" w:eastAsia="Times New Roman" w:hint="default"/>
          <w:spacing w:val="7"/>
        </w:rPr>
        <w:t> </w:t>
      </w:r>
      <w:r>
        <w:rPr/>
        <w:t>年的营业收 入增长率相比</w:t>
      </w:r>
      <w:r>
        <w:rPr>
          <w:rFonts w:ascii="Times New Roman" w:hAnsi="Times New Roman" w:cs="Times New Roman" w:eastAsia="Times New Roman" w:hint="default"/>
        </w:rPr>
        <w:t>2011</w:t>
      </w:r>
      <w:r>
        <w:rPr/>
        <w:t>年分别不低于</w:t>
      </w:r>
      <w:r>
        <w:rPr>
          <w:rFonts w:ascii="Times New Roman" w:hAnsi="Times New Roman" w:cs="Times New Roman" w:eastAsia="Times New Roman" w:hint="default"/>
        </w:rPr>
        <w:t>20%</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75%</w:t>
      </w:r>
      <w:r>
        <w:rPr/>
        <w:t>，</w:t>
      </w:r>
      <w:r>
        <w:rPr>
          <w:rFonts w:ascii="Times New Roman" w:hAnsi="Times New Roman" w:cs="Times New Roman" w:eastAsia="Times New Roman" w:hint="default"/>
        </w:rPr>
        <w:t>105%</w:t>
      </w:r>
      <w:r>
        <w:rPr/>
        <w:t>；净利润增长率相比</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2012-2015</w:t>
      </w:r>
      <w:r>
        <w:rPr/>
        <w:t>年分别不低于</w:t>
      </w:r>
      <w:r>
        <w:rPr>
          <w:rFonts w:ascii="Times New Roman" w:hAnsi="Times New Roman" w:cs="Times New Roman" w:eastAsia="Times New Roman" w:hint="default"/>
        </w:rPr>
        <w:t>20%</w:t>
      </w:r>
      <w:r>
        <w:rPr/>
        <w:t>，</w:t>
      </w:r>
      <w:r>
        <w:rPr>
          <w:rFonts w:ascii="Times New Roman" w:hAnsi="Times New Roman" w:cs="Times New Roman" w:eastAsia="Times New Roman" w:hint="default"/>
        </w:rPr>
        <w:t>45%</w:t>
      </w:r>
      <w:r>
        <w:rPr/>
        <w:t>， </w:t>
      </w:r>
      <w:r>
        <w:rPr>
          <w:rFonts w:ascii="Times New Roman" w:hAnsi="Times New Roman" w:cs="Times New Roman" w:eastAsia="Times New Roman" w:hint="default"/>
        </w:rPr>
        <w:t>75%</w:t>
      </w:r>
      <w:r>
        <w:rPr/>
        <w:t>，</w:t>
      </w:r>
      <w:r>
        <w:rPr>
          <w:rFonts w:ascii="Times New Roman" w:hAnsi="Times New Roman" w:cs="Times New Roman" w:eastAsia="Times New Roman" w:hint="default"/>
        </w:rPr>
        <w:t>105%</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pStyle w:val="BodyText"/>
        <w:spacing w:line="300" w:lineRule="auto" w:before="13"/>
        <w:ind w:right="195" w:firstLine="359"/>
        <w:jc w:val="both"/>
      </w:pPr>
      <w:r>
        <w:rPr/>
        <w:t>注</w:t>
      </w:r>
      <w:r>
        <w:rPr>
          <w:rFonts w:ascii="Times New Roman" w:hAnsi="Times New Roman" w:cs="Times New Roman" w:eastAsia="Times New Roman" w:hint="default"/>
        </w:rPr>
        <w:t>4</w:t>
      </w:r>
      <w:r>
        <w:rPr/>
        <w:t>：激励计划的授予日为</w:t>
      </w:r>
      <w:r>
        <w:rPr>
          <w:rFonts w:ascii="Times New Roman" w:hAnsi="Times New Roman" w:cs="Times New Roman" w:eastAsia="Times New Roman" w:hint="default"/>
        </w:rPr>
        <w:t>2012</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日，根据授予日股票期权的公允价值总额确认激励成本。经测算，预计股票期 权激励成本合计为</w:t>
      </w:r>
      <w:r>
        <w:rPr>
          <w:rFonts w:ascii="Times New Roman" w:hAnsi="Times New Roman" w:cs="Times New Roman" w:eastAsia="Times New Roman" w:hint="default"/>
        </w:rPr>
        <w:t>1,873.67</w:t>
      </w:r>
      <w:r>
        <w:rPr/>
        <w:t>万元，</w:t>
      </w:r>
      <w:r>
        <w:rPr>
          <w:spacing w:val="-25"/>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-2016</w:t>
      </w:r>
      <w:r>
        <w:rPr/>
        <w:t>年股票期权成本摊销情况见下表：</w:t>
      </w:r>
    </w:p>
    <w:p>
      <w:pPr>
        <w:spacing w:after="0" w:line="300" w:lineRule="auto"/>
        <w:jc w:val="both"/>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445"/>
        <w:gridCol w:w="991"/>
        <w:gridCol w:w="1135"/>
        <w:gridCol w:w="1133"/>
        <w:gridCol w:w="991"/>
        <w:gridCol w:w="852"/>
        <w:gridCol w:w="1145"/>
        <w:gridCol w:w="919"/>
      </w:tblGrid>
      <w:tr>
        <w:trPr>
          <w:trHeight w:val="667" w:hRule="exact"/>
        </w:trPr>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期权份额</w:t>
            </w:r>
          </w:p>
          <w:p>
            <w:pPr>
              <w:pStyle w:val="TableParagraph"/>
              <w:spacing w:line="240" w:lineRule="auto" w:before="76"/>
              <w:ind w:left="355" w:right="0"/>
              <w:jc w:val="left"/>
              <w:rPr>
                <w:rFonts w:ascii="宋体" w:hAnsi="宋体" w:cs="宋体" w:eastAsia="宋体" w:hint="default"/>
                <w:sz w:val="18"/>
                <w:szCs w:val="18"/>
              </w:rPr>
            </w:pPr>
            <w:r>
              <w:rPr>
                <w:rFonts w:ascii="宋体" w:hAnsi="宋体" w:cs="宋体" w:eastAsia="宋体" w:hint="default"/>
                <w:sz w:val="18"/>
                <w:szCs w:val="18"/>
              </w:rPr>
              <w:t>（万份）</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期权价值</w:t>
            </w:r>
          </w:p>
          <w:p>
            <w:pPr>
              <w:pStyle w:val="TableParagraph"/>
              <w:spacing w:line="240" w:lineRule="auto" w:before="76"/>
              <w:ind w:left="21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期权成本</w:t>
            </w:r>
          </w:p>
          <w:p>
            <w:pPr>
              <w:pStyle w:val="TableParagraph"/>
              <w:spacing w:line="240" w:lineRule="auto" w:before="76"/>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p>
            <w:pPr>
              <w:pStyle w:val="TableParagraph"/>
              <w:spacing w:line="240" w:lineRule="auto" w:before="62"/>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p>
            <w:pPr>
              <w:pStyle w:val="TableParagraph"/>
              <w:spacing w:line="240" w:lineRule="auto" w:before="62"/>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pStyle w:val="TableParagraph"/>
              <w:spacing w:line="240" w:lineRule="auto" w:before="62"/>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p>
            <w:pPr>
              <w:pStyle w:val="TableParagraph"/>
              <w:spacing w:line="240" w:lineRule="auto" w:before="62"/>
              <w:ind w:left="20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pStyle w:val="TableParagraph"/>
              <w:spacing w:line="240" w:lineRule="auto" w:before="62"/>
              <w:ind w:left="9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53" w:hRule="exact"/>
        </w:trPr>
        <w:tc>
          <w:tcPr>
            <w:tcW w:w="14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441.60</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4.24</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47" w:right="0"/>
              <w:jc w:val="left"/>
              <w:rPr>
                <w:rFonts w:ascii="Times New Roman" w:hAnsi="Times New Roman" w:cs="Times New Roman" w:eastAsia="Times New Roman" w:hint="default"/>
                <w:sz w:val="18"/>
                <w:szCs w:val="18"/>
              </w:rPr>
            </w:pPr>
            <w:r>
              <w:rPr>
                <w:rFonts w:ascii="Times New Roman"/>
                <w:sz w:val="18"/>
              </w:rPr>
              <w:t>1,873.67</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14" w:right="0"/>
              <w:jc w:val="left"/>
              <w:rPr>
                <w:rFonts w:ascii="Times New Roman" w:hAnsi="Times New Roman" w:cs="Times New Roman" w:eastAsia="Times New Roman" w:hint="default"/>
                <w:sz w:val="18"/>
                <w:szCs w:val="18"/>
              </w:rPr>
            </w:pPr>
            <w:r>
              <w:rPr>
                <w:rFonts w:ascii="Times New Roman"/>
                <w:sz w:val="18"/>
              </w:rPr>
              <w:t>325.29</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819.73</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72" w:right="0"/>
              <w:jc w:val="left"/>
              <w:rPr>
                <w:rFonts w:ascii="Times New Roman" w:hAnsi="Times New Roman" w:cs="Times New Roman" w:eastAsia="Times New Roman" w:hint="default"/>
                <w:sz w:val="18"/>
                <w:szCs w:val="18"/>
              </w:rPr>
            </w:pPr>
            <w:r>
              <w:rPr>
                <w:rFonts w:ascii="Times New Roman"/>
                <w:sz w:val="18"/>
              </w:rPr>
              <w:t>429.38</w:t>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Times New Roman"/>
                <w:sz w:val="18"/>
              </w:rPr>
              <w:t>221.20</w:t>
            </w:r>
          </w:p>
        </w:tc>
        <w:tc>
          <w:tcPr>
            <w:tcW w:w="9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49" w:right="0"/>
              <w:jc w:val="left"/>
              <w:rPr>
                <w:rFonts w:ascii="Times New Roman" w:hAnsi="Times New Roman" w:cs="Times New Roman" w:eastAsia="Times New Roman" w:hint="default"/>
                <w:sz w:val="18"/>
                <w:szCs w:val="18"/>
              </w:rPr>
            </w:pPr>
            <w:r>
              <w:rPr>
                <w:rFonts w:ascii="Times New Roman"/>
                <w:sz w:val="18"/>
              </w:rPr>
              <w:t>78.07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1）应收账款" w:id="265"/>
      <w:bookmarkEnd w:id="265"/>
      <w:r>
        <w:rPr>
          <w:b w:val="0"/>
          <w:bCs w:val="0"/>
        </w:rPr>
      </w:r>
      <w:r>
        <w:rPr>
          <w:rFonts w:ascii="Times New Roman" w:hAnsi="Times New Roman" w:cs="Times New Roman" w:eastAsia="Times New Roman" w:hint="default"/>
        </w:rPr>
        <w:t>2</w:t>
      </w:r>
      <w:bookmarkStart w:name="2、以权益结算的股份支付情况" w:id="266"/>
      <w:bookmarkEnd w:id="266"/>
      <w:r>
        <w:rPr>
          <w:rFonts w:ascii="Times New Roman" w:hAnsi="Times New Roman" w:cs="Times New Roman" w:eastAsia="Times New Roman" w:hint="default"/>
        </w:rPr>
      </w:r>
      <w:r>
        <w:rPr/>
        <w:t>、以权益结算的股份支付情况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期权定价模型</w:t>
            </w:r>
          </w:p>
        </w:tc>
      </w:tr>
      <w:tr>
        <w:trPr>
          <w:trHeight w:val="102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both"/>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在等待期内的每个资产负债表日，根据最新取得的可行权职 工人数变动等后续信息做出最佳估计，修正预计可行权的权 益工具数量</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3,252,895.71</w:t>
            </w:r>
            <w:r>
              <w:rPr>
                <w:rFonts w:ascii="Times New Roman"/>
                <w:sz w:val="18"/>
              </w:rPr>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3,252,895.71</w:t>
            </w:r>
            <w:r>
              <w:rPr>
                <w:rFonts w:ascii="Times New Roman"/>
                <w:sz w:val="18"/>
              </w:rPr>
            </w:r>
          </w:p>
        </w:tc>
      </w:tr>
    </w:tbl>
    <w:p>
      <w:pPr>
        <w:pStyle w:val="BodyText"/>
        <w:spacing w:line="240" w:lineRule="auto" w:before="49"/>
        <w:ind w:right="0"/>
        <w:jc w:val="left"/>
      </w:pPr>
      <w:r>
        <w:rPr/>
        <w:t>以权益结算的股份支付的说明</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r>
        <w:rPr/>
        <w:t>十、资产负债表日后事项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十、资产负债表日后事项" w:id="267"/>
      <w:bookmarkEnd w:id="267"/>
      <w:r>
        <w:rPr/>
      </w:r>
      <w:bookmarkStart w:name="1、资产负债表日后利润分配情况说明" w:id="268"/>
      <w:bookmarkEnd w:id="26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7,490,000.00</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十一、母公司财务报表主要项目注释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十一、母公司财务报表主要项目注释" w:id="269"/>
      <w:bookmarkEnd w:id="269"/>
      <w:r>
        <w:rPr/>
      </w:r>
      <w:bookmarkStart w:name="1、应收账款" w:id="270"/>
      <w:bookmarkEnd w:id="27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3"/>
        <w:gridCol w:w="533"/>
        <w:gridCol w:w="1327"/>
        <w:gridCol w:w="665"/>
        <w:gridCol w:w="1195"/>
        <w:gridCol w:w="665"/>
        <w:gridCol w:w="1327"/>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4D4D4"/>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101,945,490.72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8,393,030.11</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60,829,851.08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4,127,776.09</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101,945,490.72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8,393,030.11</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60,829,851.08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4,127,776.09</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7"/>
        <w:gridCol w:w="665"/>
      </w:tblGrid>
      <w:tr>
        <w:trPr>
          <w:trHeight w:val="1025"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63"/>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757,795.00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757,795.00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757,795.00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1.23%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757,795.00</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102,703,285.72</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9,150,825.11</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61,587,646.08</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4,885,571.09</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357" w:lineRule="auto" w:before="49"/>
        <w:ind w:left="440" w:right="-18" w:hanging="288"/>
        <w:jc w:val="left"/>
      </w:pPr>
      <w:r>
        <w:rPr/>
        <w:t>应收账款种类的说明 本公司单项金额重大的应收账款是指单个客户金额</w:t>
      </w:r>
      <w:r>
        <w:rPr>
          <w:rFonts w:ascii="Times New Roman" w:hAnsi="Times New Roman" w:cs="Times New Roman" w:eastAsia="Times New Roman" w:hint="default"/>
        </w:rPr>
        <w:t>100</w:t>
      </w:r>
      <w:r>
        <w:rPr/>
        <w:t>万元以上的应收款项。</w:t>
      </w:r>
    </w:p>
    <w:p>
      <w:pPr>
        <w:pStyle w:val="BodyText"/>
        <w:spacing w:line="240" w:lineRule="auto" w:before="6"/>
        <w:ind w:right="-18"/>
        <w:jc w:val="left"/>
      </w:pPr>
      <w:r>
        <w:rPr/>
        <w:t>期末单项金额重大并单项计提坏账准备的应收账款</w:t>
      </w:r>
    </w:p>
    <w:p>
      <w:pPr>
        <w:pStyle w:val="BodyText"/>
        <w:spacing w:line="357" w:lineRule="auto" w:before="117"/>
        <w:ind w:right="2340" w:hanging="1"/>
        <w:jc w:val="left"/>
      </w:pPr>
      <w:r>
        <w:rPr/>
        <w:t>□ 适用 √</w:t>
      </w:r>
      <w:r>
        <w:rPr>
          <w:spacing w:val="3"/>
        </w:rPr>
        <w:t> </w:t>
      </w:r>
      <w:r>
        <w:rPr/>
        <w:t>不适用</w:t>
      </w:r>
      <w:r>
        <w:rPr/>
        <w:t> 组合中，采用账龄分析法计提坏账准备的应收账款</w:t>
      </w:r>
    </w:p>
    <w:p>
      <w:pPr>
        <w:pStyle w:val="BodyText"/>
        <w:spacing w:line="240" w:lineRule="auto" w:before="29"/>
        <w:ind w:right="-18"/>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473" w:space="2355"/>
            <w:col w:w="112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994"/>
        <w:gridCol w:w="662"/>
        <w:gridCol w:w="1462"/>
        <w:gridCol w:w="2126"/>
        <w:gridCol w:w="665"/>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00000"/>
              <w:right w:val="single" w:sz="4" w:space="0" w:color="000000"/>
            </w:tcBorders>
            <w:shd w:val="clear" w:color="auto" w:fill="D4D4D4"/>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4D4D4"/>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4D4D4"/>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年以内（含</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69,634,275.27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3,481,713.76</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49,941,138.64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2,497,056.93</w:t>
            </w:r>
            <w:r>
              <w:rPr>
                <w:rFonts w:ascii="Times New Roman"/>
                <w:sz w:val="18"/>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69,634,275.27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3,481,713.76</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49,941,138.64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2,497,056.93</w:t>
            </w:r>
            <w:r>
              <w:rPr>
                <w:rFonts w:ascii="Times New Roman"/>
                <w:sz w:val="18"/>
              </w:rPr>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26,206,519.05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2,620,651.91</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8,179,472.84</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817,947.28</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3,808,418.80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1,142,525.64</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2,709,239.60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812,771.88</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2,296,277.60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1,148,138.80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2,296,277.60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1,148,138.80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101,945,490.72</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8,393,030.11</w:t>
            </w:r>
          </w:p>
        </w:tc>
        <w:tc>
          <w:tcPr>
            <w:tcW w:w="2126"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60,829,851.08</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4,127,776.09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组合中，采用余额百分比法计提坏账准备的应收账款</w:t>
      </w:r>
    </w:p>
    <w:p>
      <w:pPr>
        <w:pStyle w:val="BodyText"/>
        <w:spacing w:line="360" w:lineRule="auto" w:before="115"/>
        <w:ind w:right="521" w:hanging="1"/>
        <w:jc w:val="left"/>
      </w:pPr>
      <w:r>
        <w:rPr/>
        <w:t>□ 适用 √</w:t>
      </w:r>
      <w:r>
        <w:rPr>
          <w:spacing w:val="3"/>
        </w:rPr>
        <w:t> </w:t>
      </w:r>
      <w:r>
        <w:rPr/>
        <w:t>不适用</w:t>
      </w:r>
      <w:r>
        <w:rPr/>
        <w:t> 组合中，采用其他方法计提坏账准备的应收账款</w:t>
      </w:r>
    </w:p>
    <w:p>
      <w:pPr>
        <w:pStyle w:val="BodyText"/>
        <w:spacing w:line="360" w:lineRule="auto" w:before="25"/>
        <w:ind w:left="153" w:right="-20" w:hanging="1"/>
        <w:jc w:val="left"/>
      </w:pPr>
      <w:r>
        <w:rPr/>
        <w:t>□ 适用 √</w:t>
      </w:r>
      <w:r>
        <w:rPr>
          <w:spacing w:val="3"/>
        </w:rPr>
        <w:t> </w:t>
      </w:r>
      <w:r>
        <w:rPr/>
        <w:t>不适用</w:t>
      </w:r>
      <w:r>
        <w:rPr/>
        <w:t> 期末单项金额虽不重大但单项计提坏账准备的应收账款</w:t>
      </w:r>
    </w:p>
    <w:p>
      <w:pPr>
        <w:pStyle w:val="BodyText"/>
        <w:spacing w:line="240" w:lineRule="auto" w:before="27"/>
        <w:ind w:left="153"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4" w:space="4354"/>
            <w:col w:w="112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应收软件款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334,395.00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334,395.00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9"/>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 回</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应收软件款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423,400.00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362"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回</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757,795.00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757,795.00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bookmarkStart w:name="（2）本报告期应收账款中持有公司5％（含5％）以上表决权股份的股东单位情况" w:id="271"/>
      <w:bookmarkEnd w:id="271"/>
      <w:r>
        <w:rPr>
          <w:rFonts w:ascii="Times New Roman" w:hAnsi="Times New Roman" w:cs="Times New Roman" w:eastAsia="Times New Roman" w:hint="default"/>
        </w:rPr>
      </w:r>
      <w:r>
        <w:rPr/>
        <w:t>）本报告期应收账款中持有公司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2"/>
        <w:gridCol w:w="1860"/>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应收账款中金额前五名单位情况" w:id="272"/>
      <w:bookmarkEnd w:id="27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4,401,719.20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2,663,678.00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2,534,900.00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18,570,297.20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其他应收款" w:id="273"/>
      <w:bookmarkEnd w:id="273"/>
      <w:r>
        <w:rPr/>
      </w:r>
      <w:bookmarkStart w:name="（1）其他应收款" w:id="274"/>
      <w:bookmarkEnd w:id="27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64"/>
        <w:gridCol w:w="1448"/>
        <w:gridCol w:w="528"/>
        <w:gridCol w:w="1320"/>
        <w:gridCol w:w="529"/>
        <w:gridCol w:w="1321"/>
        <w:gridCol w:w="528"/>
        <w:gridCol w:w="1190"/>
        <w:gridCol w:w="526"/>
      </w:tblGrid>
      <w:tr>
        <w:trPr>
          <w:trHeight w:val="402" w:hRule="exact"/>
        </w:trPr>
        <w:tc>
          <w:tcPr>
            <w:tcW w:w="2164" w:type="dxa"/>
            <w:vMerge w:val="restart"/>
            <w:tcBorders>
              <w:top w:val="single" w:sz="4" w:space="0" w:color="000000"/>
              <w:left w:val="single" w:sz="4" w:space="0" w:color="000000"/>
              <w:right w:val="single" w:sz="4" w:space="0" w:color="000000"/>
            </w:tcBorders>
            <w:shd w:val="clear" w:color="auto" w:fill="D4D4D4"/>
          </w:tcPr>
          <w:p>
            <w:pP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2164" w:type="dxa"/>
            <w:vMerge/>
            <w:tcBorders>
              <w:left w:val="single" w:sz="4" w:space="0" w:color="000000"/>
              <w:bottom w:val="nil" w:sz="6" w:space="0" w:color="auto"/>
              <w:right w:val="single" w:sz="4" w:space="0" w:color="000000"/>
            </w:tcBorders>
            <w:shd w:val="clear" w:color="auto" w:fill="D4D4D4"/>
          </w:tcPr>
          <w:p>
            <w:pPr/>
          </w:p>
        </w:tc>
        <w:tc>
          <w:tcPr>
            <w:tcW w:w="197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种类</w:t>
            </w:r>
          </w:p>
        </w:tc>
        <w:tc>
          <w:tcPr>
            <w:tcW w:w="1976" w:type="dxa"/>
            <w:gridSpan w:val="2"/>
            <w:vMerge/>
            <w:tcBorders>
              <w:left w:val="single" w:sz="4" w:space="0" w:color="000000"/>
              <w:bottom w:val="single" w:sz="4" w:space="0" w:color="000000"/>
              <w:right w:val="single" w:sz="4" w:space="0" w:color="000000"/>
            </w:tcBorders>
            <w:shd w:val="clear" w:color="auto" w:fill="D4D4D4"/>
          </w:tcPr>
          <w:p>
            <w:pPr/>
          </w:p>
        </w:tc>
        <w:tc>
          <w:tcPr>
            <w:tcW w:w="1849" w:type="dxa"/>
            <w:gridSpan w:val="2"/>
            <w:vMerge/>
            <w:tcBorders>
              <w:left w:val="single" w:sz="4" w:space="0" w:color="000000"/>
              <w:bottom w:val="single" w:sz="4" w:space="0" w:color="000000"/>
              <w:right w:val="single" w:sz="4" w:space="0" w:color="000000"/>
            </w:tcBorders>
            <w:shd w:val="clear" w:color="auto" w:fill="D4D4D4"/>
          </w:tcPr>
          <w:p>
            <w:pPr/>
          </w:p>
        </w:tc>
        <w:tc>
          <w:tcPr>
            <w:tcW w:w="1849" w:type="dxa"/>
            <w:gridSpan w:val="2"/>
            <w:vMerge/>
            <w:tcBorders>
              <w:left w:val="single" w:sz="4" w:space="0" w:color="000000"/>
              <w:bottom w:val="single" w:sz="4" w:space="0" w:color="000000"/>
              <w:right w:val="single" w:sz="4" w:space="0" w:color="000000"/>
            </w:tcBorders>
            <w:shd w:val="clear" w:color="auto" w:fill="D4D4D4"/>
          </w:tcPr>
          <w:p>
            <w:pPr/>
          </w:p>
        </w:tc>
        <w:tc>
          <w:tcPr>
            <w:tcW w:w="1716" w:type="dxa"/>
            <w:gridSpan w:val="2"/>
            <w:vMerge/>
            <w:tcBorders>
              <w:left w:val="single" w:sz="4" w:space="0" w:color="000000"/>
              <w:bottom w:val="single" w:sz="4" w:space="0" w:color="000000"/>
              <w:right w:val="single" w:sz="4" w:space="0" w:color="000000"/>
            </w:tcBorders>
            <w:shd w:val="clear" w:color="auto" w:fill="D4D4D4"/>
          </w:tcPr>
          <w:p>
            <w:pPr/>
          </w:p>
        </w:tc>
      </w:tr>
      <w:tr>
        <w:trPr>
          <w:trHeight w:val="158" w:hRule="exact"/>
        </w:trPr>
        <w:tc>
          <w:tcPr>
            <w:tcW w:w="2164" w:type="dxa"/>
            <w:vMerge/>
            <w:tcBorders>
              <w:left w:val="single" w:sz="4" w:space="0" w:color="000000"/>
              <w:bottom w:val="single" w:sz="4" w:space="0" w:color="FFFFFF"/>
              <w:right w:val="single" w:sz="4" w:space="0" w:color="000000"/>
            </w:tcBorders>
            <w:shd w:val="clear" w:color="auto" w:fill="D4D4D4"/>
          </w:tcPr>
          <w:p>
            <w:pPr/>
          </w:p>
        </w:tc>
        <w:tc>
          <w:tcPr>
            <w:tcW w:w="1448"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nil" w:sz="6" w:space="0" w:color="auto"/>
              <w:right w:val="single" w:sz="4" w:space="0" w:color="000000"/>
            </w:tcBorders>
            <w:shd w:val="clear" w:color="auto" w:fill="D4D4D4"/>
          </w:tcPr>
          <w:p>
            <w:pPr/>
          </w:p>
        </w:tc>
        <w:tc>
          <w:tcPr>
            <w:tcW w:w="5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nil" w:sz="6" w:space="0" w:color="auto"/>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5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64" w:type="dxa"/>
            <w:vMerge w:val="restart"/>
            <w:tcBorders>
              <w:top w:val="single" w:sz="4" w:space="0" w:color="FFFFFF"/>
              <w:left w:val="single" w:sz="4" w:space="0" w:color="000000"/>
              <w:right w:val="single" w:sz="4" w:space="0" w:color="000000"/>
            </w:tcBorders>
            <w:shd w:val="clear" w:color="auto" w:fill="D4D4D4"/>
          </w:tcPr>
          <w:p>
            <w:pPr/>
          </w:p>
        </w:tc>
        <w:tc>
          <w:tcPr>
            <w:tcW w:w="1448" w:type="dxa"/>
            <w:tcBorders>
              <w:top w:val="single" w:sz="4" w:space="0" w:color="FFFFFF"/>
              <w:left w:val="single" w:sz="4" w:space="0" w:color="000000"/>
              <w:bottom w:val="nil" w:sz="6" w:space="0" w:color="auto"/>
              <w:right w:val="single" w:sz="4" w:space="0" w:color="000000"/>
            </w:tcBorders>
            <w:shd w:val="clear" w:color="auto" w:fill="D4D4D4"/>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3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4D4D4"/>
          </w:tcPr>
          <w:p>
            <w:pPr/>
          </w:p>
        </w:tc>
        <w:tc>
          <w:tcPr>
            <w:tcW w:w="13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4D4D4"/>
          </w:tcPr>
          <w:p>
            <w:pPr/>
          </w:p>
        </w:tc>
      </w:tr>
      <w:tr>
        <w:trPr>
          <w:trHeight w:val="161" w:hRule="exact"/>
        </w:trPr>
        <w:tc>
          <w:tcPr>
            <w:tcW w:w="2164" w:type="dxa"/>
            <w:vMerge/>
            <w:tcBorders>
              <w:left w:val="single" w:sz="4" w:space="0" w:color="000000"/>
              <w:bottom w:val="single" w:sz="4" w:space="0" w:color="000000"/>
              <w:right w:val="single" w:sz="4" w:space="0" w:color="000000"/>
            </w:tcBorders>
            <w:shd w:val="clear" w:color="auto" w:fill="D4D4D4"/>
          </w:tcPr>
          <w:p>
            <w:pPr/>
          </w:p>
        </w:tc>
        <w:tc>
          <w:tcPr>
            <w:tcW w:w="1448"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320" w:type="dxa"/>
            <w:tcBorders>
              <w:top w:val="nil" w:sz="6" w:space="0" w:color="auto"/>
              <w:left w:val="single" w:sz="4" w:space="0" w:color="000000"/>
              <w:bottom w:val="single" w:sz="4" w:space="0" w:color="000000"/>
              <w:right w:val="single" w:sz="4" w:space="0" w:color="000000"/>
            </w:tcBorders>
            <w:shd w:val="clear" w:color="auto" w:fill="D4D4D4"/>
          </w:tcPr>
          <w:p>
            <w:pPr/>
          </w:p>
        </w:tc>
        <w:tc>
          <w:tcPr>
            <w:tcW w:w="529" w:type="dxa"/>
            <w:vMerge/>
            <w:tcBorders>
              <w:left w:val="single" w:sz="4" w:space="0" w:color="000000"/>
              <w:bottom w:val="single" w:sz="4" w:space="0" w:color="000000"/>
              <w:right w:val="single" w:sz="4" w:space="0" w:color="000000"/>
            </w:tcBorders>
            <w:shd w:val="clear" w:color="auto" w:fill="D4D4D4"/>
          </w:tcPr>
          <w:p>
            <w:pPr/>
          </w:p>
        </w:tc>
        <w:tc>
          <w:tcPr>
            <w:tcW w:w="1321"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52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6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26,040,111.89</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10,294,229.99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5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2" w:right="161"/>
              <w:jc w:val="left"/>
              <w:rPr>
                <w:rFonts w:ascii="宋体" w:hAnsi="宋体" w:cs="宋体" w:eastAsia="宋体" w:hint="default"/>
                <w:sz w:val="18"/>
                <w:szCs w:val="18"/>
              </w:rPr>
            </w:pPr>
            <w:r>
              <w:rPr>
                <w:rFonts w:ascii="宋体" w:hAnsi="宋体" w:cs="宋体" w:eastAsia="宋体" w:hint="default"/>
                <w:sz w:val="18"/>
                <w:szCs w:val="18"/>
              </w:rPr>
              <w:t>按组合计提坏账准备的其 他应收款</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13,125,262.70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1,315,674.18</w:t>
            </w:r>
            <w:r>
              <w:rPr>
                <w:rFonts w:ascii="Times New Roman"/>
                <w:sz w:val="18"/>
              </w:rPr>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11,200,083.19</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52.11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1,003,723.15</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8.96%</w:t>
            </w:r>
          </w:p>
        </w:tc>
      </w:tr>
      <w:tr>
        <w:trPr>
          <w:trHeight w:val="715" w:hRule="exact"/>
        </w:trPr>
        <w:tc>
          <w:tcPr>
            <w:tcW w:w="2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13,125,262.70</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1,315,674.18</w:t>
            </w:r>
            <w:r>
              <w:rPr>
                <w:rFonts w:ascii="Times New Roman"/>
                <w:sz w:val="18"/>
              </w:rPr>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11,200,083.19</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52.11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1,003,723.15</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8.96%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68"/>
        <w:gridCol w:w="1456"/>
        <w:gridCol w:w="516"/>
        <w:gridCol w:w="1332"/>
        <w:gridCol w:w="527"/>
        <w:gridCol w:w="1334"/>
        <w:gridCol w:w="516"/>
        <w:gridCol w:w="1190"/>
        <w:gridCol w:w="526"/>
      </w:tblGrid>
      <w:tr>
        <w:trPr>
          <w:trHeight w:val="403" w:hRule="exact"/>
        </w:trPr>
        <w:tc>
          <w:tcPr>
            <w:tcW w:w="2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39,165,374.59</w:t>
            </w:r>
          </w:p>
        </w:tc>
        <w:tc>
          <w:tcPr>
            <w:tcW w:w="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3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1,315,674.18</w:t>
            </w:r>
          </w:p>
        </w:tc>
        <w:tc>
          <w:tcPr>
            <w:tcW w:w="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21,494,313.18</w:t>
            </w:r>
          </w:p>
        </w:tc>
        <w:tc>
          <w:tcPr>
            <w:tcW w:w="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1,003,723.15</w:t>
            </w:r>
          </w:p>
        </w:tc>
        <w:tc>
          <w:tcPr>
            <w:tcW w:w="5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982" w:header="745" w:top="1060" w:bottom="1180" w:left="980" w:right="980"/>
          <w:pgNumType w:start="120"/>
        </w:sectPr>
      </w:pPr>
    </w:p>
    <w:p>
      <w:pPr>
        <w:pStyle w:val="BodyText"/>
        <w:spacing w:line="357" w:lineRule="auto" w:before="49"/>
        <w:ind w:left="440" w:right="-18" w:hanging="288"/>
        <w:jc w:val="left"/>
      </w:pPr>
      <w:r>
        <w:rPr/>
        <w:t>其他应收款种类的说明 本公司单项金额重大的其他应收款是指单个客户金额</w:t>
      </w:r>
      <w:r>
        <w:rPr>
          <w:rFonts w:ascii="Times New Roman" w:hAnsi="Times New Roman" w:cs="Times New Roman" w:eastAsia="Times New Roman" w:hint="default"/>
        </w:rPr>
        <w:t>100</w:t>
      </w:r>
      <w:r>
        <w:rPr/>
        <w:t>万元以上的应收款项。</w:t>
      </w:r>
    </w:p>
    <w:p>
      <w:pPr>
        <w:pStyle w:val="BodyText"/>
        <w:spacing w:line="240" w:lineRule="auto" w:before="6"/>
        <w:ind w:right="-18"/>
        <w:jc w:val="left"/>
      </w:pPr>
      <w:r>
        <w:rPr/>
        <w:t>期末单项金额重大并单项计提坏账准备的其他应收款</w:t>
      </w:r>
    </w:p>
    <w:p>
      <w:pPr>
        <w:pStyle w:val="BodyText"/>
        <w:spacing w:line="240" w:lineRule="auto" w:before="115"/>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653" w:space="2175"/>
            <w:col w:w="112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软件产品增值税即征即 退税款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12,088,974.94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预计无坏账风险</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8,673,081.33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预计无坏账风险</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江苏金仕达卫宁软件有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5,278,055.62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关联方，预计无坏账风 险</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26,040,111.89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组合中，采用账龄分析法计提坏账准备的其他应收款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7"/>
        <w:gridCol w:w="1793"/>
        <w:gridCol w:w="662"/>
        <w:gridCol w:w="1594"/>
        <w:gridCol w:w="1862"/>
        <w:gridCol w:w="665"/>
        <w:gridCol w:w="1726"/>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7" w:type="dxa"/>
            <w:vMerge/>
            <w:tcBorders>
              <w:left w:val="single" w:sz="4" w:space="0" w:color="000000"/>
              <w:right w:val="single" w:sz="4" w:space="0" w:color="000000"/>
            </w:tcBorders>
            <w:shd w:val="clear" w:color="auto" w:fill="D4D4D4"/>
          </w:tcPr>
          <w:p>
            <w:pPr/>
          </w:p>
        </w:tc>
        <w:tc>
          <w:tcPr>
            <w:tcW w:w="245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7" w:type="dxa"/>
            <w:vMerge/>
            <w:tcBorders>
              <w:left w:val="single" w:sz="4" w:space="0" w:color="000000"/>
              <w:bottom w:val="single" w:sz="4" w:space="0" w:color="000000"/>
              <w:right w:val="single" w:sz="4" w:space="0" w:color="000000"/>
            </w:tcBorders>
            <w:shd w:val="clear" w:color="auto" w:fill="D4D4D4"/>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9,253,701.92</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462,685.10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6,786,559.39</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339,327.97</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9,253,701.92</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462,685.10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6,786,559.39</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31.57%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339,327.97</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1,682,395.78</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168,239.58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3,735,347.30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17.38%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373,534.73</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2,049,165.00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614,749.50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469,701.50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140,910.45</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208,475.00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149,950.00</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56,100.00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28,050.00</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152,375.00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121,900.00</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13,125,262.70</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1,315,674.18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11,200,083.19</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1,003,723.15</w:t>
            </w:r>
            <w:r>
              <w:rPr>
                <w:rFonts w:ascii="Times New Roman"/>
                <w:sz w:val="18"/>
              </w:rPr>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left="153" w:right="52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长期股权投资" w:id="275"/>
      <w:bookmarkEnd w:id="275"/>
      <w:r>
        <w:rPr>
          <w:b w:val="0"/>
          <w:bCs w:val="0"/>
        </w:rPr>
      </w:r>
      <w:r>
        <w:rPr/>
        <w:t>（</w:t>
      </w:r>
      <w:r>
        <w:rPr>
          <w:rFonts w:ascii="Times New Roman" w:hAnsi="Times New Roman" w:cs="Times New Roman" w:eastAsia="Times New Roman" w:hint="default"/>
        </w:rPr>
        <w:t>2</w:t>
      </w:r>
      <w:bookmarkStart w:name="（2）本报告期其他应收款中持有公司5％（含5％）以上表决权股份的股东单位情况" w:id="276"/>
      <w:bookmarkEnd w:id="276"/>
      <w:r>
        <w:rPr>
          <w:rFonts w:ascii="Times New Roman" w:hAnsi="Times New Roman" w:cs="Times New Roman" w:eastAsia="Times New Roman" w:hint="default"/>
        </w:rPr>
      </w:r>
      <w:r>
        <w:rPr/>
        <w:t>）本报告期其他应收款中持有公司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8"/>
        <w:gridCol w:w="1728"/>
        <w:gridCol w:w="1726"/>
        <w:gridCol w:w="1860"/>
        <w:gridCol w:w="1594"/>
      </w:tblGrid>
      <w:tr>
        <w:trPr>
          <w:trHeight w:val="403" w:hRule="exact"/>
        </w:trPr>
        <w:tc>
          <w:tcPr>
            <w:tcW w:w="26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8"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）其他应收款金额前五</w:t>
      </w:r>
      <w:bookmarkStart w:name="（3）其他应收款金额前五名单位情况" w:id="277"/>
      <w:bookmarkEnd w:id="277"/>
      <w:r>
        <w:rPr/>
        <w:t>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455,448.00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4,704,748.00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其他应收关联方账款情况" w:id="278"/>
      <w:bookmarkEnd w:id="27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1"/>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江苏金仕达卫宁软件有限公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5,278,055.62</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13.48%</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5,278,055.62</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上海金仕 达卫宁信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7"/>
      </w:tblGrid>
      <w:tr>
        <w:trPr>
          <w:trHeight w:val="133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江苏金仕 达卫宁软 件有限公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上海金仕 达卫宁软 件科技有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西安金仕 达卫宁软 件有限公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上海卫生 信息工程 技术研究 中心有限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14.29%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154"/>
        <w:jc w:val="left"/>
      </w:pPr>
      <w:bookmarkStart w:name="（2）主营业务（分行业）" w:id="279"/>
      <w:bookmarkEnd w:id="279"/>
      <w:r>
        <w:rPr/>
      </w:r>
      <w:r>
        <w:rPr/>
        <w:t>长期股权投资的说明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营业收入和营业成本" w:id="280"/>
      <w:bookmarkEnd w:id="280"/>
      <w:r>
        <w:rPr/>
      </w:r>
      <w:bookmarkStart w:name="（1）营业收入" w:id="281"/>
      <w:bookmarkEnd w:id="28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7"/>
        <w:gridCol w:w="3588"/>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244,658,572.91</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153,927,360.04</w:t>
            </w:r>
            <w:r>
              <w:rPr>
                <w:rFonts w:ascii="Times New Roman"/>
                <w:sz w:val="18"/>
              </w:rPr>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244,658,572.91</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153,927,360.04</w:t>
            </w:r>
            <w:r>
              <w:rPr>
                <w:rFonts w:ascii="Times New Roman"/>
                <w:sz w:val="18"/>
              </w:rPr>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117,940,580.44</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59,604,103.53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医疗卫生信息化行业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244,658,572.91</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117,940,580.44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153,927,360.04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59,604,103.53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244,658,572.91</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117,940,580.44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153,927,360.04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59,604,103.53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主营业务（分产品）" w:id="282"/>
      <w:bookmarkEnd w:id="28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129,375,705.64</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45,942,538.96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85,198,832.93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20,772,326.12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69,366,157.96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52,996,793.78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42,032,321.87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32,919,806.67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45,916,709.31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19,001,247.70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26,696,205.24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5,911,970.74</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244,658,572.91</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117,940,580.44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153,927,360.04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59,604,103.53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主营业务（分地区）" w:id="283"/>
      <w:bookmarkEnd w:id="283"/>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113,981,621.99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56,888,392.31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71,027,884.20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25,237,006.22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13,855,026.62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9,424,039.15</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7,869,238.16</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3,089,358.07</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16,637,082.00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8,080,603.35</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20,141,552.72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12,629,377.52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22,383,453.57</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13,771,323.28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13,260,623.85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4,328,345.72</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7,894,457.39</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3,084,563.76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8,801,879.86</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3,412,871.69</w:t>
            </w:r>
            <w:r>
              <w:rPr>
                <w:rFonts w:ascii="Times New Roman"/>
                <w:sz w:val="18"/>
              </w:rPr>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31,831,894.86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11,202,565.13</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15,218,115.26</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5,403,332.75</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38,075,036.48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15,489,093.46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17,608,065.99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5,503,811.56</w:t>
            </w:r>
            <w:r>
              <w:rPr>
                <w:rFonts w:ascii="Times New Roman"/>
                <w:sz w:val="18"/>
              </w:rPr>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244,658,572.91</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117,940,580.44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153,927,360.04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59,604,103.53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5）公司前五名客户的营业收入情况" w:id="284"/>
      <w:bookmarkEnd w:id="28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2921"/>
        <w:gridCol w:w="1865"/>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17,389,339.61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7.11%</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15,972,687.10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11,837,606.85</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9,865,384.61</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5,894,188.03</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60,959,206.20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24.92%</w:t>
            </w:r>
          </w:p>
        </w:tc>
      </w:tr>
    </w:tbl>
    <w:p>
      <w:pPr>
        <w:pStyle w:val="BodyText"/>
        <w:spacing w:line="357" w:lineRule="auto" w:before="49"/>
        <w:ind w:right="8514"/>
        <w:jc w:val="left"/>
      </w:pPr>
      <w:r>
        <w:rPr/>
        <w:t>营业收入的说明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5、投资收益" w:id="285"/>
      <w:bookmarkEnd w:id="285"/>
      <w:r>
        <w:rPr>
          <w:rFonts w:ascii="Times New Roman" w:hAnsi="Times New Roman" w:cs="Times New Roman" w:eastAsia="Times New Roman" w:hint="default"/>
        </w:rPr>
      </w:r>
      <w:bookmarkStart w:name="（1）投资收益明细" w:id="286"/>
      <w:bookmarkEnd w:id="286"/>
      <w:r>
        <w:rPr>
          <w:rFonts w:ascii="Times New Roman" w:hAnsi="Times New Roman" w:cs="Times New Roman" w:eastAsia="Times New Roman" w:hint="default"/>
        </w:rPr>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99"/>
        <w:gridCol w:w="2533"/>
        <w:gridCol w:w="2525"/>
      </w:tblGrid>
      <w:tr>
        <w:trPr>
          <w:trHeight w:val="401"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38,356.16</w:t>
            </w:r>
          </w:p>
        </w:tc>
      </w:tr>
      <w:tr>
        <w:trPr>
          <w:trHeight w:val="401"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38,356.16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w:t>
      </w:r>
      <w:bookmarkStart w:name="（2）按成本法核算的长期股权投资收益" w:id="287"/>
      <w:bookmarkEnd w:id="287"/>
      <w:r>
        <w:rPr/>
        <w:t>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1728"/>
        <w:gridCol w:w="1594"/>
        <w:gridCol w:w="2921"/>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上海金仕达卫宁信息技术有限公司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江苏金仕达卫宁软件有限公司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上海金仕达卫宁软件科技有限公司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西安金仕达卫宁软件有限公司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现金流量表补充资料" w:id="288"/>
      <w:bookmarkEnd w:id="28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0"/>
        <w:gridCol w:w="2269"/>
        <w:gridCol w:w="2258"/>
      </w:tblGrid>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53,067,732.89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46,510,932.48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4,577,205.05</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3,187,261.42</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3,453,645.61</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771,987.83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154,953.24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37,596.00</w:t>
            </w:r>
          </w:p>
        </w:tc>
      </w:tr>
      <w:tr>
        <w:trPr>
          <w:trHeight w:val="714"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5,310.37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-71,287.80</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-38,356.16</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-2,086,056.80</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-746,894.58</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-17,501,953.82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-8,150,978.06</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-61,103,341.78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-50,282,617.59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43,169,318.42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18,447,960.42</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460,950.71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223,865.00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0"/>
        <w:gridCol w:w="2269"/>
        <w:gridCol w:w="2258"/>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24,197,763.89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9,889,468.96</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387,255,300.45</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401,623,514.36</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401,623,514.36</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64,772,448.15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-14,368,213.91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336,851,066.21</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十二、补充资料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十二、补充资料" w:id="289"/>
      <w:bookmarkEnd w:id="289"/>
      <w:r>
        <w:rPr/>
      </w:r>
      <w:bookmarkStart w:name="1、净资产收益率及每股收益" w:id="290"/>
      <w:bookmarkEnd w:id="290"/>
      <w:r>
        <w:rPr/>
      </w:r>
      <w:r>
        <w:rPr/>
        <w:t>单位：元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16"/>
        <w:gridCol w:w="2189"/>
        <w:gridCol w:w="1915"/>
        <w:gridCol w:w="1937"/>
      </w:tblGrid>
      <w:tr>
        <w:trPr>
          <w:trHeight w:val="184" w:hRule="exact"/>
        </w:trPr>
        <w:tc>
          <w:tcPr>
            <w:tcW w:w="3516" w:type="dxa"/>
            <w:tcBorders>
              <w:top w:val="single" w:sz="4" w:space="0" w:color="000000"/>
              <w:left w:val="single" w:sz="4" w:space="0" w:color="000000"/>
              <w:bottom w:val="nil" w:sz="6" w:space="0" w:color="auto"/>
              <w:right w:val="single" w:sz="4" w:space="0" w:color="000000"/>
            </w:tcBorders>
            <w:shd w:val="clear" w:color="auto" w:fill="D4D4D4"/>
          </w:tcPr>
          <w:p>
            <w:pPr/>
          </w:p>
        </w:tc>
        <w:tc>
          <w:tcPr>
            <w:tcW w:w="218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1"/>
              <w:ind w:left="14"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1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1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89" w:type="dxa"/>
            <w:vMerge/>
            <w:tcBorders>
              <w:left w:val="single" w:sz="4" w:space="0" w:color="000000"/>
              <w:right w:val="single" w:sz="4" w:space="0" w:color="000000"/>
            </w:tcBorders>
            <w:shd w:val="clear" w:color="auto" w:fill="D4D4D4"/>
          </w:tcPr>
          <w:p>
            <w:pPr/>
          </w:p>
        </w:tc>
        <w:tc>
          <w:tcPr>
            <w:tcW w:w="3852"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3516" w:type="dxa"/>
            <w:vMerge/>
            <w:tcBorders>
              <w:left w:val="single" w:sz="4" w:space="0" w:color="000000"/>
              <w:bottom w:val="nil" w:sz="6" w:space="0" w:color="auto"/>
              <w:right w:val="single" w:sz="4" w:space="0" w:color="000000"/>
            </w:tcBorders>
            <w:shd w:val="clear" w:color="auto" w:fill="D4D4D4"/>
          </w:tcPr>
          <w:p>
            <w:pPr/>
          </w:p>
        </w:tc>
        <w:tc>
          <w:tcPr>
            <w:tcW w:w="2189" w:type="dxa"/>
            <w:vMerge/>
            <w:tcBorders>
              <w:left w:val="single" w:sz="4" w:space="0" w:color="000000"/>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16" w:type="dxa"/>
            <w:tcBorders>
              <w:top w:val="nil" w:sz="6" w:space="0" w:color="auto"/>
              <w:left w:val="single" w:sz="4" w:space="0" w:color="000000"/>
              <w:bottom w:val="single" w:sz="4" w:space="0" w:color="000000"/>
              <w:right w:val="single" w:sz="4" w:space="0" w:color="000000"/>
            </w:tcBorders>
            <w:shd w:val="clear" w:color="auto" w:fill="D4D4D4"/>
          </w:tcPr>
          <w:p>
            <w:pPr/>
          </w:p>
        </w:tc>
        <w:tc>
          <w:tcPr>
            <w:tcW w:w="2189"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37" w:type="dxa"/>
            <w:vMerge/>
            <w:tcBorders>
              <w:left w:val="single" w:sz="4" w:space="0" w:color="000000"/>
              <w:bottom w:val="single" w:sz="4" w:space="0" w:color="000000"/>
              <w:right w:val="single" w:sz="4" w:space="0" w:color="000000"/>
            </w:tcBorders>
            <w:shd w:val="clear" w:color="auto" w:fill="D4D4D4"/>
          </w:tcPr>
          <w:p>
            <w:pPr/>
          </w:p>
        </w:tc>
      </w:tr>
      <w:tr>
        <w:trPr>
          <w:trHeight w:val="424" w:hRule="exact"/>
        </w:trPr>
        <w:tc>
          <w:tcPr>
            <w:tcW w:w="3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89" w:type="dxa"/>
            <w:tcBorders>
              <w:top w:val="single" w:sz="18" w:space="0" w:color="D4D4D4"/>
              <w:left w:val="single" w:sz="13" w:space="0" w:color="D4D4D4"/>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10.53%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0.49</w:t>
            </w:r>
            <w:r>
              <w:rPr>
                <w:rFonts w:ascii="Times New Roman"/>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0.49</w:t>
            </w:r>
            <w:r>
              <w:rPr>
                <w:rFonts w:ascii="Times New Roman"/>
                <w:sz w:val="18"/>
              </w:rPr>
            </w:r>
          </w:p>
        </w:tc>
      </w:tr>
      <w:tr>
        <w:trPr>
          <w:trHeight w:val="715" w:hRule="exact"/>
        </w:trPr>
        <w:tc>
          <w:tcPr>
            <w:tcW w:w="3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7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8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10.11%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0.47</w:t>
            </w:r>
            <w:r>
              <w:rPr>
                <w:rFonts w:ascii="Times New Roman"/>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2" w:right="0"/>
        <w:jc w:val="left"/>
      </w:pPr>
      <w:r>
        <w:rPr/>
        <w:t>（</w:t>
      </w:r>
      <w:r>
        <w:rPr>
          <w:rFonts w:ascii="Times New Roman" w:hAnsi="Times New Roman" w:cs="Times New Roman" w:eastAsia="Times New Roman" w:hint="default"/>
        </w:rPr>
        <w:t>1</w:t>
      </w:r>
      <w:r>
        <w:rPr/>
        <w:t>）资产负债表项目（单位：万元）</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709"/>
        <w:gridCol w:w="1212"/>
        <w:gridCol w:w="1253"/>
        <w:gridCol w:w="1274"/>
        <w:gridCol w:w="3197"/>
      </w:tblGrid>
      <w:tr>
        <w:trPr>
          <w:trHeight w:val="346"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4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71"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82" w:right="0"/>
              <w:jc w:val="left"/>
              <w:rPr>
                <w:rFonts w:ascii="宋体" w:hAnsi="宋体" w:cs="宋体" w:eastAsia="宋体" w:hint="default"/>
                <w:sz w:val="18"/>
                <w:szCs w:val="18"/>
              </w:rPr>
            </w:pPr>
            <w:bookmarkStart w:name="2、公司主要会计报表项目的异常情况及原因的说明" w:id="291"/>
            <w:bookmarkEnd w:id="291"/>
            <w:r>
              <w:rPr/>
            </w:r>
            <w:r>
              <w:rPr>
                <w:rFonts w:ascii="宋体" w:hAnsi="宋体" w:cs="宋体" w:eastAsia="宋体" w:hint="default"/>
                <w:sz w:val="18"/>
                <w:szCs w:val="18"/>
              </w:rPr>
              <w:t>具体情况及变动原因</w:t>
            </w:r>
          </w:p>
        </w:tc>
      </w:tr>
      <w:tr>
        <w:trPr>
          <w:trHeight w:val="34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378.37</w:t>
            </w:r>
            <w:r>
              <w:rPr>
                <w:rFonts w:ascii="Times New Roman"/>
                <w:sz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123.14</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&gt;200%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收入规模增长及使用票据付款客户增加</w:t>
            </w:r>
          </w:p>
        </w:tc>
      </w:tr>
      <w:tr>
        <w:trPr>
          <w:trHeight w:val="65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10,472.90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6,118.62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71.16%</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
              <w:jc w:val="left"/>
              <w:rPr>
                <w:rFonts w:ascii="宋体" w:hAnsi="宋体" w:cs="宋体" w:eastAsia="宋体" w:hint="default"/>
                <w:sz w:val="18"/>
                <w:szCs w:val="18"/>
              </w:rPr>
            </w:pPr>
            <w:r>
              <w:rPr>
                <w:rFonts w:ascii="宋体" w:hAnsi="宋体" w:cs="宋体" w:eastAsia="宋体" w:hint="default"/>
                <w:spacing w:val="7"/>
                <w:sz w:val="18"/>
                <w:szCs w:val="18"/>
              </w:rPr>
              <w:t>收入规模增长及部分医疗卫生管理机构 </w:t>
            </w:r>
            <w:r>
              <w:rPr>
                <w:rFonts w:ascii="宋体" w:hAnsi="宋体" w:cs="宋体" w:eastAsia="宋体" w:hint="default"/>
                <w:sz w:val="18"/>
                <w:szCs w:val="18"/>
              </w:rPr>
              <w:t>资金预算及严格控制付款进度</w:t>
            </w:r>
          </w:p>
        </w:tc>
      </w:tr>
      <w:tr>
        <w:trPr>
          <w:trHeight w:val="1284"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3,380.17</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2,146.44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57.48%</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5"/>
              <w:jc w:val="both"/>
              <w:rPr>
                <w:rFonts w:ascii="宋体" w:hAnsi="宋体" w:cs="宋体" w:eastAsia="宋体" w:hint="default"/>
                <w:sz w:val="18"/>
                <w:szCs w:val="18"/>
              </w:rPr>
            </w:pPr>
            <w:r>
              <w:rPr>
                <w:rFonts w:ascii="宋体" w:hAnsi="宋体" w:cs="宋体" w:eastAsia="宋体" w:hint="default"/>
                <w:spacing w:val="6"/>
                <w:sz w:val="18"/>
                <w:szCs w:val="18"/>
              </w:rPr>
              <w:t>部分增值税即征即退税款</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年末尚未</w:t>
            </w:r>
            <w:r>
              <w:rPr>
                <w:rFonts w:ascii="宋体" w:hAnsi="宋体" w:cs="宋体" w:eastAsia="宋体" w:hint="default"/>
                <w:spacing w:val="-88"/>
                <w:sz w:val="18"/>
                <w:szCs w:val="18"/>
              </w:rPr>
              <w:t> </w:t>
            </w:r>
            <w:r>
              <w:rPr>
                <w:rFonts w:ascii="宋体" w:hAnsi="宋体" w:cs="宋体" w:eastAsia="宋体" w:hint="default"/>
                <w:spacing w:val="-4"/>
                <w:sz w:val="18"/>
                <w:szCs w:val="18"/>
              </w:rPr>
              <w:t>收到；部分采购未及时取得增值税发票而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暂估了进项税；业务扩展带来履约及投标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保证金增加随业务量增加</w:t>
            </w:r>
          </w:p>
        </w:tc>
      </w:tr>
      <w:tr>
        <w:trPr>
          <w:trHeight w:val="66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2,615.08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851.04</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&gt;200%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
              <w:jc w:val="left"/>
              <w:rPr>
                <w:rFonts w:ascii="宋体" w:hAnsi="宋体" w:cs="宋体" w:eastAsia="宋体" w:hint="default"/>
                <w:sz w:val="18"/>
                <w:szCs w:val="18"/>
              </w:rPr>
            </w:pPr>
            <w:r>
              <w:rPr>
                <w:rFonts w:ascii="宋体" w:hAnsi="宋体" w:cs="宋体" w:eastAsia="宋体" w:hint="default"/>
                <w:spacing w:val="7"/>
                <w:sz w:val="18"/>
                <w:szCs w:val="18"/>
              </w:rPr>
              <w:t>业务增长及硬件销售合同未履行完毕而 </w:t>
            </w:r>
            <w:r>
              <w:rPr>
                <w:rFonts w:ascii="宋体" w:hAnsi="宋体" w:cs="宋体" w:eastAsia="宋体" w:hint="default"/>
                <w:sz w:val="18"/>
                <w:szCs w:val="18"/>
              </w:rPr>
              <w:t>形成多笔发出存货</w:t>
            </w:r>
          </w:p>
        </w:tc>
      </w:tr>
      <w:tr>
        <w:trPr>
          <w:trHeight w:val="65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w:t>
            </w:r>
            <w:r>
              <w:rPr>
                <w:rFonts w:ascii="Times New Roman"/>
                <w:sz w:val="18"/>
              </w:rPr>
            </w:r>
          </w:p>
        </w:tc>
        <w:tc>
          <w:tcPr>
            <w:tcW w:w="12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&gt;200%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
              <w:jc w:val="left"/>
              <w:rPr>
                <w:rFonts w:ascii="宋体" w:hAnsi="宋体" w:cs="宋体" w:eastAsia="宋体" w:hint="default"/>
                <w:sz w:val="18"/>
                <w:szCs w:val="18"/>
              </w:rPr>
            </w:pPr>
            <w:r>
              <w:rPr>
                <w:rFonts w:ascii="宋体" w:hAnsi="宋体" w:cs="宋体" w:eastAsia="宋体" w:hint="default"/>
                <w:spacing w:val="7"/>
                <w:sz w:val="18"/>
                <w:szCs w:val="18"/>
              </w:rPr>
              <w:t>本期投资参股上海卫生信息工程技术研 </w:t>
            </w:r>
            <w:r>
              <w:rPr>
                <w:rFonts w:ascii="宋体" w:hAnsi="宋体" w:cs="宋体" w:eastAsia="宋体" w:hint="default"/>
                <w:sz w:val="18"/>
                <w:szCs w:val="18"/>
              </w:rPr>
              <w:t>究中心有限公司</w:t>
            </w:r>
          </w:p>
        </w:tc>
      </w:tr>
      <w:tr>
        <w:trPr>
          <w:trHeight w:val="34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2,358.99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1,441.47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63.65%</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募集资金投入及业务增长</w:t>
            </w:r>
          </w:p>
        </w:tc>
      </w:tr>
      <w:tr>
        <w:trPr>
          <w:trHeight w:val="346"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216.28</w:t>
            </w:r>
            <w:r>
              <w:rPr>
                <w:rFonts w:ascii="Times New Roman"/>
                <w:sz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39.30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&gt;200%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本期增购办公软件</w:t>
            </w:r>
          </w:p>
        </w:tc>
      </w:tr>
      <w:tr>
        <w:trPr>
          <w:trHeight w:val="66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612.17</w:t>
            </w:r>
            <w:r>
              <w:rPr>
                <w:rFonts w:ascii="Times New Roman"/>
                <w:sz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290.32</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110.86%</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应收款项计提坏账准备、预计质保金、应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付职工薪酬及递延收益等余额增加所致</w:t>
            </w:r>
          </w:p>
        </w:tc>
      </w:tr>
      <w:tr>
        <w:trPr>
          <w:trHeight w:val="346"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12"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532.22</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年末应付票据已全部付清</w:t>
            </w:r>
          </w:p>
        </w:tc>
      </w:tr>
      <w:tr>
        <w:trPr>
          <w:trHeight w:val="34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2,676.93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986.95</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171.23%</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业务增长及合同约定信用期付款</w:t>
            </w:r>
          </w:p>
        </w:tc>
      </w:tr>
      <w:tr>
        <w:trPr>
          <w:trHeight w:val="34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4,260.88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1,429.85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197.99%</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业务增长及合同约定预收款</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709"/>
        <w:gridCol w:w="1212"/>
        <w:gridCol w:w="1253"/>
        <w:gridCol w:w="1274"/>
        <w:gridCol w:w="3197"/>
      </w:tblGrid>
      <w:tr>
        <w:trPr>
          <w:trHeight w:val="34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723.39</w:t>
            </w:r>
            <w:r>
              <w:rPr>
                <w:rFonts w:ascii="Times New Roman"/>
                <w:sz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441.72</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63.78%</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员工增加及工资水平增长</w:t>
            </w:r>
          </w:p>
        </w:tc>
      </w:tr>
      <w:tr>
        <w:trPr>
          <w:trHeight w:val="97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-588.24</w:t>
            </w:r>
            <w:r>
              <w:rPr>
                <w:rFonts w:ascii="Times New Roman"/>
                <w:sz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187.6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&gt;200%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
              <w:jc w:val="both"/>
              <w:rPr>
                <w:rFonts w:ascii="宋体" w:hAnsi="宋体" w:cs="宋体" w:eastAsia="宋体" w:hint="default"/>
                <w:sz w:val="18"/>
                <w:szCs w:val="18"/>
              </w:rPr>
            </w:pPr>
            <w:r>
              <w:rPr>
                <w:rFonts w:ascii="宋体" w:hAnsi="宋体" w:cs="宋体" w:eastAsia="宋体" w:hint="default"/>
                <w:spacing w:val="7"/>
                <w:sz w:val="18"/>
                <w:szCs w:val="18"/>
              </w:rPr>
              <w:t>本期已缴税金数超过应缴数及上年末应 交所得税余额较大且于报告期内支付所 </w:t>
            </w:r>
            <w:r>
              <w:rPr>
                <w:rFonts w:ascii="宋体" w:hAnsi="宋体" w:cs="宋体" w:eastAsia="宋体" w:hint="default"/>
                <w:sz w:val="18"/>
                <w:szCs w:val="18"/>
              </w:rPr>
              <w:t>致</w:t>
            </w:r>
          </w:p>
        </w:tc>
      </w:tr>
      <w:tr>
        <w:trPr>
          <w:trHeight w:val="66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978.83</w:t>
            </w:r>
            <w:r>
              <w:rPr>
                <w:rFonts w:ascii="Times New Roman"/>
                <w:sz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538.56</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81.75%</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
              <w:jc w:val="left"/>
              <w:rPr>
                <w:rFonts w:ascii="宋体" w:hAnsi="宋体" w:cs="宋体" w:eastAsia="宋体" w:hint="default"/>
                <w:sz w:val="18"/>
                <w:szCs w:val="18"/>
              </w:rPr>
            </w:pPr>
            <w:r>
              <w:rPr>
                <w:rFonts w:ascii="宋体" w:hAnsi="宋体" w:cs="宋体" w:eastAsia="宋体" w:hint="default"/>
                <w:spacing w:val="7"/>
                <w:sz w:val="18"/>
                <w:szCs w:val="18"/>
              </w:rPr>
              <w:t>业务增长及部分销售代理费用未到付款 </w:t>
            </w:r>
            <w:r>
              <w:rPr>
                <w:rFonts w:ascii="宋体" w:hAnsi="宋体" w:cs="宋体" w:eastAsia="宋体" w:hint="default"/>
                <w:sz w:val="18"/>
                <w:szCs w:val="18"/>
              </w:rPr>
              <w:t>条件</w:t>
            </w:r>
          </w:p>
        </w:tc>
      </w:tr>
      <w:tr>
        <w:trPr>
          <w:trHeight w:val="346"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244.71</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183.94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33.03%</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734.05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13.75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&gt;200%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本期递延收益增加</w:t>
            </w:r>
          </w:p>
        </w:tc>
      </w:tr>
      <w:tr>
        <w:trPr>
          <w:trHeight w:val="346"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10,700.00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5,350.00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报告期内资本公积转增股本</w:t>
            </w:r>
          </w:p>
        </w:tc>
      </w:tr>
      <w:tr>
        <w:trPr>
          <w:trHeight w:val="34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1,616.53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1,085.86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48.87%</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盈利增加影响</w:t>
            </w:r>
          </w:p>
        </w:tc>
      </w:tr>
      <w:tr>
        <w:trPr>
          <w:trHeight w:val="34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11,752.31</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7,532.99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56.01%</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盈利增加影响</w:t>
            </w:r>
          </w:p>
        </w:tc>
      </w:tr>
      <w:tr>
        <w:trPr>
          <w:trHeight w:val="346"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352.32</w:t>
            </w:r>
            <w:r>
              <w:rPr>
                <w:rFonts w:ascii="Times New Roman"/>
                <w:sz w:val="18"/>
              </w:rPr>
            </w:r>
          </w:p>
        </w:tc>
        <w:tc>
          <w:tcPr>
            <w:tcW w:w="12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&gt;200%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本期新设非全资子公司</w:t>
            </w:r>
          </w:p>
        </w:tc>
      </w:tr>
    </w:tbl>
    <w:p>
      <w:pPr>
        <w:spacing w:line="240" w:lineRule="auto" w:before="1"/>
        <w:rPr>
          <w:rFonts w:ascii="宋体" w:hAnsi="宋体" w:cs="宋体" w:eastAsia="宋体" w:hint="default"/>
          <w:sz w:val="21"/>
          <w:szCs w:val="21"/>
        </w:rPr>
      </w:pPr>
    </w:p>
    <w:p>
      <w:pPr>
        <w:pStyle w:val="BodyText"/>
        <w:spacing w:line="240" w:lineRule="auto" w:before="44"/>
        <w:ind w:left="572" w:right="0"/>
        <w:jc w:val="left"/>
      </w:pPr>
      <w:r>
        <w:rPr/>
        <w:t>（</w:t>
      </w:r>
      <w:r>
        <w:rPr>
          <w:rFonts w:ascii="Times New Roman" w:hAnsi="Times New Roman" w:cs="Times New Roman" w:eastAsia="Times New Roman" w:hint="default"/>
        </w:rPr>
        <w:t>2</w:t>
      </w:r>
      <w:r>
        <w:rPr/>
        <w:t>）利润表项目（单位：万元）</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682"/>
        <w:gridCol w:w="1253"/>
        <w:gridCol w:w="1238"/>
        <w:gridCol w:w="1260"/>
        <w:gridCol w:w="3211"/>
      </w:tblGrid>
      <w:tr>
        <w:trPr>
          <w:trHeight w:val="34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89" w:right="0"/>
              <w:jc w:val="left"/>
              <w:rPr>
                <w:rFonts w:ascii="宋体" w:hAnsi="宋体" w:cs="宋体" w:eastAsia="宋体" w:hint="default"/>
                <w:sz w:val="18"/>
                <w:szCs w:val="18"/>
              </w:rPr>
            </w:pPr>
            <w:r>
              <w:rPr>
                <w:rFonts w:ascii="宋体" w:hAnsi="宋体" w:cs="宋体" w:eastAsia="宋体" w:hint="default"/>
                <w:sz w:val="18"/>
                <w:szCs w:val="18"/>
              </w:rPr>
              <w:t>具体情况及变动原因</w:t>
            </w:r>
          </w:p>
        </w:tc>
      </w:tr>
      <w:tr>
        <w:trPr>
          <w:trHeight w:val="34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26,577.12</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16,991.90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56.41%</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12,082.33</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6,789.02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77.97%</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66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6,026.48</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3,244.91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85.72%</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业务增长带来人工成本、差旅费等增加及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募投资金对营销服务体系建设项目投入</w:t>
            </w:r>
          </w:p>
        </w:tc>
      </w:tr>
      <w:tr>
        <w:trPr>
          <w:trHeight w:val="34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4,856.41</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3,309.68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46.73%</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业务增长及研发投入增加</w:t>
            </w:r>
          </w:p>
        </w:tc>
      </w:tr>
      <w:tr>
        <w:trPr>
          <w:trHeight w:val="34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-861.81</w:t>
            </w:r>
            <w:r>
              <w:rPr>
                <w:rFonts w:ascii="Times New Roman"/>
                <w:sz w:val="18"/>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-391.31</w:t>
            </w:r>
            <w:r>
              <w:rPr>
                <w:rFonts w:ascii="Times New Roman"/>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120.24%</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募集资金存款利息增加</w:t>
            </w:r>
          </w:p>
        </w:tc>
      </w:tr>
      <w:tr>
        <w:trPr>
          <w:trHeight w:val="34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495.83</w:t>
            </w:r>
            <w:r>
              <w:rPr>
                <w:rFonts w:ascii="Times New Roman"/>
                <w:sz w:val="18"/>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345.67</w:t>
            </w:r>
            <w:r>
              <w:rPr>
                <w:rFonts w:ascii="Times New Roman"/>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43.44%</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应收款项增加影响</w:t>
            </w:r>
          </w:p>
        </w:tc>
      </w:tr>
      <w:tr>
        <w:trPr>
          <w:trHeight w:val="65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2,176.09</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1,566.70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38.90%</w:t>
            </w:r>
          </w:p>
        </w:tc>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7"/>
                <w:sz w:val="18"/>
                <w:szCs w:val="18"/>
              </w:rPr>
              <w:t>软件产品增值税即征即退及其他政府补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助增加影响</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239" w:right="2242"/>
        <w:jc w:val="center"/>
        <w:rPr>
          <w:b w:val="0"/>
          <w:bCs w:val="0"/>
        </w:rPr>
      </w:pPr>
      <w:bookmarkStart w:name="第十节 备查文件目录" w:id="292"/>
      <w:bookmarkEnd w:id="292"/>
      <w:r>
        <w:rPr>
          <w:b w:val="0"/>
          <w:bCs w:val="0"/>
        </w:rPr>
      </w:r>
      <w:bookmarkStart w:name="_bookmark9" w:id="293"/>
      <w:bookmarkEnd w:id="293"/>
      <w:r>
        <w:rPr>
          <w:b w:val="0"/>
          <w:bCs w:val="0"/>
        </w:rPr>
      </w:r>
      <w:r>
        <w:rPr/>
        <w:t>第十节</w:t>
      </w:r>
      <w:r>
        <w:rPr>
          <w:spacing w:val="-7"/>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Heading3"/>
        <w:spacing w:line="376" w:lineRule="auto"/>
        <w:ind w:right="0"/>
        <w:jc w:val="left"/>
        <w:rPr>
          <w:b w:val="0"/>
          <w:bCs w:val="0"/>
        </w:rPr>
      </w:pPr>
      <w:r>
        <w:rPr>
          <w:spacing w:val="-1"/>
        </w:rPr>
        <w:t>一、载有公司法定代表人、主管会计工作负责人、会计主管人员签名并盖章的财务报表。</w:t>
      </w:r>
      <w:r>
        <w:rPr>
          <w:spacing w:val="-70"/>
        </w:rPr>
        <w:t> </w:t>
      </w:r>
      <w:r>
        <w:rPr>
          <w:spacing w:val="-70"/>
        </w:rPr>
      </w:r>
      <w:r>
        <w:rPr/>
        <w:t>二、载有会计师事务所盖章、注册会计师签名并盖章的审计报告原件。</w:t>
      </w:r>
      <w:r>
        <w:rPr>
          <w:w w:val="100"/>
        </w:rPr>
        <w:t> </w:t>
      </w:r>
      <w:r>
        <w:rPr>
          <w:spacing w:val="-1"/>
        </w:rPr>
        <w:t>三、报告期内在中国证监会指定网站上公开披露过的所有公司文件的正本及公告的原稿。</w:t>
      </w:r>
      <w:r>
        <w:rPr>
          <w:spacing w:val="-70"/>
        </w:rPr>
        <w:t> </w:t>
      </w:r>
      <w:r>
        <w:rPr>
          <w:spacing w:val="-70"/>
        </w:rPr>
      </w:r>
      <w:r>
        <w:rPr/>
        <w:t>四、经公司法定代表人签名的</w:t>
      </w:r>
      <w:r>
        <w:rPr>
          <w:rFonts w:ascii="Times New Roman" w:hAnsi="Times New Roman" w:cs="Times New Roman" w:eastAsia="Times New Roman" w:hint="default"/>
        </w:rPr>
        <w:t>2012</w:t>
      </w:r>
      <w:r>
        <w:rPr/>
        <w:t>年度报告文本原件。</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53"/>
        <w:ind w:left="587" w:right="0"/>
        <w:jc w:val="left"/>
        <w:rPr>
          <w:b w:val="0"/>
          <w:bCs w:val="0"/>
        </w:rPr>
      </w:pPr>
      <w:r>
        <w:rPr/>
        <w:t>以上备查文件的备置地点：董事会办公室。</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pStyle w:val="Heading3"/>
        <w:spacing w:line="240" w:lineRule="auto"/>
        <w:ind w:left="5850" w:right="0"/>
        <w:jc w:val="left"/>
        <w:rPr>
          <w:b w:val="0"/>
          <w:bCs w:val="0"/>
        </w:rPr>
      </w:pPr>
      <w:r>
        <w:rPr/>
        <w:t>上海金仕达卫宁软件股份有限公司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Heading3"/>
        <w:tabs>
          <w:tab w:pos="9011" w:val="left" w:leader="none"/>
        </w:tabs>
        <w:spacing w:line="240" w:lineRule="auto"/>
        <w:ind w:left="5850" w:right="0"/>
        <w:jc w:val="left"/>
        <w:rPr>
          <w:rFonts w:ascii="Times New Roman" w:hAnsi="Times New Roman" w:cs="Times New Roman" w:eastAsia="Times New Roman" w:hint="default"/>
          <w:b w:val="0"/>
          <w:bCs w:val="0"/>
        </w:rPr>
      </w:pPr>
      <w:r>
        <w:rPr/>
        <w:t>法定代表人：</w:t>
      </w: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spacing w:line="240" w:lineRule="auto" w:before="4"/>
        <w:rPr>
          <w:rFonts w:ascii="Times New Roman" w:hAnsi="Times New Roman" w:cs="Times New Roman" w:eastAsia="Times New Roman" w:hint="default"/>
          <w:b/>
          <w:bCs/>
          <w:sz w:val="20"/>
          <w:szCs w:val="20"/>
        </w:rPr>
      </w:pPr>
    </w:p>
    <w:p>
      <w:pPr>
        <w:pStyle w:val="Heading3"/>
        <w:spacing w:line="240" w:lineRule="auto" w:before="36"/>
        <w:ind w:left="0" w:right="1768"/>
        <w:jc w:val="right"/>
        <w:rPr>
          <w:b w:val="0"/>
          <w:bCs w:val="0"/>
        </w:rPr>
      </w:pPr>
      <w:r>
        <w:rPr/>
        <w:t>周炜</w:t>
      </w:r>
      <w:r>
        <w:rPr>
          <w:b w:val="0"/>
          <w:bCs w:val="0"/>
        </w:rPr>
      </w:r>
    </w:p>
    <w:p>
      <w:pPr>
        <w:spacing w:line="240" w:lineRule="auto" w:before="11"/>
        <w:rPr>
          <w:rFonts w:ascii="宋体" w:hAnsi="宋体" w:cs="宋体" w:eastAsia="宋体" w:hint="default"/>
          <w:b/>
          <w:bCs/>
          <w:sz w:val="20"/>
          <w:szCs w:val="20"/>
        </w:rPr>
      </w:pPr>
    </w:p>
    <w:p>
      <w:pPr>
        <w:pStyle w:val="Heading3"/>
        <w:spacing w:line="240" w:lineRule="auto"/>
        <w:ind w:left="0" w:right="1502"/>
        <w:jc w:val="right"/>
        <w:rPr>
          <w:b w:val="0"/>
          <w:bCs w:val="0"/>
        </w:rPr>
      </w:pP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7"/>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w:t>
      </w:r>
      <w:r>
        <w:rPr>
          <w:b w:val="0"/>
          <w:bCs w:val="0"/>
        </w:rPr>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7498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749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749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749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749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749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749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7496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749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749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pt;margin-top:36.265610pt;width:213.7pt;height:11.5pt;mso-position-horizontal-relative:page;mso-position-vertical-relative:page;z-index:-749824" type="#_x0000_t202" filled="false" stroked="false">
          <v:textbox inset="0,0,0,0">
            <w:txbxContent>
              <w:p>
                <w:pPr>
                  <w:pStyle w:val="BodyText"/>
                  <w:spacing w:line="214" w:lineRule="exact"/>
                  <w:ind w:left="20" w:right="0"/>
                  <w:jc w:val="left"/>
                </w:pPr>
                <w:r>
                  <w:rPr/>
                  <w:t>上海金仕达卫宁软件股份有限公司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3"/>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587"/>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41"/>
      <w:ind w:left="152"/>
      <w:outlineLvl w:val="4"/>
    </w:pPr>
    <w:rPr>
      <w:rFonts w:ascii="宋体" w:hAnsi="宋体" w:eastAsia="宋体"/>
      <w:sz w:val="21"/>
      <w:szCs w:val="21"/>
    </w:rPr>
  </w:style>
  <w:style w:styleId="Heading5" w:type="paragraph">
    <w:name w:val="Heading 5"/>
    <w:basedOn w:val="Normal"/>
    <w:uiPriority w:val="1"/>
    <w:qFormat/>
    <w:pPr>
      <w:ind w:left="51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winning.com.cn/" TargetMode="External"/><Relationship Id="rId10" Type="http://schemas.openxmlformats.org/officeDocument/2006/relationships/hyperlink" Target="mailto:wndsh@winning.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上海金仕达卫宁软件股份有限公司</dc:creator>
  <dc:title>上海金仕达卫宁软件股份有限公司2012年度报告全文</dc:title>
  <dcterms:created xsi:type="dcterms:W3CDTF">2020-05-04T02:07:30Z</dcterms:created>
  <dcterms:modified xsi:type="dcterms:W3CDTF">2020-05-04T02:07:30Z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2013-04-18T00:00:00Z</vt:filetime>
  </property>
  <property fmtid="{D5CDD505-2E9C-101B-9397-08002B2CF9AE}" pid="3" name="Creator">
    <vt:lpwstr>Acrobat PDFMaker 9.0 Word 版</vt:lpwstr>
  </property>
  <property fmtid="{D5CDD505-2E9C-101B-9397-08002B2CF9AE}" pid="4" name="LastSaved">
    <vt:filetime>2020-05-03T00:00:00Z</vt:filetime>
  </property>
</Properties>
</file>