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341" w:vSpace="341"/>
        <w:widowControl w:val="0"/>
        <w:shd w:val="clear" w:color="auto" w:fill="auto"/>
        <w:spacing w:before="0" w:line="196" w:lineRule="exact"/>
        <w:ind w:left="0" w:firstLine="0"/>
        <w:rPr>
          <w:sz w:val="32"/>
          <w:szCs w:val="32"/>
        </w:rPr>
      </w:pPr>
      <w:r>
        <w:rPr>
          <w:rFonts w:ascii="Arial" w:eastAsia="Arial" w:hAnsi="Arial" w:cs="Arial"/>
          <w:b/>
          <w:bCs/>
          <w:color w:val="000000"/>
          <w:spacing w:val="0"/>
          <w:w w:val="100"/>
          <w:position w:val="-4"/>
          <w:sz w:val="16"/>
          <w:szCs w:val="16"/>
        </w:rPr>
        <w:t>I</w:t>
      </w:r>
    </w:p>
    <w:p>
      <w:pPr>
        <w:pStyle w:val="Style2"/>
        <w:keepNext w:val="0"/>
        <w:keepLines w:val="0"/>
        <w:widowControl w:val="0"/>
        <w:shd w:val="clear" w:color="auto" w:fill="auto"/>
        <w:bidi w:val="0"/>
        <w:spacing w:before="0" w:after="240" w:line="240" w:lineRule="auto"/>
        <w:ind w:left="4060" w:right="0" w:firstLine="0"/>
        <w:jc w:val="both"/>
        <w:rPr>
          <w:sz w:val="32"/>
          <w:szCs w:val="32"/>
        </w:rPr>
      </w:pPr>
      <w:r>
        <w:rPr>
          <w:b/>
          <w:bCs/>
          <w:color w:val="1D4466"/>
          <w:spacing w:val="0"/>
          <w:w w:val="100"/>
          <w:position w:val="0"/>
          <w:sz w:val="32"/>
          <w:szCs w:val="32"/>
        </w:rPr>
        <w:t>颂</w:t>
      </w:r>
    </w:p>
    <w:p>
      <w:pPr>
        <w:pStyle w:val="Style2"/>
        <w:keepNext w:val="0"/>
        <w:keepLines w:val="0"/>
        <w:widowControl w:val="0"/>
        <w:shd w:val="clear" w:color="auto" w:fill="auto"/>
        <w:bidi w:val="0"/>
        <w:spacing w:before="0" w:after="480" w:line="240" w:lineRule="auto"/>
        <w:ind w:left="0" w:right="0" w:firstLine="0"/>
        <w:jc w:val="center"/>
        <w:rPr>
          <w:sz w:val="28"/>
          <w:szCs w:val="28"/>
        </w:rPr>
      </w:pPr>
      <w:r>
        <w:rPr>
          <w:rFonts w:ascii="Arial" w:eastAsia="Arial" w:hAnsi="Arial" w:cs="Arial"/>
          <w:b/>
          <w:bCs/>
          <w:i/>
          <w:iCs/>
          <w:color w:val="1D4466"/>
          <w:spacing w:val="0"/>
          <w:w w:val="100"/>
          <w:position w:val="0"/>
          <w:sz w:val="28"/>
          <w:szCs w:val="28"/>
        </w:rPr>
        <w:t>WlnningSoft</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上海金仕达卫宁软件股份有限公司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44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900" w:right="1104" w:bottom="2900" w:left="110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3"/>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80" w:line="622" w:lineRule="exact"/>
        <w:ind w:left="0" w:right="0" w:firstLine="580"/>
        <w:jc w:val="both"/>
        <w:rPr>
          <w:sz w:val="28"/>
          <w:szCs w:val="28"/>
        </w:rPr>
      </w:pPr>
      <w:bookmarkStart w:id="3" w:name="bookmark3"/>
      <w:r>
        <w:rPr>
          <w:b/>
          <w:bCs/>
          <w:color w:val="000000"/>
          <w:spacing w:val="0"/>
          <w:w w:val="100"/>
          <w:position w:val="0"/>
          <w:sz w:val="28"/>
          <w:szCs w:val="28"/>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2"/>
        <w:keepNext w:val="0"/>
        <w:keepLines w:val="0"/>
        <w:widowControl w:val="0"/>
        <w:shd w:val="clear" w:color="auto" w:fill="auto"/>
        <w:bidi w:val="0"/>
        <w:spacing w:before="0" w:after="80" w:line="628" w:lineRule="exact"/>
        <w:ind w:left="0" w:right="0" w:firstLine="580"/>
        <w:jc w:val="both"/>
        <w:rPr>
          <w:sz w:val="28"/>
          <w:szCs w:val="28"/>
        </w:rPr>
      </w:pPr>
      <w:r>
        <w:rPr>
          <w:b/>
          <w:bCs/>
          <w:color w:val="000000"/>
          <w:spacing w:val="0"/>
          <w:w w:val="100"/>
          <w:position w:val="0"/>
          <w:sz w:val="28"/>
          <w:szCs w:val="28"/>
        </w:rPr>
        <w:t>所有董事均已出席了审议本报告的董事会会议。</w:t>
      </w:r>
    </w:p>
    <w:p>
      <w:pPr>
        <w:pStyle w:val="Style2"/>
        <w:keepNext w:val="0"/>
        <w:keepLines w:val="0"/>
        <w:widowControl w:val="0"/>
        <w:shd w:val="clear" w:color="auto" w:fill="auto"/>
        <w:bidi w:val="0"/>
        <w:spacing w:before="0" w:after="240" w:line="634" w:lineRule="exact"/>
        <w:ind w:left="0" w:right="0" w:firstLine="580"/>
        <w:jc w:val="both"/>
        <w:rPr>
          <w:sz w:val="28"/>
          <w:szCs w:val="28"/>
        </w:rPr>
        <w:sectPr>
          <w:headerReference w:type="default" r:id="rId7"/>
          <w:footerReference w:type="default" r:id="rId8"/>
          <w:footnotePr>
            <w:pos w:val="pageBottom"/>
            <w:numFmt w:val="decimal"/>
            <w:numRestart w:val="continuous"/>
          </w:footnotePr>
          <w:pgSz w:w="11900" w:h="16840"/>
          <w:pgMar w:top="1940" w:right="1104" w:bottom="1940" w:left="1109" w:header="0" w:footer="3" w:gutter="0"/>
          <w:cols w:space="720"/>
          <w:noEndnote/>
          <w:rtlGutter w:val="0"/>
          <w:docGrid w:linePitch="360"/>
        </w:sectPr>
      </w:pPr>
      <w:r>
        <w:rPr>
          <w:b/>
          <w:bCs/>
          <w:color w:val="000000"/>
          <w:spacing w:val="0"/>
          <w:w w:val="100"/>
          <w:position w:val="0"/>
          <w:sz w:val="28"/>
          <w:szCs w:val="28"/>
        </w:rPr>
        <w:t>公司负责人周炜、主管会计工作负责人王利及会计机构负责人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会计主管人 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奚冰声明：保证年度报告中财务报告的真实、准确、完整。</w:t>
      </w:r>
    </w:p>
    <w:p>
      <w:pPr>
        <w:pStyle w:val="Style2"/>
        <w:keepNext w:val="0"/>
        <w:keepLines w:val="0"/>
        <w:widowControl w:val="0"/>
        <w:shd w:val="clear" w:color="auto" w:fill="auto"/>
        <w:bidi w:val="0"/>
        <w:spacing w:before="146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pos="723" w:val="left"/>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5"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2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pos="723" w:val="left"/>
          <w:tab w:leader="dot" w:pos="9608" w:val="right"/>
        </w:tabs>
        <w:bidi w:val="0"/>
        <w:spacing w:before="0" w:line="240" w:lineRule="auto"/>
        <w:ind w:left="0" w:right="0" w:firstLine="0"/>
        <w:jc w:val="left"/>
      </w:pPr>
      <w:hyperlink w:anchor="bookmark42"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161"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308"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362"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13"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pPr>
      <w:hyperlink w:anchor="bookmark452"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7"/>
        <w:keepNext w:val="0"/>
        <w:keepLines w:val="0"/>
        <w:widowControl w:val="0"/>
        <w:shd w:val="clear" w:color="auto" w:fill="auto"/>
        <w:tabs>
          <w:tab w:pos="723" w:val="left"/>
          <w:tab w:leader="dot" w:pos="9608" w:val="right"/>
        </w:tabs>
        <w:bidi w:val="0"/>
        <w:spacing w:before="0" w:line="240" w:lineRule="auto"/>
        <w:ind w:left="0" w:right="0" w:firstLine="0"/>
        <w:jc w:val="left"/>
      </w:pPr>
      <w:hyperlink w:anchor="bookmark1464"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134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本公司、公司、股份公司、卫宁软件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周炜、王英夫妇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保荐人、主承销商、招商证券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会计师、华普天健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律师、上海广发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上海市广发律师事务所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江苏卫宁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公司全资子公司、江苏金仕达卫宁软件有限公司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西安卫宁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公司全资子公司、西安金仕达卫宁软件有限公司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公司全资子公司、上海金仕达卫宁信息技术有限公司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公司控股子公司，上海金仕达卫宁软件科技有限公司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深圳交易所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《上海金仕达卫宁软件股份有限公司章程》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bl>
    <w:p>
      <w:pPr>
        <w:spacing w:lineRule="exact" w:line="1"/>
        <w:rPr>
          <w:sz w:val="2"/>
          <w:szCs w:val="2"/>
        </w:rPr>
      </w:pPr>
      <w:r>
        <w:br w:type="page"/>
      </w:r>
    </w:p>
    <w:p>
      <w:pPr>
        <w:pStyle w:val="Style13"/>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21"/>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38"/>
        <w:gridCol w:w="2318"/>
        <w:gridCol w:w="2141"/>
        <w:gridCol w:w="218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Shanghai Kingstar Winning Software Co., 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WinningSoft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上海市浦东新区上南路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上海市广中西路</w:t>
            </w:r>
            <w:r>
              <w:rPr>
                <w:rFonts w:ascii="Times New Roman" w:eastAsia="Times New Roman" w:hAnsi="Times New Roman" w:cs="Times New Roman"/>
                <w:color w:val="000000"/>
                <w:spacing w:val="0"/>
                <w:w w:val="100"/>
                <w:position w:val="0"/>
              </w:rPr>
              <w:t>355</w:t>
            </w:r>
            <w:r>
              <w:rPr>
                <w:color w:val="000000"/>
                <w:spacing w:val="0"/>
                <w:w w:val="100"/>
                <w:position w:val="0"/>
              </w:rPr>
              <w:t>号宝华中心</w:t>
            </w:r>
            <w:r>
              <w:rPr>
                <w:rFonts w:ascii="Times New Roman" w:eastAsia="Times New Roman" w:hAnsi="Times New Roman" w:cs="Times New Roman"/>
                <w:color w:val="000000"/>
                <w:spacing w:val="0"/>
                <w:w w:val="100"/>
                <w:position w:val="0"/>
              </w:rPr>
              <w:t>10</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"http://www.winning.com" </w:instrText>
            </w:r>
            <w:r>
              <w:fldChar w:fldCharType="separate"/>
            </w:r>
            <w:r>
              <w:rPr>
                <w:rFonts w:ascii="Times New Roman" w:eastAsia="Times New Roman" w:hAnsi="Times New Roman" w:cs="Times New Roman"/>
                <w:color w:val="000000"/>
                <w:spacing w:val="0"/>
                <w:w w:val="100"/>
                <w:position w:val="0"/>
              </w:rPr>
              <w:t>www.winning.com</w:t>
            </w:r>
            <w:r>
              <w:fldChar w:fldCharType="end"/>
            </w:r>
            <w:r>
              <w:rPr>
                <w:rFonts w:ascii="Times New Roman" w:eastAsia="Times New Roman" w:hAnsi="Times New Roman" w:cs="Times New Roman"/>
                <w:color w:val="000000"/>
                <w:spacing w:val="0"/>
                <w:w w:val="100"/>
                <w:position w:val="0"/>
              </w:rPr>
              <w:t>. cn</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wndsh@winning. com.cn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号外经贸大厦</w:t>
            </w:r>
            <w:r>
              <w:rPr>
                <w:rFonts w:ascii="Times New Roman" w:eastAsia="Times New Roman" w:hAnsi="Times New Roman" w:cs="Times New Roman"/>
                <w:color w:val="000000"/>
                <w:spacing w:val="0"/>
                <w:w w:val="100"/>
                <w:position w:val="0"/>
              </w:rPr>
              <w:t>920-926</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上海市广中西路</w:t>
            </w:r>
            <w:r>
              <w:rPr>
                <w:rFonts w:ascii="Times New Roman" w:eastAsia="Times New Roman" w:hAnsi="Times New Roman" w:cs="Times New Roman"/>
                <w:color w:val="000000"/>
                <w:spacing w:val="0"/>
                <w:w w:val="100"/>
                <w:position w:val="0"/>
              </w:rPr>
              <w:t>355</w:t>
            </w:r>
            <w:r>
              <w:rPr>
                <w:color w:val="000000"/>
                <w:spacing w:val="0"/>
                <w:w w:val="100"/>
                <w:position w:val="0"/>
              </w:rPr>
              <w:t>号宝华中心</w:t>
            </w:r>
            <w:r>
              <w:rPr>
                <w:rFonts w:ascii="Times New Roman" w:eastAsia="Times New Roman" w:hAnsi="Times New Roman" w:cs="Times New Roman"/>
                <w:color w:val="000000"/>
                <w:spacing w:val="0"/>
                <w:w w:val="100"/>
                <w:position w:val="0"/>
              </w:rPr>
              <w:t>10</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021-26018382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021-26018347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wndsh@winning. com.cn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850"/>
        <w:gridCol w:w="57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0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、公司历史沿革</w:t>
      </w:r>
      <w:bookmarkEnd w:id="18"/>
      <w:bookmarkEnd w:id="19"/>
      <w:bookmarkEnd w:id="21"/>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上海市浦东新区上 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企合沪浦总字第</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318540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310115759874061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75987406-1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整体变更为股份有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上海市浦东新区上 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310115400147263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310115759874061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75987406-1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上海市浦东新区上 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310115400147263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310115759874061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75987406-1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资本公积转增股本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上海市浦东新区上 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310115400147263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310115759874061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75987406-1</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21"/>
        <w:keepNext/>
        <w:keepLines/>
        <w:widowControl w:val="0"/>
        <w:shd w:val="clear" w:color="auto" w:fill="auto"/>
        <w:bidi w:val="0"/>
        <w:spacing w:before="0" w:after="22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bookmarkEnd w:id="25"/>
    </w:p>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265,771,223.38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169,919,002.90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120,823,323.64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67,890,246.83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50,642,073.68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35,998,276.06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33,392,138.13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84,144,992.25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57,743,830.51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49,049,140.36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80,604,028.76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52,849,948.41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44,292,891.86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70,368,673.18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50,742,707.24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41,025,944.91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50,148,115.16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27,373,168.15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4,598,615.82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107,967,100.00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741,311,570.83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622,662,329.59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521,226,708.71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111,190,148.33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90,305,484.07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43,145,931.07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627,941,095.62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528,833,621.76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478,080,777.64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bl>
    <w:p>
      <w:pPr>
        <w:pStyle w:val="Style21"/>
        <w:keepNext/>
        <w:keepLines/>
        <w:widowControl w:val="0"/>
        <w:shd w:val="clear" w:color="auto" w:fill="auto"/>
        <w:bidi w:val="0"/>
        <w:spacing w:before="0" w:after="360" w:line="240" w:lineRule="auto"/>
        <w:ind w:left="0" w:right="0" w:firstLine="260"/>
        <w:jc w:val="left"/>
      </w:pPr>
      <w:bookmarkStart w:id="29" w:name="bookmark29"/>
      <w:bookmarkStart w:id="30" w:name="bookmark30"/>
      <w:bookmarkStart w:id="31" w:name="bookmark31"/>
      <w:r>
        <w:rPr>
          <w:color w:val="000000"/>
          <w:spacing w:val="0"/>
          <w:w w:val="100"/>
          <w:position w:val="0"/>
          <w:sz w:val="24"/>
          <w:szCs w:val="24"/>
        </w:rPr>
        <w:t>、非经常性损益的项目及金额</w:t>
      </w:r>
      <w:bookmarkEnd w:id="29"/>
      <w:bookmarkEnd w:id="30"/>
      <w:bookmarkEnd w:id="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71,287.80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12,474,863.37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2,453,073.30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3,515,972.00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38,356.16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35,555.85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231,580.45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1,910,145.09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590,249.46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10,235,355.58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2,107,241.17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3,266,946.95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、重大风险提示</w:t>
      </w:r>
      <w:bookmarkEnd w:id="32"/>
      <w:bookmarkEnd w:id="33"/>
      <w:bookmarkEnd w:id="35"/>
    </w:p>
    <w:p>
      <w:pPr>
        <w:pStyle w:val="Style23"/>
        <w:keepNext w:val="0"/>
        <w:keepLines w:val="0"/>
        <w:widowControl w:val="0"/>
        <w:shd w:val="clear" w:color="auto" w:fill="auto"/>
        <w:tabs>
          <w:tab w:pos="701" w:val="left"/>
        </w:tabs>
        <w:bidi w:val="0"/>
        <w:spacing w:before="0" w:after="0"/>
        <w:ind w:left="0" w:right="0" w:firstLine="360"/>
        <w:jc w:val="left"/>
      </w:pPr>
      <w:bookmarkStart w:id="36" w:name="bookmark36"/>
      <w:r>
        <w:rPr>
          <w:rFonts w:ascii="Times New Roman" w:eastAsia="Times New Roman" w:hAnsi="Times New Roman" w:cs="Times New Roman"/>
          <w:b/>
          <w:bCs/>
          <w:color w:val="000000"/>
          <w:spacing w:val="0"/>
          <w:w w:val="100"/>
          <w:position w:val="0"/>
        </w:rPr>
        <w:t>1</w:t>
      </w:r>
      <w:bookmarkEnd w:id="36"/>
      <w:r>
        <w:rPr>
          <w:b/>
          <w:bCs/>
          <w:color w:val="000000"/>
          <w:spacing w:val="0"/>
          <w:w w:val="100"/>
          <w:position w:val="0"/>
        </w:rPr>
        <w:t>、</w:t>
        <w:tab/>
        <w:t>公司规模的迅速扩张带来人才上的瓶颈</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高端人才比较紧缺仍然是公司目前存在的主要困难，特别是研发人员扩张速度跟不上公司业务规模的扩张，导致公司潜 在的新用户的需求得不到很好的满足，这可能会使公司失去一些市场机会。</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随着公司产品线扩充、市场扩大和客户增加，公司目前面临的最大问题是人才，特别是研发和销售类的高端人才较难招 聘，这可能会导致公司目前的一些潜在项目流失。</w:t>
      </w:r>
    </w:p>
    <w:p>
      <w:pPr>
        <w:pStyle w:val="Style23"/>
        <w:keepNext w:val="0"/>
        <w:keepLines w:val="0"/>
        <w:widowControl w:val="0"/>
        <w:shd w:val="clear" w:color="auto" w:fill="auto"/>
        <w:bidi w:val="0"/>
        <w:spacing w:before="0" w:after="120" w:line="312" w:lineRule="exact"/>
        <w:ind w:left="0" w:right="0"/>
        <w:jc w:val="both"/>
      </w:pPr>
      <w:r>
        <w:rPr>
          <w:color w:val="000000"/>
          <w:spacing w:val="0"/>
          <w:w w:val="100"/>
          <w:position w:val="0"/>
        </w:rPr>
        <w:t>应对措施：公司已在合肥、常州以及西安设立区域研发中心，未来还将根据发展需要在其他地区设立区域研发中心。公 司报告期末员工数量为</w:t>
      </w:r>
      <w:r>
        <w:rPr>
          <w:rFonts w:ascii="Times New Roman" w:eastAsia="Times New Roman" w:hAnsi="Times New Roman" w:cs="Times New Roman"/>
          <w:color w:val="000000"/>
          <w:spacing w:val="0"/>
          <w:w w:val="100"/>
          <w:position w:val="0"/>
        </w:rPr>
        <w:t>1135</w:t>
      </w:r>
      <w:r>
        <w:rPr>
          <w:color w:val="000000"/>
          <w:spacing w:val="0"/>
          <w:w w:val="100"/>
          <w:position w:val="0"/>
        </w:rPr>
        <w:t>名，预计在未来几年内公司的总人数将扩张到</w:t>
      </w:r>
      <w:r>
        <w:rPr>
          <w:rFonts w:ascii="Times New Roman" w:eastAsia="Times New Roman" w:hAnsi="Times New Roman" w:cs="Times New Roman"/>
          <w:color w:val="000000"/>
          <w:spacing w:val="0"/>
          <w:w w:val="100"/>
          <w:position w:val="0"/>
        </w:rPr>
        <w:t>1500</w:t>
      </w:r>
      <w:r>
        <w:rPr>
          <w:color w:val="000000"/>
          <w:spacing w:val="0"/>
          <w:w w:val="100"/>
          <w:position w:val="0"/>
        </w:rPr>
        <w:t>名以上，因此一方面建立多层次培训体系和薪 酬体系，满足研发技术类的人才需求，另一方面，开展营销服务体系的建设，构筑全国性的销售服务体系，实现客户的近距 离本地化服务。</w:t>
      </w:r>
    </w:p>
    <w:p>
      <w:pPr>
        <w:pStyle w:val="Style23"/>
        <w:keepNext w:val="0"/>
        <w:keepLines w:val="0"/>
        <w:widowControl w:val="0"/>
        <w:shd w:val="clear" w:color="auto" w:fill="auto"/>
        <w:tabs>
          <w:tab w:pos="735" w:val="left"/>
        </w:tabs>
        <w:bidi w:val="0"/>
        <w:spacing w:before="0" w:after="0"/>
        <w:ind w:left="0" w:right="0"/>
        <w:jc w:val="both"/>
      </w:pPr>
      <w:bookmarkStart w:id="37" w:name="bookmark37"/>
      <w:r>
        <w:rPr>
          <w:rFonts w:ascii="Times New Roman" w:eastAsia="Times New Roman" w:hAnsi="Times New Roman" w:cs="Times New Roman"/>
          <w:b/>
          <w:bCs/>
          <w:color w:val="000000"/>
          <w:spacing w:val="0"/>
          <w:w w:val="100"/>
          <w:position w:val="0"/>
        </w:rPr>
        <w:t>2</w:t>
      </w:r>
      <w:bookmarkEnd w:id="37"/>
      <w:r>
        <w:rPr>
          <w:b/>
          <w:bCs/>
          <w:color w:val="000000"/>
          <w:spacing w:val="0"/>
          <w:w w:val="100"/>
          <w:position w:val="0"/>
        </w:rPr>
        <w:t>、</w:t>
        <w:tab/>
        <w:t>新技术、新需求带来的不确定性风险</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基于云计算的软件服务模式、大数据处理系统、临床决策系统等快速发展，这些系统所涉及的技术，都是比较新型的技 术，这些技术是否能产生良好的效果，具有不确定性风险。</w:t>
      </w:r>
    </w:p>
    <w:p>
      <w:pPr>
        <w:pStyle w:val="Style23"/>
        <w:keepNext w:val="0"/>
        <w:keepLines w:val="0"/>
        <w:widowControl w:val="0"/>
        <w:shd w:val="clear" w:color="auto" w:fill="auto"/>
        <w:bidi w:val="0"/>
        <w:spacing w:before="0" w:after="120" w:line="307" w:lineRule="exact"/>
        <w:ind w:left="0" w:right="0"/>
        <w:jc w:val="both"/>
      </w:pPr>
      <w:r>
        <w:rPr>
          <w:color w:val="000000"/>
          <w:spacing w:val="0"/>
          <w:w w:val="100"/>
          <w:position w:val="0"/>
        </w:rPr>
        <w:t>应对措施：产品及研发部预研各种技术，进行概念验证和典型用户示范，并与各高等院校、专业研究机构、客户及政府 部门合作，将新技术、新需求有效应用于各个示范应用点，然后争取得到行业权威机构的支持和认可，进一步扩大推广应用 范围。</w:t>
      </w:r>
    </w:p>
    <w:p>
      <w:pPr>
        <w:pStyle w:val="Style23"/>
        <w:keepNext w:val="0"/>
        <w:keepLines w:val="0"/>
        <w:widowControl w:val="0"/>
        <w:shd w:val="clear" w:color="auto" w:fill="auto"/>
        <w:tabs>
          <w:tab w:pos="735" w:val="left"/>
        </w:tabs>
        <w:bidi w:val="0"/>
        <w:spacing w:before="0" w:after="0"/>
        <w:ind w:left="0" w:right="0"/>
        <w:jc w:val="both"/>
      </w:pPr>
      <w:bookmarkStart w:id="38" w:name="bookmark38"/>
      <w:r>
        <w:rPr>
          <w:rFonts w:ascii="Times New Roman" w:eastAsia="Times New Roman" w:hAnsi="Times New Roman" w:cs="Times New Roman"/>
          <w:b/>
          <w:bCs/>
          <w:color w:val="000000"/>
          <w:spacing w:val="0"/>
          <w:w w:val="100"/>
          <w:position w:val="0"/>
        </w:rPr>
        <w:t>3</w:t>
      </w:r>
      <w:bookmarkEnd w:id="38"/>
      <w:r>
        <w:rPr>
          <w:b/>
          <w:bCs/>
          <w:color w:val="000000"/>
          <w:spacing w:val="0"/>
          <w:w w:val="100"/>
          <w:position w:val="0"/>
        </w:rPr>
        <w:t>、</w:t>
        <w:tab/>
        <w:t>行业竞争进一步加剧的风险</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w:t>
      </w:r>
    </w:p>
    <w:p>
      <w:pPr>
        <w:pStyle w:val="Style23"/>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应对措施：公司需采取更加积极的经营管理措施，加大研发投入，密切跟踪行业发展趋势和前沿创新技术，并积极关注 </w:t>
      </w:r>
      <w:r>
        <w:rPr>
          <w:color w:val="000000"/>
          <w:spacing w:val="0"/>
          <w:w w:val="100"/>
          <w:position w:val="0"/>
        </w:rPr>
        <w:t>行业竞争所带来的整合机遇，从而维持并加强公司在用户数量、用户粘性及技术方面的核心竞争优势，促进公司持续健康发 展。</w:t>
      </w:r>
    </w:p>
    <w:p>
      <w:pPr>
        <w:pStyle w:val="Style23"/>
        <w:keepNext w:val="0"/>
        <w:keepLines w:val="0"/>
        <w:widowControl w:val="0"/>
        <w:shd w:val="clear" w:color="auto" w:fill="auto"/>
        <w:tabs>
          <w:tab w:pos="654" w:val="left"/>
        </w:tabs>
        <w:bidi w:val="0"/>
        <w:spacing w:before="0" w:after="0"/>
        <w:ind w:left="0" w:right="0" w:firstLine="360"/>
        <w:jc w:val="both"/>
      </w:pPr>
      <w:bookmarkStart w:id="39" w:name="bookmark39"/>
      <w:r>
        <w:rPr>
          <w:rFonts w:ascii="Times New Roman" w:eastAsia="Times New Roman" w:hAnsi="Times New Roman" w:cs="Times New Roman"/>
          <w:b/>
          <w:bCs/>
          <w:color w:val="000000"/>
          <w:spacing w:val="0"/>
          <w:w w:val="100"/>
          <w:position w:val="0"/>
        </w:rPr>
        <w:t>4</w:t>
      </w:r>
      <w:bookmarkEnd w:id="39"/>
      <w:r>
        <w:rPr>
          <w:b/>
          <w:bCs/>
          <w:color w:val="000000"/>
          <w:spacing w:val="0"/>
          <w:w w:val="100"/>
          <w:position w:val="0"/>
        </w:rPr>
        <w:t>、</w:t>
        <w:tab/>
        <w:t>公司业务规模较小的风险</w:t>
      </w:r>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公司的利润主要来源于软件及技术服务业务，最近</w:t>
      </w:r>
      <w:r>
        <w:rPr>
          <w:rFonts w:ascii="Times New Roman" w:eastAsia="Times New Roman" w:hAnsi="Times New Roman" w:cs="Times New Roman"/>
          <w:color w:val="000000"/>
          <w:spacing w:val="0"/>
          <w:w w:val="100"/>
          <w:position w:val="0"/>
        </w:rPr>
        <w:t>3</w:t>
      </w:r>
      <w:r>
        <w:rPr>
          <w:color w:val="000000"/>
          <w:spacing w:val="0"/>
          <w:w w:val="100"/>
          <w:position w:val="0"/>
        </w:rPr>
        <w:t>年，公司软件收入分别为</w:t>
      </w:r>
      <w:r>
        <w:rPr>
          <w:rFonts w:ascii="Times New Roman" w:eastAsia="Times New Roman" w:hAnsi="Times New Roman" w:cs="Times New Roman"/>
          <w:color w:val="000000"/>
          <w:spacing w:val="0"/>
          <w:w w:val="100"/>
          <w:position w:val="0"/>
        </w:rPr>
        <w:t>9,100.49</w:t>
      </w:r>
      <w:r>
        <w:rPr>
          <w:color w:val="000000"/>
          <w:spacing w:val="0"/>
          <w:w w:val="100"/>
          <w:position w:val="0"/>
        </w:rPr>
        <w:t>万元、</w:t>
      </w:r>
      <w:r>
        <w:rPr>
          <w:rFonts w:ascii="Times New Roman" w:eastAsia="Times New Roman" w:hAnsi="Times New Roman" w:cs="Times New Roman"/>
          <w:color w:val="000000"/>
          <w:spacing w:val="0"/>
          <w:w w:val="100"/>
          <w:position w:val="0"/>
        </w:rPr>
        <w:t>13,665.89</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20,729.87 </w:t>
      </w:r>
      <w:r>
        <w:rPr>
          <w:color w:val="000000"/>
          <w:spacing w:val="0"/>
          <w:w w:val="100"/>
          <w:position w:val="0"/>
        </w:rPr>
        <w:t>万元，技术服务收入分别为</w:t>
      </w:r>
      <w:r>
        <w:rPr>
          <w:rFonts w:ascii="Times New Roman" w:eastAsia="Times New Roman" w:hAnsi="Times New Roman" w:cs="Times New Roman"/>
          <w:color w:val="000000"/>
          <w:spacing w:val="0"/>
          <w:w w:val="100"/>
          <w:position w:val="0"/>
        </w:rPr>
        <w:t>3,365.08</w:t>
      </w:r>
      <w:r>
        <w:rPr>
          <w:color w:val="000000"/>
          <w:spacing w:val="0"/>
          <w:w w:val="100"/>
          <w:position w:val="0"/>
        </w:rPr>
        <w:t>万元、</w:t>
      </w:r>
      <w:r>
        <w:rPr>
          <w:rFonts w:ascii="Times New Roman" w:eastAsia="Times New Roman" w:hAnsi="Times New Roman" w:cs="Times New Roman"/>
          <w:color w:val="000000"/>
          <w:spacing w:val="0"/>
          <w:w w:val="100"/>
          <w:position w:val="0"/>
        </w:rPr>
        <w:t>5,795.84</w:t>
      </w:r>
      <w:r>
        <w:rPr>
          <w:color w:val="000000"/>
          <w:spacing w:val="0"/>
          <w:w w:val="100"/>
          <w:position w:val="0"/>
        </w:rPr>
        <w:t>万元、</w:t>
      </w:r>
      <w:r>
        <w:rPr>
          <w:rFonts w:ascii="Times New Roman" w:eastAsia="Times New Roman" w:hAnsi="Times New Roman" w:cs="Times New Roman"/>
          <w:color w:val="000000"/>
          <w:spacing w:val="0"/>
          <w:w w:val="100"/>
          <w:position w:val="0"/>
        </w:rPr>
        <w:t>4,625.53</w:t>
      </w:r>
      <w:r>
        <w:rPr>
          <w:color w:val="000000"/>
          <w:spacing w:val="0"/>
          <w:w w:val="100"/>
          <w:position w:val="0"/>
        </w:rPr>
        <w:t>万元，净利润分别为</w:t>
      </w:r>
      <w:r>
        <w:rPr>
          <w:rFonts w:ascii="Times New Roman" w:eastAsia="Times New Roman" w:hAnsi="Times New Roman" w:cs="Times New Roman"/>
          <w:color w:val="000000"/>
          <w:spacing w:val="0"/>
          <w:w w:val="100"/>
          <w:position w:val="0"/>
        </w:rPr>
        <w:t>4,429.29</w:t>
      </w:r>
      <w:r>
        <w:rPr>
          <w:color w:val="000000"/>
          <w:spacing w:val="0"/>
          <w:w w:val="100"/>
          <w:position w:val="0"/>
        </w:rPr>
        <w:t>万元、</w:t>
      </w:r>
      <w:r>
        <w:rPr>
          <w:rFonts w:ascii="Times New Roman" w:eastAsia="Times New Roman" w:hAnsi="Times New Roman" w:cs="Times New Roman"/>
          <w:color w:val="000000"/>
          <w:spacing w:val="0"/>
          <w:w w:val="100"/>
          <w:position w:val="0"/>
        </w:rPr>
        <w:t>5,284.99</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8,060.40 </w:t>
      </w:r>
      <w:r>
        <w:rPr>
          <w:color w:val="000000"/>
          <w:spacing w:val="0"/>
          <w:w w:val="100"/>
          <w:position w:val="0"/>
        </w:rPr>
        <w:t>万元。最近</w:t>
      </w:r>
      <w:r>
        <w:rPr>
          <w:rFonts w:ascii="Times New Roman" w:eastAsia="Times New Roman" w:hAnsi="Times New Roman" w:cs="Times New Roman"/>
          <w:color w:val="000000"/>
          <w:spacing w:val="0"/>
          <w:w w:val="100"/>
          <w:position w:val="0"/>
        </w:rPr>
        <w:t>3</w:t>
      </w:r>
      <w:r>
        <w:rPr>
          <w:color w:val="000000"/>
          <w:spacing w:val="0"/>
          <w:w w:val="100"/>
          <w:position w:val="0"/>
        </w:rPr>
        <w:t>年，公司软件及技术服务收入年均复合增长</w:t>
      </w:r>
      <w:r>
        <w:rPr>
          <w:rFonts w:ascii="Times New Roman" w:eastAsia="Times New Roman" w:hAnsi="Times New Roman" w:cs="Times New Roman"/>
          <w:color w:val="000000"/>
          <w:spacing w:val="0"/>
          <w:w w:val="100"/>
          <w:position w:val="0"/>
        </w:rPr>
        <w:t>42.62%</w:t>
      </w:r>
      <w:r>
        <w:rPr>
          <w:color w:val="000000"/>
          <w:spacing w:val="0"/>
          <w:w w:val="100"/>
          <w:position w:val="0"/>
        </w:rPr>
        <w:t>，公司净利润年均复合增长</w:t>
      </w:r>
      <w:r>
        <w:rPr>
          <w:rFonts w:ascii="Times New Roman" w:eastAsia="Times New Roman" w:hAnsi="Times New Roman" w:cs="Times New Roman"/>
          <w:color w:val="000000"/>
          <w:spacing w:val="0"/>
          <w:w w:val="100"/>
          <w:position w:val="0"/>
        </w:rPr>
        <w:t>34.90%</w:t>
      </w:r>
      <w:r>
        <w:rPr>
          <w:color w:val="000000"/>
          <w:spacing w:val="0"/>
          <w:w w:val="100"/>
          <w:position w:val="0"/>
        </w:rPr>
        <w:t>，已成长为国内领先的医 疗软件企业。但与国内其他行业知名软件企业、国际知名医疗软件企业相比，公司的业务规模较小，存在抵御错综复杂市场 风险能力较小的风险。</w:t>
      </w:r>
    </w:p>
    <w:p>
      <w:pPr>
        <w:pStyle w:val="Style23"/>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应对措施：公司将借助上市带来的资本优势、品牌优势，抓住目前国内医疗信息化快速发展的大好时机，加大研发和市 场营销投入，尽快覆盖全国市场，并在条件成熟的情况下，积极推动行业整合，加快公司发展。</w:t>
      </w:r>
    </w:p>
    <w:p>
      <w:pPr>
        <w:pStyle w:val="Style23"/>
        <w:keepNext w:val="0"/>
        <w:keepLines w:val="0"/>
        <w:widowControl w:val="0"/>
        <w:shd w:val="clear" w:color="auto" w:fill="auto"/>
        <w:tabs>
          <w:tab w:pos="654" w:val="left"/>
        </w:tabs>
        <w:bidi w:val="0"/>
        <w:spacing w:before="0" w:after="0"/>
        <w:ind w:left="0" w:right="0" w:firstLine="360"/>
        <w:jc w:val="both"/>
      </w:pPr>
      <w:bookmarkStart w:id="40" w:name="bookmark40"/>
      <w:r>
        <w:rPr>
          <w:rFonts w:ascii="Times New Roman" w:eastAsia="Times New Roman" w:hAnsi="Times New Roman" w:cs="Times New Roman"/>
          <w:b/>
          <w:bCs/>
          <w:color w:val="000000"/>
          <w:spacing w:val="0"/>
          <w:w w:val="100"/>
          <w:position w:val="0"/>
        </w:rPr>
        <w:t>5</w:t>
      </w:r>
      <w:bookmarkEnd w:id="40"/>
      <w:r>
        <w:rPr>
          <w:b/>
          <w:bCs/>
          <w:color w:val="000000"/>
          <w:spacing w:val="0"/>
          <w:w w:val="100"/>
          <w:position w:val="0"/>
        </w:rPr>
        <w:t>、</w:t>
        <w:tab/>
        <w:t>收款及经营业绩的季节性波动风险</w:t>
      </w:r>
    </w:p>
    <w:p>
      <w:pPr>
        <w:pStyle w:val="Style2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由于受上述因素的影响，导致公司营业收入、净利润、经营性现金流量呈不均衡的季节性分布：最近三年，公司上半年 收款一般只占全年的</w:t>
      </w:r>
      <w:r>
        <w:rPr>
          <w:rFonts w:ascii="Times New Roman" w:eastAsia="Times New Roman" w:hAnsi="Times New Roman" w:cs="Times New Roman"/>
          <w:color w:val="000000"/>
          <w:spacing w:val="0"/>
          <w:w w:val="100"/>
          <w:position w:val="0"/>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rPr>
        <w:t>50%</w:t>
      </w:r>
      <w:r>
        <w:rPr>
          <w:color w:val="000000"/>
          <w:spacing w:val="0"/>
          <w:w w:val="100"/>
          <w:position w:val="0"/>
        </w:rPr>
        <w:t>以上；公司的收入和利润存在一定的季节性，软件及技术服务收 入、净利润在上、下半年分别占比平均约为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。投资者不宜以公司季度或者半年度业绩作为投资判断的主要依据。</w:t>
      </w:r>
    </w:p>
    <w:p>
      <w:pPr>
        <w:pStyle w:val="Style23"/>
        <w:keepNext w:val="0"/>
        <w:keepLines w:val="0"/>
        <w:widowControl w:val="0"/>
        <w:shd w:val="clear" w:color="auto" w:fill="auto"/>
        <w:bidi w:val="0"/>
        <w:spacing w:before="0" w:after="80" w:line="314" w:lineRule="exact"/>
        <w:ind w:left="0" w:right="0" w:firstLine="300"/>
        <w:jc w:val="both"/>
        <w:sectPr>
          <w:footnotePr>
            <w:pos w:val="pageBottom"/>
            <w:numFmt w:val="decimal"/>
            <w:numRestart w:val="continuous"/>
          </w:footnotePr>
          <w:pgSz w:w="11900" w:h="16840"/>
          <w:pgMar w:top="1393" w:right="1077" w:bottom="1460" w:left="1055" w:header="0" w:footer="3" w:gutter="0"/>
          <w:cols w:space="720"/>
          <w:noEndnote/>
          <w:rtlGutter w:val="0"/>
          <w:docGrid w:linePitch="360"/>
        </w:sectPr>
      </w:pPr>
      <w:r>
        <w:rPr>
          <w:color w:val="000000"/>
          <w:spacing w:val="0"/>
          <w:w w:val="100"/>
          <w:position w:val="0"/>
        </w:rPr>
        <w:t>应对措施：公司将加大市场工作力度，及时了解、掌握和引导客户的投资计划，在不违反相关规定的前提下尽早介入项 目前期规划工作，同时合理调配人力资源，使得项目实施尽量能够均衡开展，减少因自身因素造成的项目实施时间集中问题； 同时，加大收款考核力度，与客户保持及时有效沟通，减少因人为因素造成的收款时间集中问题。</w:t>
      </w:r>
    </w:p>
    <w:p>
      <w:pPr>
        <w:pStyle w:val="Style13"/>
        <w:keepNext/>
        <w:keepLines/>
        <w:widowControl w:val="0"/>
        <w:shd w:val="clear" w:color="auto" w:fill="auto"/>
        <w:bidi w:val="0"/>
        <w:spacing w:before="620" w:after="520" w:line="240" w:lineRule="auto"/>
        <w:ind w:left="0" w:right="0" w:firstLine="0"/>
        <w:jc w:val="center"/>
      </w:pPr>
      <w:bookmarkStart w:id="41" w:name="bookmark41"/>
      <w:bookmarkStart w:id="42" w:name="bookmark42"/>
      <w:bookmarkStart w:id="43" w:name="bookmark43"/>
      <w:r>
        <w:rPr>
          <w:color w:val="000000"/>
          <w:spacing w:val="0"/>
          <w:w w:val="100"/>
          <w:position w:val="0"/>
        </w:rPr>
        <w:t>第四节董事会报告</w:t>
      </w:r>
      <w:bookmarkEnd w:id="41"/>
      <w:bookmarkEnd w:id="42"/>
      <w:bookmarkEnd w:id="43"/>
    </w:p>
    <w:p>
      <w:pPr>
        <w:pStyle w:val="Style21"/>
        <w:keepNext/>
        <w:keepLines/>
        <w:widowControl w:val="0"/>
        <w:shd w:val="clear" w:color="auto" w:fill="auto"/>
        <w:bidi w:val="0"/>
        <w:spacing w:before="0" w:after="320" w:line="240" w:lineRule="auto"/>
        <w:ind w:left="0" w:right="0" w:firstLine="0"/>
        <w:jc w:val="left"/>
      </w:pPr>
      <w:bookmarkStart w:id="44" w:name="bookmark44"/>
      <w:bookmarkStart w:id="45" w:name="bookmark45"/>
      <w:bookmarkStart w:id="46" w:name="bookmark46"/>
      <w:bookmarkStart w:id="47" w:name="bookmark47"/>
      <w:bookmarkStart w:id="48" w:name="bookmark48"/>
      <w:r>
        <w:rPr>
          <w:color w:val="000000"/>
          <w:spacing w:val="0"/>
          <w:w w:val="100"/>
          <w:position w:val="0"/>
          <w:sz w:val="24"/>
          <w:szCs w:val="24"/>
        </w:rPr>
        <w:t>一</w:t>
      </w:r>
      <w:bookmarkEnd w:id="47"/>
      <w:r>
        <w:rPr>
          <w:color w:val="000000"/>
          <w:spacing w:val="0"/>
          <w:w w:val="100"/>
          <w:position w:val="0"/>
          <w:sz w:val="24"/>
          <w:szCs w:val="24"/>
        </w:rPr>
        <w:t>、管理层讨论与分析</w:t>
      </w:r>
      <w:bookmarkEnd w:id="45"/>
      <w:bookmarkEnd w:id="46"/>
      <w:bookmarkEnd w:id="48"/>
      <w:bookmarkEnd w:id="44"/>
    </w:p>
    <w:p>
      <w:pPr>
        <w:pStyle w:val="Style31"/>
        <w:keepNext/>
        <w:keepLines/>
        <w:widowControl w:val="0"/>
        <w:shd w:val="clear" w:color="auto" w:fill="auto"/>
        <w:bidi w:val="0"/>
        <w:spacing w:before="0" w:after="24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、报告期内主要业务回顾</w:t>
      </w:r>
      <w:bookmarkEnd w:id="49"/>
      <w:bookmarkEnd w:id="50"/>
      <w:bookmarkEnd w:id="52"/>
    </w:p>
    <w:p>
      <w:pPr>
        <w:pStyle w:val="Style23"/>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年是公司稳步发展，积极向上的一年。围绕公司发展战略及</w:t>
      </w:r>
      <w:r>
        <w:rPr>
          <w:rFonts w:ascii="Times New Roman" w:eastAsia="Times New Roman" w:hAnsi="Times New Roman" w:cs="Times New Roman"/>
          <w:color w:val="000000"/>
          <w:spacing w:val="0"/>
          <w:w w:val="100"/>
          <w:position w:val="0"/>
        </w:rPr>
        <w:t>2013</w:t>
      </w:r>
      <w:r>
        <w:rPr>
          <w:color w:val="000000"/>
          <w:spacing w:val="0"/>
          <w:w w:val="100"/>
          <w:position w:val="0"/>
        </w:rPr>
        <w:t>年经营目标，公司上下齐心协办，秉承</w:t>
      </w:r>
      <w:r>
        <w:rPr>
          <w:rFonts w:ascii="Times New Roman" w:eastAsia="Times New Roman" w:hAnsi="Times New Roman" w:cs="Times New Roman"/>
          <w:color w:val="000000"/>
          <w:spacing w:val="0"/>
          <w:w w:val="100"/>
          <w:position w:val="0"/>
        </w:rPr>
        <w:t>“</w:t>
      </w:r>
      <w:r>
        <w:rPr>
          <w:color w:val="000000"/>
          <w:spacing w:val="0"/>
          <w:w w:val="100"/>
          <w:position w:val="0"/>
        </w:rPr>
        <w:t>追求高效, 崇尚简洁，以创新为矛，以务实为盾，脚踏实地，开拓未来</w:t>
      </w:r>
      <w:r>
        <w:rPr>
          <w:rFonts w:ascii="Times New Roman" w:eastAsia="Times New Roman" w:hAnsi="Times New Roman" w:cs="Times New Roman"/>
          <w:color w:val="000000"/>
          <w:spacing w:val="0"/>
          <w:w w:val="100"/>
          <w:position w:val="0"/>
        </w:rPr>
        <w:t>”</w:t>
      </w:r>
      <w:r>
        <w:rPr>
          <w:color w:val="000000"/>
          <w:spacing w:val="0"/>
          <w:w w:val="100"/>
          <w:position w:val="0"/>
        </w:rPr>
        <w:t>的理念，持续加强市场开拓力度，不断强化内部管理，积极开 展项目建设，深化降本增效，优化产品性能，实现了经营业绩的稳步增长。报告期内，实现营业收入</w:t>
      </w:r>
      <w:r>
        <w:rPr>
          <w:rFonts w:ascii="Times New Roman" w:eastAsia="Times New Roman" w:hAnsi="Times New Roman" w:cs="Times New Roman"/>
          <w:color w:val="000000"/>
          <w:spacing w:val="0"/>
          <w:w w:val="100"/>
          <w:position w:val="0"/>
        </w:rPr>
        <w:t>34,882.79</w:t>
      </w:r>
      <w:r>
        <w:rPr>
          <w:color w:val="000000"/>
          <w:spacing w:val="0"/>
          <w:w w:val="100"/>
          <w:position w:val="0"/>
        </w:rPr>
        <w:t>万元，同比增 长</w:t>
      </w:r>
      <w:r>
        <w:rPr>
          <w:rFonts w:ascii="Times New Roman" w:eastAsia="Times New Roman" w:hAnsi="Times New Roman" w:cs="Times New Roman"/>
          <w:color w:val="000000"/>
          <w:spacing w:val="0"/>
          <w:w w:val="100"/>
          <w:position w:val="0"/>
        </w:rPr>
        <w:t>31.25%</w:t>
      </w:r>
      <w:r>
        <w:rPr>
          <w:color w:val="000000"/>
          <w:spacing w:val="0"/>
          <w:w w:val="100"/>
          <w:position w:val="0"/>
        </w:rPr>
        <w:t>；营业利润</w:t>
      </w:r>
      <w:r>
        <w:rPr>
          <w:rFonts w:ascii="Times New Roman" w:eastAsia="Times New Roman" w:hAnsi="Times New Roman" w:cs="Times New Roman"/>
          <w:color w:val="000000"/>
          <w:spacing w:val="0"/>
          <w:w w:val="100"/>
          <w:position w:val="0"/>
        </w:rPr>
        <w:t>5,064.21</w:t>
      </w:r>
      <w:r>
        <w:rPr>
          <w:color w:val="000000"/>
          <w:spacing w:val="0"/>
          <w:w w:val="100"/>
          <w:position w:val="0"/>
        </w:rPr>
        <w:t>万元，同比增长</w:t>
      </w:r>
      <w:r>
        <w:rPr>
          <w:rFonts w:ascii="Times New Roman" w:eastAsia="Times New Roman" w:hAnsi="Times New Roman" w:cs="Times New Roman"/>
          <w:color w:val="000000"/>
          <w:spacing w:val="0"/>
          <w:w w:val="100"/>
          <w:position w:val="0"/>
        </w:rPr>
        <w:t>40.68%</w:t>
      </w:r>
      <w:r>
        <w:rPr>
          <w:color w:val="000000"/>
          <w:spacing w:val="0"/>
          <w:w w:val="100"/>
          <w:position w:val="0"/>
        </w:rPr>
        <w:t>；利润总额</w:t>
      </w:r>
      <w:r>
        <w:rPr>
          <w:rFonts w:ascii="Times New Roman" w:eastAsia="Times New Roman" w:hAnsi="Times New Roman" w:cs="Times New Roman"/>
          <w:color w:val="000000"/>
          <w:spacing w:val="0"/>
          <w:w w:val="100"/>
          <w:position w:val="0"/>
        </w:rPr>
        <w:t>8,414.5</w:t>
      </w:r>
      <w:r>
        <w:rPr>
          <w:rFonts w:ascii="Times New Roman" w:eastAsia="Times New Roman" w:hAnsi="Times New Roman" w:cs="Times New Roman"/>
          <w:color w:val="000000"/>
          <w:spacing w:val="0"/>
          <w:w w:val="100"/>
          <w:position w:val="0"/>
        </w:rPr>
        <w:t>0</w:t>
      </w:r>
      <w:r>
        <w:rPr>
          <w:color w:val="000000"/>
          <w:spacing w:val="0"/>
          <w:w w:val="100"/>
          <w:position w:val="0"/>
        </w:rPr>
        <w:t>万元，同比增长</w:t>
      </w:r>
      <w:r>
        <w:rPr>
          <w:rFonts w:ascii="Times New Roman" w:eastAsia="Times New Roman" w:hAnsi="Times New Roman" w:cs="Times New Roman"/>
          <w:color w:val="000000"/>
          <w:spacing w:val="0"/>
          <w:w w:val="100"/>
          <w:position w:val="0"/>
        </w:rPr>
        <w:t>45.72%</w:t>
      </w:r>
      <w:r>
        <w:rPr>
          <w:color w:val="000000"/>
          <w:spacing w:val="0"/>
          <w:w w:val="100"/>
          <w:position w:val="0"/>
        </w:rPr>
        <w:t>；归属于上市公司股东净利 润</w:t>
      </w:r>
      <w:r>
        <w:rPr>
          <w:rFonts w:ascii="Times New Roman" w:eastAsia="Times New Roman" w:hAnsi="Times New Roman" w:cs="Times New Roman"/>
          <w:color w:val="000000"/>
          <w:spacing w:val="0"/>
          <w:w w:val="100"/>
          <w:position w:val="0"/>
        </w:rPr>
        <w:t>8,060.4</w:t>
      </w:r>
      <w:r>
        <w:rPr>
          <w:rFonts w:ascii="Times New Roman" w:eastAsia="Times New Roman" w:hAnsi="Times New Roman" w:cs="Times New Roman"/>
          <w:color w:val="000000"/>
          <w:spacing w:val="0"/>
          <w:w w:val="100"/>
          <w:position w:val="0"/>
        </w:rPr>
        <w:t>0</w:t>
      </w:r>
      <w:r>
        <w:rPr>
          <w:color w:val="000000"/>
          <w:spacing w:val="0"/>
          <w:w w:val="100"/>
          <w:position w:val="0"/>
        </w:rPr>
        <w:t>万元，同比增长</w:t>
      </w:r>
      <w:r>
        <w:rPr>
          <w:rFonts w:ascii="Times New Roman" w:eastAsia="Times New Roman" w:hAnsi="Times New Roman" w:cs="Times New Roman"/>
          <w:color w:val="000000"/>
          <w:spacing w:val="0"/>
          <w:w w:val="100"/>
          <w:position w:val="0"/>
        </w:rPr>
        <w:t>52.51%</w:t>
      </w:r>
      <w:r>
        <w:rPr>
          <w:color w:val="000000"/>
          <w:spacing w:val="0"/>
          <w:w w:val="100"/>
          <w:position w:val="0"/>
        </w:rPr>
        <w:t>。报告期内，公司着力做好以下工作：</w:t>
      </w:r>
    </w:p>
    <w:p>
      <w:pPr>
        <w:pStyle w:val="Style23"/>
        <w:keepNext w:val="0"/>
        <w:keepLines w:val="0"/>
        <w:widowControl w:val="0"/>
        <w:shd w:val="clear" w:color="auto" w:fill="auto"/>
        <w:tabs>
          <w:tab w:pos="760" w:val="left"/>
        </w:tabs>
        <w:bidi w:val="0"/>
        <w:spacing w:before="0" w:after="0" w:line="311" w:lineRule="exact"/>
        <w:ind w:left="0" w:right="0"/>
        <w:jc w:val="both"/>
      </w:pPr>
      <w:bookmarkStart w:id="53" w:name="bookmark53"/>
      <w:r>
        <w:rPr>
          <w:color w:val="000000"/>
          <w:spacing w:val="0"/>
          <w:w w:val="100"/>
          <w:position w:val="0"/>
        </w:rPr>
        <w:t>（</w:t>
      </w:r>
      <w:bookmarkEnd w:id="53"/>
      <w:r>
        <w:rPr>
          <w:rFonts w:ascii="Times New Roman" w:eastAsia="Times New Roman" w:hAnsi="Times New Roman" w:cs="Times New Roman"/>
          <w:color w:val="000000"/>
          <w:spacing w:val="0"/>
          <w:w w:val="100"/>
          <w:position w:val="0"/>
        </w:rPr>
        <w:t>1</w:t>
      </w:r>
      <w:r>
        <w:rPr>
          <w:color w:val="000000"/>
          <w:spacing w:val="0"/>
          <w:w w:val="100"/>
          <w:position w:val="0"/>
        </w:rPr>
        <w:t>）</w:t>
        <w:tab/>
        <w:t>完善营销管理，加强市场拓展</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报告期内，公司紧紧围绕主营产品，坚持</w:t>
      </w:r>
      <w:r>
        <w:rPr>
          <w:rFonts w:ascii="Times New Roman" w:eastAsia="Times New Roman" w:hAnsi="Times New Roman" w:cs="Times New Roman"/>
          <w:color w:val="000000"/>
          <w:spacing w:val="0"/>
          <w:w w:val="100"/>
          <w:position w:val="0"/>
        </w:rPr>
        <w:t>“</w:t>
      </w:r>
      <w:r>
        <w:rPr>
          <w:color w:val="000000"/>
          <w:spacing w:val="0"/>
          <w:w w:val="100"/>
          <w:position w:val="0"/>
        </w:rPr>
        <w:t>外抓市场、内抓管理</w:t>
      </w:r>
      <w:r>
        <w:rPr>
          <w:rFonts w:ascii="Times New Roman" w:eastAsia="Times New Roman" w:hAnsi="Times New Roman" w:cs="Times New Roman"/>
          <w:color w:val="000000"/>
          <w:spacing w:val="0"/>
          <w:w w:val="100"/>
          <w:position w:val="0"/>
        </w:rPr>
        <w:t>”</w:t>
      </w:r>
      <w:r>
        <w:rPr>
          <w:color w:val="000000"/>
          <w:spacing w:val="0"/>
          <w:w w:val="100"/>
          <w:position w:val="0"/>
        </w:rPr>
        <w:t>的工作思路，全力做好市场开发和维护工作，树立良好 品牌形象，通过各种形式的培训和分享，提升了营销队伍的专业化素质，增强了团队的凝聚力。积极采取内涵提升与外延扩 展良性互动的发展策略，在新疆地区设立控股子公司新疆金仕达卫宁软件有限公司（暂定名，以工商登记为准），公司出资 人民币</w:t>
      </w:r>
      <w:r>
        <w:rPr>
          <w:rFonts w:ascii="Times New Roman" w:eastAsia="Times New Roman" w:hAnsi="Times New Roman" w:cs="Times New Roman"/>
          <w:color w:val="000000"/>
          <w:spacing w:val="0"/>
          <w:w w:val="100"/>
          <w:position w:val="0"/>
        </w:rPr>
        <w:t>510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51%</w:t>
      </w:r>
      <w:r>
        <w:rPr>
          <w:color w:val="000000"/>
          <w:spacing w:val="0"/>
          <w:w w:val="100"/>
          <w:position w:val="0"/>
        </w:rPr>
        <w:t>，目前处于工商注册过程中。</w:t>
      </w:r>
    </w:p>
    <w:p>
      <w:pPr>
        <w:pStyle w:val="Style23"/>
        <w:keepNext w:val="0"/>
        <w:keepLines w:val="0"/>
        <w:widowControl w:val="0"/>
        <w:shd w:val="clear" w:color="auto" w:fill="auto"/>
        <w:tabs>
          <w:tab w:pos="760" w:val="left"/>
        </w:tabs>
        <w:bidi w:val="0"/>
        <w:spacing w:before="0" w:after="0" w:line="311" w:lineRule="exact"/>
        <w:ind w:left="0" w:right="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rPr>
        <w:t>2</w:t>
      </w:r>
      <w:r>
        <w:rPr>
          <w:color w:val="000000"/>
          <w:spacing w:val="0"/>
          <w:w w:val="100"/>
          <w:position w:val="0"/>
        </w:rPr>
        <w:t>）</w:t>
        <w:tab/>
        <w:t>研发新产品，拓宽新领域</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报告期内，公司持续保持高比例的研发投入，推动产品和技术水平的持续领先，报告期内发生研发费用</w:t>
      </w:r>
      <w:r>
        <w:rPr>
          <w:rFonts w:ascii="Times New Roman" w:eastAsia="Times New Roman" w:hAnsi="Times New Roman" w:cs="Times New Roman"/>
          <w:color w:val="000000"/>
          <w:spacing w:val="0"/>
          <w:w w:val="100"/>
          <w:position w:val="0"/>
        </w:rPr>
        <w:t>4,234.03</w:t>
      </w:r>
      <w:r>
        <w:rPr>
          <w:color w:val="000000"/>
          <w:spacing w:val="0"/>
          <w:w w:val="100"/>
          <w:position w:val="0"/>
        </w:rPr>
        <w:t>万元， 同比增长</w:t>
      </w:r>
      <w:r>
        <w:rPr>
          <w:rFonts w:ascii="Times New Roman" w:eastAsia="Times New Roman" w:hAnsi="Times New Roman" w:cs="Times New Roman"/>
          <w:color w:val="000000"/>
          <w:spacing w:val="0"/>
          <w:w w:val="100"/>
          <w:position w:val="0"/>
        </w:rPr>
        <w:t>56.15%</w:t>
      </w:r>
      <w:r>
        <w:rPr>
          <w:color w:val="000000"/>
          <w:spacing w:val="0"/>
          <w:w w:val="100"/>
          <w:position w:val="0"/>
        </w:rPr>
        <w:t>，其中资本化支出</w:t>
      </w:r>
      <w:r>
        <w:rPr>
          <w:rFonts w:ascii="Times New Roman" w:eastAsia="Times New Roman" w:hAnsi="Times New Roman" w:cs="Times New Roman"/>
          <w:color w:val="000000"/>
          <w:spacing w:val="0"/>
          <w:w w:val="100"/>
          <w:position w:val="0"/>
        </w:rPr>
        <w:t>1,346.12</w:t>
      </w:r>
      <w:r>
        <w:rPr>
          <w:color w:val="000000"/>
          <w:spacing w:val="0"/>
          <w:w w:val="100"/>
          <w:position w:val="0"/>
        </w:rPr>
        <w:t>万元，占研发费用的</w:t>
      </w:r>
      <w:r>
        <w:rPr>
          <w:rFonts w:ascii="Times New Roman" w:eastAsia="Times New Roman" w:hAnsi="Times New Roman" w:cs="Times New Roman"/>
          <w:color w:val="000000"/>
          <w:spacing w:val="0"/>
          <w:w w:val="100"/>
          <w:position w:val="0"/>
        </w:rPr>
        <w:t>31.79%</w:t>
      </w:r>
      <w:r>
        <w:rPr>
          <w:color w:val="000000"/>
          <w:spacing w:val="0"/>
          <w:w w:val="100"/>
          <w:position w:val="0"/>
        </w:rPr>
        <w:t>；研发人员由上年末的</w:t>
      </w:r>
      <w:r>
        <w:rPr>
          <w:rFonts w:ascii="Times New Roman" w:eastAsia="Times New Roman" w:hAnsi="Times New Roman" w:cs="Times New Roman"/>
          <w:color w:val="000000"/>
          <w:spacing w:val="0"/>
          <w:w w:val="100"/>
          <w:position w:val="0"/>
        </w:rPr>
        <w:t>195</w:t>
      </w:r>
      <w:r>
        <w:rPr>
          <w:color w:val="000000"/>
          <w:spacing w:val="0"/>
          <w:w w:val="100"/>
          <w:position w:val="0"/>
        </w:rPr>
        <w:t>名增加至</w:t>
      </w:r>
      <w:r>
        <w:rPr>
          <w:rFonts w:ascii="Times New Roman" w:eastAsia="Times New Roman" w:hAnsi="Times New Roman" w:cs="Times New Roman"/>
          <w:color w:val="000000"/>
          <w:spacing w:val="0"/>
          <w:w w:val="100"/>
          <w:position w:val="0"/>
        </w:rPr>
        <w:t>262</w:t>
      </w:r>
      <w:r>
        <w:rPr>
          <w:color w:val="000000"/>
          <w:spacing w:val="0"/>
          <w:w w:val="100"/>
          <w:position w:val="0"/>
        </w:rPr>
        <w:t>名；新增</w:t>
      </w:r>
      <w:r>
        <w:rPr>
          <w:rFonts w:ascii="Times New Roman" w:eastAsia="Times New Roman" w:hAnsi="Times New Roman" w:cs="Times New Roman"/>
          <w:color w:val="000000"/>
          <w:spacing w:val="0"/>
          <w:w w:val="100"/>
          <w:position w:val="0"/>
        </w:rPr>
        <w:t>38</w:t>
      </w:r>
      <w:r>
        <w:rPr>
          <w:color w:val="000000"/>
          <w:spacing w:val="0"/>
          <w:w w:val="100"/>
          <w:position w:val="0"/>
        </w:rPr>
        <w:t>项 软件著作权证书。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月公司成立卫宁软件创新研究院，为提升公司的核心竞争力将起到良好的促进作用。</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在医保控费业务领域，控股子公司卫宁科技自成立以来一直专注于医疗保险基金监控智能审核管理及智能数据挖掘、医 疗卫生行业临床医学知识库应用研究及开发、销售等服务，并且与全国各地区基本医疗保险（保障）管理经办部门、商业医 疗保险企业进行积极接触、充分沟通、广泛合作，截至报告期末，已签订相关合同或协议的机构单位有：江苏省无锡市社会 保险基金中心、浙江省嘉兴市社会保障事务局、江苏省盐城市医疗保险基金中心及盐城市社会保障信息中心、江苏省连云港 市人社局、平安养老保险股份有限公司等，相关业务正在积极有序推进中。</w:t>
      </w:r>
    </w:p>
    <w:p>
      <w:pPr>
        <w:pStyle w:val="Style23"/>
        <w:keepNext w:val="0"/>
        <w:keepLines w:val="0"/>
        <w:widowControl w:val="0"/>
        <w:shd w:val="clear" w:color="auto" w:fill="auto"/>
        <w:tabs>
          <w:tab w:pos="760" w:val="left"/>
        </w:tabs>
        <w:bidi w:val="0"/>
        <w:spacing w:before="0" w:after="0" w:line="311" w:lineRule="exact"/>
        <w:ind w:left="0" w:right="0"/>
        <w:jc w:val="both"/>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rPr>
        <w:t>3</w:t>
      </w:r>
      <w:r>
        <w:rPr>
          <w:color w:val="000000"/>
          <w:spacing w:val="0"/>
          <w:w w:val="100"/>
          <w:position w:val="0"/>
        </w:rPr>
        <w:t>）</w:t>
        <w:tab/>
        <w:t>募集资金使用管理</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报告期内，公司根据相关要求和募集资金使用计划，加紧项目建设，合理落实募投资金使用，四个承诺募投项目已经实 施完毕。截至本报告期末，募投项目累计使用募集资金</w:t>
      </w:r>
      <w:r>
        <w:rPr>
          <w:rFonts w:ascii="Times New Roman" w:eastAsia="Times New Roman" w:hAnsi="Times New Roman" w:cs="Times New Roman"/>
          <w:color w:val="000000"/>
          <w:spacing w:val="0"/>
          <w:w w:val="100"/>
          <w:position w:val="0"/>
        </w:rPr>
        <w:t>12,828.7</w:t>
      </w:r>
      <w:r>
        <w:rPr>
          <w:color w:val="000000"/>
          <w:spacing w:val="0"/>
          <w:w w:val="100"/>
          <w:position w:val="0"/>
        </w:rPr>
        <w:t>万元，节余募集资金（含专户利息收入）</w:t>
      </w:r>
      <w:r>
        <w:rPr>
          <w:rFonts w:ascii="Times New Roman" w:eastAsia="Times New Roman" w:hAnsi="Times New Roman" w:cs="Times New Roman"/>
          <w:color w:val="000000"/>
          <w:spacing w:val="0"/>
          <w:w w:val="100"/>
          <w:position w:val="0"/>
        </w:rPr>
        <w:t>1,393.22</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日召开的第二届董事会第十六次会议和第二届监事会第十七次会议分别审议通过了《关于募集资金投资项目节余资金 永久补充流动资金的议案》，同意公司使用募投项目节余资金（含专户利息收入）</w:t>
      </w:r>
      <w:r>
        <w:rPr>
          <w:rFonts w:ascii="Times New Roman" w:eastAsia="Times New Roman" w:hAnsi="Times New Roman" w:cs="Times New Roman"/>
          <w:color w:val="000000"/>
          <w:spacing w:val="0"/>
          <w:w w:val="100"/>
          <w:position w:val="0"/>
        </w:rPr>
        <w:t>1,393.22</w:t>
      </w:r>
      <w:r>
        <w:rPr>
          <w:color w:val="000000"/>
          <w:spacing w:val="0"/>
          <w:w w:val="100"/>
          <w:position w:val="0"/>
        </w:rPr>
        <w:t>万元永久补充流动资金，独立董 事和保荐机构发表了同意意见。同时，为了缓解公司流动资金的需求压力，提升募集资金的使用效率，公司于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日召开的第二届董事会第十五次会议和第二届监事会第十六次会议分别审议通过了《关于使用部分超募资金永久补充流动资 金的议案》，同意使用超募资金</w:t>
      </w:r>
      <w:r>
        <w:rPr>
          <w:rFonts w:ascii="Times New Roman" w:eastAsia="Times New Roman" w:hAnsi="Times New Roman" w:cs="Times New Roman"/>
          <w:color w:val="000000"/>
          <w:spacing w:val="0"/>
          <w:w w:val="100"/>
          <w:position w:val="0"/>
        </w:rPr>
        <w:t>4,000</w:t>
      </w:r>
      <w:r>
        <w:rPr>
          <w:color w:val="000000"/>
          <w:spacing w:val="0"/>
          <w:w w:val="100"/>
          <w:position w:val="0"/>
        </w:rPr>
        <w:t>万元永久补充流动资金，该事项已经公司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年第一次临时股东大会审议批准。已于 报告期内实施。</w:t>
      </w:r>
    </w:p>
    <w:p>
      <w:pPr>
        <w:pStyle w:val="Style23"/>
        <w:keepNext w:val="0"/>
        <w:keepLines w:val="0"/>
        <w:widowControl w:val="0"/>
        <w:shd w:val="clear" w:color="auto" w:fill="auto"/>
        <w:tabs>
          <w:tab w:pos="760" w:val="left"/>
        </w:tabs>
        <w:bidi w:val="0"/>
        <w:spacing w:before="0" w:after="0" w:line="311" w:lineRule="exact"/>
        <w:ind w:left="0" w:right="0"/>
        <w:jc w:val="both"/>
      </w:pPr>
      <w:bookmarkStart w:id="56" w:name="bookmark56"/>
      <w:r>
        <w:rPr>
          <w:color w:val="000000"/>
          <w:spacing w:val="0"/>
          <w:w w:val="100"/>
          <w:position w:val="0"/>
        </w:rPr>
        <w:t>（</w:t>
      </w:r>
      <w:bookmarkEnd w:id="56"/>
      <w:r>
        <w:rPr>
          <w:rFonts w:ascii="Times New Roman" w:eastAsia="Times New Roman" w:hAnsi="Times New Roman" w:cs="Times New Roman"/>
          <w:color w:val="000000"/>
          <w:spacing w:val="0"/>
          <w:w w:val="100"/>
          <w:position w:val="0"/>
        </w:rPr>
        <w:t>4</w:t>
      </w:r>
      <w:r>
        <w:rPr>
          <w:color w:val="000000"/>
          <w:spacing w:val="0"/>
          <w:w w:val="100"/>
          <w:position w:val="0"/>
        </w:rPr>
        <w:t>）</w:t>
        <w:tab/>
        <w:t>完成股权激励，保持公司持续发展动力</w:t>
      </w:r>
    </w:p>
    <w:p>
      <w:pPr>
        <w:pStyle w:val="Style23"/>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报告期内，公司为了完善人才培养和梯队建设计划，健全核心骨干人员的职业发展规划，使公司的整体执行力和运营效 率得到有效提升。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日召开的第二董事会第十一次会议和第二届监事会第十二次会议分别审议通过了《关于公司 股票期权激励计划预留股票期权授予相关事项的议案》，同意向</w:t>
      </w:r>
      <w:r>
        <w:rPr>
          <w:rFonts w:ascii="Times New Roman" w:eastAsia="Times New Roman" w:hAnsi="Times New Roman" w:cs="Times New Roman"/>
          <w:color w:val="000000"/>
          <w:spacing w:val="0"/>
          <w:w w:val="100"/>
          <w:position w:val="0"/>
        </w:rPr>
        <w:t>17</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50</w:t>
      </w:r>
      <w:r>
        <w:rPr>
          <w:color w:val="000000"/>
          <w:spacing w:val="0"/>
          <w:w w:val="100"/>
          <w:position w:val="0"/>
        </w:rPr>
        <w:t>万份股票期权，授予价格为</w:t>
      </w:r>
      <w:r>
        <w:rPr>
          <w:rFonts w:ascii="Times New Roman" w:eastAsia="Times New Roman" w:hAnsi="Times New Roman" w:cs="Times New Roman"/>
          <w:color w:val="000000"/>
          <w:spacing w:val="0"/>
          <w:w w:val="100"/>
          <w:position w:val="0"/>
        </w:rPr>
        <w:t>48.9</w:t>
      </w:r>
      <w:r>
        <w:rPr>
          <w:rFonts w:ascii="Times New Roman" w:eastAsia="Times New Roman" w:hAnsi="Times New Roman" w:cs="Times New Roman"/>
          <w:color w:val="000000"/>
          <w:spacing w:val="0"/>
          <w:w w:val="100"/>
          <w:position w:val="0"/>
        </w:rPr>
        <w:t>0</w:t>
      </w:r>
      <w:r>
        <w:rPr>
          <w:color w:val="000000"/>
          <w:spacing w:val="0"/>
          <w:w w:val="100"/>
          <w:position w:val="0"/>
        </w:rPr>
        <w:t>元， 授予日期为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日。经中国证券登记结算有限责任公司深圳分公司审核确认，公司已完成</w:t>
      </w:r>
      <w:r>
        <w:rPr>
          <w:rFonts w:ascii="Times New Roman" w:eastAsia="Times New Roman" w:hAnsi="Times New Roman" w:cs="Times New Roman"/>
          <w:color w:val="000000"/>
          <w:spacing w:val="0"/>
          <w:w w:val="100"/>
          <w:position w:val="0"/>
        </w:rPr>
        <w:t>50</w:t>
      </w:r>
      <w:r>
        <w:rPr>
          <w:color w:val="000000"/>
          <w:spacing w:val="0"/>
          <w:w w:val="100"/>
          <w:position w:val="0"/>
        </w:rPr>
        <w:t>万份预留股票期权的登 记工作，期权简称：卫宁</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360096</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日召开第二届董事会第十二次会议和第二届监事会第十三 次会议，分别审议通过了《关于期权激励计划所涉首次授予激励对象、期权数量和行权价格调整的议案》，鉴于公司实施了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元（含税）的分红派息方案；首次授予激励对象贾露、薛颜波、宁龙、胡佳迎、李伟、刘磊共</w:t>
      </w:r>
      <w:r>
        <w:rPr>
          <w:rFonts w:ascii="Times New Roman" w:eastAsia="Times New Roman" w:hAnsi="Times New Roman" w:cs="Times New Roman"/>
          <w:color w:val="000000"/>
          <w:spacing w:val="0"/>
          <w:w w:val="100"/>
          <w:position w:val="0"/>
        </w:rPr>
        <w:t>6</w:t>
      </w:r>
      <w:r>
        <w:rPr>
          <w:color w:val="000000"/>
          <w:spacing w:val="0"/>
          <w:w w:val="100"/>
          <w:position w:val="0"/>
        </w:rPr>
        <w:t xml:space="preserve">名 </w:t>
      </w:r>
      <w:r>
        <w:rPr>
          <w:color w:val="000000"/>
          <w:spacing w:val="0"/>
          <w:w w:val="100"/>
          <w:position w:val="0"/>
        </w:rPr>
        <w:t>因个人原因离职，不再具备激励对象资格，股票期权数量和行权价格作相应调整，经上述调整后，首次授予激励对象为</w:t>
      </w:r>
      <w:r>
        <w:rPr>
          <w:rFonts w:ascii="Times New Roman" w:eastAsia="Times New Roman" w:hAnsi="Times New Roman" w:cs="Times New Roman"/>
          <w:color w:val="000000"/>
          <w:spacing w:val="0"/>
          <w:w w:val="100"/>
          <w:position w:val="0"/>
        </w:rPr>
        <w:t xml:space="preserve">162 </w:t>
      </w:r>
      <w:r>
        <w:rPr>
          <w:color w:val="000000"/>
          <w:spacing w:val="0"/>
          <w:w w:val="100"/>
          <w:position w:val="0"/>
        </w:rPr>
        <w:t>名，首次授予股票期权为</w:t>
      </w:r>
      <w:r>
        <w:rPr>
          <w:rFonts w:ascii="Times New Roman" w:eastAsia="Times New Roman" w:hAnsi="Times New Roman" w:cs="Times New Roman"/>
          <w:color w:val="000000"/>
          <w:spacing w:val="0"/>
          <w:w w:val="100"/>
          <w:position w:val="0"/>
        </w:rPr>
        <w:t>432</w:t>
      </w:r>
      <w:r>
        <w:rPr>
          <w:color w:val="000000"/>
          <w:spacing w:val="0"/>
          <w:w w:val="100"/>
          <w:position w:val="0"/>
        </w:rPr>
        <w:t>万份，首次授予股票期权的行权价格为</w:t>
      </w:r>
      <w:r>
        <w:rPr>
          <w:rFonts w:ascii="Times New Roman" w:eastAsia="Times New Roman" w:hAnsi="Times New Roman" w:cs="Times New Roman"/>
          <w:color w:val="000000"/>
          <w:spacing w:val="0"/>
          <w:w w:val="100"/>
          <w:position w:val="0"/>
        </w:rPr>
        <w:t>18.78</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日召开的第二届董事会第十三次会 议审议通过了《关于公司股票期权激励计划首次授予股票期权第一个行权期可行权的议案》，首次授予股票期权第一个行权 期的行权条件已满足，首次授予的</w:t>
      </w:r>
      <w:r>
        <w:rPr>
          <w:rFonts w:ascii="Times New Roman" w:eastAsia="Times New Roman" w:hAnsi="Times New Roman" w:cs="Times New Roman"/>
          <w:color w:val="000000"/>
          <w:spacing w:val="0"/>
          <w:w w:val="100"/>
          <w:position w:val="0"/>
        </w:rPr>
        <w:t>162</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108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18.78</w:t>
      </w:r>
      <w:r>
        <w:rPr>
          <w:color w:val="000000"/>
          <w:spacing w:val="0"/>
          <w:w w:val="100"/>
          <w:position w:val="0"/>
        </w:rPr>
        <w:t xml:space="preserve">元，行权期限为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日，公司股票期权激励计划首次授予股票期权第一批共计行权</w:t>
      </w:r>
      <w:r>
        <w:rPr>
          <w:rFonts w:ascii="Times New Roman" w:eastAsia="Times New Roman" w:hAnsi="Times New Roman" w:cs="Times New Roman"/>
          <w:color w:val="000000"/>
          <w:spacing w:val="0"/>
          <w:w w:val="100"/>
          <w:position w:val="0"/>
        </w:rPr>
        <w:t xml:space="preserve">967,100 </w:t>
      </w:r>
      <w:r>
        <w:rPr>
          <w:color w:val="000000"/>
          <w:spacing w:val="0"/>
          <w:w w:val="100"/>
          <w:position w:val="0"/>
        </w:rPr>
        <w:t>股。</w:t>
      </w:r>
    </w:p>
    <w:p>
      <w:pPr>
        <w:pStyle w:val="Style23"/>
        <w:keepNext w:val="0"/>
        <w:keepLines w:val="0"/>
        <w:widowControl w:val="0"/>
        <w:numPr>
          <w:ilvl w:val="0"/>
          <w:numId w:val="1"/>
        </w:numPr>
        <w:shd w:val="clear" w:color="auto" w:fill="auto"/>
        <w:tabs>
          <w:tab w:pos="792" w:val="left"/>
        </w:tabs>
        <w:bidi w:val="0"/>
        <w:spacing w:before="0" w:after="0" w:line="313" w:lineRule="exact"/>
        <w:ind w:left="0" w:right="0"/>
        <w:jc w:val="both"/>
      </w:pPr>
      <w:bookmarkStart w:id="57" w:name="bookmark57"/>
      <w:bookmarkEnd w:id="57"/>
      <w:r>
        <w:rPr>
          <w:color w:val="000000"/>
          <w:spacing w:val="0"/>
          <w:w w:val="100"/>
          <w:position w:val="0"/>
        </w:rPr>
        <w:t>不断完善公司治理结构</w:t>
      </w:r>
    </w:p>
    <w:p>
      <w:pPr>
        <w:pStyle w:val="Style2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报告期内，公司持续推进规范运作和法人治理结构的完善。积极组织董监高参加公司治理方面的学习和培训，强化相关 人员的诚信与勤勉义务，加大绩效考核和责任追究力度。并根据创业板上市公司规范运作要求和公司实际发展需求，对《股 东大会网络投票实施细则》、《关联交易管理办法》及《募集资金管理办法》中的相关条款进行了修订、完善，进一步加强 了公司治理。</w:t>
      </w:r>
    </w:p>
    <w:p>
      <w:pPr>
        <w:pStyle w:val="Style23"/>
        <w:keepNext w:val="0"/>
        <w:keepLines w:val="0"/>
        <w:widowControl w:val="0"/>
        <w:numPr>
          <w:ilvl w:val="0"/>
          <w:numId w:val="1"/>
        </w:numPr>
        <w:shd w:val="clear" w:color="auto" w:fill="auto"/>
        <w:tabs>
          <w:tab w:pos="792" w:val="left"/>
        </w:tabs>
        <w:bidi w:val="0"/>
        <w:spacing w:before="0" w:after="0" w:line="313" w:lineRule="exact"/>
        <w:ind w:left="0" w:right="0"/>
        <w:jc w:val="both"/>
      </w:pPr>
      <w:bookmarkStart w:id="58" w:name="bookmark58"/>
      <w:bookmarkEnd w:id="58"/>
      <w:r>
        <w:rPr>
          <w:color w:val="000000"/>
          <w:spacing w:val="0"/>
          <w:w w:val="100"/>
          <w:position w:val="0"/>
        </w:rPr>
        <w:t>重视投资者关系管理，提升公司形象</w:t>
      </w:r>
    </w:p>
    <w:p>
      <w:pPr>
        <w:pStyle w:val="Style23"/>
        <w:keepNext w:val="0"/>
        <w:keepLines w:val="0"/>
        <w:widowControl w:val="0"/>
        <w:shd w:val="clear" w:color="auto" w:fill="auto"/>
        <w:bidi w:val="0"/>
        <w:spacing w:before="0" w:after="360" w:line="313" w:lineRule="exact"/>
        <w:ind w:left="0" w:right="0"/>
        <w:jc w:val="both"/>
      </w:pPr>
      <w:r>
        <w:rPr>
          <w:color w:val="000000"/>
          <w:spacing w:val="0"/>
          <w:w w:val="100"/>
          <w:position w:val="0"/>
        </w:rPr>
        <w:t>公司建立了多渠道、多样化的投资者沟通模式，保持与投资者，特别是中小投资者的沟通交流，在日常工作中，始终认 真对待投资者的每一次来访、每一个电话和每一次提问。对于机构投资者的现场调研，公司根据《投资者关系管理制度》的 要求，建立了完备的投资者关系管理档案，详细地做好接待的资料存档工作，并按要求合理、妥善地安排机构投资者、分析 师等特定对象到公司现场调研活动，及时将调研记录披露在深圳证券交易所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平台上，确保所有投资者均可及时、公 开获悉公司有关信息。</w:t>
      </w:r>
    </w:p>
    <w:p>
      <w:pPr>
        <w:pStyle w:val="Style31"/>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2</w:t>
      </w:r>
      <w:bookmarkEnd w:id="61"/>
      <w:r>
        <w:rPr>
          <w:color w:val="000000"/>
          <w:spacing w:val="0"/>
          <w:w w:val="100"/>
          <w:position w:val="0"/>
        </w:rPr>
        <w:t>、报告期内主要经营情况</w:t>
      </w:r>
      <w:bookmarkEnd w:id="59"/>
      <w:bookmarkEnd w:id="60"/>
      <w:bookmarkEnd w:id="62"/>
    </w:p>
    <w:p>
      <w:pPr>
        <w:pStyle w:val="Style34"/>
        <w:keepNext/>
        <w:keepLines/>
        <w:widowControl w:val="0"/>
        <w:numPr>
          <w:ilvl w:val="0"/>
          <w:numId w:val="3"/>
        </w:numPr>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bookmarkEnd w:id="65"/>
      <w:r>
        <w:rPr>
          <w:color w:val="000000"/>
          <w:spacing w:val="0"/>
          <w:w w:val="100"/>
          <w:position w:val="0"/>
        </w:rPr>
        <w:t>主营业务分析</w:t>
      </w:r>
      <w:bookmarkEnd w:id="63"/>
      <w:bookmarkEnd w:id="64"/>
      <w:bookmarkEnd w:id="66"/>
    </w:p>
    <w:p>
      <w:pPr>
        <w:pStyle w:val="Style23"/>
        <w:keepNext w:val="0"/>
        <w:keepLines w:val="0"/>
        <w:widowControl w:val="0"/>
        <w:numPr>
          <w:ilvl w:val="0"/>
          <w:numId w:val="5"/>
        </w:numPr>
        <w:shd w:val="clear" w:color="auto" w:fill="auto"/>
        <w:tabs>
          <w:tab w:pos="301" w:val="left"/>
        </w:tabs>
        <w:bidi w:val="0"/>
        <w:spacing w:before="0" w:after="0"/>
        <w:ind w:left="0" w:right="0" w:firstLine="0"/>
        <w:jc w:val="left"/>
      </w:pPr>
      <w:bookmarkStart w:id="67" w:name="bookmark67"/>
      <w:bookmarkEnd w:id="67"/>
      <w:r>
        <w:rPr>
          <w:color w:val="000000"/>
          <w:spacing w:val="0"/>
          <w:w w:val="100"/>
          <w:position w:val="0"/>
        </w:rPr>
        <w:t>概述</w:t>
      </w:r>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报告期内，公司的主营业务未发生变化，主要从事医疗软件研究开发、销售与技术服务业务，并为医疗卫生行业信息化 提供整体解决方案。</w:t>
      </w:r>
    </w:p>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年度营业收入</w:t>
      </w:r>
      <w:r>
        <w:rPr>
          <w:rFonts w:ascii="Times New Roman" w:eastAsia="Times New Roman" w:hAnsi="Times New Roman" w:cs="Times New Roman"/>
          <w:color w:val="000000"/>
          <w:spacing w:val="0"/>
          <w:w w:val="100"/>
          <w:position w:val="0"/>
        </w:rPr>
        <w:t>348,827,862.85</w:t>
      </w:r>
      <w:r>
        <w:rPr>
          <w:color w:val="000000"/>
          <w:spacing w:val="0"/>
          <w:w w:val="100"/>
          <w:position w:val="0"/>
        </w:rPr>
        <w:t>元，比</w:t>
      </w:r>
      <w:r>
        <w:rPr>
          <w:rFonts w:ascii="Times New Roman" w:eastAsia="Times New Roman" w:hAnsi="Times New Roman" w:cs="Times New Roman"/>
          <w:color w:val="000000"/>
          <w:spacing w:val="0"/>
          <w:w w:val="100"/>
          <w:position w:val="0"/>
        </w:rPr>
        <w:t>2012</w:t>
      </w:r>
      <w:r>
        <w:rPr>
          <w:color w:val="000000"/>
          <w:spacing w:val="0"/>
          <w:w w:val="100"/>
          <w:position w:val="0"/>
        </w:rPr>
        <w:t>年度增加</w:t>
      </w:r>
      <w:r>
        <w:rPr>
          <w:rFonts w:ascii="Times New Roman" w:eastAsia="Times New Roman" w:hAnsi="Times New Roman" w:cs="Times New Roman"/>
          <w:color w:val="000000"/>
          <w:spacing w:val="0"/>
          <w:w w:val="100"/>
          <w:position w:val="0"/>
        </w:rPr>
        <w:t>83,056,639.47</w:t>
      </w:r>
      <w:r>
        <w:rPr>
          <w:color w:val="000000"/>
          <w:spacing w:val="0"/>
          <w:w w:val="100"/>
          <w:position w:val="0"/>
        </w:rPr>
        <w:t>元，同比增长</w:t>
      </w:r>
      <w:r>
        <w:rPr>
          <w:rFonts w:ascii="Times New Roman" w:eastAsia="Times New Roman" w:hAnsi="Times New Roman" w:cs="Times New Roman"/>
          <w:color w:val="000000"/>
          <w:spacing w:val="0"/>
          <w:w w:val="100"/>
          <w:position w:val="0"/>
        </w:rPr>
        <w:t>31.25%</w:t>
      </w:r>
      <w:r>
        <w:rPr>
          <w:color w:val="000000"/>
          <w:spacing w:val="0"/>
          <w:w w:val="100"/>
          <w:position w:val="0"/>
        </w:rPr>
        <w:t>，主要是合同订单增加， 销售收入增加所致。</w:t>
      </w:r>
    </w:p>
    <w:p>
      <w:pPr>
        <w:pStyle w:val="Style2"/>
        <w:keepNext w:val="0"/>
        <w:keepLines w:val="0"/>
        <w:widowControl w:val="0"/>
        <w:shd w:val="clear" w:color="auto" w:fill="auto"/>
        <w:bidi w:val="0"/>
        <w:spacing w:before="0" w:after="0" w:line="32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年度营业成本</w:t>
      </w:r>
      <w:r>
        <w:rPr>
          <w:rFonts w:ascii="Times New Roman" w:eastAsia="Times New Roman" w:hAnsi="Times New Roman" w:cs="Times New Roman"/>
          <w:color w:val="000000"/>
          <w:spacing w:val="0"/>
          <w:w w:val="100"/>
          <w:position w:val="0"/>
        </w:rPr>
        <w:t>160,147,408.35</w:t>
      </w:r>
      <w:r>
        <w:rPr>
          <w:color w:val="000000"/>
          <w:spacing w:val="0"/>
          <w:w w:val="100"/>
          <w:position w:val="0"/>
        </w:rPr>
        <w:t>元，比</w:t>
      </w:r>
      <w:r>
        <w:rPr>
          <w:rFonts w:ascii="Times New Roman" w:eastAsia="Times New Roman" w:hAnsi="Times New Roman" w:cs="Times New Roman"/>
          <w:color w:val="000000"/>
          <w:spacing w:val="0"/>
          <w:w w:val="100"/>
          <w:position w:val="0"/>
        </w:rPr>
        <w:t>2012</w:t>
      </w:r>
      <w:r>
        <w:rPr>
          <w:color w:val="000000"/>
          <w:spacing w:val="0"/>
          <w:w w:val="100"/>
          <w:position w:val="0"/>
        </w:rPr>
        <w:t>年度增加</w:t>
      </w:r>
      <w:r>
        <w:rPr>
          <w:rFonts w:ascii="Times New Roman" w:eastAsia="Times New Roman" w:hAnsi="Times New Roman" w:cs="Times New Roman"/>
          <w:color w:val="000000"/>
          <w:spacing w:val="0"/>
          <w:w w:val="100"/>
          <w:position w:val="0"/>
        </w:rPr>
        <w:t>39,324,084.7</w:t>
      </w:r>
      <w:r>
        <w:rPr>
          <w:rFonts w:ascii="Times New Roman" w:eastAsia="Times New Roman" w:hAnsi="Times New Roman" w:cs="Times New Roman"/>
          <w:color w:val="000000"/>
          <w:spacing w:val="0"/>
          <w:w w:val="100"/>
          <w:position w:val="0"/>
        </w:rPr>
        <w:t>1</w:t>
      </w:r>
      <w:r>
        <w:rPr>
          <w:color w:val="000000"/>
          <w:spacing w:val="0"/>
          <w:w w:val="100"/>
          <w:position w:val="0"/>
        </w:rPr>
        <w:t>元，同比增长</w:t>
      </w:r>
      <w:r>
        <w:rPr>
          <w:rFonts w:ascii="Times New Roman" w:eastAsia="Times New Roman" w:hAnsi="Times New Roman" w:cs="Times New Roman"/>
          <w:color w:val="000000"/>
          <w:spacing w:val="0"/>
          <w:w w:val="100"/>
          <w:position w:val="0"/>
        </w:rPr>
        <w:t>32.55%</w:t>
      </w:r>
      <w:r>
        <w:rPr>
          <w:color w:val="000000"/>
          <w:spacing w:val="0"/>
          <w:w w:val="100"/>
          <w:position w:val="0"/>
        </w:rPr>
        <w:t>，主要是收入增长成本相 应增长。</w:t>
      </w:r>
    </w:p>
    <w:p>
      <w:pPr>
        <w:pStyle w:val="Style23"/>
        <w:keepNext w:val="0"/>
        <w:keepLines w:val="0"/>
        <w:widowControl w:val="0"/>
        <w:shd w:val="clear" w:color="auto" w:fill="auto"/>
        <w:bidi w:val="0"/>
        <w:spacing w:before="0" w:after="0" w:line="32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年度销售费用</w:t>
      </w:r>
      <w:r>
        <w:rPr>
          <w:rFonts w:ascii="Times New Roman" w:eastAsia="Times New Roman" w:hAnsi="Times New Roman" w:cs="Times New Roman"/>
          <w:color w:val="000000"/>
          <w:spacing w:val="0"/>
          <w:w w:val="100"/>
          <w:position w:val="0"/>
        </w:rPr>
        <w:t>68,095,669.51</w:t>
      </w:r>
      <w:r>
        <w:rPr>
          <w:color w:val="000000"/>
          <w:spacing w:val="0"/>
          <w:w w:val="100"/>
          <w:position w:val="0"/>
        </w:rPr>
        <w:t>元，比</w:t>
      </w:r>
      <w:r>
        <w:rPr>
          <w:rFonts w:ascii="Times New Roman" w:eastAsia="Times New Roman" w:hAnsi="Times New Roman" w:cs="Times New Roman"/>
          <w:color w:val="000000"/>
          <w:spacing w:val="0"/>
          <w:w w:val="100"/>
          <w:position w:val="0"/>
        </w:rPr>
        <w:t>2 012</w:t>
      </w:r>
      <w:r>
        <w:rPr>
          <w:color w:val="000000"/>
          <w:spacing w:val="0"/>
          <w:w w:val="100"/>
          <w:position w:val="0"/>
        </w:rPr>
        <w:t>年度增加</w:t>
      </w:r>
      <w:r>
        <w:rPr>
          <w:rFonts w:ascii="Times New Roman" w:eastAsia="Times New Roman" w:hAnsi="Times New Roman" w:cs="Times New Roman"/>
          <w:color w:val="000000"/>
          <w:spacing w:val="0"/>
          <w:w w:val="100"/>
          <w:position w:val="0"/>
        </w:rPr>
        <w:t>7,830,910.68</w:t>
      </w:r>
      <w:r>
        <w:rPr>
          <w:color w:val="000000"/>
          <w:spacing w:val="0"/>
          <w:w w:val="100"/>
          <w:position w:val="0"/>
        </w:rPr>
        <w:t>元，同比增长</w:t>
      </w:r>
      <w:r>
        <w:rPr>
          <w:rFonts w:ascii="Times New Roman" w:eastAsia="Times New Roman" w:hAnsi="Times New Roman" w:cs="Times New Roman"/>
          <w:color w:val="000000"/>
          <w:spacing w:val="0"/>
          <w:w w:val="100"/>
          <w:position w:val="0"/>
        </w:rPr>
        <w:t>12.99%</w:t>
      </w:r>
      <w:r>
        <w:rPr>
          <w:color w:val="000000"/>
          <w:spacing w:val="0"/>
          <w:w w:val="100"/>
          <w:position w:val="0"/>
        </w:rPr>
        <w:t>，主要是业务增长带来人工 成本等增加以及募投资金对营销服务体系建设项目投入。</w:t>
      </w:r>
    </w:p>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年度管理费用</w:t>
      </w:r>
      <w:r>
        <w:rPr>
          <w:rFonts w:ascii="Times New Roman" w:eastAsia="Times New Roman" w:hAnsi="Times New Roman" w:cs="Times New Roman"/>
          <w:color w:val="000000"/>
          <w:spacing w:val="0"/>
          <w:w w:val="100"/>
          <w:position w:val="0"/>
        </w:rPr>
        <w:t>61,331,690.97</w:t>
      </w:r>
      <w:r>
        <w:rPr>
          <w:color w:val="000000"/>
          <w:spacing w:val="0"/>
          <w:w w:val="100"/>
          <w:position w:val="0"/>
        </w:rPr>
        <w:t>元，比</w:t>
      </w:r>
      <w:r>
        <w:rPr>
          <w:rFonts w:ascii="Times New Roman" w:eastAsia="Times New Roman" w:hAnsi="Times New Roman" w:cs="Times New Roman"/>
          <w:color w:val="000000"/>
          <w:spacing w:val="0"/>
          <w:w w:val="100"/>
          <w:position w:val="0"/>
        </w:rPr>
        <w:t>2012</w:t>
      </w:r>
      <w:r>
        <w:rPr>
          <w:color w:val="000000"/>
          <w:spacing w:val="0"/>
          <w:w w:val="100"/>
          <w:position w:val="0"/>
        </w:rPr>
        <w:t>年度增加</w:t>
      </w:r>
      <w:r>
        <w:rPr>
          <w:rFonts w:ascii="Times New Roman" w:eastAsia="Times New Roman" w:hAnsi="Times New Roman" w:cs="Times New Roman"/>
          <w:color w:val="000000"/>
          <w:spacing w:val="0"/>
          <w:w w:val="100"/>
          <w:position w:val="0"/>
        </w:rPr>
        <w:t>12,767,626.18</w:t>
      </w:r>
      <w:r>
        <w:rPr>
          <w:color w:val="000000"/>
          <w:spacing w:val="0"/>
          <w:w w:val="100"/>
          <w:position w:val="0"/>
        </w:rPr>
        <w:t>元，同比增长</w:t>
      </w:r>
      <w:r>
        <w:rPr>
          <w:rFonts w:ascii="Times New Roman" w:eastAsia="Times New Roman" w:hAnsi="Times New Roman" w:cs="Times New Roman"/>
          <w:color w:val="000000"/>
          <w:spacing w:val="0"/>
          <w:w w:val="100"/>
          <w:position w:val="0"/>
        </w:rPr>
        <w:t>26.29%</w:t>
      </w:r>
      <w:r>
        <w:rPr>
          <w:color w:val="000000"/>
          <w:spacing w:val="0"/>
          <w:w w:val="100"/>
          <w:position w:val="0"/>
        </w:rPr>
        <w:t>,主要是业务增长及研发投 入增加。</w:t>
      </w:r>
    </w:p>
    <w:p>
      <w:pPr>
        <w:pStyle w:val="Style23"/>
        <w:keepNext w:val="0"/>
        <w:keepLines w:val="0"/>
        <w:widowControl w:val="0"/>
        <w:shd w:val="clear" w:color="auto" w:fill="auto"/>
        <w:bidi w:val="0"/>
        <w:spacing w:before="0" w:after="0" w:line="32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年度财务费用</w:t>
      </w:r>
      <w:r>
        <w:rPr>
          <w:rFonts w:ascii="Times New Roman" w:eastAsia="Times New Roman" w:hAnsi="Times New Roman" w:cs="Times New Roman"/>
          <w:color w:val="000000"/>
          <w:spacing w:val="0"/>
          <w:w w:val="100"/>
          <w:position w:val="0"/>
        </w:rPr>
        <w:t>-7,058,759.12</w:t>
      </w:r>
      <w:r>
        <w:rPr>
          <w:color w:val="000000"/>
          <w:spacing w:val="0"/>
          <w:w w:val="100"/>
          <w:position w:val="0"/>
        </w:rPr>
        <w:t>元，比</w:t>
      </w:r>
      <w:r>
        <w:rPr>
          <w:rFonts w:ascii="Times New Roman" w:eastAsia="Times New Roman" w:hAnsi="Times New Roman" w:cs="Times New Roman"/>
          <w:color w:val="000000"/>
          <w:spacing w:val="0"/>
          <w:w w:val="100"/>
          <w:position w:val="0"/>
        </w:rPr>
        <w:t>2012</w:t>
      </w:r>
      <w:r>
        <w:rPr>
          <w:color w:val="000000"/>
          <w:spacing w:val="0"/>
          <w:w w:val="100"/>
          <w:position w:val="0"/>
        </w:rPr>
        <w:t>年度减少</w:t>
      </w:r>
      <w:r>
        <w:rPr>
          <w:rFonts w:ascii="Times New Roman" w:eastAsia="Times New Roman" w:hAnsi="Times New Roman" w:cs="Times New Roman"/>
          <w:color w:val="000000"/>
          <w:spacing w:val="0"/>
          <w:w w:val="100"/>
          <w:position w:val="0"/>
        </w:rPr>
        <w:t>1,559,326.98</w:t>
      </w:r>
      <w:r>
        <w:rPr>
          <w:color w:val="000000"/>
          <w:spacing w:val="0"/>
          <w:w w:val="100"/>
          <w:position w:val="0"/>
        </w:rPr>
        <w:t>元，同比减少</w:t>
      </w:r>
      <w:r>
        <w:rPr>
          <w:rFonts w:ascii="Times New Roman" w:eastAsia="Times New Roman" w:hAnsi="Times New Roman" w:cs="Times New Roman"/>
          <w:color w:val="000000"/>
          <w:spacing w:val="0"/>
          <w:w w:val="100"/>
          <w:position w:val="0"/>
        </w:rPr>
        <w:t>18.09%</w:t>
      </w:r>
      <w:r>
        <w:rPr>
          <w:color w:val="000000"/>
          <w:spacing w:val="0"/>
          <w:w w:val="100"/>
          <w:position w:val="0"/>
        </w:rPr>
        <w:t>,主要是募集资金定期存款减 少而相应利息收入减少。</w:t>
      </w:r>
    </w:p>
    <w:p>
      <w:pPr>
        <w:pStyle w:val="Style23"/>
        <w:keepNext w:val="0"/>
        <w:keepLines w:val="0"/>
        <w:widowControl w:val="0"/>
        <w:shd w:val="clear" w:color="auto" w:fill="auto"/>
        <w:bidi w:val="0"/>
        <w:spacing w:before="0" w:after="0" w:line="32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年度研发投入共计</w:t>
      </w:r>
      <w:r>
        <w:rPr>
          <w:rFonts w:ascii="Times New Roman" w:eastAsia="Times New Roman" w:hAnsi="Times New Roman" w:cs="Times New Roman"/>
          <w:color w:val="000000"/>
          <w:spacing w:val="0"/>
          <w:w w:val="100"/>
          <w:position w:val="0"/>
        </w:rPr>
        <w:t>42,341,744.32</w:t>
      </w:r>
      <w:r>
        <w:rPr>
          <w:color w:val="000000"/>
          <w:spacing w:val="0"/>
          <w:w w:val="100"/>
          <w:position w:val="0"/>
        </w:rPr>
        <w:t>元，其中计入当期损益</w:t>
      </w:r>
      <w:r>
        <w:rPr>
          <w:rFonts w:ascii="Times New Roman" w:eastAsia="Times New Roman" w:hAnsi="Times New Roman" w:cs="Times New Roman"/>
          <w:color w:val="000000"/>
          <w:spacing w:val="0"/>
          <w:w w:val="100"/>
          <w:position w:val="0"/>
        </w:rPr>
        <w:t>28,880,547.34</w:t>
      </w:r>
      <w:r>
        <w:rPr>
          <w:color w:val="000000"/>
          <w:spacing w:val="0"/>
          <w:w w:val="100"/>
          <w:position w:val="0"/>
        </w:rPr>
        <w:t>元，计入开发支出</w:t>
      </w:r>
      <w:r>
        <w:rPr>
          <w:rFonts w:ascii="Times New Roman" w:eastAsia="Times New Roman" w:hAnsi="Times New Roman" w:cs="Times New Roman"/>
          <w:color w:val="000000"/>
          <w:spacing w:val="0"/>
          <w:w w:val="100"/>
          <w:position w:val="0"/>
        </w:rPr>
        <w:t>13,461,196.98</w:t>
      </w:r>
      <w:r>
        <w:rPr>
          <w:color w:val="000000"/>
          <w:spacing w:val="0"/>
          <w:w w:val="100"/>
          <w:position w:val="0"/>
        </w:rPr>
        <w:t>元；比</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年度研发投入增加</w:t>
      </w:r>
      <w:r>
        <w:rPr>
          <w:rFonts w:ascii="Times New Roman" w:eastAsia="Times New Roman" w:hAnsi="Times New Roman" w:cs="Times New Roman"/>
          <w:color w:val="000000"/>
          <w:spacing w:val="0"/>
          <w:w w:val="100"/>
          <w:position w:val="0"/>
        </w:rPr>
        <w:t>15,226,839.8</w:t>
      </w:r>
      <w:r>
        <w:rPr>
          <w:color w:val="000000"/>
          <w:spacing w:val="0"/>
          <w:w w:val="100"/>
          <w:position w:val="0"/>
        </w:rPr>
        <w:t>元，同比增长</w:t>
      </w:r>
      <w:r>
        <w:rPr>
          <w:rFonts w:ascii="Times New Roman" w:eastAsia="Times New Roman" w:hAnsi="Times New Roman" w:cs="Times New Roman"/>
          <w:color w:val="000000"/>
          <w:spacing w:val="0"/>
          <w:w w:val="100"/>
          <w:position w:val="0"/>
        </w:rPr>
        <w:t>56.16%</w:t>
      </w:r>
      <w:r>
        <w:rPr>
          <w:color w:val="000000"/>
          <w:spacing w:val="0"/>
          <w:w w:val="100"/>
          <w:position w:val="0"/>
        </w:rPr>
        <w:t>，主要是公司加大研发投入力度，相应研发人员工资增加所致。</w:t>
      </w:r>
    </w:p>
    <w:p>
      <w:pPr>
        <w:pStyle w:val="Style23"/>
        <w:keepNext w:val="0"/>
        <w:keepLines w:val="0"/>
        <w:widowControl w:val="0"/>
        <w:shd w:val="clear" w:color="auto" w:fill="auto"/>
        <w:bidi w:val="0"/>
        <w:spacing w:before="0" w:after="120" w:line="32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年度经营活动产生的现金流量净额</w:t>
      </w:r>
      <w:r>
        <w:rPr>
          <w:rFonts w:ascii="Times New Roman" w:eastAsia="Times New Roman" w:hAnsi="Times New Roman" w:cs="Times New Roman"/>
          <w:color w:val="000000"/>
          <w:spacing w:val="0"/>
          <w:w w:val="100"/>
          <w:position w:val="0"/>
        </w:rPr>
        <w:t>50,148,115.16</w:t>
      </w:r>
      <w:r>
        <w:rPr>
          <w:color w:val="000000"/>
          <w:spacing w:val="0"/>
          <w:w w:val="100"/>
          <w:position w:val="0"/>
        </w:rPr>
        <w:t>元，比</w:t>
      </w:r>
      <w:r>
        <w:rPr>
          <w:rFonts w:ascii="Times New Roman" w:eastAsia="Times New Roman" w:hAnsi="Times New Roman" w:cs="Times New Roman"/>
          <w:color w:val="000000"/>
          <w:spacing w:val="0"/>
          <w:w w:val="100"/>
          <w:position w:val="0"/>
        </w:rPr>
        <w:t>2012</w:t>
      </w:r>
      <w:r>
        <w:rPr>
          <w:color w:val="000000"/>
          <w:spacing w:val="0"/>
          <w:w w:val="100"/>
          <w:position w:val="0"/>
        </w:rPr>
        <w:t>年度增加</w:t>
      </w:r>
      <w:r>
        <w:rPr>
          <w:rFonts w:ascii="Times New Roman" w:eastAsia="Times New Roman" w:hAnsi="Times New Roman" w:cs="Times New Roman"/>
          <w:color w:val="000000"/>
          <w:spacing w:val="0"/>
          <w:w w:val="100"/>
          <w:position w:val="0"/>
        </w:rPr>
        <w:t>22,774,947.01</w:t>
      </w:r>
      <w:r>
        <w:rPr>
          <w:color w:val="000000"/>
          <w:spacing w:val="0"/>
          <w:w w:val="100"/>
          <w:position w:val="0"/>
        </w:rPr>
        <w:t>元，同比增长</w:t>
      </w:r>
      <w:r>
        <w:rPr>
          <w:rFonts w:ascii="Times New Roman" w:eastAsia="Times New Roman" w:hAnsi="Times New Roman" w:cs="Times New Roman"/>
          <w:color w:val="000000"/>
          <w:spacing w:val="0"/>
          <w:w w:val="100"/>
          <w:position w:val="0"/>
        </w:rPr>
        <w:t>83.20%</w:t>
      </w:r>
      <w:r>
        <w:rPr>
          <w:color w:val="000000"/>
          <w:spacing w:val="0"/>
          <w:w w:val="100"/>
          <w:position w:val="0"/>
        </w:rPr>
        <w:t>，主要 是销售收入增加、回款增加所致。</w:t>
      </w:r>
    </w:p>
    <w:p>
      <w:pPr>
        <w:pStyle w:val="Style23"/>
        <w:keepNext w:val="0"/>
        <w:keepLines w:val="0"/>
        <w:widowControl w:val="0"/>
        <w:numPr>
          <w:ilvl w:val="0"/>
          <w:numId w:val="5"/>
        </w:numPr>
        <w:shd w:val="clear" w:color="auto" w:fill="auto"/>
        <w:tabs>
          <w:tab w:pos="321" w:val="left"/>
        </w:tabs>
        <w:bidi w:val="0"/>
        <w:spacing w:before="0" w:after="0" w:line="372" w:lineRule="auto"/>
        <w:ind w:left="0" w:right="0" w:firstLine="0"/>
        <w:jc w:val="left"/>
      </w:pPr>
      <w:bookmarkStart w:id="68" w:name="bookmark68"/>
      <w:bookmarkEnd w:id="68"/>
      <w:r>
        <w:rPr>
          <w:color w:val="000000"/>
          <w:spacing w:val="0"/>
          <w:w w:val="100"/>
          <w:position w:val="0"/>
        </w:rPr>
        <w:t>收入</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348,827,862.85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265,771,223.38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w:t>
            </w:r>
          </w:p>
        </w:tc>
      </w:tr>
    </w:tbl>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驱动收入变化的因素</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34,882.79</w:t>
      </w:r>
      <w:r>
        <w:rPr>
          <w:color w:val="000000"/>
          <w:spacing w:val="0"/>
          <w:w w:val="100"/>
          <w:position w:val="0"/>
        </w:rPr>
        <w:t>万元，同比增长</w:t>
      </w:r>
      <w:r>
        <w:rPr>
          <w:rFonts w:ascii="Times New Roman" w:eastAsia="Times New Roman" w:hAnsi="Times New Roman" w:cs="Times New Roman"/>
          <w:color w:val="000000"/>
          <w:spacing w:val="0"/>
          <w:w w:val="100"/>
          <w:position w:val="0"/>
        </w:rPr>
        <w:t>31.25%</w:t>
      </w:r>
      <w:r>
        <w:rPr>
          <w:color w:val="000000"/>
          <w:spacing w:val="0"/>
          <w:w w:val="100"/>
          <w:position w:val="0"/>
        </w:rPr>
        <w:t>，主要原因是合同订单增加及业务增长所致</w:t>
      </w:r>
      <w:r>
        <w:rPr>
          <w:color w:val="000000"/>
          <w:spacing w:val="0"/>
          <w:w w:val="100"/>
          <w:position w:val="0"/>
        </w:rPr>
        <w:t>。</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公司实物销售收入是否大于劳务收入</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公司重大的在手订单情况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数量分散的订单情况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报告期内，公司新签订多个金额</w:t>
      </w:r>
      <w:r>
        <w:rPr>
          <w:rFonts w:ascii="Times New Roman" w:eastAsia="Times New Roman" w:hAnsi="Times New Roman" w:cs="Times New Roman"/>
          <w:color w:val="000000"/>
          <w:spacing w:val="0"/>
          <w:w w:val="100"/>
          <w:position w:val="0"/>
        </w:rPr>
        <w:t>10 0</w:t>
      </w:r>
      <w:r>
        <w:rPr>
          <w:color w:val="000000"/>
          <w:spacing w:val="0"/>
          <w:w w:val="100"/>
          <w:position w:val="0"/>
        </w:rPr>
        <w:t>万元以上医疗卫生信息化项目合同，客户包括上海申康医院发展中心、上海市大场 医院、上海市浦东新区医疗机构管理中心、开阳县人民医院、复旦大学附属眼耳鼻喉科医院、苏州大学附属儿童医院、常熟 市第二人民医院、长沙市雨花区卫生局、上海市虹口区卫生局、邵阳市中心医院、上海市浦东新区周浦医院、张家港市中医 医院、涡阳县人民医院、寿阳县人民医院、上海市浦东新区卫生信息中心、上海市奉贤区民政局、上海交通大学附属第六人 民医院、上海市第七人民医院、青海省中医院、盐城市盐都区卫生局、淮安市第一人民医院、茂名石化医院、张家港市卫生 局、临沂市人民医院、新余市人民医院、安徽省立友谊医院、西安航天总医院、日照市人民医院、福建省东山县医院、汉中 市人民医院、上海市儿童医院、安徽省亳州市人民医院、福建省立医院等。</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公司报告期内产品或服务发生重大变化或调整有关情况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ind w:left="0" w:right="0" w:firstLine="0"/>
        <w:jc w:val="left"/>
      </w:pPr>
      <w:bookmarkStart w:id="69" w:name="bookmark69"/>
      <w:r>
        <w:rPr>
          <w:rFonts w:ascii="Times New Roman" w:eastAsia="Times New Roman" w:hAnsi="Times New Roman" w:cs="Times New Roman"/>
          <w:color w:val="000000"/>
          <w:spacing w:val="0"/>
          <w:w w:val="100"/>
          <w:position w:val="0"/>
        </w:rPr>
        <w:t>3</w:t>
      </w:r>
      <w:bookmarkEnd w:id="69"/>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3"/>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rPr>
              <w:t>-</w:t>
            </w: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35,831,419.60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21,161,066.83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r>
              <w:rPr>
                <w:rFonts w:ascii="Times New Roman" w:eastAsia="Times New Roman" w:hAnsi="Times New Roman" w:cs="Times New Roman"/>
                <w:color w:val="000000"/>
                <w:spacing w:val="0"/>
                <w:w w:val="100"/>
                <w:position w:val="0"/>
              </w:rPr>
              <w:t>-</w:t>
            </w: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79,649,060.06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54,413,563.45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12,920,993.28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12,412,967.43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费用</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1920"/>
        <w:gridCol w:w="1637"/>
        <w:gridCol w:w="1637"/>
        <w:gridCol w:w="1469"/>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68,095,669.51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60,264,758.83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61,331,690.97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48,564,064.79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-7,058,759.12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-8,618,086.10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5,746,511.89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5,270,658.34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研发投入</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报告期内，公司持续加强研发投入，进一步增强核心技术与产品的竞争能力。</w:t>
      </w:r>
      <w:r>
        <w:rPr>
          <w:rFonts w:ascii="Times New Roman" w:eastAsia="Times New Roman" w:hAnsi="Times New Roman" w:cs="Times New Roman"/>
          <w:color w:val="000000"/>
          <w:spacing w:val="0"/>
          <w:w w:val="100"/>
          <w:position w:val="0"/>
        </w:rPr>
        <w:t>2013</w:t>
      </w:r>
      <w:r>
        <w:rPr>
          <w:color w:val="000000"/>
          <w:spacing w:val="0"/>
          <w:w w:val="100"/>
          <w:position w:val="0"/>
        </w:rPr>
        <w:t>年研发投入</w:t>
      </w:r>
      <w:r>
        <w:rPr>
          <w:rFonts w:ascii="Times New Roman" w:eastAsia="Times New Roman" w:hAnsi="Times New Roman" w:cs="Times New Roman"/>
          <w:color w:val="000000"/>
          <w:spacing w:val="0"/>
          <w:w w:val="100"/>
          <w:position w:val="0"/>
        </w:rPr>
        <w:t>4,234.03</w:t>
      </w:r>
      <w:r>
        <w:rPr>
          <w:color w:val="000000"/>
          <w:spacing w:val="0"/>
          <w:w w:val="100"/>
          <w:position w:val="0"/>
        </w:rPr>
        <w:t>万元，占营业收 入比例为</w:t>
      </w:r>
      <w:r>
        <w:rPr>
          <w:rFonts w:ascii="Times New Roman" w:eastAsia="Times New Roman" w:hAnsi="Times New Roman" w:cs="Times New Roman"/>
          <w:color w:val="000000"/>
          <w:spacing w:val="0"/>
          <w:w w:val="100"/>
          <w:position w:val="0"/>
        </w:rPr>
        <w:t>12.13%</w:t>
      </w:r>
      <w:r>
        <w:rPr>
          <w:color w:val="000000"/>
          <w:spacing w:val="0"/>
          <w:w w:val="100"/>
          <w:position w:val="0"/>
        </w:rPr>
        <w:t>,其中资本化金额</w:t>
      </w:r>
      <w:r>
        <w:rPr>
          <w:rFonts w:ascii="Times New Roman" w:eastAsia="Times New Roman" w:hAnsi="Times New Roman" w:cs="Times New Roman"/>
          <w:color w:val="000000"/>
          <w:spacing w:val="0"/>
          <w:w w:val="100"/>
          <w:position w:val="0"/>
        </w:rPr>
        <w:t>1,346.12</w:t>
      </w:r>
      <w:r>
        <w:rPr>
          <w:color w:val="000000"/>
          <w:spacing w:val="0"/>
          <w:w w:val="100"/>
          <w:position w:val="0"/>
        </w:rPr>
        <w:t>万元，占营业收入比例为</w:t>
      </w:r>
      <w:r>
        <w:rPr>
          <w:rFonts w:ascii="Times New Roman" w:eastAsia="Times New Roman" w:hAnsi="Times New Roman" w:cs="Times New Roman"/>
          <w:color w:val="000000"/>
          <w:spacing w:val="0"/>
          <w:w w:val="100"/>
          <w:position w:val="0"/>
        </w:rPr>
        <w:t>3.86%</w:t>
      </w:r>
      <w:r>
        <w:rPr>
          <w:color w:val="000000"/>
          <w:spacing w:val="0"/>
          <w:w w:val="100"/>
          <w:position w:val="0"/>
        </w:rPr>
        <w:t>；费用化金额</w:t>
      </w:r>
      <w:r>
        <w:rPr>
          <w:rFonts w:ascii="Times New Roman" w:eastAsia="Times New Roman" w:hAnsi="Times New Roman" w:cs="Times New Roman"/>
          <w:color w:val="000000"/>
          <w:spacing w:val="0"/>
          <w:w w:val="100"/>
          <w:position w:val="0"/>
        </w:rPr>
        <w:t>2,887.9</w:t>
      </w:r>
      <w:r>
        <w:rPr>
          <w:rFonts w:ascii="Times New Roman" w:eastAsia="Times New Roman" w:hAnsi="Times New Roman" w:cs="Times New Roman"/>
          <w:color w:val="000000"/>
          <w:spacing w:val="0"/>
          <w:w w:val="100"/>
          <w:position w:val="0"/>
        </w:rPr>
        <w:t>1</w:t>
      </w:r>
      <w:r>
        <w:rPr>
          <w:color w:val="000000"/>
          <w:spacing w:val="0"/>
          <w:w w:val="100"/>
          <w:position w:val="0"/>
        </w:rPr>
        <w:t xml:space="preserve">万元，占营业收入比例为 </w:t>
      </w:r>
      <w:r>
        <w:rPr>
          <w:rFonts w:ascii="Times New Roman" w:eastAsia="Times New Roman" w:hAnsi="Times New Roman" w:cs="Times New Roman"/>
          <w:color w:val="000000"/>
          <w:spacing w:val="0"/>
          <w:w w:val="100"/>
          <w:position w:val="0"/>
        </w:rPr>
        <w:t>8.28%</w:t>
      </w:r>
      <w:r>
        <w:rPr>
          <w:color w:val="000000"/>
          <w:spacing w:val="0"/>
          <w:w w:val="100"/>
          <w:position w:val="0"/>
        </w:rPr>
        <w:t>。</w:t>
      </w:r>
    </w:p>
    <w:p>
      <w:pPr>
        <w:pStyle w:val="Style23"/>
        <w:keepNext w:val="0"/>
        <w:keepLines w:val="0"/>
        <w:widowControl w:val="0"/>
        <w:shd w:val="clear" w:color="auto" w:fill="auto"/>
        <w:bidi w:val="0"/>
        <w:spacing w:before="0" w:after="80" w:line="310" w:lineRule="exact"/>
        <w:ind w:left="0" w:right="0"/>
        <w:jc w:val="both"/>
      </w:pPr>
      <w:r>
        <w:rPr>
          <w:color w:val="000000"/>
          <w:spacing w:val="0"/>
          <w:w w:val="100"/>
          <w:position w:val="0"/>
        </w:rPr>
        <w:t>报告期内，公司围绕中长期战略，完善培训体系，积极培育和引进技术研发人员，坚持技术创新，产品结构调整与技术 升级有序进行，主要情况如下：</w:t>
      </w:r>
      <w:r>
        <w:rPr>
          <w:rFonts w:ascii="Times New Roman" w:eastAsia="Times New Roman" w:hAnsi="Times New Roman" w:cs="Times New Roman"/>
          <w:color w:val="000000"/>
          <w:spacing w:val="0"/>
          <w:w w:val="100"/>
          <w:position w:val="0"/>
        </w:rPr>
        <w:t>PACS</w:t>
      </w:r>
      <w:r>
        <w:rPr>
          <w:color w:val="000000"/>
          <w:spacing w:val="0"/>
          <w:w w:val="100"/>
          <w:position w:val="0"/>
        </w:rPr>
        <w:t>系统进一步完善三维重建、远程会诊、远程协作功能和区域影像功能；实现区域</w:t>
      </w:r>
      <w:r>
        <w:rPr>
          <w:rFonts w:ascii="Times New Roman" w:eastAsia="Times New Roman" w:hAnsi="Times New Roman" w:cs="Times New Roman"/>
          <w:color w:val="000000"/>
          <w:spacing w:val="0"/>
          <w:w w:val="100"/>
          <w:position w:val="0"/>
        </w:rPr>
        <w:t xml:space="preserve">LIMS </w:t>
      </w:r>
      <w:r>
        <w:rPr>
          <w:color w:val="000000"/>
          <w:spacing w:val="0"/>
          <w:w w:val="100"/>
          <w:position w:val="0"/>
        </w:rPr>
        <w:t>系统；为构建转化医学平台，启动生物样本库研发；</w:t>
      </w:r>
      <w:r>
        <w:rPr>
          <w:rFonts w:ascii="Times New Roman" w:eastAsia="Times New Roman" w:hAnsi="Times New Roman" w:cs="Times New Roman"/>
          <w:color w:val="000000"/>
          <w:spacing w:val="0"/>
          <w:w w:val="100"/>
          <w:position w:val="0"/>
        </w:rPr>
        <w:t>MIIS</w:t>
      </w:r>
      <w:r>
        <w:rPr>
          <w:color w:val="000000"/>
          <w:spacing w:val="0"/>
          <w:w w:val="100"/>
          <w:position w:val="0"/>
        </w:rPr>
        <w:t>实现院内全流程功能；继续对</w:t>
      </w:r>
      <w:r>
        <w:rPr>
          <w:rFonts w:ascii="Times New Roman" w:eastAsia="Times New Roman" w:hAnsi="Times New Roman" w:cs="Times New Roman"/>
          <w:color w:val="000000"/>
          <w:spacing w:val="0"/>
          <w:w w:val="100"/>
          <w:position w:val="0"/>
        </w:rPr>
        <w:t>HMIS</w:t>
      </w:r>
      <w:r>
        <w:rPr>
          <w:color w:val="000000"/>
          <w:spacing w:val="0"/>
          <w:w w:val="100"/>
          <w:position w:val="0"/>
        </w:rPr>
        <w:t>、</w:t>
      </w:r>
      <w:r>
        <w:rPr>
          <w:rFonts w:ascii="Times New Roman" w:eastAsia="Times New Roman" w:hAnsi="Times New Roman" w:cs="Times New Roman"/>
          <w:color w:val="000000"/>
          <w:spacing w:val="0"/>
          <w:w w:val="100"/>
          <w:position w:val="0"/>
        </w:rPr>
        <w:t>HCIS</w:t>
      </w:r>
      <w:r>
        <w:rPr>
          <w:color w:val="000000"/>
          <w:spacing w:val="0"/>
          <w:w w:val="100"/>
          <w:position w:val="0"/>
        </w:rPr>
        <w:t>、</w:t>
      </w:r>
      <w:r>
        <w:rPr>
          <w:rFonts w:ascii="Times New Roman" w:eastAsia="Times New Roman" w:hAnsi="Times New Roman" w:cs="Times New Roman"/>
          <w:color w:val="000000"/>
          <w:spacing w:val="0"/>
          <w:w w:val="100"/>
          <w:position w:val="0"/>
        </w:rPr>
        <w:t>HRP</w:t>
      </w:r>
      <w:r>
        <w:rPr>
          <w:color w:val="000000"/>
          <w:spacing w:val="0"/>
          <w:w w:val="100"/>
          <w:position w:val="0"/>
        </w:rPr>
        <w:t>、</w:t>
      </w:r>
      <w:r>
        <w:rPr>
          <w:rFonts w:ascii="Times New Roman" w:eastAsia="Times New Roman" w:hAnsi="Times New Roman" w:cs="Times New Roman"/>
          <w:color w:val="000000"/>
          <w:spacing w:val="0"/>
          <w:w w:val="100"/>
          <w:position w:val="0"/>
        </w:rPr>
        <w:t>BI</w:t>
      </w:r>
      <w:r>
        <w:rPr>
          <w:color w:val="000000"/>
          <w:spacing w:val="0"/>
          <w:w w:val="100"/>
          <w:position w:val="0"/>
        </w:rPr>
        <w:t>、</w:t>
      </w:r>
      <w:r>
        <w:rPr>
          <w:color w:val="000000"/>
          <w:spacing w:val="0"/>
          <w:w w:val="100"/>
          <w:position w:val="0"/>
        </w:rPr>
        <w:t>集成平台</w:t>
        <w:br w:type="page"/>
      </w:r>
      <w:r>
        <w:rPr>
          <w:color w:val="000000"/>
          <w:spacing w:val="0"/>
          <w:w w:val="100"/>
          <w:position w:val="0"/>
        </w:rPr>
        <w:t>等</w:t>
      </w:r>
      <w:r>
        <w:rPr>
          <w:rFonts w:ascii="Times New Roman" w:eastAsia="Times New Roman" w:hAnsi="Times New Roman" w:cs="Times New Roman"/>
          <w:color w:val="000000"/>
          <w:spacing w:val="0"/>
          <w:w w:val="100"/>
          <w:position w:val="0"/>
        </w:rPr>
        <w:t>5</w:t>
      </w:r>
      <w:r>
        <w:rPr>
          <w:color w:val="000000"/>
          <w:spacing w:val="0"/>
          <w:w w:val="100"/>
          <w:position w:val="0"/>
        </w:rPr>
        <w:t>大产品系进行深入改造研发，打造智慧医疗信息平台；移动产品继续完善、深入研发移动护理、移动医生站、移动输液 等系统，同时研发家庭医生站、</w:t>
      </w:r>
      <w:r>
        <w:rPr>
          <w:rFonts w:ascii="Times New Roman" w:eastAsia="Times New Roman" w:hAnsi="Times New Roman" w:cs="Times New Roman"/>
          <w:color w:val="000000"/>
          <w:spacing w:val="0"/>
          <w:w w:val="100"/>
          <w:position w:val="0"/>
        </w:rPr>
        <w:t>3G</w:t>
      </w:r>
      <w:r>
        <w:rPr>
          <w:color w:val="000000"/>
          <w:spacing w:val="0"/>
          <w:w w:val="100"/>
          <w:position w:val="0"/>
        </w:rPr>
        <w:t>领导决策和</w:t>
      </w:r>
      <w:r>
        <w:rPr>
          <w:rFonts w:ascii="Times New Roman" w:eastAsia="Times New Roman" w:hAnsi="Times New Roman" w:cs="Times New Roman"/>
          <w:color w:val="000000"/>
          <w:spacing w:val="0"/>
          <w:w w:val="100"/>
          <w:position w:val="0"/>
        </w:rPr>
        <w:t>e-Care</w:t>
      </w:r>
      <w:r>
        <w:rPr>
          <w:rFonts w:ascii="Times New Roman" w:eastAsia="Times New Roman" w:hAnsi="Times New Roman" w:cs="Times New Roman"/>
          <w:color w:val="000000"/>
          <w:spacing w:val="0"/>
          <w:w w:val="100"/>
          <w:position w:val="0"/>
        </w:rPr>
        <w:t>（</w:t>
      </w:r>
      <w:r>
        <w:rPr>
          <w:color w:val="000000"/>
          <w:spacing w:val="0"/>
          <w:w w:val="100"/>
          <w:position w:val="0"/>
        </w:rPr>
        <w:t>医讯通</w:t>
      </w:r>
      <w:r>
        <w:rPr>
          <w:rFonts w:ascii="Times New Roman" w:eastAsia="Times New Roman" w:hAnsi="Times New Roman" w:cs="Times New Roman"/>
          <w:color w:val="000000"/>
          <w:spacing w:val="0"/>
          <w:w w:val="100"/>
          <w:position w:val="0"/>
        </w:rPr>
        <w:t>）</w:t>
      </w:r>
      <w:r>
        <w:rPr>
          <w:color w:val="000000"/>
          <w:spacing w:val="0"/>
          <w:w w:val="100"/>
          <w:position w:val="0"/>
        </w:rPr>
        <w:t>；继续完善区域信息平台、基于区域平台的业务子系统、基层 医疗系统、新农合医疗保障系统；贯彻智慧医疗理念，面向医生智能决策，充分利用大数据技术，构建智慧医疗基础平台。</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报告期内，公司申请获得</w:t>
      </w:r>
      <w:r>
        <w:rPr>
          <w:rFonts w:ascii="Times New Roman" w:eastAsia="Times New Roman" w:hAnsi="Times New Roman" w:cs="Times New Roman"/>
          <w:color w:val="000000"/>
          <w:spacing w:val="0"/>
          <w:w w:val="100"/>
          <w:position w:val="0"/>
        </w:rPr>
        <w:t>38</w:t>
      </w:r>
      <w:r>
        <w:rPr>
          <w:color w:val="000000"/>
          <w:spacing w:val="0"/>
          <w:w w:val="100"/>
          <w:position w:val="0"/>
        </w:rPr>
        <w:t>项计算机软件著作权，具体明细如下:</w:t>
      </w:r>
    </w:p>
    <w:tbl>
      <w:tblPr>
        <w:tblOverlap w:val="never"/>
        <w:jc w:val="center"/>
        <w:tblLayout w:type="fixed"/>
      </w:tblPr>
      <w:tblGrid>
        <w:gridCol w:w="576"/>
        <w:gridCol w:w="2837"/>
        <w:gridCol w:w="1416"/>
        <w:gridCol w:w="1416"/>
        <w:gridCol w:w="1560"/>
        <w:gridCol w:w="1277"/>
        <w:gridCol w:w="1003"/>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证书取得时间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证书登记号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首次发表日期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权利人</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金仕达卫宁护理病历系统应用软件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金仕达卫宁心脑电信息管理软件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2013SR016042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2011-05-30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金仕达卫宁新版自助机应用软件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金仕达卫宁区域影像及远程会诊应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2012-04-30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金仕达卫宁手术麻醉临床信息系统 应用软件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2012-06-01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金仕达卫宁区域实验室信息管理软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件 </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2012-04-30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金仕达卫宁电子病历全文检索系统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金仕达卫宁门诊一站式自助管理系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统应用软件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2011-08-03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金仕达卫宁血库信息管理软件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both"/>
            </w:pPr>
            <w:r>
              <w:rPr>
                <w:color w:val="000000"/>
                <w:spacing w:val="0"/>
                <w:w w:val="100"/>
                <w:position w:val="0"/>
              </w:rPr>
              <w:t>金仕达卫宁药品条码管理系统应用 软件【简称：药品条码管理系统】</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2013SR016637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2012-04-10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金仕达卫宁消毒包跟踪管理系统应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2013SR016650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2010-09-20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金仕达卫宁医院成本核算管理系统 应用软件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2011-10-01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金仕达卫宁绩效考核管理系统应用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2010-03-20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金仕达卫宁核医学信息管理软件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2013SR016693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2011-05-31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金仕达卫宁物资管理信息系统应用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2013SR016714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2008-01-16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金仕达卫宁设备管理信息系统应用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2013SR016769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2008-07-30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金仕达卫宁总分院分布式业务管理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系统应用软件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2013SR017309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2007-10-20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金仕达卫宁病案信息管理系统应用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2013SR018308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2007-10-20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金仕达卫宁门急诊输液移动信息系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2010-08-27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bl>
    <w:p>
      <w:pPr>
        <w:spacing w:lineRule="exact" w:line="1"/>
        <w:rPr>
          <w:sz w:val="2"/>
          <w:szCs w:val="2"/>
        </w:rPr>
      </w:pPr>
      <w:r>
        <w:br w:type="page"/>
      </w:r>
    </w:p>
    <w:tbl>
      <w:tblPr>
        <w:tblOverlap w:val="never"/>
        <w:jc w:val="center"/>
        <w:tblLayout w:type="fixed"/>
      </w:tblPr>
      <w:tblGrid>
        <w:gridCol w:w="576"/>
        <w:gridCol w:w="2837"/>
        <w:gridCol w:w="1416"/>
        <w:gridCol w:w="1416"/>
        <w:gridCol w:w="1560"/>
        <w:gridCol w:w="1277"/>
        <w:gridCol w:w="1003"/>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统应用软件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金仕达卫宁植入器械追溯管理系统 应用软件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2012-07-15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金仕达卫宁重症监护临床信息系统 应用软件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2013SR018623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金仕达卫宁基层医疗卫生机构管理 信息系统应用软件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2013SR018625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2012-08-22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金仕达卫宁医院信息系统集成平台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2013SR018783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金仕达卫宁电子病历编辑器系统应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用软件</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2013SR018793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基于云计算的基层医疗卫生机构管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理信息系统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2013SR030615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金仕达卫宁基于云计算的村卫生室 医疗信息系统【简称：金仕达卫宁村 卫生室医疗信息系统】</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2013SR031212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2012-09-20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金仕达卫宁区域病理信息管理软件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2013SR031010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金仕达卫宁区域超声信息管理软件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2013SR031215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金仕达卫宁区域性临床路径服务系 统应用软件【简称：区域性临床路径 服务系统】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2013SR031979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金仕达卫宁基于云计算的区域医疗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协同信息系统</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金仕达卫宁电子病历系统应用软件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2013SR032280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基于云计算的社区卫生服务中心信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金仕达卫宁基于云计算的智能提示 信息系统</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2013SR032236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金仕达卫宁基于云计算的医疗信息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调阅分析系统</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金仕达卫宁基于云计算的</w:t>
            </w:r>
            <w:r>
              <w:rPr>
                <w:rFonts w:ascii="Times New Roman" w:eastAsia="Times New Roman" w:hAnsi="Times New Roman" w:cs="Times New Roman"/>
                <w:color w:val="000000"/>
                <w:spacing w:val="0"/>
                <w:w w:val="100"/>
                <w:position w:val="0"/>
              </w:rPr>
              <w:t>HER</w:t>
            </w:r>
            <w:r>
              <w:rPr>
                <w:color w:val="000000"/>
                <w:spacing w:val="0"/>
                <w:w w:val="100"/>
                <w:position w:val="0"/>
              </w:rPr>
              <w:t>共享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调阅信息系统</w:t>
            </w:r>
            <w:r>
              <w:rPr>
                <w:rFonts w:ascii="Times New Roman" w:eastAsia="Times New Roman" w:hAnsi="Times New Roman" w:cs="Times New Roman"/>
                <w:color w:val="000000"/>
                <w:spacing w:val="0"/>
                <w:w w:val="100"/>
                <w:position w:val="0"/>
              </w:rPr>
              <w:t>V4.5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2013SR032173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金仕达卫宁区域内镜信息管理软件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2013SR032165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金仕达卫宁医保支付监控审核平台 应用软件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2013SR036181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医学影像管理与通讯系统应用软件</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2013SR162914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2007-10-20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卫宁软件</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42,341,744.32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27,114,904.52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19,008,869.05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13,461,196.98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312" w:lineRule="exact"/>
        <w:ind w:left="0" w:right="0"/>
        <w:jc w:val="both"/>
      </w:pPr>
      <w:r>
        <w:rPr>
          <w:color w:val="000000"/>
          <w:spacing w:val="0"/>
          <w:w w:val="100"/>
          <w:position w:val="0"/>
        </w:rPr>
        <w:t>智慧医疗信息系统一期工程项目和基于医药福利管理的医保知识库信息系统</w:t>
      </w:r>
      <w:r>
        <w:rPr>
          <w:rFonts w:ascii="Times New Roman" w:eastAsia="Times New Roman" w:hAnsi="Times New Roman" w:cs="Times New Roman"/>
          <w:color w:val="000000"/>
          <w:spacing w:val="0"/>
          <w:w w:val="100"/>
          <w:position w:val="0"/>
        </w:rPr>
        <w:t>V1.0</w:t>
      </w:r>
      <w:r>
        <w:rPr>
          <w:color w:val="000000"/>
          <w:spacing w:val="0"/>
          <w:w w:val="100"/>
          <w:position w:val="0"/>
        </w:rPr>
        <w:t>项目，本年度进入开发阶段，并且同时 满足开发阶段支出资本化的所有条件，根据企业会计准则相关规定及两个项目较为广阔的市场前景和良好的投资回报，公司 将这两个项目开发阶段的相关支出计入开发支出。</w:t>
      </w:r>
    </w:p>
    <w:p>
      <w:pPr>
        <w:pStyle w:val="Style23"/>
        <w:keepNext w:val="0"/>
        <w:keepLines w:val="0"/>
        <w:widowControl w:val="0"/>
        <w:shd w:val="clear" w:color="auto" w:fill="auto"/>
        <w:bidi w:val="0"/>
        <w:spacing w:before="0" w:after="0"/>
        <w:ind w:left="0" w:right="0" w:firstLine="0"/>
        <w:jc w:val="both"/>
      </w:pPr>
      <w:bookmarkStart w:id="70" w:name="bookmark70"/>
      <w:r>
        <w:rPr>
          <w:rFonts w:ascii="Times New Roman" w:eastAsia="Times New Roman" w:hAnsi="Times New Roman" w:cs="Times New Roman"/>
          <w:color w:val="000000"/>
          <w:spacing w:val="0"/>
          <w:w w:val="100"/>
          <w:position w:val="0"/>
        </w:rPr>
        <w:t>6</w:t>
      </w:r>
      <w:bookmarkEnd w:id="70"/>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392,733,522.65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363,967,741.97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342,585,407.49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336,594,573.82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50,148,115.16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27,373,168.15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21,721,350.14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22,260,617.83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-21,714,373.60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-22,259,598.83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23,339,187.01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13,410,090.34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9,929,096.67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784.77%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38,362,838.23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3,663,569.32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经营活动产生的现金流量净额较上年同期增加</w:t>
      </w:r>
      <w:r>
        <w:rPr>
          <w:rFonts w:ascii="Times New Roman" w:eastAsia="Times New Roman" w:hAnsi="Times New Roman" w:cs="Times New Roman"/>
          <w:color w:val="000000"/>
          <w:spacing w:val="0"/>
          <w:w w:val="100"/>
          <w:position w:val="0"/>
        </w:rPr>
        <w:t>83.2%</w:t>
      </w:r>
      <w:r>
        <w:rPr>
          <w:color w:val="000000"/>
          <w:spacing w:val="0"/>
          <w:w w:val="100"/>
          <w:position w:val="0"/>
        </w:rPr>
        <w:t>，主要是营业收入增加、回款增加所致；</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筹资活动现金流入较上年同期增加</w:t>
      </w:r>
      <w:r>
        <w:rPr>
          <w:rFonts w:ascii="Times New Roman" w:eastAsia="Times New Roman" w:hAnsi="Times New Roman" w:cs="Times New Roman"/>
          <w:color w:val="000000"/>
          <w:spacing w:val="0"/>
          <w:w w:val="100"/>
          <w:position w:val="0"/>
        </w:rPr>
        <w:t>498.44%</w:t>
      </w:r>
      <w:r>
        <w:rPr>
          <w:color w:val="000000"/>
          <w:spacing w:val="0"/>
          <w:w w:val="100"/>
          <w:position w:val="0"/>
        </w:rPr>
        <w:t>，筹资活动产生的现金净流量较上年同期增加</w:t>
      </w:r>
      <w:r>
        <w:rPr>
          <w:rFonts w:ascii="Times New Roman" w:eastAsia="Times New Roman" w:hAnsi="Times New Roman" w:cs="Times New Roman"/>
          <w:color w:val="000000"/>
          <w:spacing w:val="0"/>
          <w:w w:val="100"/>
          <w:position w:val="0"/>
        </w:rPr>
        <w:t>784.77%</w:t>
      </w:r>
      <w:r>
        <w:rPr>
          <w:color w:val="000000"/>
          <w:spacing w:val="0"/>
          <w:w w:val="100"/>
          <w:position w:val="0"/>
        </w:rPr>
        <w:t>，主要是股票期权行 权资本投入以及行权代扣代缴的个人所得税增加所致；</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筹资活动现金流出较上年同期增加</w:t>
      </w:r>
      <w:r>
        <w:rPr>
          <w:rFonts w:ascii="Times New Roman" w:eastAsia="Times New Roman" w:hAnsi="Times New Roman" w:cs="Times New Roman"/>
          <w:color w:val="000000"/>
          <w:spacing w:val="0"/>
          <w:w w:val="100"/>
          <w:position w:val="0"/>
        </w:rPr>
        <w:t>150.66%</w:t>
      </w:r>
      <w:r>
        <w:rPr>
          <w:color w:val="000000"/>
          <w:spacing w:val="0"/>
          <w:w w:val="100"/>
          <w:position w:val="0"/>
        </w:rPr>
        <w:t>,主要是因为现金股利增加和支付股票期权行权代扣代缴的个人所得税所 致。</w:t>
      </w:r>
    </w:p>
    <w:p>
      <w:pPr>
        <w:pStyle w:val="Style23"/>
        <w:keepNext w:val="0"/>
        <w:keepLines w:val="0"/>
        <w:widowControl w:val="0"/>
        <w:shd w:val="clear" w:color="auto" w:fill="auto"/>
        <w:bidi w:val="0"/>
        <w:spacing w:before="0" w:after="60" w:line="322" w:lineRule="exact"/>
        <w:ind w:left="0" w:right="0" w:firstLine="0"/>
        <w:jc w:val="both"/>
      </w:pPr>
      <w:r>
        <w:rPr>
          <w:color w:val="000000"/>
          <w:spacing w:val="0"/>
          <w:w w:val="100"/>
          <w:position w:val="0"/>
        </w:rPr>
        <w:t>报告期内公司经营活动的现金流量与本年度净利润存在重大差异的原因说明</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bookmarkStart w:id="71" w:name="bookmark71"/>
      <w:r>
        <w:rPr>
          <w:rFonts w:ascii="Times New Roman" w:eastAsia="Times New Roman" w:hAnsi="Times New Roman" w:cs="Times New Roman"/>
          <w:color w:val="000000"/>
          <w:spacing w:val="0"/>
          <w:w w:val="100"/>
          <w:position w:val="0"/>
        </w:rPr>
        <w:t>7</w:t>
      </w:r>
      <w:bookmarkEnd w:id="71"/>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47,294,120.14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18,628,506.69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w:t>
            </w:r>
          </w:p>
        </w:tc>
      </w:tr>
    </w:tbl>
    <w:p>
      <w:pPr>
        <w:pStyle w:val="Style23"/>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50" w:lineRule="exact"/>
        <w:ind w:left="0" w:right="0" w:firstLine="0"/>
        <w:jc w:val="left"/>
      </w:pPr>
      <w:bookmarkStart w:id="72" w:name="bookmark72"/>
      <w:r>
        <w:rPr>
          <w:rFonts w:ascii="Times New Roman" w:eastAsia="Times New Roman" w:hAnsi="Times New Roman" w:cs="Times New Roman"/>
          <w:color w:val="000000"/>
          <w:spacing w:val="0"/>
          <w:w w:val="100"/>
          <w:position w:val="0"/>
        </w:rPr>
        <w:t>8</w:t>
      </w:r>
      <w:bookmarkEnd w:id="72"/>
      <w:r>
        <w:rPr>
          <w:rFonts w:ascii="Times New Roman" w:eastAsia="Times New Roman" w:hAnsi="Times New Roman" w:cs="Times New Roman"/>
          <w:color w:val="000000"/>
          <w:spacing w:val="0"/>
          <w:w w:val="100"/>
          <w:position w:val="0"/>
        </w:rPr>
        <w:t>）</w:t>
      </w:r>
      <w:r>
        <w:rPr>
          <w:color w:val="000000"/>
          <w:spacing w:val="0"/>
          <w:w w:val="100"/>
          <w:position w:val="0"/>
        </w:rPr>
        <w:t xml:space="preserve">公司未来发展与规划延续至报告期的说明 首次公开发行招股说明书中披露的未来发展与规划在本报告期的实施情况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报告期内，公司贯彻执行在招股说明书上列明的未来发展规划，充分发挥管理、技术、经验、客户等方面的优势，在公 司既定的医疗行业整体解决方案提供商的战略目标下，吸收新的技术路线和应用需求，不断完善公司的核心产品，强化公司 的服务能力，从而增强企业的核心竞争力。四个承诺募投项目''医院信息管理系统技术改造项目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医技信息管理系统技术 改造项目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公共卫生信息系统技术改造项目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营销服务体系建设项目</w:t>
      </w:r>
      <w:r>
        <w:rPr>
          <w:rFonts w:ascii="Times New Roman" w:eastAsia="Times New Roman" w:hAnsi="Times New Roman" w:cs="Times New Roman"/>
          <w:color w:val="000000"/>
          <w:spacing w:val="0"/>
          <w:w w:val="100"/>
          <w:position w:val="0"/>
        </w:rPr>
        <w:t>”</w:t>
      </w:r>
      <w:r>
        <w:rPr>
          <w:color w:val="000000"/>
          <w:spacing w:val="0"/>
          <w:w w:val="100"/>
          <w:position w:val="0"/>
        </w:rPr>
        <w:t>已按计划完成全部建设，均达到或超出既定发展 目标，为公司的长期发展奠定基础。</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前期披露的发展战略和经营计划在报告期内的进展情况</w:t>
      </w:r>
    </w:p>
    <w:p>
      <w:pPr>
        <w:pStyle w:val="Style23"/>
        <w:keepNext w:val="0"/>
        <w:keepLines w:val="0"/>
        <w:widowControl w:val="0"/>
        <w:shd w:val="clear" w:color="auto" w:fill="auto"/>
        <w:bidi w:val="0"/>
        <w:spacing w:before="0" w:after="0" w:line="346" w:lineRule="exact"/>
        <w:ind w:left="0" w:right="0" w:firstLine="360"/>
        <w:jc w:val="left"/>
      </w:pPr>
      <w:r>
        <w:rPr>
          <w:color w:val="000000"/>
          <w:spacing w:val="0"/>
          <w:w w:val="100"/>
          <w:position w:val="0"/>
        </w:rPr>
        <w:t>报告期内，公司经营业绩保持了持续稳定的增长，详见本章第一部分</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73"/>
      <w:bookmarkEnd w:id="74"/>
      <w:bookmarkEnd w:id="76"/>
    </w:p>
    <w:p>
      <w:pPr>
        <w:pStyle w:val="Style23"/>
        <w:keepNext w:val="0"/>
        <w:keepLines w:val="0"/>
        <w:widowControl w:val="0"/>
        <w:shd w:val="clear" w:color="auto" w:fill="auto"/>
        <w:bidi w:val="0"/>
        <w:spacing w:before="0" w:after="100" w:line="34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医疗卫生信息化行业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348,827,862.85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188,680,454.50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207,298,690.46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146,486,698.00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95,273,887.90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15,624,827.84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46,255,284.49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26,568,928.66</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141,345,522.03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70,279,204.48</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40,422,520.41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26,458,345.21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27,334,512.16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11,538,980.96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26,612,307.64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9,830,124.95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235,714,862.24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118,106,655.60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13,660,008.24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9,476,417.38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51,005,888.75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32,015,214.00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48,447,103.62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29,082,167.52</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医疗卫生信息化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207,298,690.46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60,811,992.46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95,273,887.90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79,649,060.06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46,255,284.49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19,686,355.83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141,345,522.03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71,066,317.55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40,422,520.41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13,964,175.20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27,334,512.16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15,795,531.20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26,612,307.64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16,782,182.69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235,714,862.24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117,608,206.64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13,660,008.24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4,183,590.86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51,005,888.75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18,990,674.75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48,447,103.62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19,364,936.10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w:t>
      </w:r>
      <w:bookmarkEnd w:id="79"/>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77"/>
      <w:bookmarkEnd w:id="78"/>
      <w:bookmarkEnd w:id="80"/>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56"/>
        <w:gridCol w:w="1205"/>
        <w:gridCol w:w="1061"/>
        <w:gridCol w:w="802"/>
        <w:gridCol w:w="292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458,093,549.4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412,384,289.19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200"/>
        <w:gridCol w:w="1061"/>
        <w:gridCol w:w="797"/>
        <w:gridCol w:w="29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180,764,331.3</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104,728,958.56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6,859,446.17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26,150,827.88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30,266,469.27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23,589,929.85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56"/>
        <w:gridCol w:w="1205"/>
        <w:gridCol w:w="1061"/>
        <w:gridCol w:w="806"/>
        <w:gridCol w:w="291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after="299" w:line="1" w:lineRule="exact"/>
      </w:pPr>
    </w:p>
    <w:p>
      <w:pPr>
        <w:pStyle w:val="Style34"/>
        <w:keepNext/>
        <w:keepLines/>
        <w:widowControl w:val="0"/>
        <w:shd w:val="clear" w:color="auto" w:fill="auto"/>
        <w:tabs>
          <w:tab w:pos="488" w:val="left"/>
        </w:tabs>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81"/>
      <w:bookmarkEnd w:id="82"/>
      <w:bookmarkEnd w:id="8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报告期内，公司的核心竞争力没有发生重大变化。</w:t>
      </w:r>
    </w:p>
    <w:p>
      <w:pPr>
        <w:pStyle w:val="Style34"/>
        <w:keepNext/>
        <w:keepLines/>
        <w:widowControl w:val="0"/>
        <w:shd w:val="clear" w:color="auto" w:fill="auto"/>
        <w:tabs>
          <w:tab w:pos="488" w:val="left"/>
        </w:tabs>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85"/>
      <w:bookmarkEnd w:id="86"/>
      <w:bookmarkEnd w:id="88"/>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3197"/>
        <w:gridCol w:w="3187"/>
        <w:gridCol w:w="3202"/>
      </w:tblGrid>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274" w:hRule="exact"/>
        </w:trPr>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上市公司占被投资</w:t>
            </w:r>
          </w:p>
        </w:tc>
        <w:tc>
          <w:tcPr>
            <w:tcBorders>
              <w:top w:val="single" w:sz="4"/>
              <w:right w:val="single" w:sz="4"/>
            </w:tcBorders>
            <w:shd w:val="clear" w:color="auto" w:fill="D4D4D4"/>
            <w:vAlign w:val="bottom"/>
          </w:tcPr>
          <w:p>
            <w:pPr>
              <w:pStyle w:val="Style2"/>
              <w:keepNext w:val="0"/>
              <w:keepLines w:val="0"/>
              <w:widowControl w:val="0"/>
              <w:shd w:val="clear" w:color="auto" w:fill="auto"/>
              <w:tabs>
                <w:tab w:pos="1245" w:val="left"/>
                <w:tab w:pos="2699" w:val="left"/>
              </w:tabs>
              <w:bidi w:val="0"/>
              <w:spacing w:before="0" w:after="0" w:line="240" w:lineRule="auto"/>
              <w:ind w:left="0" w:right="0" w:firstLine="400"/>
              <w:jc w:val="left"/>
            </w:pPr>
            <w:r>
              <w:rPr>
                <w:color w:val="000000"/>
                <w:spacing w:val="0"/>
                <w:w w:val="100"/>
                <w:position w:val="0"/>
              </w:rPr>
              <w:t>人</w:t>
            </w:r>
            <w:r>
              <w:rPr>
                <w:i/>
                <w:iCs/>
                <w:color w:val="000000"/>
                <w:spacing w:val="0"/>
                <w:w w:val="100"/>
                <w:position w:val="0"/>
              </w:rPr>
              <w:t>人</w:t>
            </w:r>
            <w:r>
              <w:rPr>
                <w:color w:val="000000"/>
                <w:spacing w:val="0"/>
                <w:w w:val="100"/>
                <w:position w:val="0"/>
              </w:rPr>
              <w:tab/>
              <w:t>本期投资</w:t>
              <w:tab/>
            </w:r>
            <w:r>
              <w:rPr>
                <w:color w:val="000000"/>
                <w:spacing w:val="0"/>
                <w:w w:val="100"/>
                <w:position w:val="0"/>
                <w:vertAlign w:val="subscript"/>
              </w:rPr>
              <w:t>p</w:t>
            </w:r>
            <w:r>
              <w:rPr>
                <w:color w:val="000000"/>
                <w:spacing w:val="0"/>
                <w:w w:val="100"/>
                <w:position w:val="0"/>
              </w:rPr>
              <w:t xml:space="preserve"> L</w:t>
            </w:r>
          </w:p>
        </w:tc>
      </w:tr>
      <w:tr>
        <w:trPr>
          <w:trHeight w:val="158" w:hRule="exact"/>
        </w:trPr>
        <w:tc>
          <w:tcPr>
            <w:gridSpan w:val="2"/>
            <w:tcBorders>
              <w:left w:val="single" w:sz="4"/>
            </w:tcBorders>
            <w:shd w:val="clear" w:color="auto" w:fill="D4D4D4"/>
            <w:vAlign w:val="bottom"/>
          </w:tcPr>
          <w:p>
            <w:pPr>
              <w:pStyle w:val="Style2"/>
              <w:keepNext w:val="0"/>
              <w:keepLines w:val="0"/>
              <w:widowControl w:val="0"/>
              <w:shd w:val="clear" w:color="auto" w:fill="auto"/>
              <w:tabs>
                <w:tab w:pos="1910" w:val="left"/>
                <w:tab w:pos="4882" w:val="left"/>
              </w:tabs>
              <w:bidi w:val="0"/>
              <w:spacing w:before="0" w:after="0" w:line="240" w:lineRule="auto"/>
              <w:ind w:left="0" w:right="0" w:firstLine="0"/>
              <w:jc w:val="right"/>
            </w:pPr>
            <w:r>
              <w:rPr>
                <w:color w:val="000000"/>
                <w:spacing w:val="0"/>
                <w:w w:val="100"/>
                <w:position w:val="0"/>
              </w:rPr>
              <w:t>公司名称</w:t>
              <w:tab/>
              <w:t>主要业务</w:t>
              <w:tab/>
              <w:t>资金来源</w:t>
            </w:r>
          </w:p>
        </w:tc>
        <w:tc>
          <w:tcPr>
            <w:tcBorders>
              <w:right w:val="single" w:sz="4"/>
            </w:tcBorders>
            <w:shd w:val="clear" w:color="auto" w:fill="D4D4D4"/>
            <w:vAlign w:val="bottom"/>
          </w:tcPr>
          <w:p>
            <w:pPr>
              <w:pStyle w:val="Style2"/>
              <w:keepNext w:val="0"/>
              <w:keepLines w:val="0"/>
              <w:widowControl w:val="0"/>
              <w:shd w:val="clear" w:color="auto" w:fill="auto"/>
              <w:tabs>
                <w:tab w:pos="2262" w:val="left"/>
              </w:tabs>
              <w:bidi w:val="0"/>
              <w:spacing w:before="0" w:after="0" w:line="240" w:lineRule="auto"/>
              <w:ind w:left="0" w:right="0" w:firstLine="400"/>
              <w:jc w:val="left"/>
            </w:pPr>
            <w:r>
              <w:rPr>
                <w:color w:val="000000"/>
                <w:spacing w:val="0"/>
                <w:w w:val="100"/>
                <w:position w:val="0"/>
              </w:rPr>
              <w:t>合作力</w:t>
              <w:tab/>
              <w:t>是否涉诉</w:t>
            </w:r>
          </w:p>
        </w:tc>
      </w:tr>
      <w:tr>
        <w:trPr>
          <w:trHeight w:val="288" w:hRule="exact"/>
        </w:trPr>
        <w:tc>
          <w:tcPr>
            <w:tcBorders>
              <w:left w:val="single" w:sz="4"/>
              <w:bottom w:val="single" w:sz="4"/>
            </w:tcBorders>
            <w:shd w:val="clear" w:color="auto" w:fill="D4D4D4"/>
            <w:vAlign w:val="top"/>
          </w:tcPr>
          <w:p>
            <w:pPr>
              <w:widowControl w:val="0"/>
              <w:rPr>
                <w:sz w:val="10"/>
                <w:szCs w:val="10"/>
              </w:rPr>
            </w:pPr>
          </w:p>
        </w:tc>
        <w:tc>
          <w:tcPr>
            <w:tcBorders>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盈亏（元）</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12,246.66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月，公司成功上市，募集资金净额为人民币</w:t>
            </w:r>
            <w:r>
              <w:rPr>
                <w:rFonts w:ascii="Times New Roman" w:eastAsia="Times New Roman" w:hAnsi="Times New Roman" w:cs="Times New Roman"/>
                <w:color w:val="000000"/>
                <w:spacing w:val="0"/>
                <w:w w:val="100"/>
                <w:position w:val="0"/>
              </w:rPr>
              <w:t>338,979,830.08</w:t>
            </w:r>
            <w:r>
              <w:rPr>
                <w:color w:val="000000"/>
                <w:spacing w:val="0"/>
                <w:w w:val="100"/>
                <w:position w:val="0"/>
              </w:rPr>
              <w:t>元，其中，公司原拟募集资金</w:t>
            </w:r>
            <w:r>
              <w:rPr>
                <w:rFonts w:ascii="Times New Roman" w:eastAsia="Times New Roman" w:hAnsi="Times New Roman" w:cs="Times New Roman"/>
                <w:color w:val="000000"/>
                <w:spacing w:val="0"/>
                <w:w w:val="100"/>
                <w:position w:val="0"/>
              </w:rPr>
              <w:t>138,410,000.00</w:t>
            </w:r>
            <w:r>
              <w:rPr>
                <w:color w:val="000000"/>
                <w:spacing w:val="0"/>
                <w:w w:val="100"/>
                <w:position w:val="0"/>
              </w:rPr>
              <w:t>元，其 他与主营业务相关的营运资金（超募资金）</w:t>
            </w:r>
            <w:r>
              <w:rPr>
                <w:rFonts w:ascii="Times New Roman" w:eastAsia="Times New Roman" w:hAnsi="Times New Roman" w:cs="Times New Roman"/>
                <w:color w:val="000000"/>
                <w:spacing w:val="0"/>
                <w:w w:val="100"/>
                <w:position w:val="0"/>
              </w:rPr>
              <w:t>200,569,830.08</w:t>
            </w:r>
            <w:r>
              <w:rPr>
                <w:color w:val="000000"/>
                <w:spacing w:val="0"/>
                <w:w w:val="100"/>
                <w:position w:val="0"/>
              </w:rPr>
              <w:t>元，该募集资金到位情况已由中磊会计师事务所有限责任公司 验证，并出具中磊验字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0067</w:t>
            </w:r>
            <w:r>
              <w:rPr>
                <w:color w:val="000000"/>
                <w:spacing w:val="0"/>
                <w:w w:val="100"/>
                <w:position w:val="0"/>
              </w:rPr>
              <w:t>号《验资报告》。募集资金（含超募资金）总体使用情况：</w:t>
            </w:r>
            <w:r>
              <w:rPr>
                <w:rFonts w:ascii="Times New Roman" w:eastAsia="Times New Roman" w:hAnsi="Times New Roman" w:cs="Times New Roman"/>
                <w:color w:val="000000"/>
                <w:spacing w:val="0"/>
                <w:w w:val="100"/>
                <w:position w:val="0"/>
              </w:rPr>
              <w:t>2011</w:t>
            </w:r>
            <w:r>
              <w:rPr>
                <w:color w:val="000000"/>
                <w:spacing w:val="0"/>
                <w:w w:val="100"/>
                <w:position w:val="0"/>
              </w:rPr>
              <w:t>年使用</w:t>
            </w:r>
            <w:r>
              <w:rPr>
                <w:rFonts w:ascii="Times New Roman" w:eastAsia="Times New Roman" w:hAnsi="Times New Roman" w:cs="Times New Roman"/>
                <w:color w:val="000000"/>
                <w:spacing w:val="0"/>
                <w:w w:val="100"/>
                <w:position w:val="0"/>
              </w:rPr>
              <w:t>4,272.58</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2012</w:t>
            </w:r>
            <w:r>
              <w:rPr>
                <w:color w:val="000000"/>
                <w:spacing w:val="0"/>
                <w:w w:val="100"/>
                <w:position w:val="0"/>
              </w:rPr>
              <w:t>年使用</w:t>
            </w:r>
            <w:r>
              <w:rPr>
                <w:rFonts w:ascii="Times New Roman" w:eastAsia="Times New Roman" w:hAnsi="Times New Roman" w:cs="Times New Roman"/>
                <w:color w:val="000000"/>
                <w:spacing w:val="0"/>
                <w:w w:val="100"/>
                <w:position w:val="0"/>
              </w:rPr>
              <w:t>4,959.46</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年使用</w:t>
            </w:r>
            <w:r>
              <w:rPr>
                <w:rFonts w:ascii="Times New Roman" w:eastAsia="Times New Roman" w:hAnsi="Times New Roman" w:cs="Times New Roman"/>
                <w:color w:val="000000"/>
                <w:spacing w:val="0"/>
                <w:w w:val="100"/>
                <w:position w:val="0"/>
              </w:rPr>
              <w:t>12,246.66</w:t>
            </w:r>
            <w:r>
              <w:rPr>
                <w:color w:val="000000"/>
                <w:spacing w:val="0"/>
                <w:w w:val="100"/>
                <w:position w:val="0"/>
              </w:rPr>
              <w:t>万元，截至本报告期末已累计使用</w:t>
            </w:r>
            <w:r>
              <w:rPr>
                <w:rFonts w:ascii="Times New Roman" w:eastAsia="Times New Roman" w:hAnsi="Times New Roman" w:cs="Times New Roman"/>
                <w:color w:val="000000"/>
                <w:spacing w:val="0"/>
                <w:w w:val="100"/>
                <w:position w:val="0"/>
              </w:rPr>
              <w:t>21,478.70</w:t>
            </w:r>
            <w:r>
              <w:rPr>
                <w:color w:val="000000"/>
                <w:spacing w:val="0"/>
                <w:w w:val="100"/>
                <w:position w:val="0"/>
              </w:rPr>
              <w:t>万元。</w:t>
            </w:r>
          </w:p>
        </w:tc>
      </w:tr>
    </w:tbl>
    <w:p>
      <w:pPr>
        <w:spacing w:lineRule="exact" w:line="1"/>
        <w:rPr>
          <w:sz w:val="2"/>
          <w:szCs w:val="2"/>
        </w:rPr>
      </w:pPr>
      <w:r>
        <w:br w:type="page"/>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0"/>
        <w:gridCol w:w="720"/>
        <w:gridCol w:w="725"/>
        <w:gridCol w:w="720"/>
        <w:gridCol w:w="725"/>
        <w:gridCol w:w="715"/>
        <w:gridCol w:w="725"/>
        <w:gridCol w:w="720"/>
        <w:gridCol w:w="715"/>
        <w:gridCol w:w="730"/>
        <w:gridCol w:w="73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医院信息管理系统 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医技信息管理系统 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公共卫生信息系统 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营销服务体系建设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12,828.7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21,478.7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18" w:hRule="exact"/>
        </w:trPr>
        <w:tc>
          <w:tcPr>
            <w:vMerge/>
            <w:tcBorders>
              <w:left w:val="single" w:sz="4"/>
              <w:bottom w:val="single" w:sz="4"/>
            </w:tcBorders>
            <w:shd w:val="clear" w:color="auto" w:fill="D4D4D4"/>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超募资金为</w:t>
            </w:r>
            <w:r>
              <w:rPr>
                <w:rFonts w:ascii="Times New Roman" w:eastAsia="Times New Roman" w:hAnsi="Times New Roman" w:cs="Times New Roman"/>
                <w:color w:val="000000"/>
                <w:spacing w:val="0"/>
                <w:w w:val="100"/>
                <w:position w:val="0"/>
              </w:rPr>
              <w:t>20,056.98</w:t>
            </w:r>
            <w:r>
              <w:rPr>
                <w:color w:val="000000"/>
                <w:spacing w:val="0"/>
                <w:w w:val="100"/>
                <w:position w:val="0"/>
              </w:rPr>
              <w:t>万元。公司第一届董事会第二十一次会议审议通过了《关于公司对外投资设立 合资公司的议案》，同意公司与赵蒙海均以货币资金方式共同出资</w:t>
            </w:r>
            <w:r>
              <w:rPr>
                <w:rFonts w:ascii="Times New Roman" w:eastAsia="Times New Roman" w:hAnsi="Times New Roman" w:cs="Times New Roman"/>
                <w:color w:val="000000"/>
                <w:spacing w:val="0"/>
                <w:w w:val="100"/>
                <w:position w:val="0"/>
              </w:rPr>
              <w:t>1,000</w:t>
            </w:r>
            <w:r>
              <w:rPr>
                <w:color w:val="000000"/>
                <w:spacing w:val="0"/>
                <w:w w:val="100"/>
                <w:position w:val="0"/>
              </w:rPr>
              <w:t>万元成立合资公司，其中公司 使用超募资金出资</w:t>
            </w:r>
            <w:r>
              <w:rPr>
                <w:rFonts w:ascii="Times New Roman" w:eastAsia="Times New Roman" w:hAnsi="Times New Roman" w:cs="Times New Roman"/>
                <w:color w:val="000000"/>
                <w:spacing w:val="0"/>
                <w:w w:val="100"/>
                <w:position w:val="0"/>
              </w:rPr>
              <w:t>650</w:t>
            </w:r>
            <w:r>
              <w:rPr>
                <w:color w:val="000000"/>
                <w:spacing w:val="0"/>
                <w:w w:val="100"/>
                <w:position w:val="0"/>
              </w:rPr>
              <w:t>万元占合资公司注册资本的</w:t>
            </w:r>
            <w:r>
              <w:rPr>
                <w:rFonts w:ascii="Times New Roman" w:eastAsia="Times New Roman" w:hAnsi="Times New Roman" w:cs="Times New Roman"/>
                <w:color w:val="000000"/>
                <w:spacing w:val="0"/>
                <w:w w:val="100"/>
                <w:position w:val="0"/>
              </w:rPr>
              <w:t>65%</w:t>
            </w:r>
            <w:r>
              <w:rPr>
                <w:color w:val="000000"/>
                <w:spacing w:val="0"/>
                <w:w w:val="100"/>
                <w:position w:val="0"/>
              </w:rPr>
              <w:t>，并已于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日完成出资。合资公 司上海金仕达卫宁软件科技有限公司已于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日注册成立。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日，公司第二 届董事会第八次会议审议通过了《关于公司使用部分超募资金永久补充流动资金的议案》，同意使用</w:t>
            </w:r>
          </w:p>
        </w:tc>
      </w:tr>
    </w:tbl>
    <w:p>
      <w:pPr>
        <w:spacing w:lineRule="exact" w:line="1"/>
        <w:rPr>
          <w:sz w:val="2"/>
          <w:szCs w:val="2"/>
        </w:rPr>
      </w:pPr>
      <w:r>
        <w:br w:type="page"/>
      </w:r>
    </w:p>
    <w:tbl>
      <w:tblPr>
        <w:tblOverlap w:val="never"/>
        <w:jc w:val="center"/>
        <w:tblLayout w:type="fixed"/>
      </w:tblPr>
      <w:tblGrid>
        <w:gridCol w:w="1637"/>
        <w:gridCol w:w="7949"/>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超募资金</w:t>
            </w:r>
            <w:r>
              <w:rPr>
                <w:rFonts w:ascii="Times New Roman" w:eastAsia="Times New Roman" w:hAnsi="Times New Roman" w:cs="Times New Roman"/>
                <w:color w:val="000000"/>
                <w:spacing w:val="0"/>
                <w:w w:val="100"/>
                <w:position w:val="0"/>
              </w:rPr>
              <w:t>4,000</w:t>
            </w:r>
            <w:r>
              <w:rPr>
                <w:color w:val="000000"/>
                <w:spacing w:val="0"/>
                <w:w w:val="100"/>
                <w:position w:val="0"/>
              </w:rPr>
              <w:t>万元永久补充流动资金，已于报告期内实施。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 第十五次会议审议通过了《关于公司使用部分超募资金永久补充流动资金的议案》，同意使用超募资 金</w:t>
            </w:r>
            <w:r>
              <w:rPr>
                <w:rFonts w:ascii="Times New Roman" w:eastAsia="Times New Roman" w:hAnsi="Times New Roman" w:cs="Times New Roman"/>
                <w:color w:val="000000"/>
                <w:spacing w:val="0"/>
                <w:w w:val="100"/>
                <w:position w:val="0"/>
              </w:rPr>
              <w:t>4,000</w:t>
            </w:r>
            <w:r>
              <w:rPr>
                <w:color w:val="000000"/>
                <w:spacing w:val="0"/>
                <w:w w:val="100"/>
                <w:position w:val="0"/>
              </w:rPr>
              <w:t>万元永久补充流动资金，该事项已经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 审议批准，已于报告期内实施。截至报告期末，超募资金余额</w:t>
            </w:r>
            <w:r>
              <w:rPr>
                <w:rFonts w:ascii="Times New Roman" w:eastAsia="Times New Roman" w:hAnsi="Times New Roman" w:cs="Times New Roman"/>
                <w:color w:val="000000"/>
                <w:spacing w:val="0"/>
                <w:w w:val="100"/>
                <w:position w:val="0"/>
              </w:rPr>
              <w:t>11,406.98</w:t>
            </w:r>
            <w:r>
              <w:rPr>
                <w:color w:val="000000"/>
                <w:spacing w:val="0"/>
                <w:w w:val="100"/>
                <w:position w:val="0"/>
              </w:rPr>
              <w:t>万元(不包含该专户利息)， 将继续在募集资金专项账户管理。</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日，公司累计以自筹资金预先投入募投项目金额为</w:t>
            </w:r>
            <w:r>
              <w:rPr>
                <w:rFonts w:ascii="Times New Roman" w:eastAsia="Times New Roman" w:hAnsi="Times New Roman" w:cs="Times New Roman"/>
                <w:color w:val="000000"/>
                <w:spacing w:val="0"/>
                <w:w w:val="100"/>
                <w:position w:val="0"/>
              </w:rPr>
              <w:t>2,072.67</w:t>
            </w:r>
            <w:r>
              <w:rPr>
                <w:color w:val="000000"/>
                <w:spacing w:val="0"/>
                <w:w w:val="100"/>
                <w:position w:val="0"/>
              </w:rPr>
              <w:t>万元。公司第一届董 事会第十九次会议审议通过了《关于使用募集资金置换预先已投入募投项目的自筹资金的议案》，同 意公司使用募集资金</w:t>
            </w:r>
            <w:r>
              <w:rPr>
                <w:rFonts w:ascii="Times New Roman" w:eastAsia="Times New Roman" w:hAnsi="Times New Roman" w:cs="Times New Roman"/>
                <w:color w:val="000000"/>
                <w:spacing w:val="0"/>
                <w:w w:val="100"/>
                <w:position w:val="0"/>
              </w:rPr>
              <w:t>2,072.67</w:t>
            </w:r>
            <w:r>
              <w:rPr>
                <w:color w:val="000000"/>
                <w:spacing w:val="0"/>
                <w:w w:val="100"/>
                <w:position w:val="0"/>
              </w:rPr>
              <w:t>万元置换预先已投入募投项目的自筹资金，并已实施完成。</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5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日，公司四个承诺募投项目均已达到预定可使用状态。募投项目节余资金(含 专户利息收入)</w:t>
            </w:r>
            <w:r>
              <w:rPr>
                <w:rFonts w:ascii="Times New Roman" w:eastAsia="Times New Roman" w:hAnsi="Times New Roman" w:cs="Times New Roman"/>
                <w:color w:val="000000"/>
                <w:spacing w:val="0"/>
                <w:w w:val="100"/>
                <w:position w:val="0"/>
              </w:rPr>
              <w:t>1,393.22</w:t>
            </w:r>
            <w:r>
              <w:rPr>
                <w:color w:val="000000"/>
                <w:spacing w:val="0"/>
                <w:w w:val="100"/>
                <w:position w:val="0"/>
              </w:rPr>
              <w:t>万元。出现节余资金的主要原因是募集资金的利息收入(扣除手续费)以及 募投项目建设过程中，公司充分发挥各募投项目的协同效应，对募投项目的研发和实施环节进行优化， 使得基础设施和固定资产投入较计划投入有一定幅度减少，从而减少了项目总开支。同时，在募投项 目建设过程中，公司坚持谨慎、节约的原则，对市场进行充分调研，在保证项目质量的前提下，对部 分设备集中采购，降低了采购成本。</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存放于公司募集资金专项账户管理。</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55"/>
        <w:gridCol w:w="955"/>
        <w:gridCol w:w="960"/>
        <w:gridCol w:w="96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非募集资金投资的重大项目情况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持有其他上市公司股权情况</w:t>
      </w:r>
    </w:p>
    <w:tbl>
      <w:tblPr>
        <w:tblOverlap w:val="never"/>
        <w:jc w:val="center"/>
        <w:tblLayout w:type="fixed"/>
      </w:tblPr>
      <w:tblGrid>
        <w:gridCol w:w="806"/>
        <w:gridCol w:w="797"/>
        <w:gridCol w:w="821"/>
        <w:gridCol w:w="797"/>
        <w:gridCol w:w="797"/>
        <w:gridCol w:w="802"/>
        <w:gridCol w:w="792"/>
        <w:gridCol w:w="802"/>
        <w:gridCol w:w="792"/>
        <w:gridCol w:w="802"/>
        <w:gridCol w:w="797"/>
        <w:gridCol w:w="78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持有金融企业股权情况</w:t>
      </w:r>
    </w:p>
    <w:tbl>
      <w:tblPr>
        <w:tblOverlap w:val="never"/>
        <w:jc w:val="center"/>
        <w:tblLayout w:type="fixed"/>
      </w:tblPr>
      <w:tblGrid>
        <w:gridCol w:w="883"/>
        <w:gridCol w:w="878"/>
        <w:gridCol w:w="869"/>
        <w:gridCol w:w="874"/>
        <w:gridCol w:w="869"/>
        <w:gridCol w:w="869"/>
        <w:gridCol w:w="869"/>
        <w:gridCol w:w="869"/>
        <w:gridCol w:w="869"/>
        <w:gridCol w:w="869"/>
        <w:gridCol w:w="86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买卖其他上市公司股份的情况</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期末股份数量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产生的投资收益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报告期内卖出申购取得的新股产生的投资收益总额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买卖其他上市公司股份的情况的说明</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以公允价值计量的金融资产</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81"/>
        <w:gridCol w:w="1190"/>
        <w:gridCol w:w="955"/>
        <w:gridCol w:w="955"/>
        <w:gridCol w:w="955"/>
        <w:gridCol w:w="970"/>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14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w:t>
      </w:r>
      <w:bookmarkEnd w:id="91"/>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89"/>
      <w:bookmarkEnd w:id="90"/>
      <w:bookmarkEnd w:id="9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941"/>
        <w:gridCol w:w="946"/>
        <w:gridCol w:w="941"/>
        <w:gridCol w:w="941"/>
        <w:gridCol w:w="811"/>
        <w:gridCol w:w="108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总资产</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净资产</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营业收入</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营业利润</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25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江苏金仕 达卫宁软 件有限公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软件与信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计算机软 件的技术 开发、设计 和制作、技 术咨询和 技术服务 及计算机 配件的销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29,484,493.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5,562,078.1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30,545,754.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-3,746,74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101,914.63</w:t>
            </w:r>
          </w:p>
        </w:tc>
      </w:tr>
    </w:tbl>
    <w:p>
      <w:pPr>
        <w:spacing w:lineRule="exact" w:line="1"/>
        <w:rPr>
          <w:sz w:val="2"/>
          <w:szCs w:val="2"/>
        </w:rPr>
      </w:pPr>
      <w:r>
        <w:br w:type="page"/>
      </w:r>
    </w:p>
    <w:tbl>
      <w:tblPr>
        <w:tblOverlap w:val="never"/>
        <w:jc w:val="center"/>
        <w:tblLayout w:type="fixed"/>
      </w:tblPr>
      <w:tblGrid>
        <w:gridCol w:w="955"/>
        <w:gridCol w:w="1075"/>
        <w:gridCol w:w="946"/>
        <w:gridCol w:w="941"/>
        <w:gridCol w:w="941"/>
        <w:gridCol w:w="946"/>
        <w:gridCol w:w="941"/>
        <w:gridCol w:w="941"/>
        <w:gridCol w:w="811"/>
        <w:gridCol w:w="108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售；计算机 网络信息 系统集成 的维护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西安金仕 达卫宁软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软件与信 息技术服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 硬件的研 发、销售； 计算机及 辅助设备 的销售；计 算机网络 信息系统 集成、技术 开发、技术 咨询和技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4,585,083.0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4,585,083.0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-410,844.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-410,844.15</w:t>
            </w: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上海金仕 达卫宁软 件科技有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软件与信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硬件的研 发、销售； 计算机及 辅助设备 的销售；计 算机网络 信息系统 集成、技术 开发、技术 咨询和技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11,776,968.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7,349,791.5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-328,653.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380,220.80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报告期内，公司主要有三家全资子公司上海金仕达卫宁信息技术有限公司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卫宁信息</w:t>
      </w:r>
      <w:r>
        <w:rPr>
          <w:rFonts w:ascii="Times New Roman" w:eastAsia="Times New Roman" w:hAnsi="Times New Roman" w:cs="Times New Roman"/>
          <w:color w:val="000000"/>
          <w:spacing w:val="0"/>
          <w:w w:val="100"/>
          <w:position w:val="0"/>
        </w:rPr>
        <w:t>"）</w:t>
      </w:r>
      <w:r>
        <w:rPr>
          <w:color w:val="000000"/>
          <w:spacing w:val="0"/>
          <w:w w:val="100"/>
          <w:position w:val="0"/>
        </w:rPr>
        <w:t>、江苏金仕达卫宁软件有限公司 （</w:t>
      </w:r>
      <w:r>
        <w:rPr>
          <w:rFonts w:ascii="Times New Roman" w:eastAsia="Times New Roman" w:hAnsi="Times New Roman" w:cs="Times New Roman"/>
          <w:color w:val="000000"/>
          <w:spacing w:val="0"/>
          <w:w w:val="100"/>
          <w:position w:val="0"/>
        </w:rPr>
        <w:t>“</w:t>
      </w:r>
      <w:r>
        <w:rPr>
          <w:color w:val="000000"/>
          <w:spacing w:val="0"/>
          <w:w w:val="100"/>
          <w:position w:val="0"/>
        </w:rPr>
        <w:t>江苏卫宁</w:t>
      </w:r>
      <w:r>
        <w:rPr>
          <w:rFonts w:ascii="Times New Roman" w:eastAsia="Times New Roman" w:hAnsi="Times New Roman" w:cs="Times New Roman"/>
          <w:color w:val="000000"/>
          <w:spacing w:val="0"/>
          <w:w w:val="100"/>
          <w:position w:val="0"/>
        </w:rPr>
        <w:t>”</w:t>
      </w:r>
      <w:r>
        <w:rPr>
          <w:color w:val="000000"/>
          <w:spacing w:val="0"/>
          <w:w w:val="100"/>
          <w:position w:val="0"/>
        </w:rPr>
        <w:t>）和西安金仕达卫宁软件有限公司（</w:t>
      </w:r>
      <w:r>
        <w:rPr>
          <w:rFonts w:ascii="Times New Roman" w:eastAsia="Times New Roman" w:hAnsi="Times New Roman" w:cs="Times New Roman"/>
          <w:color w:val="000000"/>
          <w:spacing w:val="0"/>
          <w:w w:val="100"/>
          <w:position w:val="0"/>
        </w:rPr>
        <w:t>“</w:t>
      </w:r>
      <w:r>
        <w:rPr>
          <w:color w:val="000000"/>
          <w:spacing w:val="0"/>
          <w:w w:val="100"/>
          <w:position w:val="0"/>
        </w:rPr>
        <w:t>西安卫宁</w:t>
      </w:r>
      <w:r>
        <w:rPr>
          <w:rFonts w:ascii="Times New Roman" w:eastAsia="Times New Roman" w:hAnsi="Times New Roman" w:cs="Times New Roman"/>
          <w:color w:val="000000"/>
          <w:spacing w:val="0"/>
          <w:w w:val="100"/>
          <w:position w:val="0"/>
        </w:rPr>
        <w:t>”</w:t>
      </w:r>
      <w:r>
        <w:rPr>
          <w:color w:val="000000"/>
          <w:spacing w:val="0"/>
          <w:w w:val="100"/>
          <w:position w:val="0"/>
        </w:rPr>
        <w:t>），及一家控股子公司上海金仕达卫宁软件科技有限公司（</w:t>
      </w:r>
      <w:r>
        <w:rPr>
          <w:rFonts w:ascii="Times New Roman" w:eastAsia="Times New Roman" w:hAnsi="Times New Roman" w:cs="Times New Roman"/>
          <w:color w:val="000000"/>
          <w:spacing w:val="0"/>
          <w:w w:val="100"/>
          <w:position w:val="0"/>
        </w:rPr>
        <w:t>“</w:t>
      </w:r>
      <w:r>
        <w:rPr>
          <w:color w:val="000000"/>
          <w:spacing w:val="0"/>
          <w:w w:val="100"/>
          <w:position w:val="0"/>
        </w:rPr>
        <w:t>卫 宁科技</w:t>
      </w:r>
    </w:p>
    <w:p>
      <w:pPr>
        <w:pStyle w:val="Style23"/>
        <w:keepNext w:val="0"/>
        <w:keepLines w:val="0"/>
        <w:widowControl w:val="0"/>
        <w:shd w:val="clear" w:color="auto" w:fill="auto"/>
        <w:tabs>
          <w:tab w:pos="763" w:val="left"/>
        </w:tabs>
        <w:bidi w:val="0"/>
        <w:spacing w:before="0" w:after="0" w:line="317" w:lineRule="exact"/>
        <w:ind w:left="0" w:right="0" w:firstLine="36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卫宁信息</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卫宁信息成立于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日，注册资本及实收资本均为人民币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万元，法定代表人刘宁，企业法人营业执照注册 号为</w:t>
      </w:r>
      <w:r>
        <w:rPr>
          <w:rFonts w:ascii="Times New Roman" w:eastAsia="Times New Roman" w:hAnsi="Times New Roman" w:cs="Times New Roman"/>
          <w:color w:val="000000"/>
          <w:spacing w:val="0"/>
          <w:w w:val="100"/>
          <w:position w:val="0"/>
        </w:rPr>
        <w:t>310109000471145</w:t>
      </w:r>
      <w:r>
        <w:rPr>
          <w:color w:val="000000"/>
          <w:spacing w:val="0"/>
          <w:w w:val="100"/>
          <w:position w:val="0"/>
        </w:rPr>
        <w:t>，住所为上海市武进路</w:t>
      </w:r>
      <w:r>
        <w:rPr>
          <w:rFonts w:ascii="Times New Roman" w:eastAsia="Times New Roman" w:hAnsi="Times New Roman" w:cs="Times New Roman"/>
          <w:color w:val="000000"/>
          <w:spacing w:val="0"/>
          <w:w w:val="100"/>
          <w:position w:val="0"/>
        </w:rPr>
        <w:t>289</w:t>
      </w:r>
      <w:r>
        <w:rPr>
          <w:color w:val="000000"/>
          <w:spacing w:val="0"/>
          <w:w w:val="100"/>
          <w:position w:val="0"/>
        </w:rPr>
        <w:t>号</w:t>
      </w:r>
      <w:r>
        <w:rPr>
          <w:rFonts w:ascii="Times New Roman" w:eastAsia="Times New Roman" w:hAnsi="Times New Roman" w:cs="Times New Roman"/>
          <w:color w:val="000000"/>
          <w:spacing w:val="0"/>
          <w:w w:val="100"/>
          <w:position w:val="0"/>
        </w:rPr>
        <w:t>412</w:t>
      </w:r>
      <w:r>
        <w:rPr>
          <w:color w:val="000000"/>
          <w:spacing w:val="0"/>
          <w:w w:val="100"/>
          <w:position w:val="0"/>
        </w:rPr>
        <w:t>室，公司类型为一人有限责任公司（法人独资），经营范围为计算机 软硬件技术专业领域的</w:t>
      </w:r>
      <w:r>
        <w:rPr>
          <w:rFonts w:ascii="Times New Roman" w:eastAsia="Times New Roman" w:hAnsi="Times New Roman" w:cs="Times New Roman"/>
          <w:color w:val="000000"/>
          <w:spacing w:val="0"/>
          <w:w w:val="100"/>
          <w:position w:val="0"/>
        </w:rPr>
        <w:t>“</w:t>
      </w:r>
      <w:r>
        <w:rPr>
          <w:color w:val="000000"/>
          <w:spacing w:val="0"/>
          <w:w w:val="100"/>
          <w:position w:val="0"/>
        </w:rPr>
        <w:t>四技</w:t>
      </w:r>
      <w:r>
        <w:rPr>
          <w:rFonts w:ascii="Times New Roman" w:eastAsia="Times New Roman" w:hAnsi="Times New Roman" w:cs="Times New Roman"/>
          <w:color w:val="000000"/>
          <w:spacing w:val="0"/>
          <w:w w:val="100"/>
          <w:position w:val="0"/>
        </w:rPr>
        <w:t>”</w:t>
      </w:r>
      <w:r>
        <w:rPr>
          <w:color w:val="000000"/>
          <w:spacing w:val="0"/>
          <w:w w:val="100"/>
          <w:position w:val="0"/>
        </w:rPr>
        <w:t>服务，销售计算机及配件。</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公司为提高管理效率、优化资源配置，于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日第二届董事会第八次会议审议通过了《关于全资子公司上海金 仕达卫信息技术有限公司解散并注销的议案》，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日收到上海市工商行政管理虹口分局发出的《准予核准注销登 记通知书》。截至本报告期末，卫宁信息工商注销手续已经办理完毕，不再纳入合并报表范围。</w:t>
      </w:r>
    </w:p>
    <w:p>
      <w:pPr>
        <w:pStyle w:val="Style23"/>
        <w:keepNext w:val="0"/>
        <w:keepLines w:val="0"/>
        <w:widowControl w:val="0"/>
        <w:shd w:val="clear" w:color="auto" w:fill="auto"/>
        <w:tabs>
          <w:tab w:pos="763" w:val="left"/>
        </w:tabs>
        <w:bidi w:val="0"/>
        <w:spacing w:before="0" w:after="0" w:line="317" w:lineRule="exact"/>
        <w:ind w:left="0" w:right="0" w:firstLine="36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江苏卫宁</w:t>
      </w:r>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江苏卫宁成立于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日，注册资本及实收资本均为人民币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万元，法定代表人孙凯，企业法人营业执照注册 号为</w:t>
      </w:r>
      <w:r>
        <w:rPr>
          <w:rFonts w:ascii="Times New Roman" w:eastAsia="Times New Roman" w:hAnsi="Times New Roman" w:cs="Times New Roman"/>
          <w:color w:val="000000"/>
          <w:spacing w:val="0"/>
          <w:w w:val="100"/>
          <w:position w:val="0"/>
        </w:rPr>
        <w:t>320407000140589</w:t>
      </w:r>
      <w:r>
        <w:rPr>
          <w:color w:val="000000"/>
          <w:spacing w:val="0"/>
          <w:w w:val="100"/>
          <w:position w:val="0"/>
        </w:rPr>
        <w:t>，住所为常州市新北区太湖东路</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24</w:t>
      </w:r>
      <w:r>
        <w:rPr>
          <w:color w:val="000000"/>
          <w:spacing w:val="0"/>
          <w:w w:val="100"/>
          <w:position w:val="0"/>
        </w:rPr>
        <w:t>楼，公司类型为有限公司（法人独资），经营范围为计算机 软件的技术开发、设计和制作、技术咨询和技术服务及计算机配件的销售；计算机网络信息系统集成的维护。</w:t>
      </w:r>
    </w:p>
    <w:p>
      <w:pPr>
        <w:pStyle w:val="Style23"/>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日，江苏卫宁总资产</w:t>
      </w:r>
      <w:r>
        <w:rPr>
          <w:rFonts w:ascii="Times New Roman" w:eastAsia="Times New Roman" w:hAnsi="Times New Roman" w:cs="Times New Roman"/>
          <w:color w:val="000000"/>
          <w:spacing w:val="0"/>
          <w:w w:val="100"/>
          <w:position w:val="0"/>
        </w:rPr>
        <w:t>29,484,493.68</w:t>
      </w:r>
      <w:r>
        <w:rPr>
          <w:color w:val="000000"/>
          <w:spacing w:val="0"/>
          <w:w w:val="100"/>
          <w:position w:val="0"/>
        </w:rPr>
        <w:t>元，净资产</w:t>
      </w:r>
      <w:r>
        <w:rPr>
          <w:rFonts w:ascii="Times New Roman" w:eastAsia="Times New Roman" w:hAnsi="Times New Roman" w:cs="Times New Roman"/>
          <w:color w:val="000000"/>
          <w:spacing w:val="0"/>
          <w:w w:val="100"/>
          <w:position w:val="0"/>
        </w:rPr>
        <w:t>5,562,078.14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年实现净利润</w:t>
      </w:r>
      <w:r>
        <w:rPr>
          <w:rFonts w:ascii="Times New Roman" w:eastAsia="Times New Roman" w:hAnsi="Times New Roman" w:cs="Times New Roman"/>
          <w:color w:val="000000"/>
          <w:spacing w:val="0"/>
          <w:w w:val="100"/>
          <w:position w:val="0"/>
        </w:rPr>
        <w:t>101,914.63</w:t>
      </w:r>
      <w:r>
        <w:rPr>
          <w:color w:val="000000"/>
          <w:spacing w:val="0"/>
          <w:w w:val="100"/>
          <w:position w:val="0"/>
        </w:rPr>
        <w:t>元。报告 期内，江苏卫宁的净利润对公司合并报表的影响较小。</w:t>
      </w:r>
    </w:p>
    <w:p>
      <w:pPr>
        <w:pStyle w:val="Style23"/>
        <w:keepNext w:val="0"/>
        <w:keepLines w:val="0"/>
        <w:widowControl w:val="0"/>
        <w:shd w:val="clear" w:color="auto" w:fill="auto"/>
        <w:tabs>
          <w:tab w:pos="771" w:val="left"/>
        </w:tabs>
        <w:bidi w:val="0"/>
        <w:spacing w:before="0" w:after="0" w:line="318" w:lineRule="exact"/>
        <w:ind w:left="0" w:right="0" w:firstLine="360"/>
        <w:jc w:val="left"/>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w:t>
        <w:tab/>
        <w:t>西安卫宁</w:t>
      </w:r>
    </w:p>
    <w:p>
      <w:pPr>
        <w:pStyle w:val="Style23"/>
        <w:keepNext w:val="0"/>
        <w:keepLines w:val="0"/>
        <w:widowControl w:val="0"/>
        <w:shd w:val="clear" w:color="auto" w:fill="auto"/>
        <w:bidi w:val="0"/>
        <w:spacing w:before="0" w:after="0" w:line="318" w:lineRule="exact"/>
        <w:ind w:left="0" w:right="0" w:firstLine="360"/>
        <w:jc w:val="left"/>
      </w:pPr>
      <w:r>
        <w:rPr>
          <w:color w:val="000000"/>
          <w:spacing w:val="0"/>
          <w:w w:val="100"/>
          <w:position w:val="0"/>
        </w:rPr>
        <w:t>西安卫宁成立于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日，注册资本及实收资本均为人民币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万元，法定代表人孙凯，企业法人营业执照注册号 为</w:t>
      </w:r>
      <w:r>
        <w:rPr>
          <w:rFonts w:ascii="Times New Roman" w:eastAsia="Times New Roman" w:hAnsi="Times New Roman" w:cs="Times New Roman"/>
          <w:color w:val="000000"/>
          <w:spacing w:val="0"/>
          <w:w w:val="100"/>
          <w:position w:val="0"/>
        </w:rPr>
        <w:t>610100100562287</w:t>
      </w:r>
      <w:r>
        <w:rPr>
          <w:color w:val="000000"/>
          <w:spacing w:val="0"/>
          <w:w w:val="100"/>
          <w:position w:val="0"/>
        </w:rPr>
        <w:t>,住所为西安市莲湖区高新三路东财富中心</w:t>
      </w:r>
      <w:r>
        <w:rPr>
          <w:rFonts w:ascii="Times New Roman" w:eastAsia="Times New Roman" w:hAnsi="Times New Roman" w:cs="Times New Roman"/>
          <w:color w:val="000000"/>
          <w:spacing w:val="0"/>
          <w:w w:val="100"/>
          <w:position w:val="0"/>
        </w:rPr>
        <w:t>2</w:t>
      </w:r>
      <w:r>
        <w:rPr>
          <w:color w:val="000000"/>
          <w:spacing w:val="0"/>
          <w:w w:val="100"/>
          <w:position w:val="0"/>
        </w:rPr>
        <w:t>期</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40704</w:t>
      </w:r>
      <w:r>
        <w:rPr>
          <w:color w:val="000000"/>
          <w:spacing w:val="0"/>
          <w:w w:val="100"/>
          <w:position w:val="0"/>
        </w:rPr>
        <w:t>、</w:t>
      </w:r>
      <w:r>
        <w:rPr>
          <w:rFonts w:ascii="Times New Roman" w:eastAsia="Times New Roman" w:hAnsi="Times New Roman" w:cs="Times New Roman"/>
          <w:color w:val="000000"/>
          <w:spacing w:val="0"/>
          <w:w w:val="100"/>
          <w:position w:val="0"/>
        </w:rPr>
        <w:t>40705</w:t>
      </w:r>
      <w:r>
        <w:rPr>
          <w:color w:val="000000"/>
          <w:spacing w:val="0"/>
          <w:w w:val="100"/>
          <w:position w:val="0"/>
        </w:rPr>
        <w:t>室，公司类型为有限责任公司（法人独 资），经营范围为计算机软硬件的研发、销售；计算机及辅助设备的销售；计算机网络信息系统集成、技术开发、技术转让、 技术咨询和技术服务。</w:t>
      </w:r>
    </w:p>
    <w:p>
      <w:pPr>
        <w:pStyle w:val="Style23"/>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日，西安卫宁总资产</w:t>
      </w:r>
      <w:r>
        <w:rPr>
          <w:rFonts w:ascii="Times New Roman" w:eastAsia="Times New Roman" w:hAnsi="Times New Roman" w:cs="Times New Roman"/>
          <w:color w:val="000000"/>
          <w:spacing w:val="0"/>
          <w:w w:val="100"/>
          <w:position w:val="0"/>
        </w:rPr>
        <w:t>4,585,083.03</w:t>
      </w:r>
      <w:r>
        <w:rPr>
          <w:color w:val="000000"/>
          <w:spacing w:val="0"/>
          <w:w w:val="100"/>
          <w:position w:val="0"/>
        </w:rPr>
        <w:t>元，净资产</w:t>
      </w:r>
      <w:r>
        <w:rPr>
          <w:rFonts w:ascii="Times New Roman" w:eastAsia="Times New Roman" w:hAnsi="Times New Roman" w:cs="Times New Roman"/>
          <w:color w:val="000000"/>
          <w:spacing w:val="0"/>
          <w:w w:val="100"/>
          <w:position w:val="0"/>
        </w:rPr>
        <w:t>4,585,083.03</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年实现净利润</w:t>
      </w:r>
      <w:r>
        <w:rPr>
          <w:rFonts w:ascii="Times New Roman" w:eastAsia="Times New Roman" w:hAnsi="Times New Roman" w:cs="Times New Roman"/>
          <w:color w:val="000000"/>
          <w:spacing w:val="0"/>
          <w:w w:val="100"/>
          <w:position w:val="0"/>
        </w:rPr>
        <w:t>-410,844.15</w:t>
      </w:r>
      <w:r>
        <w:rPr>
          <w:color w:val="000000"/>
          <w:spacing w:val="0"/>
          <w:w w:val="100"/>
          <w:position w:val="0"/>
        </w:rPr>
        <w:t>元。报告 期内，西安卫宁的净利润对公司合并报表的影响较小。</w:t>
      </w:r>
    </w:p>
    <w:p>
      <w:pPr>
        <w:pStyle w:val="Style23"/>
        <w:keepNext w:val="0"/>
        <w:keepLines w:val="0"/>
        <w:widowControl w:val="0"/>
        <w:shd w:val="clear" w:color="auto" w:fill="auto"/>
        <w:tabs>
          <w:tab w:pos="776" w:val="left"/>
        </w:tabs>
        <w:bidi w:val="0"/>
        <w:spacing w:before="0" w:after="0" w:line="318" w:lineRule="exact"/>
        <w:ind w:left="0" w:right="0" w:firstLine="36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4</w:t>
      </w:r>
      <w:r>
        <w:rPr>
          <w:color w:val="000000"/>
          <w:spacing w:val="0"/>
          <w:w w:val="100"/>
          <w:position w:val="0"/>
        </w:rPr>
        <w:t>）</w:t>
        <w:tab/>
        <w:t>卫宁科技</w:t>
      </w:r>
    </w:p>
    <w:p>
      <w:pPr>
        <w:pStyle w:val="Style23"/>
        <w:keepNext w:val="0"/>
        <w:keepLines w:val="0"/>
        <w:widowControl w:val="0"/>
        <w:shd w:val="clear" w:color="auto" w:fill="auto"/>
        <w:bidi w:val="0"/>
        <w:spacing w:before="0" w:after="0" w:line="318" w:lineRule="exact"/>
        <w:ind w:left="0" w:right="0" w:firstLine="360"/>
        <w:jc w:val="left"/>
      </w:pPr>
      <w:r>
        <w:rPr>
          <w:color w:val="000000"/>
          <w:spacing w:val="0"/>
          <w:w w:val="100"/>
          <w:position w:val="0"/>
        </w:rPr>
        <w:t>卫宁科技成立于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日，注册资本及实收资本均为人民币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万元，其中公司占</w:t>
      </w:r>
      <w:r>
        <w:rPr>
          <w:rFonts w:ascii="Times New Roman" w:eastAsia="Times New Roman" w:hAnsi="Times New Roman" w:cs="Times New Roman"/>
          <w:color w:val="000000"/>
          <w:spacing w:val="0"/>
          <w:w w:val="100"/>
          <w:position w:val="0"/>
        </w:rPr>
        <w:t>65%</w:t>
      </w:r>
      <w:r>
        <w:rPr>
          <w:color w:val="000000"/>
          <w:spacing w:val="0"/>
          <w:w w:val="100"/>
          <w:position w:val="0"/>
        </w:rPr>
        <w:t>股权、赵蒙海等占</w:t>
      </w:r>
      <w:r>
        <w:rPr>
          <w:rFonts w:ascii="Times New Roman" w:eastAsia="Times New Roman" w:hAnsi="Times New Roman" w:cs="Times New Roman"/>
          <w:color w:val="000000"/>
          <w:spacing w:val="0"/>
          <w:w w:val="100"/>
          <w:position w:val="0"/>
        </w:rPr>
        <w:t>35%</w:t>
      </w:r>
      <w:r>
        <w:rPr>
          <w:color w:val="000000"/>
          <w:spacing w:val="0"/>
          <w:w w:val="100"/>
          <w:position w:val="0"/>
        </w:rPr>
        <w:t>股权, 法定代表人周炜，企业法人营业执照注册号为</w:t>
      </w:r>
      <w:r>
        <w:rPr>
          <w:rFonts w:ascii="Times New Roman" w:eastAsia="Times New Roman" w:hAnsi="Times New Roman" w:cs="Times New Roman"/>
          <w:color w:val="000000"/>
          <w:spacing w:val="0"/>
          <w:w w:val="100"/>
          <w:position w:val="0"/>
        </w:rPr>
        <w:t>310115001952887</w:t>
      </w:r>
      <w:r>
        <w:rPr>
          <w:color w:val="000000"/>
          <w:spacing w:val="0"/>
          <w:w w:val="100"/>
          <w:position w:val="0"/>
        </w:rPr>
        <w:t>,住所为上海市浦东新区环林东路</w:t>
      </w:r>
      <w:r>
        <w:rPr>
          <w:rFonts w:ascii="Times New Roman" w:eastAsia="Times New Roman" w:hAnsi="Times New Roman" w:cs="Times New Roman"/>
          <w:color w:val="000000"/>
          <w:spacing w:val="0"/>
          <w:w w:val="100"/>
          <w:position w:val="0"/>
        </w:rPr>
        <w:t>799</w:t>
      </w:r>
      <w:r>
        <w:rPr>
          <w:color w:val="000000"/>
          <w:spacing w:val="0"/>
          <w:w w:val="100"/>
          <w:position w:val="0"/>
        </w:rPr>
        <w:t>弄</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层</w:t>
      </w:r>
      <w:r>
        <w:rPr>
          <w:rFonts w:ascii="Times New Roman" w:eastAsia="Times New Roman" w:hAnsi="Times New Roman" w:cs="Times New Roman"/>
          <w:color w:val="000000"/>
          <w:spacing w:val="0"/>
          <w:w w:val="100"/>
          <w:position w:val="0"/>
        </w:rPr>
        <w:t>B168</w:t>
      </w:r>
      <w:r>
        <w:rPr>
          <w:color w:val="000000"/>
          <w:spacing w:val="0"/>
          <w:w w:val="100"/>
          <w:position w:val="0"/>
        </w:rPr>
        <w:t>室，公 司类型为有限责任公司（国内合资），经营范围为计算机软硬件的开发、设计和制作，销售自产产品（除计算机信息系统安 全专用产品），计算机及辅助设备的销售，计算机网络信息系统集成及维护，并提供相关的技术开发、技术转让、技术咨询 和技术服务。</w:t>
      </w:r>
    </w:p>
    <w:p>
      <w:pPr>
        <w:pStyle w:val="Style23"/>
        <w:keepNext w:val="0"/>
        <w:keepLines w:val="0"/>
        <w:widowControl w:val="0"/>
        <w:shd w:val="clear" w:color="auto" w:fill="auto"/>
        <w:bidi w:val="0"/>
        <w:spacing w:before="0" w:after="120" w:line="318"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日，卫宁科技总资产</w:t>
      </w:r>
      <w:r>
        <w:rPr>
          <w:rFonts w:ascii="Times New Roman" w:eastAsia="Times New Roman" w:hAnsi="Times New Roman" w:cs="Times New Roman"/>
          <w:color w:val="000000"/>
          <w:spacing w:val="0"/>
          <w:w w:val="100"/>
          <w:position w:val="0"/>
        </w:rPr>
        <w:t>14,055,948.93</w:t>
      </w:r>
      <w:r>
        <w:rPr>
          <w:color w:val="000000"/>
          <w:spacing w:val="0"/>
          <w:w w:val="100"/>
          <w:position w:val="0"/>
        </w:rPr>
        <w:t>元，净资产</w:t>
      </w:r>
      <w:r>
        <w:rPr>
          <w:rFonts w:ascii="Times New Roman" w:eastAsia="Times New Roman" w:hAnsi="Times New Roman" w:cs="Times New Roman"/>
          <w:color w:val="000000"/>
          <w:spacing w:val="0"/>
          <w:w w:val="100"/>
          <w:position w:val="0"/>
        </w:rPr>
        <w:t>11,776,968.21</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年实现净利润</w:t>
      </w:r>
      <w:r>
        <w:rPr>
          <w:rFonts w:ascii="Times New Roman" w:eastAsia="Times New Roman" w:hAnsi="Times New Roman" w:cs="Times New Roman"/>
          <w:color w:val="000000"/>
          <w:spacing w:val="0"/>
          <w:w w:val="100"/>
          <w:position w:val="0"/>
        </w:rPr>
        <w:t>380,220.8</w:t>
      </w:r>
      <w:r>
        <w:rPr>
          <w:rFonts w:ascii="Times New Roman" w:eastAsia="Times New Roman" w:hAnsi="Times New Roman" w:cs="Times New Roman"/>
          <w:color w:val="000000"/>
          <w:spacing w:val="0"/>
          <w:w w:val="100"/>
          <w:position w:val="0"/>
        </w:rPr>
        <w:t>0</w:t>
      </w:r>
      <w:r>
        <w:rPr>
          <w:color w:val="000000"/>
          <w:spacing w:val="0"/>
          <w:w w:val="100"/>
          <w:position w:val="0"/>
        </w:rPr>
        <w:t>元。报告 期内，卫宁科技的净利润对公司合并报表的影响较小。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上海金仕达卫宁信息技术有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优化资源配置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r>
    </w:tbl>
    <w:p>
      <w:pPr>
        <w:widowControl w:val="0"/>
        <w:spacing w:after="299" w:line="1" w:lineRule="exact"/>
      </w:pPr>
    </w:p>
    <w:p>
      <w:pPr>
        <w:pStyle w:val="Style34"/>
        <w:keepNext/>
        <w:keepLines/>
        <w:widowControl w:val="0"/>
        <w:shd w:val="clear" w:color="auto" w:fill="auto"/>
        <w:bidi w:val="0"/>
        <w:spacing w:before="0" w:after="2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00"/>
      <w:bookmarkEnd w:id="97"/>
      <w:bookmarkEnd w:id="98"/>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、公司未来发展的展望</w:t>
      </w:r>
      <w:bookmarkEnd w:id="101"/>
      <w:bookmarkEnd w:id="102"/>
      <w:bookmarkEnd w:id="104"/>
    </w:p>
    <w:p>
      <w:pPr>
        <w:pStyle w:val="Style23"/>
        <w:keepNext w:val="0"/>
        <w:keepLines w:val="0"/>
        <w:widowControl w:val="0"/>
        <w:shd w:val="clear" w:color="auto" w:fill="auto"/>
        <w:bidi w:val="0"/>
        <w:spacing w:before="0" w:after="120" w:line="315" w:lineRule="exact"/>
        <w:ind w:left="0" w:right="0" w:firstLine="360"/>
        <w:jc w:val="both"/>
      </w:pPr>
      <w:bookmarkStart w:id="105" w:name="bookmark105"/>
      <w:r>
        <w:rPr>
          <w:b/>
          <w:bCs/>
          <w:color w:val="000000"/>
          <w:spacing w:val="0"/>
          <w:w w:val="100"/>
          <w:position w:val="0"/>
        </w:rPr>
        <w:t>（</w:t>
      </w:r>
      <w:bookmarkEnd w:id="105"/>
      <w:r>
        <w:rPr>
          <w:b/>
          <w:bCs/>
          <w:color w:val="000000"/>
          <w:spacing w:val="0"/>
          <w:w w:val="100"/>
          <w:position w:val="0"/>
        </w:rPr>
        <w:t>一）行业格局和趋势</w:t>
      </w:r>
    </w:p>
    <w:p>
      <w:pPr>
        <w:pStyle w:val="Style23"/>
        <w:keepNext w:val="0"/>
        <w:keepLines w:val="0"/>
        <w:widowControl w:val="0"/>
        <w:shd w:val="clear" w:color="auto" w:fill="auto"/>
        <w:bidi w:val="0"/>
        <w:spacing w:before="0" w:after="120" w:line="315" w:lineRule="exact"/>
        <w:ind w:left="0" w:right="0" w:firstLine="360"/>
        <w:jc w:val="both"/>
      </w:pPr>
      <w:bookmarkStart w:id="106" w:name="bookmark106"/>
      <w:r>
        <w:rPr>
          <w:rFonts w:ascii="Times New Roman" w:eastAsia="Times New Roman" w:hAnsi="Times New Roman" w:cs="Times New Roman"/>
          <w:b/>
          <w:bCs/>
          <w:color w:val="000000"/>
          <w:spacing w:val="0"/>
          <w:w w:val="100"/>
          <w:position w:val="0"/>
        </w:rPr>
        <w:t>1</w:t>
      </w:r>
      <w:bookmarkEnd w:id="106"/>
      <w:r>
        <w:rPr>
          <w:b/>
          <w:bCs/>
          <w:color w:val="000000"/>
          <w:spacing w:val="0"/>
          <w:w w:val="100"/>
          <w:position w:val="0"/>
        </w:rPr>
        <w:t>、国家信息化战略和相关政策，进一步刺激我国医疗卫生健康信息化市场的发展</w:t>
      </w:r>
    </w:p>
    <w:p>
      <w:pPr>
        <w:pStyle w:val="Style23"/>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中共中央、国务院于</w:t>
      </w:r>
      <w:r>
        <w:rPr>
          <w:rFonts w:ascii="Times New Roman" w:eastAsia="Times New Roman" w:hAnsi="Times New Roman" w:cs="Times New Roman"/>
          <w:color w:val="000000"/>
          <w:spacing w:val="0"/>
          <w:w w:val="100"/>
          <w:position w:val="0"/>
        </w:rPr>
        <w:t>2009</w:t>
      </w:r>
      <w:r>
        <w:rPr>
          <w:color w:val="000000"/>
          <w:spacing w:val="0"/>
          <w:w w:val="100"/>
          <w:position w:val="0"/>
        </w:rPr>
        <w:t>年正式发布了《关于深化医药卫生体制改革的意见》（</w:t>
      </w:r>
      <w:r>
        <w:rPr>
          <w:rFonts w:ascii="Times New Roman" w:eastAsia="Times New Roman" w:hAnsi="Times New Roman" w:cs="Times New Roman"/>
          <w:color w:val="000000"/>
          <w:spacing w:val="0"/>
          <w:w w:val="100"/>
          <w:position w:val="0"/>
        </w:rPr>
        <w:t>2009-2020</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新医改</w:t>
      </w:r>
      <w:r>
        <w:rPr>
          <w:rFonts w:ascii="Times New Roman" w:eastAsia="Times New Roman" w:hAnsi="Times New Roman" w:cs="Times New Roman"/>
          <w:color w:val="000000"/>
          <w:spacing w:val="0"/>
          <w:w w:val="100"/>
          <w:position w:val="0"/>
        </w:rPr>
        <w:t>”</w:t>
      </w:r>
      <w:r>
        <w:rPr>
          <w:color w:val="000000"/>
          <w:spacing w:val="0"/>
          <w:w w:val="100"/>
          <w:position w:val="0"/>
        </w:rPr>
        <w:t>），在此 基础上国务院陆续发布了《关于公立医院改革试点的指导意见》</w:t>
      </w:r>
      <w:r>
        <w:rPr>
          <w:color w:val="000000"/>
          <w:spacing w:val="0"/>
          <w:w w:val="100"/>
          <w:position w:val="0"/>
        </w:rPr>
        <w:t>（</w:t>
      </w:r>
      <w:r>
        <w:rPr>
          <w:rFonts w:ascii="Times New Roman" w:eastAsia="Times New Roman" w:hAnsi="Times New Roman" w:cs="Times New Roman"/>
          <w:color w:val="000000"/>
          <w:spacing w:val="0"/>
          <w:w w:val="100"/>
          <w:position w:val="0"/>
        </w:rPr>
        <w:t xml:space="preserve">2010-2011 </w:t>
      </w:r>
      <w:r>
        <w:rPr>
          <w:color w:val="000000"/>
          <w:spacing w:val="0"/>
          <w:w w:val="100"/>
          <w:position w:val="0"/>
        </w:rPr>
        <w:t>）、《医药卫生体制五项重点改革</w:t>
      </w:r>
      <w:r>
        <w:rPr>
          <w:rFonts w:ascii="Times New Roman" w:eastAsia="Times New Roman" w:hAnsi="Times New Roman" w:cs="Times New Roman"/>
          <w:color w:val="000000"/>
          <w:spacing w:val="0"/>
          <w:w w:val="100"/>
          <w:position w:val="0"/>
        </w:rPr>
        <w:t>2010</w:t>
      </w:r>
      <w:r>
        <w:rPr>
          <w:color w:val="000000"/>
          <w:spacing w:val="0"/>
          <w:w w:val="100"/>
          <w:position w:val="0"/>
        </w:rPr>
        <w:t>年度主 要工作安排》等。在新医改中，明确提出了建立基本医疗卫生制度的</w:t>
      </w:r>
      <w:r>
        <w:rPr>
          <w:rFonts w:ascii="Times New Roman" w:eastAsia="Times New Roman" w:hAnsi="Times New Roman" w:cs="Times New Roman"/>
          <w:color w:val="000000"/>
          <w:spacing w:val="0"/>
          <w:w w:val="100"/>
          <w:position w:val="0"/>
        </w:rPr>
        <w:t>“</w:t>
      </w:r>
      <w:r>
        <w:rPr>
          <w:color w:val="000000"/>
          <w:spacing w:val="0"/>
          <w:w w:val="100"/>
          <w:position w:val="0"/>
        </w:rPr>
        <w:t>四梁八柱</w:t>
      </w:r>
      <w:r>
        <w:rPr>
          <w:rFonts w:ascii="Times New Roman" w:eastAsia="Times New Roman" w:hAnsi="Times New Roman" w:cs="Times New Roman"/>
          <w:color w:val="000000"/>
          <w:spacing w:val="0"/>
          <w:w w:val="100"/>
          <w:position w:val="0"/>
        </w:rPr>
        <w:t>”</w:t>
      </w:r>
      <w:r>
        <w:rPr>
          <w:color w:val="000000"/>
          <w:spacing w:val="0"/>
          <w:w w:val="100"/>
          <w:position w:val="0"/>
        </w:rPr>
        <w:t>构架，信息系统建设第一次成为医药卫生体 制改革的一个重要环节和唯一的技术支撑。</w:t>
      </w:r>
    </w:p>
    <w:p>
      <w:pPr>
        <w:pStyle w:val="Style23"/>
        <w:keepNext w:val="0"/>
        <w:keepLines w:val="0"/>
        <w:widowControl w:val="0"/>
        <w:shd w:val="clear" w:color="auto" w:fill="auto"/>
        <w:bidi w:val="0"/>
        <w:spacing w:before="0" w:after="120" w:line="315"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月，卫生部发布《</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2020”</w:t>
      </w:r>
      <w:r>
        <w:rPr>
          <w:color w:val="000000"/>
          <w:spacing w:val="0"/>
          <w:w w:val="100"/>
          <w:position w:val="0"/>
        </w:rPr>
        <w:t>战略研究报告》，提出要加大健康投入，到</w:t>
      </w:r>
      <w:r>
        <w:rPr>
          <w:rFonts w:ascii="Times New Roman" w:eastAsia="Times New Roman" w:hAnsi="Times New Roman" w:cs="Times New Roman"/>
          <w:color w:val="000000"/>
          <w:spacing w:val="0"/>
          <w:w w:val="100"/>
          <w:position w:val="0"/>
        </w:rPr>
        <w:t>2020</w:t>
      </w:r>
      <w:r>
        <w:rPr>
          <w:color w:val="000000"/>
          <w:spacing w:val="0"/>
          <w:w w:val="100"/>
          <w:position w:val="0"/>
        </w:rPr>
        <w:t>年，卫生总费用占</w:t>
      </w:r>
      <w:r>
        <w:rPr>
          <w:rFonts w:ascii="Times New Roman" w:eastAsia="Times New Roman" w:hAnsi="Times New Roman" w:cs="Times New Roman"/>
          <w:color w:val="000000"/>
          <w:spacing w:val="0"/>
          <w:w w:val="100"/>
          <w:position w:val="0"/>
        </w:rPr>
        <w:t>GDP</w:t>
      </w:r>
      <w:r>
        <w:rPr>
          <w:color w:val="000000"/>
          <w:spacing w:val="0"/>
          <w:w w:val="100"/>
          <w:position w:val="0"/>
        </w:rPr>
        <w:t>的比 重达到</w:t>
      </w:r>
      <w:r>
        <w:rPr>
          <w:rFonts w:ascii="Times New Roman" w:eastAsia="Times New Roman" w:hAnsi="Times New Roman" w:cs="Times New Roman"/>
          <w:color w:val="000000"/>
          <w:spacing w:val="0"/>
          <w:w w:val="100"/>
          <w:position w:val="0"/>
        </w:rPr>
        <w:t>6.5%-7%</w:t>
      </w:r>
      <w:r>
        <w:rPr>
          <w:color w:val="000000"/>
          <w:spacing w:val="0"/>
          <w:w w:val="100"/>
          <w:position w:val="0"/>
        </w:rPr>
        <w:t>，将较目前上升两个百分点，相应财政投入也将大幅增加，以保障</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2020”</w:t>
      </w:r>
      <w:r>
        <w:rPr>
          <w:color w:val="000000"/>
          <w:spacing w:val="0"/>
          <w:w w:val="100"/>
          <w:position w:val="0"/>
        </w:rPr>
        <w:t>战略目标实现。其中明确 指出未来将推出七大医疗体系重大专项，确定中国医疗卫生体系发展优先领域，资金总规模将达</w:t>
      </w:r>
      <w:r>
        <w:rPr>
          <w:rFonts w:ascii="Times New Roman" w:eastAsia="Times New Roman" w:hAnsi="Times New Roman" w:cs="Times New Roman"/>
          <w:color w:val="000000"/>
          <w:spacing w:val="0"/>
          <w:w w:val="100"/>
          <w:position w:val="0"/>
        </w:rPr>
        <w:t>4000</w:t>
      </w:r>
      <w:r>
        <w:rPr>
          <w:color w:val="000000"/>
          <w:spacing w:val="0"/>
          <w:w w:val="100"/>
          <w:position w:val="0"/>
        </w:rPr>
        <w:t>亿左右。针对医疗信息 化，卫生部将推出</w:t>
      </w:r>
      <w:r>
        <w:rPr>
          <w:rFonts w:ascii="Times New Roman" w:eastAsia="Times New Roman" w:hAnsi="Times New Roman" w:cs="Times New Roman"/>
          <w:color w:val="000000"/>
          <w:spacing w:val="0"/>
          <w:w w:val="100"/>
          <w:position w:val="0"/>
        </w:rPr>
        <w:t>611</w:t>
      </w:r>
      <w:r>
        <w:rPr>
          <w:color w:val="000000"/>
          <w:spacing w:val="0"/>
          <w:w w:val="100"/>
          <w:position w:val="0"/>
        </w:rPr>
        <w:t>亿元预算的全民电子健康系统工程，包括大型综合医院信息化系统的标准化建设、建立全民电子健康 档案和区域性医疗信息化平台三项工作，其中</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期间，国家将选择部分省份投入经费先行试点，开展信息化统一标准、 组织编写健康档案标准等工作，随后逐步向全国推行。</w:t>
      </w:r>
    </w:p>
    <w:p>
      <w:pPr>
        <w:pStyle w:val="Style23"/>
        <w:keepNext w:val="0"/>
        <w:keepLines w:val="0"/>
        <w:widowControl w:val="0"/>
        <w:shd w:val="clear" w:color="auto" w:fill="auto"/>
        <w:bidi w:val="0"/>
        <w:spacing w:before="0" w:after="100" w:line="315"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日，国务院《关于促进健康服务业发展的若干意见》国发〔（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号指出，到</w:t>
      </w:r>
      <w:r>
        <w:rPr>
          <w:rFonts w:ascii="Times New Roman" w:eastAsia="Times New Roman" w:hAnsi="Times New Roman" w:cs="Times New Roman"/>
          <w:color w:val="000000"/>
          <w:spacing w:val="0"/>
          <w:w w:val="100"/>
          <w:position w:val="0"/>
        </w:rPr>
        <w:t>2020</w:t>
      </w:r>
      <w:r>
        <w:rPr>
          <w:color w:val="000000"/>
          <w:spacing w:val="0"/>
          <w:w w:val="100"/>
          <w:position w:val="0"/>
        </w:rPr>
        <w:t>年，基本建立覆盖 全生命周期、内涵丰富、结构合理的健康服务业体系，打造一批知名品牌和良性循环的健康服务产业集群，并形成一定的国 际竞争力，基本满足广大人民群众的健康服务需求。健康服务业总规模达到</w:t>
      </w:r>
      <w:r>
        <w:rPr>
          <w:rFonts w:ascii="Times New Roman" w:eastAsia="Times New Roman" w:hAnsi="Times New Roman" w:cs="Times New Roman"/>
          <w:color w:val="000000"/>
          <w:spacing w:val="0"/>
          <w:w w:val="100"/>
          <w:position w:val="0"/>
        </w:rPr>
        <w:t>8</w:t>
      </w:r>
      <w:r>
        <w:rPr>
          <w:color w:val="000000"/>
          <w:spacing w:val="0"/>
          <w:w w:val="100"/>
          <w:position w:val="0"/>
        </w:rPr>
        <w:t>万亿元以上，成为推动经济社会持续发展的重 要力量。</w:t>
      </w:r>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推进健康服务信息化，制定相关信息数据标准，加强医院、医疗保障等信息管理系统建设，充分利用现有信息和网络设 施，尽快实现医疗保障、医疗服务、健康管理等信息的共享。积极发展网上预约挂号、在线咨询、交流互动等健康服务。以 面向基层、偏远和欠发达地区的远程影像诊断、远程会诊、远程监护指导、远程手术指导、远程教育等为主要内容，发展远 程医疗。探索发展公开透明、规范运作、平等竞争的药品和医疗器械电子商务平台。支持研制、推广适应广大乡镇和农村地 区需求的低成本数字化健康设备与信息系统。逐步扩大数字化医疗设备配备，探索发展便携式健康数据采集设备，与物联网、 移动互联网融合，不断提升自动化、智能化健康信息服务水平。</w:t>
      </w:r>
    </w:p>
    <w:p>
      <w:pPr>
        <w:pStyle w:val="Style23"/>
        <w:keepNext w:val="0"/>
        <w:keepLines w:val="0"/>
        <w:widowControl w:val="0"/>
        <w:shd w:val="clear" w:color="auto" w:fill="auto"/>
        <w:bidi w:val="0"/>
        <w:spacing w:before="0" w:after="100" w:line="32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日，十八届三中全会《中共中央关于全面深化改革若干重大问题的决定》第</w:t>
      </w:r>
      <w:r>
        <w:rPr>
          <w:rFonts w:ascii="Times New Roman" w:eastAsia="Times New Roman" w:hAnsi="Times New Roman" w:cs="Times New Roman"/>
          <w:color w:val="000000"/>
          <w:spacing w:val="0"/>
          <w:w w:val="100"/>
          <w:position w:val="0"/>
        </w:rPr>
        <w:t>46</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深化医药卫生体制改革</w:t>
      </w:r>
      <w:r>
        <w:rPr>
          <w:rFonts w:ascii="Times New Roman" w:eastAsia="Times New Roman" w:hAnsi="Times New Roman" w:cs="Times New Roman"/>
          <w:color w:val="000000"/>
          <w:spacing w:val="0"/>
          <w:w w:val="100"/>
          <w:position w:val="0"/>
        </w:rPr>
        <w:t xml:space="preserve">” </w:t>
      </w:r>
      <w:r>
        <w:rPr>
          <w:color w:val="000000"/>
          <w:spacing w:val="0"/>
          <w:w w:val="100"/>
          <w:position w:val="0"/>
        </w:rPr>
        <w:t>中，明确</w:t>
      </w:r>
      <w:r>
        <w:rPr>
          <w:rFonts w:ascii="Times New Roman" w:eastAsia="Times New Roman" w:hAnsi="Times New Roman" w:cs="Times New Roman"/>
          <w:color w:val="000000"/>
          <w:spacing w:val="0"/>
          <w:w w:val="100"/>
          <w:position w:val="0"/>
        </w:rPr>
        <w:t>“</w:t>
      </w:r>
      <w:r>
        <w:rPr>
          <w:color w:val="000000"/>
          <w:spacing w:val="0"/>
          <w:w w:val="100"/>
          <w:position w:val="0"/>
        </w:rPr>
        <w:t>充分利用信息化手段，促进优质医疗资源纵向流动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100" w:line="316"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日，卫计委发布《国家卫生计生委国家中医药管理局加快推进人口健康信息化建设的指导意见》，统筹人 口健康信息资源，强化制度、标准和安全体系建设，有效整合和共享全员人口信息、电子健康档案和电子病历三大数据库资 源，实现公共卫生、计划生育、医疗服务、医疗保障、药品管理、综合管理等六大业务应用，建设国家、省、地市和县四级 人口健康信息平台，以四级平台作为六大业务应用纵横连接的枢纽，以居民健康卡为群众享受各项卫生计生服务的联结介质， 形成覆盖各级各类卫生计生机构（含中医药机构，下同）高效统一的网络，实现业务应用互联互通、信息共享、有效协同。</w:t>
      </w:r>
    </w:p>
    <w:p>
      <w:pPr>
        <w:pStyle w:val="Style23"/>
        <w:keepNext w:val="0"/>
        <w:keepLines w:val="0"/>
        <w:widowControl w:val="0"/>
        <w:shd w:val="clear" w:color="auto" w:fill="auto"/>
        <w:tabs>
          <w:tab w:pos="678" w:val="left"/>
        </w:tabs>
        <w:bidi w:val="0"/>
        <w:spacing w:before="0" w:after="100" w:line="312" w:lineRule="exact"/>
        <w:ind w:left="0" w:right="0"/>
        <w:jc w:val="both"/>
      </w:pPr>
      <w:bookmarkStart w:id="107" w:name="bookmark107"/>
      <w:r>
        <w:rPr>
          <w:rFonts w:ascii="Times New Roman" w:eastAsia="Times New Roman" w:hAnsi="Times New Roman" w:cs="Times New Roman"/>
          <w:b/>
          <w:bCs/>
          <w:color w:val="000000"/>
          <w:spacing w:val="0"/>
          <w:w w:val="100"/>
          <w:position w:val="0"/>
        </w:rPr>
        <w:t>2</w:t>
      </w:r>
      <w:bookmarkEnd w:id="107"/>
      <w:r>
        <w:rPr>
          <w:b/>
          <w:bCs/>
          <w:color w:val="000000"/>
          <w:spacing w:val="0"/>
          <w:w w:val="100"/>
          <w:position w:val="0"/>
        </w:rPr>
        <w:t>、</w:t>
        <w:tab/>
        <w:t>用户需求和新技术革新推动行业发展</w:t>
      </w:r>
    </w:p>
    <w:p>
      <w:pPr>
        <w:pStyle w:val="Style23"/>
        <w:keepNext w:val="0"/>
        <w:keepLines w:val="0"/>
        <w:widowControl w:val="0"/>
        <w:shd w:val="clear" w:color="auto" w:fill="auto"/>
        <w:bidi w:val="0"/>
        <w:spacing w:before="0" w:after="100" w:line="307" w:lineRule="exact"/>
        <w:ind w:left="0" w:right="0"/>
        <w:jc w:val="both"/>
      </w:pPr>
      <w:r>
        <w:rPr>
          <w:color w:val="000000"/>
          <w:spacing w:val="0"/>
          <w:w w:val="100"/>
          <w:position w:val="0"/>
        </w:rPr>
        <w:t>技术和用户需求深化需求，是医疗卫生健康信息化推动的另外两个主要引擎，新技术进步带来的新应用将推动医疗信息 化的产品和服务不断创新，大幅拓宽行业的市场空间；利用移动计算、物联网、大数据、可穿戴技术等新型信息化技术实现 病人参与已然是医疗发展的主要方向。</w:t>
      </w:r>
    </w:p>
    <w:p>
      <w:pPr>
        <w:pStyle w:val="Style23"/>
        <w:keepNext w:val="0"/>
        <w:keepLines w:val="0"/>
        <w:widowControl w:val="0"/>
        <w:shd w:val="clear" w:color="auto" w:fill="auto"/>
        <w:tabs>
          <w:tab w:pos="678" w:val="left"/>
        </w:tabs>
        <w:bidi w:val="0"/>
        <w:spacing w:before="0" w:after="100" w:line="312" w:lineRule="exact"/>
        <w:ind w:left="0" w:right="0"/>
        <w:jc w:val="both"/>
      </w:pPr>
      <w:bookmarkStart w:id="108" w:name="bookmark108"/>
      <w:r>
        <w:rPr>
          <w:rFonts w:ascii="Times New Roman" w:eastAsia="Times New Roman" w:hAnsi="Times New Roman" w:cs="Times New Roman"/>
          <w:b/>
          <w:bCs/>
          <w:color w:val="000000"/>
          <w:spacing w:val="0"/>
          <w:w w:val="100"/>
          <w:position w:val="0"/>
        </w:rPr>
        <w:t>3</w:t>
      </w:r>
      <w:bookmarkEnd w:id="108"/>
      <w:r>
        <w:rPr>
          <w:b/>
          <w:bCs/>
          <w:color w:val="000000"/>
          <w:spacing w:val="0"/>
          <w:w w:val="100"/>
          <w:position w:val="0"/>
        </w:rPr>
        <w:t>、</w:t>
        <w:tab/>
        <w:t>大数据分析及智慧医疗应用空间无限</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医疗行业经过</w:t>
      </w:r>
      <w:r>
        <w:rPr>
          <w:rFonts w:ascii="Times New Roman" w:eastAsia="Times New Roman" w:hAnsi="Times New Roman" w:cs="Times New Roman"/>
          <w:color w:val="000000"/>
          <w:spacing w:val="0"/>
          <w:w w:val="100"/>
          <w:position w:val="0"/>
        </w:rPr>
        <w:t>20</w:t>
      </w:r>
      <w:r>
        <w:rPr>
          <w:color w:val="000000"/>
          <w:spacing w:val="0"/>
          <w:w w:val="100"/>
          <w:position w:val="0"/>
        </w:rPr>
        <w:t>多年的发展，特别是大型三级医院、区域医疗的数据中心，积累了大量的数据，这些数据具有数据量大、 数据类型多、蕴含巨大价值、要求实时性强等大数据特点，是典型的大数据中心，对这些大数据的深入挖掘、分析和利用， 具有巨大的医学意义和社会意义，能够产生非常多的能够提升科研、智能决策的分析应用，其应用空间和市场前景无限。</w:t>
      </w:r>
    </w:p>
    <w:p>
      <w:pPr>
        <w:pStyle w:val="Style23"/>
        <w:keepNext w:val="0"/>
        <w:keepLines w:val="0"/>
        <w:widowControl w:val="0"/>
        <w:shd w:val="clear" w:color="auto" w:fill="auto"/>
        <w:tabs>
          <w:tab w:pos="678" w:val="left"/>
        </w:tabs>
        <w:bidi w:val="0"/>
        <w:spacing w:before="0" w:after="100" w:line="312" w:lineRule="exact"/>
        <w:ind w:left="0" w:right="0"/>
        <w:jc w:val="both"/>
      </w:pPr>
      <w:bookmarkStart w:id="109" w:name="bookmark109"/>
      <w:r>
        <w:rPr>
          <w:rFonts w:ascii="Times New Roman" w:eastAsia="Times New Roman" w:hAnsi="Times New Roman" w:cs="Times New Roman"/>
          <w:b/>
          <w:bCs/>
          <w:color w:val="000000"/>
          <w:spacing w:val="0"/>
          <w:w w:val="100"/>
          <w:position w:val="0"/>
        </w:rPr>
        <w:t>4</w:t>
      </w:r>
      <w:bookmarkEnd w:id="109"/>
      <w:r>
        <w:rPr>
          <w:b/>
          <w:bCs/>
          <w:color w:val="000000"/>
          <w:spacing w:val="0"/>
          <w:w w:val="100"/>
          <w:position w:val="0"/>
        </w:rPr>
        <w:t>、</w:t>
        <w:tab/>
        <w:t>未来行业存在兼并收购和上下游延伸发展的需求和可能</w:t>
      </w:r>
    </w:p>
    <w:p>
      <w:pPr>
        <w:pStyle w:val="Style23"/>
        <w:keepNext w:val="0"/>
        <w:keepLines w:val="0"/>
        <w:widowControl w:val="0"/>
        <w:shd w:val="clear" w:color="auto" w:fill="auto"/>
        <w:bidi w:val="0"/>
        <w:spacing w:before="0" w:after="40" w:line="310" w:lineRule="exact"/>
        <w:ind w:left="0" w:right="0"/>
        <w:jc w:val="both"/>
      </w:pPr>
      <w:r>
        <w:rPr>
          <w:color w:val="000000"/>
          <w:spacing w:val="0"/>
          <w:w w:val="100"/>
          <w:position w:val="0"/>
        </w:rPr>
        <w:t>从行业发展来看，医疗健康信息化行业还处于发展初级阶段，大量的国内公司在从事这个行业，市场极其分散，随着医 疗体制改革，医疗信息化行业将进一步飞速发展，对外开放程度将不断提高，国内外市场参与者不断增加，竞争也将越来越 激烈，现存的产品同质且不具有核心竞争力的服务商，将随着投资者个性化要求而逐步退出市场，而一些产品互补的服务提 供商也可能相互融合，行业存在横向、上下游兼并收购及延伸发展的需求和可能。</w:t>
      </w:r>
    </w:p>
    <w:p>
      <w:pPr>
        <w:pStyle w:val="Style23"/>
        <w:keepNext w:val="0"/>
        <w:keepLines w:val="0"/>
        <w:widowControl w:val="0"/>
        <w:shd w:val="clear" w:color="auto" w:fill="auto"/>
        <w:tabs>
          <w:tab w:pos="861" w:val="left"/>
        </w:tabs>
        <w:bidi w:val="0"/>
        <w:spacing w:before="0" w:after="0" w:line="310" w:lineRule="exact"/>
        <w:ind w:left="0" w:right="0"/>
        <w:jc w:val="both"/>
      </w:pPr>
      <w:bookmarkStart w:id="110" w:name="bookmark110"/>
      <w:r>
        <w:rPr>
          <w:b/>
          <w:bCs/>
          <w:color w:val="000000"/>
          <w:spacing w:val="0"/>
          <w:w w:val="100"/>
          <w:position w:val="0"/>
        </w:rPr>
        <w:t>（</w:t>
      </w:r>
      <w:bookmarkEnd w:id="110"/>
      <w:r>
        <w:rPr>
          <w:b/>
          <w:bCs/>
          <w:color w:val="000000"/>
          <w:spacing w:val="0"/>
          <w:w w:val="100"/>
          <w:position w:val="0"/>
        </w:rPr>
        <w:t>二）</w:t>
        <w:tab/>
        <w:t>公司发展战略</w:t>
      </w:r>
    </w:p>
    <w:p>
      <w:pPr>
        <w:pStyle w:val="Style23"/>
        <w:keepNext w:val="0"/>
        <w:keepLines w:val="0"/>
        <w:widowControl w:val="0"/>
        <w:shd w:val="clear" w:color="auto" w:fill="auto"/>
        <w:bidi w:val="0"/>
        <w:spacing w:before="0" w:after="0" w:line="310" w:lineRule="exact"/>
        <w:ind w:left="0" w:right="0"/>
        <w:jc w:val="both"/>
      </w:pPr>
      <w:r>
        <w:rPr>
          <w:color w:val="000000"/>
          <w:spacing w:val="0"/>
          <w:w w:val="100"/>
          <w:position w:val="0"/>
        </w:rPr>
        <w:t>公司将继续加大研发力度，增强创新能力，保持产品的技术与市场竞争优势；加强人才储备，优化薪酬激励机制，满足 公司对各层次、各专业人才的需求；充分利用公司现有的客户资源，进一步加强市场拓展力度，提高市场占有率，提升公司 的持续盈利能力；同时，继续采取内涵提升与外延扩展良性互动的发展战略，通过并购等手段加快外延式发展，做大做强公 司主营业务，提升公司核心竞争力，努力实现医疗行业整体解决方案提供商的战略目标。</w:t>
      </w:r>
    </w:p>
    <w:p>
      <w:pPr>
        <w:pStyle w:val="Style23"/>
        <w:keepNext w:val="0"/>
        <w:keepLines w:val="0"/>
        <w:widowControl w:val="0"/>
        <w:shd w:val="clear" w:color="auto" w:fill="auto"/>
        <w:tabs>
          <w:tab w:pos="861" w:val="left"/>
        </w:tabs>
        <w:bidi w:val="0"/>
        <w:spacing w:before="0" w:after="0" w:line="310" w:lineRule="exact"/>
        <w:ind w:left="0" w:right="0"/>
        <w:jc w:val="both"/>
      </w:pPr>
      <w:bookmarkStart w:id="111" w:name="bookmark111"/>
      <w:r>
        <w:rPr>
          <w:b/>
          <w:bCs/>
          <w:color w:val="000000"/>
          <w:spacing w:val="0"/>
          <w:w w:val="100"/>
          <w:position w:val="0"/>
        </w:rPr>
        <w:t>（</w:t>
      </w:r>
      <w:bookmarkEnd w:id="111"/>
      <w:r>
        <w:rPr>
          <w:b/>
          <w:bCs/>
          <w:color w:val="000000"/>
          <w:spacing w:val="0"/>
          <w:w w:val="100"/>
          <w:position w:val="0"/>
        </w:rPr>
        <w:t>三）</w:t>
        <w:tab/>
      </w:r>
      <w:r>
        <w:rPr>
          <w:rFonts w:ascii="Times New Roman" w:eastAsia="Times New Roman" w:hAnsi="Times New Roman" w:cs="Times New Roman"/>
          <w:b/>
          <w:bCs/>
          <w:color w:val="000000"/>
          <w:spacing w:val="0"/>
          <w:w w:val="100"/>
          <w:position w:val="0"/>
        </w:rPr>
        <w:t>2014</w:t>
      </w:r>
      <w:r>
        <w:rPr>
          <w:b/>
          <w:bCs/>
          <w:color w:val="000000"/>
          <w:spacing w:val="0"/>
          <w:w w:val="100"/>
          <w:position w:val="0"/>
        </w:rPr>
        <w:t>年经营计划</w:t>
      </w:r>
    </w:p>
    <w:p>
      <w:pPr>
        <w:pStyle w:val="Style23"/>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年，公司将继续秉承</w:t>
      </w:r>
      <w:r>
        <w:rPr>
          <w:rFonts w:ascii="Times New Roman" w:eastAsia="Times New Roman" w:hAnsi="Times New Roman" w:cs="Times New Roman"/>
          <w:color w:val="000000"/>
          <w:spacing w:val="0"/>
          <w:w w:val="100"/>
          <w:position w:val="0"/>
        </w:rPr>
        <w:t>“</w:t>
      </w:r>
      <w:r>
        <w:rPr>
          <w:color w:val="000000"/>
          <w:spacing w:val="0"/>
          <w:w w:val="100"/>
          <w:position w:val="0"/>
        </w:rPr>
        <w:t>以人为中心</w:t>
      </w:r>
      <w:r>
        <w:rPr>
          <w:rFonts w:ascii="Times New Roman" w:eastAsia="Times New Roman" w:hAnsi="Times New Roman" w:cs="Times New Roman"/>
          <w:color w:val="000000"/>
          <w:spacing w:val="0"/>
          <w:w w:val="100"/>
          <w:position w:val="0"/>
        </w:rPr>
        <w:t>”</w:t>
      </w:r>
      <w:r>
        <w:rPr>
          <w:color w:val="000000"/>
          <w:spacing w:val="0"/>
          <w:w w:val="100"/>
          <w:position w:val="0"/>
        </w:rPr>
        <w:t>的人性化医疗管理理念，以市场为导向、技术创新为依托，加强内部控制，规范 运作，着力扩大产品市场份额，全面提升公司的核心竞争力，使公司得以健康、稳定的发展，在新的一年里，公司将着重从 以下几方面开展工作：</w:t>
      </w:r>
    </w:p>
    <w:p>
      <w:pPr>
        <w:pStyle w:val="Style23"/>
        <w:keepNext w:val="0"/>
        <w:keepLines w:val="0"/>
        <w:widowControl w:val="0"/>
        <w:shd w:val="clear" w:color="auto" w:fill="auto"/>
        <w:bidi w:val="0"/>
        <w:spacing w:before="0" w:after="0" w:line="310" w:lineRule="exact"/>
        <w:ind w:left="0" w:right="0"/>
        <w:jc w:val="both"/>
      </w:pPr>
      <w:bookmarkStart w:id="112" w:name="bookmark112"/>
      <w:r>
        <w:rPr>
          <w:rFonts w:ascii="Times New Roman" w:eastAsia="Times New Roman" w:hAnsi="Times New Roman" w:cs="Times New Roman"/>
          <w:color w:val="000000"/>
          <w:spacing w:val="0"/>
          <w:w w:val="100"/>
          <w:position w:val="0"/>
        </w:rPr>
        <w:t>1</w:t>
      </w:r>
      <w:bookmarkEnd w:id="112"/>
      <w:r>
        <w:rPr>
          <w:color w:val="000000"/>
          <w:spacing w:val="0"/>
          <w:w w:val="100"/>
          <w:position w:val="0"/>
        </w:rPr>
        <w:t xml:space="preserve">、市场营销方面：继续发挥公司产品的品牌优势，加强客户管理意识，以优质的服务巩固老客户，积极形成再次销售， 提升单个客户有销售收入贡献；建立和完善客户档案，将客户资源转化为公司的资源与财富；定期回访客户，挖掘客户的潜 </w:t>
      </w:r>
      <w:r>
        <w:rPr>
          <w:color w:val="000000"/>
          <w:spacing w:val="0"/>
          <w:w w:val="100"/>
          <w:position w:val="0"/>
        </w:rPr>
        <w:t>在需求。</w:t>
      </w:r>
    </w:p>
    <w:p>
      <w:pPr>
        <w:pStyle w:val="Style23"/>
        <w:keepNext w:val="0"/>
        <w:keepLines w:val="0"/>
        <w:widowControl w:val="0"/>
        <w:shd w:val="clear" w:color="auto" w:fill="auto"/>
        <w:tabs>
          <w:tab w:pos="663" w:val="left"/>
        </w:tabs>
        <w:bidi w:val="0"/>
        <w:spacing w:before="0" w:after="0" w:line="318" w:lineRule="exact"/>
        <w:ind w:left="0" w:right="0"/>
        <w:jc w:val="both"/>
      </w:pPr>
      <w:bookmarkStart w:id="113" w:name="bookmark113"/>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技术研发方面：在公司创新研究院的带领下，紧紧围绕市场开展工作，瞄准市场前沿，以新产品推动市场推广和销 售，拓展公司未来发展空间。同时，公司创新研究院作为创新人才培训和高端人才引进的窗口，通过新产品的研发，培养一 批技术精英，引进一批高端技术人才，让这些人才真正成为推动公司后续发展的核心力量。</w:t>
      </w:r>
    </w:p>
    <w:p>
      <w:pPr>
        <w:pStyle w:val="Style23"/>
        <w:keepNext w:val="0"/>
        <w:keepLines w:val="0"/>
        <w:widowControl w:val="0"/>
        <w:shd w:val="clear" w:color="auto" w:fill="auto"/>
        <w:tabs>
          <w:tab w:pos="667" w:val="left"/>
        </w:tabs>
        <w:bidi w:val="0"/>
        <w:spacing w:before="0" w:after="0" w:line="318" w:lineRule="exact"/>
        <w:ind w:left="0" w:right="0"/>
        <w:jc w:val="both"/>
      </w:pPr>
      <w:bookmarkStart w:id="114" w:name="bookmark114"/>
      <w:r>
        <w:rPr>
          <w:rFonts w:ascii="Times New Roman" w:eastAsia="Times New Roman" w:hAnsi="Times New Roman" w:cs="Times New Roman"/>
          <w:color w:val="000000"/>
          <w:spacing w:val="0"/>
          <w:w w:val="100"/>
          <w:position w:val="0"/>
        </w:rPr>
        <w:t>3</w:t>
      </w:r>
      <w:bookmarkEnd w:id="114"/>
      <w:r>
        <w:rPr>
          <w:color w:val="000000"/>
          <w:spacing w:val="0"/>
          <w:w w:val="100"/>
          <w:position w:val="0"/>
        </w:rPr>
        <w:t>、</w:t>
        <w:tab/>
        <w:t>对外投资方面：公司将充分发挥现有的优势，继续稳步推进资本扩展战略，本着谨慎性原则，密切关注医疗信息化 行业的潜力企业，寻求适当的机会，以适当的方式，推动公司并购与合作的实施，为公司持续健康的发展奠定基础，从而为 公司股东创造更大的价值。</w:t>
      </w:r>
    </w:p>
    <w:p>
      <w:pPr>
        <w:pStyle w:val="Style23"/>
        <w:keepNext w:val="0"/>
        <w:keepLines w:val="0"/>
        <w:widowControl w:val="0"/>
        <w:shd w:val="clear" w:color="auto" w:fill="auto"/>
        <w:tabs>
          <w:tab w:pos="658" w:val="left"/>
        </w:tabs>
        <w:bidi w:val="0"/>
        <w:spacing w:before="0" w:after="0" w:line="318" w:lineRule="exact"/>
        <w:ind w:left="0" w:right="0"/>
        <w:jc w:val="both"/>
      </w:pPr>
      <w:bookmarkStart w:id="115" w:name="bookmark115"/>
      <w:r>
        <w:rPr>
          <w:rFonts w:ascii="Times New Roman" w:eastAsia="Times New Roman" w:hAnsi="Times New Roman" w:cs="Times New Roman"/>
          <w:color w:val="000000"/>
          <w:spacing w:val="0"/>
          <w:w w:val="100"/>
          <w:position w:val="0"/>
        </w:rPr>
        <w:t>4</w:t>
      </w:r>
      <w:bookmarkEnd w:id="115"/>
      <w:r>
        <w:rPr>
          <w:color w:val="000000"/>
          <w:spacing w:val="0"/>
          <w:w w:val="100"/>
          <w:position w:val="0"/>
        </w:rPr>
        <w:t>、</w:t>
        <w:tab/>
        <w:t>公司治理方面：严格按照创业板上市公司的要求，规范运作，优化公司治理结构，及时跟踪内控制度执行情况，不 断完善符合监管要求及公司发展的内控体系；努力做好投资者关系管理工作，加强与投资者的沟通与交流，加深投资者对公 司的了解和认同，促进公司与投资者之间长期、稳定的良好关系，实现公司价值最大化和股东利益最大化。</w:t>
      </w:r>
    </w:p>
    <w:p>
      <w:pPr>
        <w:pStyle w:val="Style23"/>
        <w:keepNext w:val="0"/>
        <w:keepLines w:val="0"/>
        <w:widowControl w:val="0"/>
        <w:shd w:val="clear" w:color="auto" w:fill="auto"/>
        <w:bidi w:val="0"/>
        <w:spacing w:before="0" w:after="40" w:line="318" w:lineRule="exact"/>
        <w:ind w:left="0" w:right="0"/>
        <w:jc w:val="both"/>
      </w:pPr>
      <w:bookmarkStart w:id="116" w:name="bookmark116"/>
      <w:r>
        <w:rPr>
          <w:b/>
          <w:bCs/>
          <w:color w:val="000000"/>
          <w:spacing w:val="0"/>
          <w:w w:val="100"/>
          <w:position w:val="0"/>
        </w:rPr>
        <w:t>（</w:t>
      </w:r>
      <w:bookmarkEnd w:id="116"/>
      <w:r>
        <w:rPr>
          <w:b/>
          <w:bCs/>
          <w:color w:val="000000"/>
          <w:spacing w:val="0"/>
          <w:w w:val="100"/>
          <w:position w:val="0"/>
        </w:rPr>
        <w:t>四）对公司未来发展战略和经营目标的实现产生不利影响的风险因素分析</w:t>
      </w:r>
    </w:p>
    <w:p>
      <w:pPr>
        <w:pStyle w:val="Style23"/>
        <w:keepNext w:val="0"/>
        <w:keepLines w:val="0"/>
        <w:widowControl w:val="0"/>
        <w:shd w:val="clear" w:color="auto" w:fill="auto"/>
        <w:tabs>
          <w:tab w:pos="678" w:val="left"/>
        </w:tabs>
        <w:bidi w:val="0"/>
        <w:spacing w:before="0" w:after="40" w:line="314" w:lineRule="exact"/>
        <w:ind w:left="0" w:right="0"/>
        <w:jc w:val="both"/>
      </w:pPr>
      <w:bookmarkStart w:id="117" w:name="bookmark117"/>
      <w:r>
        <w:rPr>
          <w:rFonts w:ascii="Times New Roman" w:eastAsia="Times New Roman" w:hAnsi="Times New Roman" w:cs="Times New Roman"/>
          <w:b/>
          <w:bCs/>
          <w:color w:val="000000"/>
          <w:spacing w:val="0"/>
          <w:w w:val="100"/>
          <w:position w:val="0"/>
        </w:rPr>
        <w:t>1</w:t>
      </w:r>
      <w:bookmarkEnd w:id="117"/>
      <w:r>
        <w:rPr>
          <w:b/>
          <w:bCs/>
          <w:color w:val="000000"/>
          <w:spacing w:val="0"/>
          <w:w w:val="100"/>
          <w:position w:val="0"/>
        </w:rPr>
        <w:t>、</w:t>
        <w:tab/>
        <w:t>公司规模的迅速扩张带来人才上的瓶颈</w:t>
      </w:r>
    </w:p>
    <w:p>
      <w:pPr>
        <w:pStyle w:val="Style23"/>
        <w:keepNext w:val="0"/>
        <w:keepLines w:val="0"/>
        <w:widowControl w:val="0"/>
        <w:shd w:val="clear" w:color="auto" w:fill="auto"/>
        <w:bidi w:val="0"/>
        <w:spacing w:before="0" w:after="40" w:line="317" w:lineRule="exact"/>
        <w:ind w:left="0" w:right="0"/>
        <w:jc w:val="both"/>
      </w:pPr>
      <w:r>
        <w:rPr>
          <w:color w:val="000000"/>
          <w:spacing w:val="0"/>
          <w:w w:val="100"/>
          <w:position w:val="0"/>
        </w:rPr>
        <w:t>高端人才比较紧缺仍然是公司目前存在的主要困难，特别是研发人员扩张速度跟不上公司业务规模的扩张，导致公司潜 在的新用户的需求得不到很好的满足，这可能会使公司失去一些市场机会。</w:t>
      </w:r>
    </w:p>
    <w:p>
      <w:pPr>
        <w:pStyle w:val="Style23"/>
        <w:keepNext w:val="0"/>
        <w:keepLines w:val="0"/>
        <w:widowControl w:val="0"/>
        <w:shd w:val="clear" w:color="auto" w:fill="auto"/>
        <w:bidi w:val="0"/>
        <w:spacing w:before="0" w:after="40" w:line="307" w:lineRule="exact"/>
        <w:ind w:left="0" w:right="0"/>
        <w:jc w:val="both"/>
      </w:pPr>
      <w:r>
        <w:rPr>
          <w:color w:val="000000"/>
          <w:spacing w:val="0"/>
          <w:w w:val="100"/>
          <w:position w:val="0"/>
        </w:rPr>
        <w:t>随着公司产品线扩充、市场扩大和客户增加，公司目前面临的最大问题是人才，特别是研发和销售类的高端人才较难招 聘，这可能会导致公司目前的一些潜在项目流失。</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应对措施：公司已在合肥、常州以及西安设立区域研发中心，未来还将根据发展需要在其他地区设立区域研发中心。公 司报告期末员工数量为</w:t>
      </w:r>
      <w:r>
        <w:rPr>
          <w:rFonts w:ascii="Times New Roman" w:eastAsia="Times New Roman" w:hAnsi="Times New Roman" w:cs="Times New Roman"/>
          <w:color w:val="000000"/>
          <w:spacing w:val="0"/>
          <w:w w:val="100"/>
          <w:position w:val="0"/>
        </w:rPr>
        <w:t>1135</w:t>
      </w:r>
      <w:r>
        <w:rPr>
          <w:color w:val="000000"/>
          <w:spacing w:val="0"/>
          <w:w w:val="100"/>
          <w:position w:val="0"/>
        </w:rPr>
        <w:t>名，预计在未来几年内公司的总人数将扩张到</w:t>
      </w:r>
      <w:r>
        <w:rPr>
          <w:rFonts w:ascii="Times New Roman" w:eastAsia="Times New Roman" w:hAnsi="Times New Roman" w:cs="Times New Roman"/>
          <w:color w:val="000000"/>
          <w:spacing w:val="0"/>
          <w:w w:val="100"/>
          <w:position w:val="0"/>
        </w:rPr>
        <w:t>1500</w:t>
      </w:r>
      <w:r>
        <w:rPr>
          <w:color w:val="000000"/>
          <w:spacing w:val="0"/>
          <w:w w:val="100"/>
          <w:position w:val="0"/>
        </w:rPr>
        <w:t>名以上，因此一方面建立多层次培训体系和薪 酬体系，满足研发技术类的人才需求，另一方面，开展营销服务体系的建设，构筑全国性的销售服务体系，实现客户的近距 离本地化服务。</w:t>
      </w:r>
    </w:p>
    <w:p>
      <w:pPr>
        <w:pStyle w:val="Style23"/>
        <w:keepNext w:val="0"/>
        <w:keepLines w:val="0"/>
        <w:widowControl w:val="0"/>
        <w:shd w:val="clear" w:color="auto" w:fill="auto"/>
        <w:tabs>
          <w:tab w:pos="697" w:val="left"/>
        </w:tabs>
        <w:bidi w:val="0"/>
        <w:spacing w:before="0" w:after="40" w:line="314" w:lineRule="exact"/>
        <w:ind w:left="0" w:right="0"/>
        <w:jc w:val="both"/>
      </w:pPr>
      <w:bookmarkStart w:id="118" w:name="bookmark118"/>
      <w:r>
        <w:rPr>
          <w:rFonts w:ascii="Times New Roman" w:eastAsia="Times New Roman" w:hAnsi="Times New Roman" w:cs="Times New Roman"/>
          <w:b/>
          <w:bCs/>
          <w:color w:val="000000"/>
          <w:spacing w:val="0"/>
          <w:w w:val="100"/>
          <w:position w:val="0"/>
        </w:rPr>
        <w:t>2</w:t>
      </w:r>
      <w:bookmarkEnd w:id="118"/>
      <w:r>
        <w:rPr>
          <w:b/>
          <w:bCs/>
          <w:color w:val="000000"/>
          <w:spacing w:val="0"/>
          <w:w w:val="100"/>
          <w:position w:val="0"/>
        </w:rPr>
        <w:t>、</w:t>
        <w:tab/>
        <w:t>新技术、新需求带来的不确定性风险</w:t>
      </w:r>
    </w:p>
    <w:p>
      <w:pPr>
        <w:pStyle w:val="Style23"/>
        <w:keepNext w:val="0"/>
        <w:keepLines w:val="0"/>
        <w:widowControl w:val="0"/>
        <w:shd w:val="clear" w:color="auto" w:fill="auto"/>
        <w:bidi w:val="0"/>
        <w:spacing w:before="0" w:after="40" w:line="317" w:lineRule="exact"/>
        <w:ind w:left="0" w:right="0"/>
        <w:jc w:val="both"/>
      </w:pPr>
      <w:r>
        <w:rPr>
          <w:color w:val="000000"/>
          <w:spacing w:val="0"/>
          <w:w w:val="100"/>
          <w:position w:val="0"/>
        </w:rPr>
        <w:t>基于云计算的软件服务模式、大数据处理系统、临床决策系统等快速发展，这些系统所涉及的技术，都是比较新型的技 术，这些技术是否能产生良好的效果，具有不确定性风险。</w:t>
      </w:r>
    </w:p>
    <w:p>
      <w:pPr>
        <w:pStyle w:val="Style23"/>
        <w:keepNext w:val="0"/>
        <w:keepLines w:val="0"/>
        <w:widowControl w:val="0"/>
        <w:shd w:val="clear" w:color="auto" w:fill="auto"/>
        <w:bidi w:val="0"/>
        <w:spacing w:before="0" w:after="40" w:line="307" w:lineRule="exact"/>
        <w:ind w:left="0" w:right="0"/>
        <w:jc w:val="both"/>
      </w:pPr>
      <w:r>
        <w:rPr>
          <w:color w:val="000000"/>
          <w:spacing w:val="0"/>
          <w:w w:val="100"/>
          <w:position w:val="0"/>
        </w:rPr>
        <w:t>应对措施：产品及研发部预研各种技术，进行概念验证和典型用户示范，并与各高等院校、专业研究机构、客户及政府 部门合作，将新技术、新需求有效应用于各个示范应用点，然后争取得到行业权威机构的支持和认可，进一步扩大推广应用 范围。</w:t>
      </w:r>
    </w:p>
    <w:p>
      <w:pPr>
        <w:pStyle w:val="Style23"/>
        <w:keepNext w:val="0"/>
        <w:keepLines w:val="0"/>
        <w:widowControl w:val="0"/>
        <w:shd w:val="clear" w:color="auto" w:fill="auto"/>
        <w:tabs>
          <w:tab w:pos="697" w:val="left"/>
        </w:tabs>
        <w:bidi w:val="0"/>
        <w:spacing w:before="0" w:after="40" w:line="314" w:lineRule="exact"/>
        <w:ind w:left="0" w:right="0"/>
        <w:jc w:val="both"/>
      </w:pPr>
      <w:bookmarkStart w:id="119" w:name="bookmark119"/>
      <w:r>
        <w:rPr>
          <w:rFonts w:ascii="Times New Roman" w:eastAsia="Times New Roman" w:hAnsi="Times New Roman" w:cs="Times New Roman"/>
          <w:b/>
          <w:bCs/>
          <w:color w:val="000000"/>
          <w:spacing w:val="0"/>
          <w:w w:val="100"/>
          <w:position w:val="0"/>
        </w:rPr>
        <w:t>3</w:t>
      </w:r>
      <w:bookmarkEnd w:id="119"/>
      <w:r>
        <w:rPr>
          <w:b/>
          <w:bCs/>
          <w:color w:val="000000"/>
          <w:spacing w:val="0"/>
          <w:w w:val="100"/>
          <w:position w:val="0"/>
        </w:rPr>
        <w:t>、</w:t>
        <w:tab/>
        <w:t>行业竞争进一步加剧的风险</w:t>
      </w:r>
    </w:p>
    <w:p>
      <w:pPr>
        <w:pStyle w:val="Style23"/>
        <w:keepNext w:val="0"/>
        <w:keepLines w:val="0"/>
        <w:widowControl w:val="0"/>
        <w:shd w:val="clear" w:color="auto" w:fill="auto"/>
        <w:bidi w:val="0"/>
        <w:spacing w:before="0" w:after="40" w:line="307" w:lineRule="exact"/>
        <w:ind w:left="0" w:right="0"/>
        <w:jc w:val="both"/>
      </w:pPr>
      <w:r>
        <w:rPr>
          <w:color w:val="000000"/>
          <w:spacing w:val="0"/>
          <w:w w:val="100"/>
          <w:position w:val="0"/>
        </w:rPr>
        <w:t>医疗信息化行业处于快速发展阶段，国内外市场参与者不断增加，竞争也将越来越激烈，鉴于行业广阔的发展前景和国 内资本市场的进一步开放，缺乏竞争力和核心优势的企业将会被市场淘汰。如果公司不能紧跟行业发展方向，提高公司的竞 争力和核心优势，将无法适应激烈的行业竞争。</w:t>
      </w:r>
    </w:p>
    <w:p>
      <w:pPr>
        <w:pStyle w:val="Style23"/>
        <w:keepNext w:val="0"/>
        <w:keepLines w:val="0"/>
        <w:widowControl w:val="0"/>
        <w:shd w:val="clear" w:color="auto" w:fill="auto"/>
        <w:bidi w:val="0"/>
        <w:spacing w:before="0" w:after="40" w:line="314" w:lineRule="exact"/>
        <w:ind w:left="0" w:right="0"/>
        <w:jc w:val="both"/>
      </w:pPr>
      <w:r>
        <w:rPr>
          <w:color w:val="000000"/>
          <w:spacing w:val="0"/>
          <w:w w:val="100"/>
          <w:position w:val="0"/>
        </w:rPr>
        <w:t>应对措施：公司需采取更加积极的经营管理措施，加大研发投入，密切跟踪行业发展趋势和前沿创新技术，并积极关注 行业竞争所带来的整合机遇，从而维持并加强公司在用户数量、用户粘性及技术方面的核心竞争优势，促进公司持续健康发 展。</w:t>
      </w:r>
    </w:p>
    <w:p>
      <w:pPr>
        <w:pStyle w:val="Style23"/>
        <w:keepNext w:val="0"/>
        <w:keepLines w:val="0"/>
        <w:widowControl w:val="0"/>
        <w:shd w:val="clear" w:color="auto" w:fill="auto"/>
        <w:tabs>
          <w:tab w:pos="697" w:val="left"/>
        </w:tabs>
        <w:bidi w:val="0"/>
        <w:spacing w:before="0" w:after="40" w:line="314" w:lineRule="exact"/>
        <w:ind w:left="0" w:right="0"/>
        <w:jc w:val="both"/>
      </w:pPr>
      <w:bookmarkStart w:id="120" w:name="bookmark120"/>
      <w:r>
        <w:rPr>
          <w:rFonts w:ascii="Times New Roman" w:eastAsia="Times New Roman" w:hAnsi="Times New Roman" w:cs="Times New Roman"/>
          <w:b/>
          <w:bCs/>
          <w:color w:val="000000"/>
          <w:spacing w:val="0"/>
          <w:w w:val="100"/>
          <w:position w:val="0"/>
        </w:rPr>
        <w:t>4</w:t>
      </w:r>
      <w:bookmarkEnd w:id="120"/>
      <w:r>
        <w:rPr>
          <w:b/>
          <w:bCs/>
          <w:color w:val="000000"/>
          <w:spacing w:val="0"/>
          <w:w w:val="100"/>
          <w:position w:val="0"/>
        </w:rPr>
        <w:t>、</w:t>
        <w:tab/>
        <w:t>公司业务规模较小的风险</w:t>
      </w:r>
    </w:p>
    <w:p>
      <w:pPr>
        <w:pStyle w:val="Style23"/>
        <w:keepNext w:val="0"/>
        <w:keepLines w:val="0"/>
        <w:widowControl w:val="0"/>
        <w:shd w:val="clear" w:color="auto" w:fill="auto"/>
        <w:bidi w:val="0"/>
        <w:spacing w:before="0" w:after="40" w:line="314" w:lineRule="exact"/>
        <w:ind w:left="0" w:right="0"/>
        <w:jc w:val="both"/>
      </w:pPr>
      <w:r>
        <w:rPr>
          <w:color w:val="000000"/>
          <w:spacing w:val="0"/>
          <w:w w:val="100"/>
          <w:position w:val="0"/>
        </w:rPr>
        <w:t>公司的利润主要来源于软件及技术服务业务，最近</w:t>
      </w:r>
      <w:r>
        <w:rPr>
          <w:rFonts w:ascii="Times New Roman" w:eastAsia="Times New Roman" w:hAnsi="Times New Roman" w:cs="Times New Roman"/>
          <w:color w:val="000000"/>
          <w:spacing w:val="0"/>
          <w:w w:val="100"/>
          <w:position w:val="0"/>
        </w:rPr>
        <w:t>3</w:t>
      </w:r>
      <w:r>
        <w:rPr>
          <w:color w:val="000000"/>
          <w:spacing w:val="0"/>
          <w:w w:val="100"/>
          <w:position w:val="0"/>
        </w:rPr>
        <w:t>年，公司软件收入分别为</w:t>
      </w:r>
      <w:r>
        <w:rPr>
          <w:rFonts w:ascii="Times New Roman" w:eastAsia="Times New Roman" w:hAnsi="Times New Roman" w:cs="Times New Roman"/>
          <w:color w:val="000000"/>
          <w:spacing w:val="0"/>
          <w:w w:val="100"/>
          <w:position w:val="0"/>
        </w:rPr>
        <w:t>9,100.49</w:t>
      </w:r>
      <w:r>
        <w:rPr>
          <w:color w:val="000000"/>
          <w:spacing w:val="0"/>
          <w:w w:val="100"/>
          <w:position w:val="0"/>
        </w:rPr>
        <w:t>万元、</w:t>
      </w:r>
      <w:r>
        <w:rPr>
          <w:rFonts w:ascii="Times New Roman" w:eastAsia="Times New Roman" w:hAnsi="Times New Roman" w:cs="Times New Roman"/>
          <w:color w:val="000000"/>
          <w:spacing w:val="0"/>
          <w:w w:val="100"/>
          <w:position w:val="0"/>
        </w:rPr>
        <w:t>13,665.89</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20,729.87 </w:t>
      </w:r>
      <w:r>
        <w:rPr>
          <w:color w:val="000000"/>
          <w:spacing w:val="0"/>
          <w:w w:val="100"/>
          <w:position w:val="0"/>
        </w:rPr>
        <w:t>万元，技术服务收入分别为</w:t>
      </w:r>
      <w:r>
        <w:rPr>
          <w:rFonts w:ascii="Times New Roman" w:eastAsia="Times New Roman" w:hAnsi="Times New Roman" w:cs="Times New Roman"/>
          <w:color w:val="000000"/>
          <w:spacing w:val="0"/>
          <w:w w:val="100"/>
          <w:position w:val="0"/>
        </w:rPr>
        <w:t>3,365.08</w:t>
      </w:r>
      <w:r>
        <w:rPr>
          <w:color w:val="000000"/>
          <w:spacing w:val="0"/>
          <w:w w:val="100"/>
          <w:position w:val="0"/>
        </w:rPr>
        <w:t>万元、</w:t>
      </w:r>
      <w:r>
        <w:rPr>
          <w:rFonts w:ascii="Times New Roman" w:eastAsia="Times New Roman" w:hAnsi="Times New Roman" w:cs="Times New Roman"/>
          <w:color w:val="000000"/>
          <w:spacing w:val="0"/>
          <w:w w:val="100"/>
          <w:position w:val="0"/>
        </w:rPr>
        <w:t>5,795.84</w:t>
      </w:r>
      <w:r>
        <w:rPr>
          <w:color w:val="000000"/>
          <w:spacing w:val="0"/>
          <w:w w:val="100"/>
          <w:position w:val="0"/>
        </w:rPr>
        <w:t>万元、</w:t>
      </w:r>
      <w:r>
        <w:rPr>
          <w:rFonts w:ascii="Times New Roman" w:eastAsia="Times New Roman" w:hAnsi="Times New Roman" w:cs="Times New Roman"/>
          <w:color w:val="000000"/>
          <w:spacing w:val="0"/>
          <w:w w:val="100"/>
          <w:position w:val="0"/>
        </w:rPr>
        <w:t>4,625.53</w:t>
      </w:r>
      <w:r>
        <w:rPr>
          <w:color w:val="000000"/>
          <w:spacing w:val="0"/>
          <w:w w:val="100"/>
          <w:position w:val="0"/>
        </w:rPr>
        <w:t>万元，净利润分别为</w:t>
      </w:r>
      <w:r>
        <w:rPr>
          <w:rFonts w:ascii="Times New Roman" w:eastAsia="Times New Roman" w:hAnsi="Times New Roman" w:cs="Times New Roman"/>
          <w:color w:val="000000"/>
          <w:spacing w:val="0"/>
          <w:w w:val="100"/>
          <w:position w:val="0"/>
        </w:rPr>
        <w:t>4,429.29</w:t>
      </w:r>
      <w:r>
        <w:rPr>
          <w:color w:val="000000"/>
          <w:spacing w:val="0"/>
          <w:w w:val="100"/>
          <w:position w:val="0"/>
        </w:rPr>
        <w:t>万元、</w:t>
      </w:r>
      <w:r>
        <w:rPr>
          <w:rFonts w:ascii="Times New Roman" w:eastAsia="Times New Roman" w:hAnsi="Times New Roman" w:cs="Times New Roman"/>
          <w:color w:val="000000"/>
          <w:spacing w:val="0"/>
          <w:w w:val="100"/>
          <w:position w:val="0"/>
        </w:rPr>
        <w:t>5,284.99</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8,060.40 </w:t>
      </w:r>
      <w:r>
        <w:rPr>
          <w:color w:val="000000"/>
          <w:spacing w:val="0"/>
          <w:w w:val="100"/>
          <w:position w:val="0"/>
        </w:rPr>
        <w:t>万元。最近</w:t>
      </w:r>
      <w:r>
        <w:rPr>
          <w:rFonts w:ascii="Times New Roman" w:eastAsia="Times New Roman" w:hAnsi="Times New Roman" w:cs="Times New Roman"/>
          <w:color w:val="000000"/>
          <w:spacing w:val="0"/>
          <w:w w:val="100"/>
          <w:position w:val="0"/>
        </w:rPr>
        <w:t>3</w:t>
      </w:r>
      <w:r>
        <w:rPr>
          <w:color w:val="000000"/>
          <w:spacing w:val="0"/>
          <w:w w:val="100"/>
          <w:position w:val="0"/>
        </w:rPr>
        <w:t>年，公司软件及技术服务收入年均复合增长</w:t>
      </w:r>
      <w:r>
        <w:rPr>
          <w:rFonts w:ascii="Times New Roman" w:eastAsia="Times New Roman" w:hAnsi="Times New Roman" w:cs="Times New Roman"/>
          <w:color w:val="000000"/>
          <w:spacing w:val="0"/>
          <w:w w:val="100"/>
          <w:position w:val="0"/>
        </w:rPr>
        <w:t>42.62%</w:t>
      </w:r>
      <w:r>
        <w:rPr>
          <w:color w:val="000000"/>
          <w:spacing w:val="0"/>
          <w:w w:val="100"/>
          <w:position w:val="0"/>
        </w:rPr>
        <w:t>，公司净利润年均复合增长</w:t>
      </w:r>
      <w:r>
        <w:rPr>
          <w:rFonts w:ascii="Times New Roman" w:eastAsia="Times New Roman" w:hAnsi="Times New Roman" w:cs="Times New Roman"/>
          <w:color w:val="000000"/>
          <w:spacing w:val="0"/>
          <w:w w:val="100"/>
          <w:position w:val="0"/>
        </w:rPr>
        <w:t>34.90%</w:t>
      </w:r>
      <w:r>
        <w:rPr>
          <w:color w:val="000000"/>
          <w:spacing w:val="0"/>
          <w:w w:val="100"/>
          <w:position w:val="0"/>
        </w:rPr>
        <w:t>，已成长为国内领先的医 疗软件企业。但与国内其他行业知名软件企业、国际知名医疗软件企业相比，公司的业务规模较小，存在抵御错综复杂市场 风险能力较小的风险。</w:t>
      </w:r>
    </w:p>
    <w:p>
      <w:pPr>
        <w:pStyle w:val="Style23"/>
        <w:keepNext w:val="0"/>
        <w:keepLines w:val="0"/>
        <w:widowControl w:val="0"/>
        <w:shd w:val="clear" w:color="auto" w:fill="auto"/>
        <w:bidi w:val="0"/>
        <w:spacing w:before="0" w:after="40" w:line="317" w:lineRule="exact"/>
        <w:ind w:left="0" w:right="0"/>
        <w:jc w:val="both"/>
      </w:pPr>
      <w:r>
        <w:rPr>
          <w:color w:val="000000"/>
          <w:spacing w:val="0"/>
          <w:w w:val="100"/>
          <w:position w:val="0"/>
        </w:rPr>
        <w:t>应对措施：公司将借助上市带来的资本优势、品牌优势，抓住目前国内医疗信息化快速发展的大好时机，加大研发和市 场营销投入，尽快覆盖全国市场，并在条件成熟的情况下，积极推动行业整合，加快公司发展。</w:t>
      </w:r>
    </w:p>
    <w:p>
      <w:pPr>
        <w:pStyle w:val="Style23"/>
        <w:keepNext w:val="0"/>
        <w:keepLines w:val="0"/>
        <w:widowControl w:val="0"/>
        <w:shd w:val="clear" w:color="auto" w:fill="auto"/>
        <w:tabs>
          <w:tab w:pos="697" w:val="left"/>
        </w:tabs>
        <w:bidi w:val="0"/>
        <w:spacing w:before="0" w:after="40" w:line="314" w:lineRule="exact"/>
        <w:ind w:left="0" w:right="0"/>
        <w:jc w:val="both"/>
      </w:pPr>
      <w:bookmarkStart w:id="121" w:name="bookmark121"/>
      <w:r>
        <w:rPr>
          <w:rFonts w:ascii="Times New Roman" w:eastAsia="Times New Roman" w:hAnsi="Times New Roman" w:cs="Times New Roman"/>
          <w:b/>
          <w:bCs/>
          <w:color w:val="000000"/>
          <w:spacing w:val="0"/>
          <w:w w:val="100"/>
          <w:position w:val="0"/>
        </w:rPr>
        <w:t>5</w:t>
      </w:r>
      <w:bookmarkEnd w:id="121"/>
      <w:r>
        <w:rPr>
          <w:b/>
          <w:bCs/>
          <w:color w:val="000000"/>
          <w:spacing w:val="0"/>
          <w:w w:val="100"/>
          <w:position w:val="0"/>
        </w:rPr>
        <w:t>、</w:t>
        <w:tab/>
        <w:t>收款及经营业绩的季节性波动风险</w:t>
      </w:r>
    </w:p>
    <w:p>
      <w:pPr>
        <w:pStyle w:val="Style23"/>
        <w:keepNext w:val="0"/>
        <w:keepLines w:val="0"/>
        <w:widowControl w:val="0"/>
        <w:shd w:val="clear" w:color="auto" w:fill="auto"/>
        <w:bidi w:val="0"/>
        <w:spacing w:before="0" w:after="0" w:line="310" w:lineRule="exact"/>
        <w:ind w:left="0" w:right="0"/>
        <w:jc w:val="left"/>
      </w:pPr>
      <w:r>
        <w:rPr>
          <w:color w:val="000000"/>
          <w:spacing w:val="0"/>
          <w:w w:val="100"/>
          <w:position w:val="0"/>
        </w:rPr>
        <w:t>由于公司客户以国内的公立医院、卫生管理部门等机构为主，其对信息产品的采购一般遵守较为严格的预算管理制度， 通常在每年上半年制定投资计划，需要通过预算、审批、招标、合同签订等流程，许多项目还需要纳入财政预算、政府采购， 周期相对较长。公司客户年度资本开支主要集中在下半年尤其是第四季度，对公司的项目验收和付款也集中在下半年。</w:t>
      </w:r>
    </w:p>
    <w:p>
      <w:pPr>
        <w:pStyle w:val="Style23"/>
        <w:keepNext w:val="0"/>
        <w:keepLines w:val="0"/>
        <w:widowControl w:val="0"/>
        <w:shd w:val="clear" w:color="auto" w:fill="auto"/>
        <w:bidi w:val="0"/>
        <w:spacing w:before="0" w:after="0" w:line="310" w:lineRule="exact"/>
        <w:ind w:left="0" w:right="0"/>
        <w:jc w:val="left"/>
      </w:pPr>
      <w:r>
        <w:rPr>
          <w:color w:val="000000"/>
          <w:spacing w:val="0"/>
          <w:w w:val="100"/>
          <w:position w:val="0"/>
        </w:rPr>
        <w:t>由于受上述因素的影响，导致公司营业收入、净利润、经营性现金流量呈不均衡的季节性分布：最近三年，公司上半年 收款一般只占全年的</w:t>
      </w:r>
      <w:r>
        <w:rPr>
          <w:rFonts w:ascii="Times New Roman" w:eastAsia="Times New Roman" w:hAnsi="Times New Roman" w:cs="Times New Roman"/>
          <w:color w:val="000000"/>
          <w:spacing w:val="0"/>
          <w:w w:val="100"/>
          <w:position w:val="0"/>
        </w:rPr>
        <w:t>20-30%</w:t>
      </w:r>
      <w:r>
        <w:rPr>
          <w:color w:val="000000"/>
          <w:spacing w:val="0"/>
          <w:w w:val="100"/>
          <w:position w:val="0"/>
        </w:rPr>
        <w:t>,而第四季度能达到全年的</w:t>
      </w:r>
      <w:r>
        <w:rPr>
          <w:rFonts w:ascii="Times New Roman" w:eastAsia="Times New Roman" w:hAnsi="Times New Roman" w:cs="Times New Roman"/>
          <w:color w:val="000000"/>
          <w:spacing w:val="0"/>
          <w:w w:val="100"/>
          <w:position w:val="0"/>
        </w:rPr>
        <w:t>50%</w:t>
      </w:r>
      <w:r>
        <w:rPr>
          <w:color w:val="000000"/>
          <w:spacing w:val="0"/>
          <w:w w:val="100"/>
          <w:position w:val="0"/>
        </w:rPr>
        <w:t>以上；公司的收入和利润存在一定的季节性，软件及技术服务收 入、净利润在上、下半年分别占比平均约为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。投资者不宜以公司季度或者半年度业绩作为投资判断的主要依据。</w:t>
      </w:r>
    </w:p>
    <w:p>
      <w:pPr>
        <w:pStyle w:val="Style23"/>
        <w:keepNext w:val="0"/>
        <w:keepLines w:val="0"/>
        <w:widowControl w:val="0"/>
        <w:shd w:val="clear" w:color="auto" w:fill="auto"/>
        <w:bidi w:val="0"/>
        <w:spacing w:before="0" w:after="360" w:line="314" w:lineRule="exact"/>
        <w:ind w:left="0" w:right="0" w:firstLine="300"/>
        <w:jc w:val="left"/>
      </w:pPr>
      <w:r>
        <w:rPr>
          <w:color w:val="000000"/>
          <w:spacing w:val="0"/>
          <w:w w:val="100"/>
          <w:position w:val="0"/>
        </w:rPr>
        <w:t>应对措施：公司将加大市场工作力度，及时了解、掌握和引导客户的投资计划，在不违反相关规定的前提下尽早介入项 目前期规划工作，同时合理调配人力资源，使得项目实施尽量能够均衡开展，减少因自身因素造成的项目实施时间集中问题； 同时，加大收款考核力度，与客户保持及时有效沟通，减少因人为因素造成的收款时间集中问题。</w:t>
      </w:r>
    </w:p>
    <w:p>
      <w:pPr>
        <w:pStyle w:val="Style21"/>
        <w:keepNext/>
        <w:keepLines/>
        <w:widowControl w:val="0"/>
        <w:shd w:val="clear" w:color="auto" w:fill="auto"/>
        <w:tabs>
          <w:tab w:pos="526" w:val="left"/>
        </w:tabs>
        <w:bidi w:val="0"/>
        <w:spacing w:before="0" w:after="26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三</w:t>
      </w:r>
      <w:bookmarkEnd w:id="124"/>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22"/>
      <w:bookmarkEnd w:id="123"/>
      <w:bookmarkEnd w:id="125"/>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21"/>
        <w:keepNext/>
        <w:keepLines/>
        <w:widowControl w:val="0"/>
        <w:shd w:val="clear" w:color="auto" w:fill="auto"/>
        <w:tabs>
          <w:tab w:pos="526" w:val="left"/>
        </w:tabs>
        <w:bidi w:val="0"/>
        <w:spacing w:before="0" w:after="26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4"/>
          <w:szCs w:val="24"/>
        </w:rPr>
        <w:t>四</w:t>
      </w:r>
      <w:bookmarkEnd w:id="128"/>
      <w:r>
        <w:rPr>
          <w:color w:val="000000"/>
          <w:spacing w:val="0"/>
          <w:w w:val="100"/>
          <w:position w:val="0"/>
          <w:sz w:val="24"/>
          <w:szCs w:val="24"/>
        </w:rPr>
        <w:t>、</w:t>
        <w:tab/>
        <w:t>董事会关于报告期会计政策、会计估计变更或重要前期差错更正的说明</w:t>
      </w:r>
      <w:bookmarkEnd w:id="126"/>
      <w:bookmarkEnd w:id="127"/>
      <w:bookmarkEnd w:id="129"/>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21"/>
        <w:keepNext/>
        <w:keepLines/>
        <w:widowControl w:val="0"/>
        <w:shd w:val="clear" w:color="auto" w:fill="auto"/>
        <w:tabs>
          <w:tab w:pos="526" w:val="left"/>
        </w:tabs>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sz w:val="24"/>
          <w:szCs w:val="24"/>
        </w:rPr>
        <w:t>五</w:t>
      </w:r>
      <w:bookmarkEnd w:id="132"/>
      <w:r>
        <w:rPr>
          <w:color w:val="000000"/>
          <w:spacing w:val="0"/>
          <w:w w:val="100"/>
          <w:position w:val="0"/>
          <w:sz w:val="24"/>
          <w:szCs w:val="24"/>
        </w:rPr>
        <w:t>、</w:t>
        <w:tab/>
        <w:t>公司利润分配及分红派息情况</w:t>
      </w:r>
      <w:bookmarkEnd w:id="130"/>
      <w:bookmarkEnd w:id="131"/>
      <w:bookmarkEnd w:id="133"/>
    </w:p>
    <w:p>
      <w:pPr>
        <w:pStyle w:val="Style23"/>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报告期内利润分配政策特别是现金分红政策的制定、执行或调整情况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764" w:val="left"/>
        </w:tabs>
        <w:bidi w:val="0"/>
        <w:spacing w:before="0" w:after="0"/>
        <w:ind w:left="0" w:right="0"/>
        <w:jc w:val="both"/>
      </w:pPr>
      <w:bookmarkStart w:id="134" w:name="bookmark134"/>
      <w:r>
        <w:rPr>
          <w:rFonts w:ascii="Times New Roman" w:eastAsia="Times New Roman" w:hAnsi="Times New Roman" w:cs="Times New Roman"/>
          <w:b/>
          <w:bCs/>
          <w:color w:val="000000"/>
          <w:spacing w:val="0"/>
          <w:w w:val="100"/>
          <w:position w:val="0"/>
        </w:rPr>
        <w:t>1</w:t>
      </w:r>
      <w:bookmarkEnd w:id="134"/>
      <w:r>
        <w:rPr>
          <w:b/>
          <w:bCs/>
          <w:color w:val="000000"/>
          <w:spacing w:val="0"/>
          <w:w w:val="100"/>
          <w:position w:val="0"/>
        </w:rPr>
        <w:t>、</w:t>
        <w:tab/>
        <w:t>公司制定的现金分红政策</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为了明确公司首次公开发行股票并上市后的利润分配政策、进一步发展和维护公司全体股东权益，公司董事会对《上海 金仕达卫宁软件股份有限公司章程》中的部分条款进行了修改，并于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 议通过。</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《公司章程》第一百五十五条规定：公司实施积极的利润分配政策，重视对股东的合理投资回报并兼顾公司的可持续发 展，利润分配政策保持连续性和稳定性。公司实施利润分配，应当遵循以下规定：</w:t>
      </w:r>
    </w:p>
    <w:p>
      <w:pPr>
        <w:pStyle w:val="Style23"/>
        <w:keepNext w:val="0"/>
        <w:keepLines w:val="0"/>
        <w:widowControl w:val="0"/>
        <w:numPr>
          <w:ilvl w:val="0"/>
          <w:numId w:val="7"/>
        </w:numPr>
        <w:shd w:val="clear" w:color="auto" w:fill="auto"/>
        <w:tabs>
          <w:tab w:pos="820" w:val="left"/>
        </w:tabs>
        <w:bidi w:val="0"/>
        <w:spacing w:before="0" w:after="0" w:line="313" w:lineRule="exact"/>
        <w:ind w:left="0" w:right="0"/>
        <w:jc w:val="both"/>
      </w:pPr>
      <w:bookmarkStart w:id="135" w:name="bookmark135"/>
      <w:bookmarkEnd w:id="135"/>
      <w:r>
        <w:rPr>
          <w:color w:val="000000"/>
          <w:spacing w:val="0"/>
          <w:w w:val="100"/>
          <w:position w:val="0"/>
        </w:rPr>
        <w:t>公司可采取现金或股票与现金相结合的方式分配股利。</w:t>
      </w:r>
    </w:p>
    <w:p>
      <w:pPr>
        <w:pStyle w:val="Style23"/>
        <w:keepNext w:val="0"/>
        <w:keepLines w:val="0"/>
        <w:widowControl w:val="0"/>
        <w:numPr>
          <w:ilvl w:val="0"/>
          <w:numId w:val="7"/>
        </w:numPr>
        <w:shd w:val="clear" w:color="auto" w:fill="auto"/>
        <w:tabs>
          <w:tab w:pos="896" w:val="left"/>
        </w:tabs>
        <w:bidi w:val="0"/>
        <w:spacing w:before="0" w:after="0" w:line="314" w:lineRule="exact"/>
        <w:ind w:left="0" w:right="0"/>
        <w:jc w:val="both"/>
      </w:pPr>
      <w:bookmarkStart w:id="136" w:name="bookmark136"/>
      <w:bookmarkEnd w:id="136"/>
      <w:r>
        <w:rPr>
          <w:color w:val="000000"/>
          <w:spacing w:val="0"/>
          <w:w w:val="100"/>
          <w:position w:val="0"/>
        </w:rPr>
        <w:t>公司应每年至少进行一次利润分配。公司董事会可以根据公司的盈利及资金需求状况提议公司进行中期分红并提 交公司股东大会批准；公司对留存的未分配利润使用计划作出调整时，应重新报经董事会、股东大会批准，并在相关提案中 详细论证和说明调整的原因，独立董事应当对此发表独立意见。</w:t>
      </w:r>
    </w:p>
    <w:p>
      <w:pPr>
        <w:pStyle w:val="Style23"/>
        <w:keepNext w:val="0"/>
        <w:keepLines w:val="0"/>
        <w:widowControl w:val="0"/>
        <w:numPr>
          <w:ilvl w:val="0"/>
          <w:numId w:val="7"/>
        </w:numPr>
        <w:shd w:val="clear" w:color="auto" w:fill="auto"/>
        <w:tabs>
          <w:tab w:pos="896" w:val="left"/>
        </w:tabs>
        <w:bidi w:val="0"/>
        <w:spacing w:before="0" w:after="0" w:line="322" w:lineRule="exact"/>
        <w:ind w:left="0" w:right="0"/>
        <w:jc w:val="both"/>
      </w:pPr>
      <w:bookmarkStart w:id="137" w:name="bookmark137"/>
      <w:bookmarkEnd w:id="137"/>
      <w:r>
        <w:rPr>
          <w:color w:val="000000"/>
          <w:spacing w:val="0"/>
          <w:w w:val="100"/>
          <w:position w:val="0"/>
        </w:rPr>
        <w:t>公司重视对投资者的合理投资回报，每连续三年以现金方式累计分配的利润不少于连续三年实现的年均可分配利 润的百分之三十；每年以现金方式分配的利润不少于当年实现的可分配利润的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3"/>
        <w:keepNext w:val="0"/>
        <w:keepLines w:val="0"/>
        <w:widowControl w:val="0"/>
        <w:numPr>
          <w:ilvl w:val="0"/>
          <w:numId w:val="7"/>
        </w:numPr>
        <w:shd w:val="clear" w:color="auto" w:fill="auto"/>
        <w:tabs>
          <w:tab w:pos="896" w:val="left"/>
        </w:tabs>
        <w:bidi w:val="0"/>
        <w:spacing w:before="0" w:after="0" w:line="316" w:lineRule="exact"/>
        <w:ind w:left="0" w:right="0"/>
        <w:jc w:val="both"/>
      </w:pPr>
      <w:bookmarkStart w:id="138" w:name="bookmark138"/>
      <w:bookmarkEnd w:id="138"/>
      <w:r>
        <w:rPr>
          <w:color w:val="000000"/>
          <w:spacing w:val="0"/>
          <w:w w:val="100"/>
          <w:position w:val="0"/>
        </w:rPr>
        <w:t>公司对股利分配政策进行决策或因公司外部经营环境或自身经营状况发生较大变化而需要调整分红政策时，应首 先经独立董事同意并发表明确独立意见，然后分别提交董事会和监事会审议；在董事会和监事会审议通过后提交股东大会审 议批准；如果调整利润分配政策，调整后的利润分配政策不得违反中国证监会和证券交易所的有关规定。对于公司盈利但 董事会在年度利润分配方案中未作出现金利润分配预案的，应征询监事会的意见，并在定期报告中披露原因及未用于分红的 资金留存公司的用途，独立董事应当对此发表独立意见。</w:t>
      </w:r>
    </w:p>
    <w:p>
      <w:pPr>
        <w:pStyle w:val="Style23"/>
        <w:keepNext w:val="0"/>
        <w:keepLines w:val="0"/>
        <w:widowControl w:val="0"/>
        <w:numPr>
          <w:ilvl w:val="0"/>
          <w:numId w:val="7"/>
        </w:numPr>
        <w:shd w:val="clear" w:color="auto" w:fill="auto"/>
        <w:tabs>
          <w:tab w:pos="820" w:val="left"/>
        </w:tabs>
        <w:bidi w:val="0"/>
        <w:spacing w:before="0" w:after="120" w:line="313" w:lineRule="exact"/>
        <w:ind w:left="0" w:right="0"/>
        <w:jc w:val="left"/>
      </w:pPr>
      <w:bookmarkStart w:id="139" w:name="bookmark139"/>
      <w:bookmarkEnd w:id="139"/>
      <w:r>
        <w:rPr>
          <w:color w:val="000000"/>
          <w:spacing w:val="0"/>
          <w:w w:val="100"/>
          <w:position w:val="0"/>
        </w:rPr>
        <w:t>存在股东违规占用公司资金情况的，公司应当扣减该股东所分配的现金红利，以偿还其占用的资金。</w:t>
      </w:r>
    </w:p>
    <w:p>
      <w:pPr>
        <w:pStyle w:val="Style23"/>
        <w:keepNext w:val="0"/>
        <w:keepLines w:val="0"/>
        <w:widowControl w:val="0"/>
        <w:shd w:val="clear" w:color="auto" w:fill="auto"/>
        <w:tabs>
          <w:tab w:pos="764" w:val="left"/>
        </w:tabs>
        <w:bidi w:val="0"/>
        <w:spacing w:before="0" w:after="0"/>
        <w:ind w:left="0" w:right="0"/>
        <w:jc w:val="left"/>
      </w:pPr>
      <w:bookmarkStart w:id="140" w:name="bookmark140"/>
      <w:r>
        <w:rPr>
          <w:rFonts w:ascii="Times New Roman" w:eastAsia="Times New Roman" w:hAnsi="Times New Roman" w:cs="Times New Roman"/>
          <w:b/>
          <w:bCs/>
          <w:color w:val="000000"/>
          <w:spacing w:val="0"/>
          <w:w w:val="100"/>
          <w:position w:val="0"/>
        </w:rPr>
        <w:t>2</w:t>
      </w:r>
      <w:bookmarkEnd w:id="140"/>
      <w:r>
        <w:rPr>
          <w:b/>
          <w:bCs/>
          <w:color w:val="000000"/>
          <w:spacing w:val="0"/>
          <w:w w:val="100"/>
          <w:position w:val="0"/>
        </w:rPr>
        <w:t>、</w:t>
        <w:tab/>
        <w:t>利润分红政策执行情况</w:t>
      </w:r>
    </w:p>
    <w:p>
      <w:pPr>
        <w:pStyle w:val="Style23"/>
        <w:keepNext w:val="0"/>
        <w:keepLines w:val="0"/>
        <w:widowControl w:val="0"/>
        <w:numPr>
          <w:ilvl w:val="0"/>
          <w:numId w:val="9"/>
        </w:numPr>
        <w:shd w:val="clear" w:color="auto" w:fill="auto"/>
        <w:bidi w:val="0"/>
        <w:spacing w:before="0" w:after="0" w:line="307" w:lineRule="exact"/>
        <w:ind w:left="0" w:right="0"/>
        <w:jc w:val="both"/>
      </w:pPr>
      <w:bookmarkStart w:id="141" w:name="bookmark141"/>
      <w:bookmarkEnd w:id="141"/>
      <w:r>
        <w:rPr>
          <w:color w:val="000000"/>
          <w:spacing w:val="0"/>
          <w:w w:val="100"/>
          <w:position w:val="0"/>
        </w:rPr>
        <w:t>报告期内，公司严格执行《公司章程》有关现金分红政策，</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日召开的第二届董事会第十次会议和 第二届监事会第十一次会议分别审议通过了《关于公司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年度利润分配预案的议案》,公司董事会作出了充分论证和说明，</w:t>
        <w:br w:type="page"/>
      </w:r>
      <w:r>
        <w:rPr>
          <w:color w:val="000000"/>
          <w:spacing w:val="0"/>
          <w:w w:val="100"/>
          <w:position w:val="0"/>
        </w:rPr>
        <w:t>独立董事发表了独立意见；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 案》，以公司</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10,700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0.70</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7,490,000.00</w:t>
      </w:r>
      <w:r>
        <w:rPr>
          <w:color w:val="000000"/>
          <w:spacing w:val="0"/>
          <w:w w:val="100"/>
          <w:position w:val="0"/>
        </w:rPr>
        <w:t>元（含税），剩余未分配利润结转下一年度。根据</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日实施完 成了上述</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w:t>
      </w:r>
    </w:p>
    <w:p>
      <w:pPr>
        <w:pStyle w:val="Style23"/>
        <w:keepNext w:val="0"/>
        <w:keepLines w:val="0"/>
        <w:widowControl w:val="0"/>
        <w:shd w:val="clear" w:color="auto" w:fill="auto"/>
        <w:bidi w:val="0"/>
        <w:spacing w:before="0" w:after="80" w:line="314" w:lineRule="exact"/>
        <w:ind w:left="0" w:right="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日召开的第二届董事会第十六次会议和第二届监事会第十七次会议分别审议通过了《关于公司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年度利润分配及资本公积转增股本预案的议案》，公司拟以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年末的总股本</w:t>
      </w:r>
      <w:r>
        <w:rPr>
          <w:rFonts w:ascii="Times New Roman" w:eastAsia="Times New Roman" w:hAnsi="Times New Roman" w:cs="Times New Roman"/>
          <w:color w:val="000000"/>
          <w:spacing w:val="0"/>
          <w:w w:val="100"/>
          <w:position w:val="0"/>
        </w:rPr>
        <w:t>107,967,100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21,593,420.00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，剩余未分配利润结转下一年度；同时，拟以资本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107,967,100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215.934,200</w:t>
      </w:r>
      <w:r>
        <w:rPr>
          <w:color w:val="000000"/>
          <w:spacing w:val="0"/>
          <w:w w:val="100"/>
          <w:position w:val="0"/>
        </w:rPr>
        <w:t>股。公司独立董事 对此事项发表了同意意见，该议案尚需提交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tbl>
      <w:tblPr>
        <w:tblOverlap w:val="never"/>
        <w:jc w:val="center"/>
        <w:tblLayout w:type="fixed"/>
      </w:tblPr>
      <w:tblGrid>
        <w:gridCol w:w="4229"/>
        <w:gridCol w:w="5357"/>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21,593,420.00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182,234,099.73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107,967,100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2.00</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21,593,420.00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，剩余未分配利润结转下一年度；同时，拟以资本公积金向全体股东每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股，合计转增 </w:t>
            </w:r>
            <w:r>
              <w:rPr>
                <w:rFonts w:ascii="Times New Roman" w:eastAsia="Times New Roman" w:hAnsi="Times New Roman" w:cs="Times New Roman"/>
                <w:color w:val="000000"/>
                <w:spacing w:val="0"/>
                <w:w w:val="100"/>
                <w:position w:val="0"/>
              </w:rPr>
              <w:t>107,967,100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215.934,200</w:t>
            </w:r>
            <w:r>
              <w:rPr>
                <w:color w:val="000000"/>
                <w:spacing w:val="0"/>
                <w:w w:val="100"/>
                <w:position w:val="0"/>
              </w:rPr>
              <w:t>股。公司独立董事对此事项发表了同意意见，该事项尚需提交</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年度股东大会审议。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widowControl w:val="0"/>
        <w:spacing w:after="79" w:line="1" w:lineRule="exact"/>
      </w:pPr>
    </w:p>
    <w:p>
      <w:pPr>
        <w:pStyle w:val="Style23"/>
        <w:keepNext w:val="0"/>
        <w:keepLines w:val="0"/>
        <w:widowControl w:val="0"/>
        <w:shd w:val="clear" w:color="auto" w:fill="auto"/>
        <w:bidi w:val="0"/>
        <w:spacing w:before="0" w:after="80" w:line="240" w:lineRule="auto"/>
        <w:ind w:left="0" w:right="0"/>
        <w:jc w:val="left"/>
      </w:pPr>
      <w:bookmarkStart w:id="143" w:name="bookmark143"/>
      <w:r>
        <w:rPr>
          <w:rFonts w:ascii="Times New Roman" w:eastAsia="Times New Roman" w:hAnsi="Times New Roman" w:cs="Times New Roman"/>
          <w:b/>
          <w:bCs/>
          <w:color w:val="000000"/>
          <w:spacing w:val="0"/>
          <w:w w:val="100"/>
          <w:position w:val="0"/>
        </w:rPr>
        <w:t>1</w:t>
      </w:r>
      <w:bookmarkEnd w:id="143"/>
      <w:r>
        <w:rPr>
          <w:b/>
          <w:bCs/>
          <w:color w:val="000000"/>
          <w:spacing w:val="0"/>
          <w:w w:val="100"/>
          <w:position w:val="0"/>
        </w:rPr>
        <w:t>、</w:t>
      </w:r>
      <w:r>
        <w:rPr>
          <w:rFonts w:ascii="Times New Roman" w:eastAsia="Times New Roman" w:hAnsi="Times New Roman" w:cs="Times New Roman"/>
          <w:b/>
          <w:bCs/>
          <w:color w:val="000000"/>
          <w:spacing w:val="0"/>
          <w:w w:val="100"/>
          <w:position w:val="0"/>
        </w:rPr>
        <w:t>2011</w:t>
      </w:r>
      <w:r>
        <w:rPr>
          <w:b/>
          <w:bCs/>
          <w:color w:val="000000"/>
          <w:spacing w:val="0"/>
          <w:w w:val="100"/>
          <w:position w:val="0"/>
        </w:rPr>
        <w:t>年度利润分配方案及资本公积金转增股本方案</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年度利润分配及资本公积转增股本预案的议案》， 以公司</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 xml:space="preserve">5,350,000.00 </w:t>
      </w:r>
      <w:r>
        <w:rPr>
          <w:color w:val="000000"/>
          <w:spacing w:val="0"/>
          <w:w w:val="100"/>
          <w:position w:val="0"/>
        </w:rPr>
        <w:t>元，剩余未分配利润结转下一年度；同时，以</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5,350 </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rPr>
        <w:t>10,700</w:t>
      </w:r>
      <w:r>
        <w:rPr>
          <w:color w:val="000000"/>
          <w:spacing w:val="0"/>
          <w:w w:val="100"/>
          <w:position w:val="0"/>
        </w:rPr>
        <w:t>万股。公司已于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日实施完成了上述</w:t>
      </w:r>
      <w:r>
        <w:rPr>
          <w:rFonts w:ascii="Times New Roman" w:eastAsia="Times New Roman" w:hAnsi="Times New Roman" w:cs="Times New Roman"/>
          <w:color w:val="000000"/>
          <w:spacing w:val="0"/>
          <w:w w:val="100"/>
          <w:position w:val="0"/>
        </w:rPr>
        <w:t>2 011</w:t>
      </w:r>
      <w:r>
        <w:rPr>
          <w:color w:val="000000"/>
          <w:spacing w:val="0"/>
          <w:w w:val="100"/>
          <w:position w:val="0"/>
        </w:rPr>
        <w:t>年度权益分派。</w:t>
      </w:r>
    </w:p>
    <w:p>
      <w:pPr>
        <w:pStyle w:val="Style23"/>
        <w:keepNext w:val="0"/>
        <w:keepLines w:val="0"/>
        <w:widowControl w:val="0"/>
        <w:shd w:val="clear" w:color="auto" w:fill="auto"/>
        <w:tabs>
          <w:tab w:pos="706" w:val="left"/>
        </w:tabs>
        <w:bidi w:val="0"/>
        <w:spacing w:before="0" w:after="0" w:line="312" w:lineRule="exact"/>
        <w:ind w:left="0" w:right="0"/>
        <w:jc w:val="both"/>
      </w:pPr>
      <w:bookmarkStart w:id="144" w:name="bookmark144"/>
      <w:r>
        <w:rPr>
          <w:rFonts w:ascii="Times New Roman" w:eastAsia="Times New Roman" w:hAnsi="Times New Roman" w:cs="Times New Roman"/>
          <w:b/>
          <w:bCs/>
          <w:color w:val="000000"/>
          <w:spacing w:val="0"/>
          <w:w w:val="100"/>
          <w:position w:val="0"/>
        </w:rPr>
        <w:t>2</w:t>
      </w:r>
      <w:bookmarkEnd w:id="144"/>
      <w:r>
        <w:rPr>
          <w:b/>
          <w:bCs/>
          <w:color w:val="000000"/>
          <w:spacing w:val="0"/>
          <w:w w:val="100"/>
          <w:position w:val="0"/>
        </w:rPr>
        <w:t>、</w:t>
        <w:tab/>
      </w:r>
      <w:r>
        <w:rPr>
          <w:rFonts w:ascii="Times New Roman" w:eastAsia="Times New Roman" w:hAnsi="Times New Roman" w:cs="Times New Roman"/>
          <w:b/>
          <w:bCs/>
          <w:color w:val="000000"/>
          <w:spacing w:val="0"/>
          <w:w w:val="100"/>
          <w:position w:val="0"/>
        </w:rPr>
        <w:t>2012</w:t>
      </w:r>
      <w:r>
        <w:rPr>
          <w:b/>
          <w:bCs/>
          <w:color w:val="000000"/>
          <w:spacing w:val="0"/>
          <w:w w:val="100"/>
          <w:position w:val="0"/>
        </w:rPr>
        <w:t>年度利润分配方案</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日第二届董事会第十次会议和第二届监事会第十一次会议分别审议通过了《关于公司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 案的议案》，</w:t>
      </w:r>
      <w:r>
        <w:rPr>
          <w:rFonts w:ascii="Times New Roman" w:eastAsia="Times New Roman" w:hAnsi="Times New Roman" w:cs="Times New Roman"/>
          <w:color w:val="000000"/>
          <w:spacing w:val="0"/>
          <w:w w:val="100"/>
          <w:position w:val="0"/>
        </w:rPr>
        <w:t>2012</w:t>
      </w:r>
      <w:r>
        <w:rPr>
          <w:color w:val="000000"/>
          <w:spacing w:val="0"/>
          <w:w w:val="100"/>
          <w:position w:val="0"/>
        </w:rPr>
        <w:t>年利润分配预案为：以公司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10,700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7,490,000.00</w:t>
      </w:r>
      <w:r>
        <w:rPr>
          <w:color w:val="000000"/>
          <w:spacing w:val="0"/>
          <w:w w:val="100"/>
          <w:position w:val="0"/>
        </w:rPr>
        <w:t>元（含税），剩余未分配利润结转下一年度。公司已于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 施完成上述</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p>
    <w:p>
      <w:pPr>
        <w:pStyle w:val="Style23"/>
        <w:keepNext w:val="0"/>
        <w:keepLines w:val="0"/>
        <w:widowControl w:val="0"/>
        <w:shd w:val="clear" w:color="auto" w:fill="auto"/>
        <w:tabs>
          <w:tab w:pos="706" w:val="left"/>
        </w:tabs>
        <w:bidi w:val="0"/>
        <w:spacing w:before="0" w:after="0" w:line="312" w:lineRule="exact"/>
        <w:ind w:left="0" w:right="0"/>
        <w:jc w:val="both"/>
      </w:pPr>
      <w:bookmarkStart w:id="145" w:name="bookmark145"/>
      <w:r>
        <w:rPr>
          <w:rFonts w:ascii="Times New Roman" w:eastAsia="Times New Roman" w:hAnsi="Times New Roman" w:cs="Times New Roman"/>
          <w:b/>
          <w:bCs/>
          <w:color w:val="000000"/>
          <w:spacing w:val="0"/>
          <w:w w:val="100"/>
          <w:position w:val="0"/>
        </w:rPr>
        <w:t>3</w:t>
      </w:r>
      <w:bookmarkEnd w:id="145"/>
      <w:r>
        <w:rPr>
          <w:b/>
          <w:bCs/>
          <w:color w:val="000000"/>
          <w:spacing w:val="0"/>
          <w:w w:val="100"/>
          <w:position w:val="0"/>
        </w:rPr>
        <w:t>、</w:t>
        <w:tab/>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年度利润分配方案及资本公积金转增股本预案</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日第二届董事会第十六次会议和第二届监事会第十七次会议分别审议通过了《关于公司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年度利润分配及 资本公积转增股本预案的议案》，公司拟以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年末的总股本</w:t>
      </w:r>
      <w:r>
        <w:rPr>
          <w:rFonts w:ascii="Times New Roman" w:eastAsia="Times New Roman" w:hAnsi="Times New Roman" w:cs="Times New Roman"/>
          <w:color w:val="000000"/>
          <w:spacing w:val="0"/>
          <w:w w:val="100"/>
          <w:position w:val="0"/>
        </w:rPr>
        <w:t>107,967,100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rPr>
        <w:t>2.00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21,593,420.00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，剩余未分配利润结转下一年度；同时，拟以资本公积金向全体股东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107,967,100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215.934,200</w:t>
      </w:r>
      <w:r>
        <w:rPr>
          <w:color w:val="000000"/>
          <w:spacing w:val="0"/>
          <w:w w:val="100"/>
          <w:position w:val="0"/>
        </w:rPr>
        <w:t>股。公司独立董事对此事项发表了同意意 见，该事项尚需提交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81"/>
        <w:gridCol w:w="240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80,604,028.76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52,849,948.41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44,292,891.86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w:t>
            </w:r>
          </w:p>
        </w:tc>
      </w:tr>
    </w:tbl>
    <w:p>
      <w:pPr>
        <w:pStyle w:val="Style2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六</w:t>
      </w:r>
      <w:bookmarkEnd w:id="148"/>
      <w:r>
        <w:rPr>
          <w:color w:val="000000"/>
          <w:spacing w:val="0"/>
          <w:w w:val="100"/>
          <w:position w:val="0"/>
          <w:sz w:val="24"/>
          <w:szCs w:val="24"/>
        </w:rPr>
        <w:t>、内幕信息知情人管理制度的建立和执行情况</w:t>
      </w:r>
      <w:bookmarkEnd w:id="146"/>
      <w:bookmarkEnd w:id="147"/>
      <w:bookmarkEnd w:id="149"/>
    </w:p>
    <w:p>
      <w:pPr>
        <w:pStyle w:val="Style23"/>
        <w:keepNext w:val="0"/>
        <w:keepLines w:val="0"/>
        <w:widowControl w:val="0"/>
        <w:shd w:val="clear" w:color="auto" w:fill="auto"/>
        <w:tabs>
          <w:tab w:pos="311" w:val="left"/>
        </w:tabs>
        <w:bidi w:val="0"/>
        <w:spacing w:before="0" w:after="0"/>
        <w:ind w:left="0" w:right="0" w:firstLine="0"/>
        <w:jc w:val="left"/>
      </w:pPr>
      <w:bookmarkStart w:id="150" w:name="bookmark150"/>
      <w:r>
        <w:rPr>
          <w:rFonts w:ascii="Times New Roman" w:eastAsia="Times New Roman" w:hAnsi="Times New Roman" w:cs="Times New Roman"/>
          <w:b/>
          <w:bCs/>
          <w:color w:val="000000"/>
          <w:spacing w:val="0"/>
          <w:w w:val="100"/>
          <w:position w:val="0"/>
        </w:rPr>
        <w:t>1</w:t>
      </w:r>
      <w:bookmarkEnd w:id="150"/>
      <w:r>
        <w:rPr>
          <w:b/>
          <w:bCs/>
          <w:color w:val="000000"/>
          <w:spacing w:val="0"/>
          <w:w w:val="100"/>
          <w:position w:val="0"/>
        </w:rPr>
        <w:t>、</w:t>
        <w:tab/>
        <w:t>内幕信息知情人管理制度的建设情况</w:t>
      </w:r>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为了规范公司的内幕信息管理，加强内幕信息保密工作，维护信息披露公开、公平、公正原则，保护广大投资者的合法权益， 根据《公司法》、《证券法》、《上市公司信息披露管理办法》、《深圳证券交易所创业板股票上市规则》等有关法律、法 规、规范性文件及《公司章程》的有关规定，公司专门制定了《内幕信息知情人登记管理制度》于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日经公司第 一届董事会第二十次会议审议通过，并于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月进行了修订。</w:t>
      </w:r>
    </w:p>
    <w:p>
      <w:pPr>
        <w:pStyle w:val="Style23"/>
        <w:keepNext w:val="0"/>
        <w:keepLines w:val="0"/>
        <w:widowControl w:val="0"/>
        <w:shd w:val="clear" w:color="auto" w:fill="auto"/>
        <w:tabs>
          <w:tab w:pos="326" w:val="left"/>
        </w:tabs>
        <w:bidi w:val="0"/>
        <w:spacing w:before="0" w:after="0"/>
        <w:ind w:left="0" w:right="0" w:firstLine="0"/>
        <w:jc w:val="left"/>
      </w:pPr>
      <w:bookmarkStart w:id="151" w:name="bookmark151"/>
      <w:r>
        <w:rPr>
          <w:rFonts w:ascii="Times New Roman" w:eastAsia="Times New Roman" w:hAnsi="Times New Roman" w:cs="Times New Roman"/>
          <w:b/>
          <w:bCs/>
          <w:color w:val="000000"/>
          <w:spacing w:val="0"/>
          <w:w w:val="100"/>
          <w:position w:val="0"/>
        </w:rPr>
        <w:t>2</w:t>
      </w:r>
      <w:bookmarkEnd w:id="151"/>
      <w:r>
        <w:rPr>
          <w:b/>
          <w:bCs/>
          <w:color w:val="000000"/>
          <w:spacing w:val="0"/>
          <w:w w:val="100"/>
          <w:position w:val="0"/>
        </w:rPr>
        <w:t>、</w:t>
        <w:tab/>
        <w:t>内幕信息知情人管理制度的执行情况</w:t>
      </w:r>
    </w:p>
    <w:p>
      <w:pPr>
        <w:pStyle w:val="Style23"/>
        <w:keepNext w:val="0"/>
        <w:keepLines w:val="0"/>
        <w:widowControl w:val="0"/>
        <w:shd w:val="clear" w:color="auto" w:fill="auto"/>
        <w:tabs>
          <w:tab w:pos="792" w:val="left"/>
        </w:tabs>
        <w:bidi w:val="0"/>
        <w:spacing w:before="0" w:after="0" w:line="312" w:lineRule="exact"/>
        <w:ind w:left="0" w:right="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1</w:t>
      </w:r>
      <w:r>
        <w:rPr>
          <w:color w:val="000000"/>
          <w:spacing w:val="0"/>
          <w:w w:val="100"/>
          <w:position w:val="0"/>
        </w:rPr>
        <w:t>）</w:t>
        <w:tab/>
        <w:t>定期报告披露期间的信息保密工作</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报告期内，公司严格执行内幕信息保密制度，严格规范信息传递流程，在定期报告披露期间，对于未公开信息，公司总 经理办公室都会严格控制知情人范围并组织相关内幕信息知情人填写《内幕信息知情人档案》，如实、完整记录上述信息在 公开前的所有内幕信息知情人名单，以及知情人知悉内幕信息的时间等。经公司总经理办公室核实无误后，按照相关规定在 向深交所报送定期报告相关资料的同时报备内幕信息知情人登记情况。</w:t>
      </w:r>
    </w:p>
    <w:p>
      <w:pPr>
        <w:pStyle w:val="Style23"/>
        <w:keepNext w:val="0"/>
        <w:keepLines w:val="0"/>
        <w:widowControl w:val="0"/>
        <w:shd w:val="clear" w:color="auto" w:fill="auto"/>
        <w:tabs>
          <w:tab w:pos="792" w:val="left"/>
        </w:tabs>
        <w:bidi w:val="0"/>
        <w:spacing w:before="0" w:after="0" w:line="312" w:lineRule="exact"/>
        <w:ind w:left="0" w:right="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2</w:t>
      </w:r>
      <w:r>
        <w:rPr>
          <w:color w:val="000000"/>
          <w:spacing w:val="0"/>
          <w:w w:val="100"/>
          <w:position w:val="0"/>
        </w:rPr>
        <w:t>）</w:t>
        <w:tab/>
        <w:t>投资者调研期间的信息保密工作</w:t>
      </w:r>
    </w:p>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在定期报告及重大事项披露期间，公司尽量避免接待投资者的调研，努力做好定期报告及重大事项披露期间的信息保密 工作。在日常接待投资者调研时，公司总经理办公室负责履行相关的信息保密工作程序。在进行调研前，先对调研人员的个 人信息进行备案，同时要求签署投资者调研登记表与保密承诺书，并承诺在对外出具报告前需经公司总经理办公室确认。在</w:t>
        <w:br w:type="page"/>
      </w:r>
      <w:r>
        <w:rPr>
          <w:color w:val="000000"/>
          <w:spacing w:val="0"/>
          <w:w w:val="100"/>
          <w:position w:val="0"/>
        </w:rPr>
        <w:t>调研过程中，总经理办公室人员认真做好相关会议记录，并按照相关法规规定向深交所报备。</w:t>
      </w:r>
    </w:p>
    <w:p>
      <w:pPr>
        <w:pStyle w:val="Style23"/>
        <w:keepNext w:val="0"/>
        <w:keepLines w:val="0"/>
        <w:widowControl w:val="0"/>
        <w:shd w:val="clear" w:color="auto" w:fill="auto"/>
        <w:bidi w:val="0"/>
        <w:spacing w:before="0" w:after="0" w:line="312" w:lineRule="exact"/>
        <w:ind w:left="0" w:right="0" w:firstLine="36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）其他重大事件的信息保密工作</w:t>
      </w:r>
    </w:p>
    <w:p>
      <w:pPr>
        <w:pStyle w:val="Style23"/>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在其他重大事项（如对外投资等）未披露前，公司及相关信息披露义务人采取保密措施，签订相关保密协议，以保证信 息处于可控范围。</w:t>
      </w:r>
    </w:p>
    <w:p>
      <w:pPr>
        <w:pStyle w:val="Style23"/>
        <w:keepNext w:val="0"/>
        <w:keepLines w:val="0"/>
        <w:widowControl w:val="0"/>
        <w:shd w:val="clear" w:color="auto" w:fill="auto"/>
        <w:bidi w:val="0"/>
        <w:spacing w:before="0" w:after="0"/>
        <w:ind w:left="0" w:right="0" w:firstLine="360"/>
        <w:jc w:val="both"/>
      </w:pPr>
      <w:bookmarkStart w:id="155" w:name="bookmark155"/>
      <w:r>
        <w:rPr>
          <w:rFonts w:ascii="Times New Roman" w:eastAsia="Times New Roman" w:hAnsi="Times New Roman" w:cs="Times New Roman"/>
          <w:b/>
          <w:bCs/>
          <w:color w:val="000000"/>
          <w:spacing w:val="0"/>
          <w:w w:val="100"/>
          <w:position w:val="0"/>
        </w:rPr>
        <w:t>3</w:t>
      </w:r>
      <w:bookmarkEnd w:id="155"/>
      <w:r>
        <w:rPr>
          <w:b/>
          <w:bCs/>
          <w:color w:val="000000"/>
          <w:spacing w:val="0"/>
          <w:w w:val="100"/>
          <w:position w:val="0"/>
        </w:rPr>
        <w:t>、报告期内自查内幕信息知情人涉嫌内幕交易以及监管部门的查处和整改情况</w:t>
      </w:r>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报告期内，公司董事、监事及高级管理人员和其他相关知情人严格遵守了内幕信息知情人管理制度，未发现有内幕信息 知情人利用内幕信息买卖本公司股份的情况。报告期内公司也未发生受到监管部门查处和整改的情形。</w:t>
      </w:r>
    </w:p>
    <w:p>
      <w:pPr>
        <w:pStyle w:val="Style21"/>
        <w:keepNext/>
        <w:keepLines/>
        <w:widowControl w:val="0"/>
        <w:shd w:val="clear" w:color="auto" w:fill="auto"/>
        <w:bidi w:val="0"/>
        <w:spacing w:before="0" w:after="32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七</w:t>
      </w:r>
      <w:bookmarkEnd w:id="158"/>
      <w:r>
        <w:rPr>
          <w:color w:val="000000"/>
          <w:spacing w:val="0"/>
          <w:w w:val="100"/>
          <w:position w:val="0"/>
          <w:sz w:val="24"/>
          <w:szCs w:val="24"/>
        </w:rPr>
        <w:t>、报告期内接待调研、沟通、采访等活动登记表</w:t>
      </w:r>
      <w:bookmarkEnd w:id="156"/>
      <w:bookmarkEnd w:id="157"/>
      <w:bookmarkEnd w:id="159"/>
    </w:p>
    <w:tbl>
      <w:tblPr>
        <w:tblOverlap w:val="never"/>
        <w:jc w:val="center"/>
        <w:tblLayout w:type="fixed"/>
      </w:tblPr>
      <w:tblGrid>
        <w:gridCol w:w="1502"/>
        <w:gridCol w:w="1493"/>
        <w:gridCol w:w="1498"/>
        <w:gridCol w:w="1498"/>
        <w:gridCol w:w="1498"/>
        <w:gridCol w:w="20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民生证券</w:t>
            </w:r>
            <w:r>
              <w:rPr>
                <w:rFonts w:ascii="Times New Roman" w:eastAsia="Times New Roman" w:hAnsi="Times New Roman" w:cs="Times New Roman"/>
                <w:color w:val="000000"/>
                <w:spacing w:val="0"/>
                <w:w w:val="100"/>
                <w:position w:val="0"/>
              </w:rPr>
              <w:t>TMT</w:t>
            </w:r>
            <w:r>
              <w:rPr>
                <w:color w:val="000000"/>
                <w:spacing w:val="0"/>
                <w:w w:val="100"/>
                <w:position w:val="0"/>
              </w:rPr>
              <w:t>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资策略会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介绍公司</w:t>
            </w:r>
            <w:r>
              <w:rPr>
                <w:rFonts w:ascii="Times New Roman" w:eastAsia="Times New Roman" w:hAnsi="Times New Roman" w:cs="Times New Roman"/>
                <w:color w:val="000000"/>
                <w:spacing w:val="0"/>
                <w:w w:val="100"/>
                <w:position w:val="0"/>
              </w:rPr>
              <w:t>2012</w:t>
            </w:r>
            <w:r>
              <w:rPr>
                <w:color w:val="000000"/>
                <w:spacing w:val="0"/>
                <w:w w:val="100"/>
                <w:position w:val="0"/>
              </w:rPr>
              <w:t>年主要经营 业绩及公司未来发展战略 等</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招商证券计算机行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业上市公司交流会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了解行业发展趋势、市场 竞争状况、公司竞争优劣 势等，介绍公司</w:t>
            </w:r>
            <w:r>
              <w:rPr>
                <w:rFonts w:ascii="Times New Roman" w:eastAsia="Times New Roman" w:hAnsi="Times New Roman" w:cs="Times New Roman"/>
                <w:color w:val="000000"/>
                <w:spacing w:val="0"/>
                <w:w w:val="100"/>
                <w:position w:val="0"/>
              </w:rPr>
              <w:t>2012</w:t>
            </w:r>
            <w:r>
              <w:rPr>
                <w:color w:val="000000"/>
                <w:spacing w:val="0"/>
                <w:w w:val="100"/>
                <w:position w:val="0"/>
              </w:rPr>
              <w:t>年报 情况及公司未来发展战略 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长江证券计算机行 业上市公司交流会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了解行业发展趋势、市场 竞争状况、公司竞争优劣 势等，介绍公司</w:t>
            </w:r>
            <w:r>
              <w:rPr>
                <w:rFonts w:ascii="Times New Roman" w:eastAsia="Times New Roman" w:hAnsi="Times New Roman" w:cs="Times New Roman"/>
                <w:color w:val="000000"/>
                <w:spacing w:val="0"/>
                <w:w w:val="100"/>
                <w:position w:val="0"/>
              </w:rPr>
              <w:t>2012</w:t>
            </w:r>
            <w:r>
              <w:rPr>
                <w:color w:val="000000"/>
                <w:spacing w:val="0"/>
                <w:w w:val="100"/>
                <w:position w:val="0"/>
              </w:rPr>
              <w:t>年报 情况及公司未来发展战略 等</w:t>
            </w:r>
          </w:p>
        </w:tc>
      </w:tr>
      <w:tr>
        <w:trPr>
          <w:trHeight w:val="50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方正证券、华夏基 金、景顺长城基金、 国泰君安证券、国 信证券、银河基金、 宏源证券、招商证 券、广发证券、长 信基金、西部证券、 湘财证券、玖歌投 资、中欧基金、天 弘基金、弘尚资产、 天治基金、泰信基 金、富利投资、鼎 锋资产、广发基金、 华宝兴业基金、嘉 实基金、华商基金、 中投证券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了解行业发展趋势、市场 竞争状况、公司竞争优劣 势等，介绍公司</w:t>
            </w:r>
            <w:r>
              <w:rPr>
                <w:rFonts w:ascii="Times New Roman" w:eastAsia="Times New Roman" w:hAnsi="Times New Roman" w:cs="Times New Roman"/>
                <w:color w:val="000000"/>
                <w:spacing w:val="0"/>
                <w:w w:val="100"/>
                <w:position w:val="0"/>
              </w:rPr>
              <w:t>2013</w:t>
            </w:r>
            <w:r>
              <w:rPr>
                <w:color w:val="000000"/>
                <w:spacing w:val="0"/>
                <w:w w:val="100"/>
                <w:position w:val="0"/>
              </w:rPr>
              <w:t>年三 季报情况及公司未来发展 战略、医保控费业务情况 等</w:t>
            </w:r>
          </w:p>
        </w:tc>
      </w:tr>
    </w:tbl>
    <w:p>
      <w:pPr>
        <w:pStyle w:val="Style13"/>
        <w:keepNext/>
        <w:keepLines/>
        <w:widowControl w:val="0"/>
        <w:shd w:val="clear" w:color="auto" w:fill="auto"/>
        <w:bidi w:val="0"/>
        <w:spacing w:before="0" w:line="240" w:lineRule="auto"/>
        <w:ind w:left="0" w:right="0" w:firstLine="0"/>
        <w:jc w:val="center"/>
      </w:pPr>
      <w:bookmarkStart w:id="160" w:name="bookmark160"/>
      <w:bookmarkStart w:id="161" w:name="bookmark161"/>
      <w:bookmarkStart w:id="162" w:name="bookmark162"/>
      <w:r>
        <w:rPr>
          <w:color w:val="000000"/>
          <w:spacing w:val="0"/>
          <w:w w:val="100"/>
          <w:position w:val="0"/>
        </w:rPr>
        <w:t>第五节重要事项</w:t>
      </w:r>
      <w:bookmarkEnd w:id="160"/>
      <w:bookmarkEnd w:id="161"/>
      <w:bookmarkEnd w:id="162"/>
    </w:p>
    <w:p>
      <w:pPr>
        <w:pStyle w:val="Style21"/>
        <w:keepNext/>
        <w:keepLines/>
        <w:widowControl w:val="0"/>
        <w:shd w:val="clear" w:color="auto" w:fill="auto"/>
        <w:tabs>
          <w:tab w:pos="522" w:val="left"/>
        </w:tabs>
        <w:bidi w:val="0"/>
        <w:spacing w:before="0" w:after="340" w:line="240" w:lineRule="auto"/>
        <w:ind w:left="0" w:right="0" w:firstLine="0"/>
        <w:jc w:val="both"/>
      </w:pPr>
      <w:bookmarkStart w:id="163" w:name="bookmark163"/>
      <w:bookmarkStart w:id="164" w:name="bookmark164"/>
      <w:bookmarkStart w:id="165" w:name="bookmark165"/>
      <w:bookmarkStart w:id="166" w:name="bookmark166"/>
      <w:bookmarkStart w:id="167" w:name="bookmark167"/>
      <w:r>
        <w:rPr>
          <w:color w:val="000000"/>
          <w:spacing w:val="0"/>
          <w:w w:val="100"/>
          <w:position w:val="0"/>
          <w:sz w:val="24"/>
          <w:szCs w:val="24"/>
        </w:rPr>
        <w:t>一</w:t>
      </w:r>
      <w:bookmarkEnd w:id="166"/>
      <w:r>
        <w:rPr>
          <w:color w:val="000000"/>
          <w:spacing w:val="0"/>
          <w:w w:val="100"/>
          <w:position w:val="0"/>
          <w:sz w:val="24"/>
          <w:szCs w:val="24"/>
        </w:rPr>
        <w:t>、</w:t>
        <w:tab/>
        <w:t>重大诉讼仲裁事项</w:t>
      </w:r>
      <w:bookmarkEnd w:id="164"/>
      <w:bookmarkEnd w:id="165"/>
      <w:bookmarkEnd w:id="167"/>
      <w:bookmarkEnd w:id="163"/>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21"/>
        <w:keepNext/>
        <w:keepLines/>
        <w:widowControl w:val="0"/>
        <w:shd w:val="clear" w:color="auto" w:fill="auto"/>
        <w:tabs>
          <w:tab w:pos="522" w:val="left"/>
        </w:tabs>
        <w:bidi w:val="0"/>
        <w:spacing w:before="0" w:after="34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二</w:t>
      </w:r>
      <w:bookmarkEnd w:id="170"/>
      <w:r>
        <w:rPr>
          <w:color w:val="000000"/>
          <w:spacing w:val="0"/>
          <w:w w:val="100"/>
          <w:position w:val="0"/>
          <w:sz w:val="24"/>
          <w:szCs w:val="24"/>
        </w:rPr>
        <w:t>、</w:t>
        <w:tab/>
        <w:t>上市公司发生控股股东及其关联方非经营性占用资金情况</w:t>
      </w:r>
      <w:bookmarkEnd w:id="168"/>
      <w:bookmarkEnd w:id="169"/>
      <w:bookmarkEnd w:id="1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60"/>
        <w:gridCol w:w="955"/>
        <w:gridCol w:w="960"/>
        <w:gridCol w:w="960"/>
        <w:gridCol w:w="955"/>
        <w:gridCol w:w="9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期末合计值占期末净资产的比例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both"/>
      </w:pPr>
      <w:bookmarkStart w:id="172" w:name="bookmark172"/>
      <w:bookmarkStart w:id="173" w:name="bookmark173"/>
      <w:bookmarkStart w:id="174" w:name="bookmark174"/>
      <w:bookmarkStart w:id="175" w:name="bookmark175"/>
      <w:r>
        <w:rPr>
          <w:color w:val="000000"/>
          <w:spacing w:val="0"/>
          <w:w w:val="100"/>
          <w:position w:val="0"/>
          <w:sz w:val="24"/>
          <w:szCs w:val="24"/>
        </w:rPr>
        <w:t>三</w:t>
      </w:r>
      <w:bookmarkEnd w:id="174"/>
      <w:r>
        <w:rPr>
          <w:color w:val="000000"/>
          <w:spacing w:val="0"/>
          <w:w w:val="100"/>
          <w:position w:val="0"/>
          <w:sz w:val="24"/>
          <w:szCs w:val="24"/>
        </w:rPr>
        <w:t>、破产重整相关事项</w:t>
      </w:r>
      <w:bookmarkEnd w:id="172"/>
      <w:bookmarkEnd w:id="173"/>
      <w:bookmarkEnd w:id="175"/>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破产重整相关事项临时报告披露网站查询</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sz w:val="24"/>
          <w:szCs w:val="24"/>
        </w:rPr>
        <w:t>四</w:t>
      </w:r>
      <w:bookmarkEnd w:id="178"/>
      <w:r>
        <w:rPr>
          <w:color w:val="000000"/>
          <w:spacing w:val="0"/>
          <w:w w:val="100"/>
          <w:position w:val="0"/>
          <w:sz w:val="24"/>
          <w:szCs w:val="24"/>
        </w:rPr>
        <w:t>、资产交易事项</w:t>
      </w:r>
      <w:bookmarkEnd w:id="176"/>
      <w:bookmarkEnd w:id="177"/>
      <w:bookmarkEnd w:id="179"/>
    </w:p>
    <w:p>
      <w:pPr>
        <w:pStyle w:val="Style31"/>
        <w:keepNext/>
        <w:keepLines/>
        <w:widowControl w:val="0"/>
        <w:shd w:val="clear" w:color="auto" w:fill="auto"/>
        <w:bidi w:val="0"/>
        <w:spacing w:before="0" w:after="34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、收购资产情况</w:t>
      </w:r>
      <w:bookmarkEnd w:id="180"/>
      <w:bookmarkEnd w:id="181"/>
      <w:bookmarkEnd w:id="183"/>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对公司损 益的影响</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该资产为</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上市公司</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贡献的净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与交易对 方的关联 关系（适用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情形</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收购资产情况说明</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、出售资产情况</w:t>
      </w:r>
      <w:bookmarkEnd w:id="184"/>
      <w:bookmarkEnd w:id="185"/>
      <w:bookmarkEnd w:id="187"/>
    </w:p>
    <w:tbl>
      <w:tblPr>
        <w:tblOverlap w:val="never"/>
        <w:jc w:val="center"/>
        <w:tblLayout w:type="fixed"/>
      </w:tblPr>
      <w:tblGrid>
        <w:gridCol w:w="686"/>
        <w:gridCol w:w="682"/>
        <w:gridCol w:w="686"/>
        <w:gridCol w:w="696"/>
        <w:gridCol w:w="658"/>
        <w:gridCol w:w="710"/>
        <w:gridCol w:w="658"/>
        <w:gridCol w:w="696"/>
        <w:gridCol w:w="691"/>
        <w:gridCol w:w="667"/>
        <w:gridCol w:w="691"/>
        <w:gridCol w:w="682"/>
        <w:gridCol w:w="682"/>
        <w:gridCol w:w="696"/>
      </w:tblGrid>
      <w:tr>
        <w:trPr>
          <w:trHeight w:val="290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1" w:lineRule="exact"/>
              <w:ind w:left="0" w:right="0" w:firstLine="0"/>
              <w:jc w:val="both"/>
            </w:pPr>
            <w:r>
              <w:rPr>
                <w:color w:val="000000"/>
                <w:spacing w:val="0"/>
                <w:w w:val="100"/>
                <w:position w:val="0"/>
              </w:rPr>
              <w:t>资产出 售为上 市公司 贡献的 净利润 占净利 润总额 的比例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出售资产情况说明</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、企业合并情况</w:t>
      </w:r>
      <w:bookmarkEnd w:id="188"/>
      <w:bookmarkEnd w:id="189"/>
      <w:bookmarkEnd w:id="191"/>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260" w:line="326" w:lineRule="exact"/>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、自资产重组报告书或收购出售资产公告刊登后，该事项的进展情况及对报告期经营成果与财务状况的 影响</w:t>
      </w:r>
      <w:bookmarkEnd w:id="192"/>
      <w:bookmarkEnd w:id="193"/>
      <w:bookmarkEnd w:id="195"/>
    </w:p>
    <w:p>
      <w:pPr>
        <w:pStyle w:val="Style2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五</w:t>
      </w:r>
      <w:bookmarkEnd w:id="198"/>
      <w:r>
        <w:rPr>
          <w:color w:val="000000"/>
          <w:spacing w:val="0"/>
          <w:w w:val="100"/>
          <w:position w:val="0"/>
          <w:sz w:val="24"/>
          <w:szCs w:val="24"/>
        </w:rPr>
        <w:t>、公司股权激励的实施情况及其影响</w:t>
      </w:r>
      <w:bookmarkEnd w:id="196"/>
      <w:bookmarkEnd w:id="197"/>
      <w:bookmarkEnd w:id="199"/>
    </w:p>
    <w:p>
      <w:pPr>
        <w:pStyle w:val="Style23"/>
        <w:keepNext w:val="0"/>
        <w:keepLines w:val="0"/>
        <w:widowControl w:val="0"/>
        <w:shd w:val="clear" w:color="auto" w:fill="auto"/>
        <w:bidi w:val="0"/>
        <w:spacing w:before="0" w:after="0" w:line="315" w:lineRule="exact"/>
        <w:ind w:left="0" w:right="0"/>
        <w:jc w:val="both"/>
      </w:pPr>
      <w:bookmarkStart w:id="200" w:name="bookmark200"/>
      <w:r>
        <w:rPr>
          <w:rFonts w:ascii="Times New Roman" w:eastAsia="Times New Roman" w:hAnsi="Times New Roman" w:cs="Times New Roman"/>
          <w:b/>
          <w:bCs/>
          <w:color w:val="000000"/>
          <w:spacing w:val="0"/>
          <w:w w:val="100"/>
          <w:position w:val="0"/>
        </w:rPr>
        <w:t>1</w:t>
      </w:r>
      <w:bookmarkEnd w:id="200"/>
      <w:r>
        <w:rPr>
          <w:b/>
          <w:bCs/>
          <w:color w:val="000000"/>
          <w:spacing w:val="0"/>
          <w:w w:val="100"/>
          <w:position w:val="0"/>
        </w:rPr>
        <w:t>、股票期权激励计划首次授予股票期权的实施情况</w:t>
      </w:r>
    </w:p>
    <w:p>
      <w:pPr>
        <w:pStyle w:val="Style2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日召开的第二届董事会第十二次会议和第二届监事会第十三次会议分别审议通过了《关于期权激励计划所 涉首次授予激励对象、期权数量和行权价格调整的议案》，鉴于公司实施了每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元（含税）的分红派息 方案；首次授予激励对象贾露、薛颜波、宁龙、胡佳迎、李伟、刘磊共</w:t>
      </w:r>
      <w:r>
        <w:rPr>
          <w:rFonts w:ascii="Times New Roman" w:eastAsia="Times New Roman" w:hAnsi="Times New Roman" w:cs="Times New Roman"/>
          <w:color w:val="000000"/>
          <w:spacing w:val="0"/>
          <w:w w:val="100"/>
          <w:position w:val="0"/>
        </w:rPr>
        <w:t>6</w:t>
      </w:r>
      <w:r>
        <w:rPr>
          <w:color w:val="000000"/>
          <w:spacing w:val="0"/>
          <w:w w:val="100"/>
          <w:position w:val="0"/>
        </w:rPr>
        <w:t>名因个人原因离职，不再具备激励对象资格，股票 期权数量和行权价格作相应调整，经上述调整后，首次授予激励对象为</w:t>
      </w:r>
      <w:r>
        <w:rPr>
          <w:rFonts w:ascii="Times New Roman" w:eastAsia="Times New Roman" w:hAnsi="Times New Roman" w:cs="Times New Roman"/>
          <w:color w:val="000000"/>
          <w:spacing w:val="0"/>
          <w:w w:val="100"/>
          <w:position w:val="0"/>
        </w:rPr>
        <w:t>162</w:t>
      </w:r>
      <w:r>
        <w:rPr>
          <w:color w:val="000000"/>
          <w:spacing w:val="0"/>
          <w:w w:val="100"/>
          <w:position w:val="0"/>
        </w:rPr>
        <w:t>名，首次授予股票期权为</w:t>
      </w:r>
      <w:r>
        <w:rPr>
          <w:rFonts w:ascii="Times New Roman" w:eastAsia="Times New Roman" w:hAnsi="Times New Roman" w:cs="Times New Roman"/>
          <w:color w:val="000000"/>
          <w:spacing w:val="0"/>
          <w:w w:val="100"/>
          <w:position w:val="0"/>
        </w:rPr>
        <w:t>432</w:t>
      </w:r>
      <w:r>
        <w:rPr>
          <w:color w:val="000000"/>
          <w:spacing w:val="0"/>
          <w:w w:val="100"/>
          <w:position w:val="0"/>
        </w:rPr>
        <w:t>万份，首次授予股票 期权的行权价格为</w:t>
      </w:r>
      <w:r>
        <w:rPr>
          <w:rFonts w:ascii="Times New Roman" w:eastAsia="Times New Roman" w:hAnsi="Times New Roman" w:cs="Times New Roman"/>
          <w:color w:val="000000"/>
          <w:spacing w:val="0"/>
          <w:w w:val="100"/>
          <w:position w:val="0"/>
        </w:rPr>
        <w:t>18.78</w:t>
      </w:r>
      <w:r>
        <w:rPr>
          <w:color w:val="000000"/>
          <w:spacing w:val="0"/>
          <w:w w:val="100"/>
          <w:position w:val="0"/>
        </w:rPr>
        <w:t>元。</w:t>
      </w:r>
    </w:p>
    <w:p>
      <w:pPr>
        <w:pStyle w:val="Style2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日召开的第二届董事会第十三次会议审议通过了《关于公司股票期权激励计划首次授予股票期权第一个行权 期可行权的议案》，首次授予股票期权第一个行权期的行权条件已满足，首次授予股票期权的</w:t>
      </w:r>
      <w:r>
        <w:rPr>
          <w:rFonts w:ascii="Times New Roman" w:eastAsia="Times New Roman" w:hAnsi="Times New Roman" w:cs="Times New Roman"/>
          <w:color w:val="000000"/>
          <w:spacing w:val="0"/>
          <w:w w:val="100"/>
          <w:position w:val="0"/>
        </w:rPr>
        <w:t>162</w:t>
      </w:r>
      <w:r>
        <w:rPr>
          <w:color w:val="000000"/>
          <w:spacing w:val="0"/>
          <w:w w:val="100"/>
          <w:position w:val="0"/>
        </w:rPr>
        <w:t>名激励对象在第一个行权 期可行权数量为</w:t>
      </w:r>
      <w:r>
        <w:rPr>
          <w:rFonts w:ascii="Times New Roman" w:eastAsia="Times New Roman" w:hAnsi="Times New Roman" w:cs="Times New Roman"/>
          <w:color w:val="000000"/>
          <w:spacing w:val="0"/>
          <w:w w:val="100"/>
          <w:position w:val="0"/>
        </w:rPr>
        <w:t>108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18.78</w:t>
      </w:r>
      <w:r>
        <w:rPr>
          <w:color w:val="000000"/>
          <w:spacing w:val="0"/>
          <w:w w:val="100"/>
          <w:position w:val="0"/>
        </w:rPr>
        <w:t>元，行权期限为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日，本次行权采用自主行权模式行 权。</w:t>
      </w:r>
    </w:p>
    <w:p>
      <w:pPr>
        <w:pStyle w:val="Style23"/>
        <w:keepNext w:val="0"/>
        <w:keepLines w:val="0"/>
        <w:widowControl w:val="0"/>
        <w:shd w:val="clear" w:color="auto" w:fill="auto"/>
        <w:bidi w:val="0"/>
        <w:spacing w:before="0" w:after="0" w:line="315"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日，公司股票期权激励计划首次授予股票期权第一个行权期共计行权</w:t>
      </w:r>
      <w:r>
        <w:rPr>
          <w:rFonts w:ascii="Times New Roman" w:eastAsia="Times New Roman" w:hAnsi="Times New Roman" w:cs="Times New Roman"/>
          <w:color w:val="000000"/>
          <w:spacing w:val="0"/>
          <w:w w:val="100"/>
          <w:position w:val="0"/>
        </w:rPr>
        <w:t>967,100</w:t>
      </w:r>
      <w:r>
        <w:rPr>
          <w:color w:val="000000"/>
          <w:spacing w:val="0"/>
          <w:w w:val="100"/>
          <w:position w:val="0"/>
        </w:rPr>
        <w:t>股，实际摊销首次授予</w:t>
        <w:br w:type="page"/>
      </w:r>
      <w:r>
        <w:rPr>
          <w:color w:val="000000"/>
          <w:spacing w:val="0"/>
          <w:w w:val="100"/>
          <w:position w:val="0"/>
        </w:rPr>
        <w:t>股票期权成本</w:t>
      </w:r>
      <w:r>
        <w:rPr>
          <w:rFonts w:ascii="Times New Roman" w:eastAsia="Times New Roman" w:hAnsi="Times New Roman" w:cs="Times New Roman"/>
          <w:color w:val="000000"/>
          <w:spacing w:val="0"/>
          <w:w w:val="100"/>
          <w:position w:val="0"/>
        </w:rPr>
        <w:t>794.84</w:t>
      </w:r>
      <w:r>
        <w:rPr>
          <w:color w:val="000000"/>
          <w:spacing w:val="0"/>
          <w:w w:val="100"/>
          <w:position w:val="0"/>
        </w:rPr>
        <w:t>万元，累计摊销首次授予股票期权成本</w:t>
      </w:r>
      <w:r>
        <w:rPr>
          <w:rFonts w:ascii="Times New Roman" w:eastAsia="Times New Roman" w:hAnsi="Times New Roman" w:cs="Times New Roman"/>
          <w:color w:val="000000"/>
          <w:spacing w:val="0"/>
          <w:w w:val="100"/>
          <w:position w:val="0"/>
        </w:rPr>
        <w:t>1,120.13</w:t>
      </w:r>
      <w:r>
        <w:rPr>
          <w:color w:val="000000"/>
          <w:spacing w:val="0"/>
          <w:w w:val="100"/>
          <w:position w:val="0"/>
        </w:rPr>
        <w:t>万元。公司股本总额增加至</w:t>
      </w:r>
      <w:r>
        <w:rPr>
          <w:rFonts w:ascii="Times New Roman" w:eastAsia="Times New Roman" w:hAnsi="Times New Roman" w:cs="Times New Roman"/>
          <w:color w:val="000000"/>
          <w:spacing w:val="0"/>
          <w:w w:val="100"/>
          <w:position w:val="0"/>
        </w:rPr>
        <w:t>107,967,100</w:t>
      </w:r>
      <w:r>
        <w:rPr>
          <w:color w:val="000000"/>
          <w:spacing w:val="0"/>
          <w:w w:val="100"/>
          <w:position w:val="0"/>
        </w:rPr>
        <w:t>股。</w:t>
      </w:r>
    </w:p>
    <w:p>
      <w:pPr>
        <w:pStyle w:val="Style23"/>
        <w:keepNext w:val="0"/>
        <w:keepLines w:val="0"/>
        <w:widowControl w:val="0"/>
        <w:shd w:val="clear" w:color="auto" w:fill="auto"/>
        <w:bidi w:val="0"/>
        <w:spacing w:before="0" w:after="0" w:line="311" w:lineRule="exact"/>
        <w:ind w:left="0" w:right="0" w:firstLine="360"/>
        <w:jc w:val="both"/>
      </w:pPr>
      <w:bookmarkStart w:id="201" w:name="bookmark201"/>
      <w:r>
        <w:rPr>
          <w:rFonts w:ascii="Times New Roman" w:eastAsia="Times New Roman" w:hAnsi="Times New Roman" w:cs="Times New Roman"/>
          <w:b/>
          <w:bCs/>
          <w:color w:val="000000"/>
          <w:spacing w:val="0"/>
          <w:w w:val="100"/>
          <w:position w:val="0"/>
        </w:rPr>
        <w:t>2</w:t>
      </w:r>
      <w:bookmarkEnd w:id="201"/>
      <w:r>
        <w:rPr>
          <w:b/>
          <w:bCs/>
          <w:color w:val="000000"/>
          <w:spacing w:val="0"/>
          <w:w w:val="100"/>
          <w:position w:val="0"/>
        </w:rPr>
        <w:t>、股票期权激励计划预留股票期权的实施情况</w:t>
      </w:r>
    </w:p>
    <w:p>
      <w:pPr>
        <w:pStyle w:val="Style23"/>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日召开的第二届董事会第十一次会议和第二届监事会第十二次会议分别审议通过了《关于公司股票期权激 励计划预留股票期权授予相关事项的议案》，同意授予</w:t>
      </w:r>
      <w:r>
        <w:rPr>
          <w:rFonts w:ascii="Times New Roman" w:eastAsia="Times New Roman" w:hAnsi="Times New Roman" w:cs="Times New Roman"/>
          <w:color w:val="000000"/>
          <w:spacing w:val="0"/>
          <w:w w:val="100"/>
          <w:position w:val="0"/>
        </w:rPr>
        <w:t>17</w:t>
      </w:r>
      <w:r>
        <w:rPr>
          <w:color w:val="000000"/>
          <w:spacing w:val="0"/>
          <w:w w:val="100"/>
          <w:position w:val="0"/>
        </w:rPr>
        <w:t>名激励对象</w:t>
      </w:r>
      <w:r>
        <w:rPr>
          <w:rFonts w:ascii="Times New Roman" w:eastAsia="Times New Roman" w:hAnsi="Times New Roman" w:cs="Times New Roman"/>
          <w:color w:val="000000"/>
          <w:spacing w:val="0"/>
          <w:w w:val="100"/>
          <w:position w:val="0"/>
        </w:rPr>
        <w:t>50</w:t>
      </w:r>
      <w:r>
        <w:rPr>
          <w:color w:val="000000"/>
          <w:spacing w:val="0"/>
          <w:w w:val="100"/>
          <w:position w:val="0"/>
        </w:rPr>
        <w:t>万份预留股票期权，授予日为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日，行权 价格为</w:t>
      </w:r>
      <w:r>
        <w:rPr>
          <w:rFonts w:ascii="Times New Roman" w:eastAsia="Times New Roman" w:hAnsi="Times New Roman" w:cs="Times New Roman"/>
          <w:color w:val="000000"/>
          <w:spacing w:val="0"/>
          <w:w w:val="100"/>
          <w:position w:val="0"/>
        </w:rPr>
        <w:t>48.9</w:t>
      </w:r>
      <w:r>
        <w:rPr>
          <w:rFonts w:ascii="Times New Roman" w:eastAsia="Times New Roman" w:hAnsi="Times New Roman" w:cs="Times New Roman"/>
          <w:color w:val="000000"/>
          <w:spacing w:val="0"/>
          <w:w w:val="100"/>
          <w:position w:val="0"/>
        </w:rPr>
        <w:t>0</w:t>
      </w:r>
      <w:r>
        <w:rPr>
          <w:color w:val="000000"/>
          <w:spacing w:val="0"/>
          <w:w w:val="100"/>
          <w:position w:val="0"/>
        </w:rPr>
        <w:t>元。经中国证券登记结算有限责任公司深圳分公司审核确认，公司已完成</w:t>
      </w:r>
      <w:r>
        <w:rPr>
          <w:rFonts w:ascii="Times New Roman" w:eastAsia="Times New Roman" w:hAnsi="Times New Roman" w:cs="Times New Roman"/>
          <w:color w:val="000000"/>
          <w:spacing w:val="0"/>
          <w:w w:val="100"/>
          <w:position w:val="0"/>
        </w:rPr>
        <w:t>50</w:t>
      </w:r>
      <w:r>
        <w:rPr>
          <w:color w:val="000000"/>
          <w:spacing w:val="0"/>
          <w:w w:val="100"/>
          <w:position w:val="0"/>
        </w:rPr>
        <w:t>万份预留股票期权的登记工作，期 权简称：卫宁</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036096</w:t>
      </w:r>
      <w:r>
        <w:rPr>
          <w:color w:val="000000"/>
          <w:spacing w:val="0"/>
          <w:w w:val="100"/>
          <w:position w:val="0"/>
        </w:rPr>
        <w:t>。</w:t>
      </w:r>
    </w:p>
    <w:p>
      <w:pPr>
        <w:pStyle w:val="Style23"/>
        <w:keepNext w:val="0"/>
        <w:keepLines w:val="0"/>
        <w:widowControl w:val="0"/>
        <w:shd w:val="clear" w:color="auto" w:fill="auto"/>
        <w:bidi w:val="0"/>
        <w:spacing w:before="0" w:after="80" w:line="311" w:lineRule="exact"/>
        <w:ind w:left="0" w:right="0" w:firstLine="360"/>
        <w:jc w:val="both"/>
      </w:pPr>
      <w:r>
        <w:rPr>
          <w:color w:val="000000"/>
          <w:spacing w:val="0"/>
          <w:w w:val="100"/>
          <w:position w:val="0"/>
        </w:rPr>
        <w:t>报告期内，预留股票期权处于等待期内。</w:t>
      </w:r>
      <w:r>
        <w:rPr>
          <w:rFonts w:ascii="Times New Roman" w:eastAsia="Times New Roman" w:hAnsi="Times New Roman" w:cs="Times New Roman"/>
          <w:color w:val="000000"/>
          <w:spacing w:val="0"/>
          <w:w w:val="100"/>
          <w:position w:val="0"/>
        </w:rPr>
        <w:t>2013</w:t>
      </w:r>
      <w:r>
        <w:rPr>
          <w:color w:val="000000"/>
          <w:spacing w:val="0"/>
          <w:w w:val="100"/>
          <w:position w:val="0"/>
        </w:rPr>
        <w:t>年度实际摊销预留股票期权成本</w:t>
      </w:r>
      <w:r>
        <w:rPr>
          <w:rFonts w:ascii="Times New Roman" w:eastAsia="Times New Roman" w:hAnsi="Times New Roman" w:cs="Times New Roman"/>
          <w:color w:val="000000"/>
          <w:spacing w:val="0"/>
          <w:w w:val="100"/>
          <w:position w:val="0"/>
        </w:rPr>
        <w:t>114.56</w:t>
      </w:r>
      <w:r>
        <w:rPr>
          <w:color w:val="000000"/>
          <w:spacing w:val="0"/>
          <w:w w:val="100"/>
          <w:position w:val="0"/>
        </w:rPr>
        <w:t xml:space="preserve">万元，累计摊销预留股票期权成本 </w:t>
      </w:r>
      <w:r>
        <w:rPr>
          <w:rFonts w:ascii="Times New Roman" w:eastAsia="Times New Roman" w:hAnsi="Times New Roman" w:cs="Times New Roman"/>
          <w:color w:val="000000"/>
          <w:spacing w:val="0"/>
          <w:w w:val="100"/>
          <w:position w:val="0"/>
        </w:rPr>
        <w:t xml:space="preserve">114.56 </w:t>
      </w:r>
      <w:r>
        <w:rPr>
          <w:color w:val="000000"/>
          <w:spacing w:val="0"/>
          <w:w w:val="100"/>
          <w:position w:val="0"/>
        </w:rPr>
        <w:t>万元。</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股权激励事项临时报告披露网站查询:</w:t>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董事会关于公司股票期权激励计划预留 股票期权授予相关事项的公告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关于公司股票期权激励计划预留股票期 权授予登记完成的公告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关于股票期权激励计划所涉首次授予激 励对象、期权数量和行权价格调整的公告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董事会关于公司股票期权激励计划首次 授予股票期权第一个行权期可行权的公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关于公司股票期权激励计划股票期权首 次授予第一个行权期采用自主行权模式 的提示性公告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bl>
    <w:p>
      <w:pPr>
        <w:widowControl w:val="0"/>
        <w:spacing w:after="619" w:line="1" w:lineRule="exact"/>
      </w:pPr>
    </w:p>
    <w:p>
      <w:pPr>
        <w:pStyle w:val="Style21"/>
        <w:keepNext/>
        <w:keepLines/>
        <w:widowControl w:val="0"/>
        <w:shd w:val="clear" w:color="auto" w:fill="auto"/>
        <w:bidi w:val="0"/>
        <w:spacing w:before="0" w:after="32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、重大关联交易</w:t>
      </w:r>
      <w:bookmarkEnd w:id="202"/>
      <w:bookmarkEnd w:id="203"/>
      <w:bookmarkEnd w:id="205"/>
    </w:p>
    <w:p>
      <w:pPr>
        <w:pStyle w:val="Style31"/>
        <w:keepNext/>
        <w:keepLines/>
        <w:widowControl w:val="0"/>
        <w:shd w:val="clear" w:color="auto" w:fill="auto"/>
        <w:bidi w:val="0"/>
        <w:spacing w:before="0" w:after="32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、与日常经营相关的关联交易</w:t>
      </w:r>
      <w:bookmarkEnd w:id="206"/>
      <w:bookmarkEnd w:id="207"/>
      <w:bookmarkEnd w:id="209"/>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8"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tbl>
      <w:tblPr>
        <w:tblOverlap w:val="never"/>
        <w:jc w:val="center"/>
        <w:tblLayout w:type="fixed"/>
      </w:tblPr>
      <w:tblGrid>
        <w:gridCol w:w="2208"/>
        <w:gridCol w:w="1858"/>
        <w:gridCol w:w="1862"/>
        <w:gridCol w:w="1814"/>
        <w:gridCol w:w="18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向关联方米购产品和接受劳务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占同类交易金额的比例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占同类交易金额的比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其中：报告期内公司向控股股东及其子公司销售产品或提供劳务的关联交易金额万元。</w:t>
      </w:r>
    </w:p>
    <w:p>
      <w:pPr>
        <w:pStyle w:val="Style31"/>
        <w:keepNext/>
        <w:keepLines/>
        <w:widowControl w:val="0"/>
        <w:shd w:val="clear" w:color="auto" w:fill="auto"/>
        <w:bidi w:val="0"/>
        <w:spacing w:before="0" w:after="32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、资产收购、出售发生的关联交易</w:t>
      </w:r>
      <w:bookmarkEnd w:id="210"/>
      <w:bookmarkEnd w:id="211"/>
      <w:bookmarkEnd w:id="213"/>
    </w:p>
    <w:tbl>
      <w:tblPr>
        <w:tblOverlap w:val="never"/>
        <w:jc w:val="center"/>
        <w:tblLayout w:type="fixed"/>
      </w:tblPr>
      <w:tblGrid>
        <w:gridCol w:w="744"/>
        <w:gridCol w:w="758"/>
        <w:gridCol w:w="734"/>
        <w:gridCol w:w="734"/>
        <w:gridCol w:w="739"/>
        <w:gridCol w:w="734"/>
        <w:gridCol w:w="734"/>
        <w:gridCol w:w="730"/>
        <w:gridCol w:w="734"/>
        <w:gridCol w:w="734"/>
        <w:gridCol w:w="739"/>
        <w:gridCol w:w="739"/>
        <w:gridCol w:w="725"/>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、共同对外投资的重大关联交易</w:t>
      </w:r>
      <w:bookmarkEnd w:id="214"/>
      <w:bookmarkEnd w:id="215"/>
      <w:bookmarkEnd w:id="217"/>
    </w:p>
    <w:tbl>
      <w:tblPr>
        <w:tblOverlap w:val="never"/>
        <w:jc w:val="center"/>
        <w:tblLayout w:type="fixed"/>
      </w:tblPr>
      <w:tblGrid>
        <w:gridCol w:w="1070"/>
        <w:gridCol w:w="1070"/>
        <w:gridCol w:w="1061"/>
        <w:gridCol w:w="1066"/>
        <w:gridCol w:w="1066"/>
        <w:gridCol w:w="1061"/>
        <w:gridCol w:w="1061"/>
        <w:gridCol w:w="1066"/>
        <w:gridCol w:w="1066"/>
      </w:tblGrid>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的重大在建 项目的进展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共同对外投资的重大关联交易情况说明</w:t>
      </w:r>
    </w:p>
    <w:p>
      <w:pPr>
        <w:pStyle w:val="Style31"/>
        <w:keepNext/>
        <w:keepLines/>
        <w:widowControl w:val="0"/>
        <w:shd w:val="clear" w:color="auto" w:fill="auto"/>
        <w:bidi w:val="0"/>
        <w:spacing w:before="0" w:after="38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4</w:t>
      </w:r>
      <w:bookmarkEnd w:id="220"/>
      <w:r>
        <w:rPr>
          <w:color w:val="000000"/>
          <w:spacing w:val="0"/>
          <w:w w:val="100"/>
          <w:position w:val="0"/>
        </w:rPr>
        <w:t>、关联债权债务往来</w:t>
      </w:r>
      <w:bookmarkEnd w:id="218"/>
      <w:bookmarkEnd w:id="219"/>
      <w:bookmarkEnd w:id="221"/>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是否存在非经营性关联债权债务往来</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1742"/>
        <w:gridCol w:w="1118"/>
        <w:gridCol w:w="1118"/>
        <w:gridCol w:w="1118"/>
        <w:gridCol w:w="1118"/>
        <w:gridCol w:w="1118"/>
        <w:gridCol w:w="1118"/>
        <w:gridCol w:w="1133"/>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期末余额（万 元）</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5</w:t>
      </w:r>
      <w:bookmarkEnd w:id="224"/>
      <w:r>
        <w:rPr>
          <w:color w:val="000000"/>
          <w:spacing w:val="0"/>
          <w:w w:val="100"/>
          <w:position w:val="0"/>
        </w:rPr>
        <w:t>、其他重大关联交易</w:t>
      </w:r>
      <w:bookmarkEnd w:id="222"/>
      <w:bookmarkEnd w:id="223"/>
      <w:bookmarkEnd w:id="225"/>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、重大合同及其履行情况</w:t>
      </w:r>
      <w:bookmarkEnd w:id="226"/>
      <w:bookmarkEnd w:id="227"/>
      <w:bookmarkEnd w:id="229"/>
    </w:p>
    <w:p>
      <w:pPr>
        <w:pStyle w:val="Style31"/>
        <w:keepNext/>
        <w:keepLines/>
        <w:widowControl w:val="0"/>
        <w:shd w:val="clear" w:color="auto" w:fill="auto"/>
        <w:bidi w:val="0"/>
        <w:spacing w:before="0" w:after="320" w:line="240" w:lineRule="auto"/>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、托管、承包、租赁事项情况</w:t>
      </w:r>
      <w:bookmarkEnd w:id="230"/>
      <w:bookmarkEnd w:id="231"/>
      <w:bookmarkEnd w:id="233"/>
    </w:p>
    <w:p>
      <w:pPr>
        <w:pStyle w:val="Style34"/>
        <w:keepNext/>
        <w:keepLines/>
        <w:widowControl w:val="0"/>
        <w:shd w:val="clear" w:color="auto" w:fill="auto"/>
        <w:bidi w:val="0"/>
        <w:spacing w:before="0" w:after="38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234"/>
      <w:bookmarkEnd w:id="235"/>
      <w:bookmarkEnd w:id="237"/>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托管情况说明 </w:t>
      </w:r>
      <w:r>
        <w:rPr>
          <w:color w:val="000000"/>
          <w:spacing w:val="0"/>
          <w:w w:val="100"/>
          <w:position w:val="0"/>
        </w:rPr>
        <w:t>不适用</w:t>
      </w:r>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2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38"/>
      <w:bookmarkEnd w:id="239"/>
      <w:bookmarkEnd w:id="241"/>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24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42"/>
      <w:bookmarkEnd w:id="243"/>
      <w:bookmarkEnd w:id="245"/>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、担保情况</w:t>
      </w:r>
      <w:bookmarkEnd w:id="246"/>
      <w:bookmarkEnd w:id="247"/>
      <w:bookmarkEnd w:id="2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4"/>
        <w:gridCol w:w="1181"/>
        <w:gridCol w:w="1094"/>
        <w:gridCol w:w="1013"/>
        <w:gridCol w:w="802"/>
        <w:gridCol w:w="79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1"/>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3</w:t>
      </w:r>
      <w:bookmarkEnd w:id="252"/>
      <w:r>
        <w:rPr>
          <w:color w:val="000000"/>
          <w:spacing w:val="0"/>
          <w:w w:val="100"/>
          <w:position w:val="0"/>
        </w:rPr>
        <w:t>、委托理财、衍生品投资和委托贷款情况</w:t>
      </w:r>
      <w:bookmarkEnd w:id="250"/>
      <w:bookmarkEnd w:id="251"/>
      <w:bookmarkEnd w:id="253"/>
    </w:p>
    <w:p>
      <w:pPr>
        <w:pStyle w:val="Style34"/>
        <w:keepNext/>
        <w:keepLines/>
        <w:widowControl w:val="0"/>
        <w:shd w:val="clear" w:color="auto" w:fill="auto"/>
        <w:bidi w:val="0"/>
        <w:spacing w:before="0" w:line="240" w:lineRule="auto"/>
        <w:ind w:left="0" w:right="0" w:firstLine="14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54"/>
      <w:bookmarkEnd w:id="255"/>
      <w:bookmarkEnd w:id="25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739"/>
        <w:gridCol w:w="739"/>
        <w:gridCol w:w="734"/>
        <w:gridCol w:w="773"/>
        <w:gridCol w:w="734"/>
        <w:gridCol w:w="739"/>
        <w:gridCol w:w="734"/>
        <w:gridCol w:w="734"/>
        <w:gridCol w:w="734"/>
        <w:gridCol w:w="734"/>
        <w:gridCol w:w="739"/>
        <w:gridCol w:w="734"/>
        <w:gridCol w:w="710"/>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w:t>
            </w:r>
          </w:p>
        </w:tc>
      </w:tr>
    </w:tbl>
    <w:p>
      <w:pPr>
        <w:spacing w:lineRule="exact" w:line="1"/>
        <w:rPr>
          <w:sz w:val="2"/>
          <w:szCs w:val="2"/>
        </w:rPr>
      </w:pPr>
      <w:r>
        <w:br w:type="page"/>
      </w:r>
    </w:p>
    <w:tbl>
      <w:tblPr>
        <w:tblOverlap w:val="never"/>
        <w:jc w:val="center"/>
        <w:tblLayout w:type="fixed"/>
      </w:tblPr>
      <w:tblGrid>
        <w:gridCol w:w="739"/>
        <w:gridCol w:w="739"/>
        <w:gridCol w:w="734"/>
        <w:gridCol w:w="773"/>
        <w:gridCol w:w="734"/>
        <w:gridCol w:w="739"/>
        <w:gridCol w:w="734"/>
        <w:gridCol w:w="734"/>
        <w:gridCol w:w="734"/>
        <w:gridCol w:w="734"/>
        <w:gridCol w:w="739"/>
        <w:gridCol w:w="734"/>
        <w:gridCol w:w="710"/>
      </w:tblGrid>
      <w:tr>
        <w:trPr>
          <w:trHeight w:val="989"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际收回 本金金 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过规定 程序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值准备 金额（如 有）</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益</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实际损 益金额</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审议委托理财的董事会决议披露日期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审议委托理财的股东大会决议披露日 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58"/>
      <w:bookmarkEnd w:id="259"/>
      <w:bookmarkEnd w:id="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审议衍生品投资的董事会决议披露日期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审议衍生品投资的股东大会决议披露日 期（如有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62"/>
      <w:bookmarkEnd w:id="263"/>
      <w:bookmarkEnd w:id="2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56"/>
        <w:gridCol w:w="883"/>
        <w:gridCol w:w="883"/>
        <w:gridCol w:w="878"/>
        <w:gridCol w:w="1435"/>
        <w:gridCol w:w="145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审议委托贷款的董事会决议披露日期（如有</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审议委托贷款的股东大会决议披露日期（如有</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4</w:t>
      </w:r>
      <w:bookmarkEnd w:id="268"/>
      <w:r>
        <w:rPr>
          <w:color w:val="000000"/>
          <w:spacing w:val="0"/>
          <w:w w:val="100"/>
          <w:position w:val="0"/>
        </w:rPr>
        <w:t>、其他重大合同</w:t>
      </w:r>
      <w:bookmarkEnd w:id="266"/>
      <w:bookmarkEnd w:id="267"/>
      <w:bookmarkEnd w:id="269"/>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21"/>
        <w:keepNext/>
        <w:keepLines/>
        <w:widowControl w:val="0"/>
        <w:shd w:val="clear" w:color="auto" w:fill="auto"/>
        <w:bidi w:val="0"/>
        <w:spacing w:before="0" w:after="32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八</w:t>
      </w:r>
      <w:bookmarkEnd w:id="272"/>
      <w:r>
        <w:rPr>
          <w:color w:val="000000"/>
          <w:spacing w:val="0"/>
          <w:w w:val="100"/>
          <w:position w:val="0"/>
          <w:sz w:val="24"/>
          <w:szCs w:val="24"/>
        </w:rPr>
        <w:t>、承诺事项履行情况</w:t>
      </w:r>
      <w:bookmarkEnd w:id="270"/>
      <w:bookmarkEnd w:id="271"/>
      <w:bookmarkEnd w:id="273"/>
    </w:p>
    <w:p>
      <w:pPr>
        <w:pStyle w:val="Style31"/>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74"/>
      <w:bookmarkEnd w:id="275"/>
      <w:bookmarkEnd w:id="277"/>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承诺持股</w:t>
            </w:r>
            <w:r>
              <w:rPr>
                <w:rFonts w:ascii="Times New Roman" w:eastAsia="Times New Roman" w:hAnsi="Times New Roman" w:cs="Times New Roman"/>
                <w:color w:val="000000"/>
                <w:spacing w:val="0"/>
                <w:w w:val="100"/>
                <w:position w:val="0"/>
              </w:rPr>
              <w:t>5%</w:t>
            </w:r>
            <w:r>
              <w:rPr>
                <w:color w:val="000000"/>
                <w:spacing w:val="0"/>
                <w:w w:val="100"/>
                <w:position w:val="0"/>
              </w:rPr>
              <w:t>以 上的主要股东 或实际控制人 及其配偶均未 参与本激励计 划；公司承诺不 为激励对象依 本激励计划获 取有关权益提 供贷款以及其 他任何形式的 财务资助，包括 为其贷款提供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日至本次股权 激励计划终止 或有效期结束。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6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周炜、王英、刘 宁、孙凯、张士 英、陈建国、贾 按师、凌红、胡 美珍、范钧、曾 刚琴、韩伟、黄 晓怡、靳茂、周 洪、付春林、付 晖、黄克华、孙 超仁、邓荣华、 陈军华、熊海 浪、艾国光、汪 国亮、阚家平、 李继东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（一）避免同业 竞争的承诺</w:t>
            </w:r>
            <w:r>
              <w:rPr>
                <w:rFonts w:ascii="Times New Roman" w:eastAsia="Times New Roman" w:hAnsi="Times New Roman" w:cs="Times New Roman"/>
                <w:color w:val="000000"/>
                <w:spacing w:val="0"/>
                <w:w w:val="100"/>
                <w:position w:val="0"/>
              </w:rPr>
              <w:t>1</w:t>
            </w:r>
            <w:r>
              <w:rPr>
                <w:color w:val="000000"/>
                <w:spacing w:val="0"/>
                <w:w w:val="100"/>
                <w:position w:val="0"/>
              </w:rPr>
              <w:t xml:space="preserve">、 发行人控股股 东、实际控制人 周炜、王英夫妇 关于避免同业 竞争的承诺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日，本公司控股 股东、实际控制 人周炜、王英夫 妇向公司出具 了避免同业竞 争的《承诺函》。 </w:t>
            </w:r>
            <w:r>
              <w:rPr>
                <w:rFonts w:ascii="Times New Roman" w:eastAsia="Times New Roman" w:hAnsi="Times New Roman" w:cs="Times New Roman"/>
                <w:color w:val="000000"/>
                <w:spacing w:val="0"/>
                <w:w w:val="100"/>
                <w:position w:val="0"/>
              </w:rPr>
              <w:t>2</w:t>
            </w:r>
            <w:r>
              <w:rPr>
                <w:color w:val="000000"/>
                <w:spacing w:val="0"/>
                <w:w w:val="100"/>
                <w:position w:val="0"/>
              </w:rPr>
              <w:t>、持股超过</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的其他主要股 东关于避免同 业竞争的承诺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日，本公司持股 超过</w:t>
            </w:r>
            <w:r>
              <w:rPr>
                <w:rFonts w:ascii="Times New Roman" w:eastAsia="Times New Roman" w:hAnsi="Times New Roman" w:cs="Times New Roman"/>
                <w:color w:val="000000"/>
                <w:spacing w:val="0"/>
                <w:w w:val="100"/>
                <w:position w:val="0"/>
              </w:rPr>
              <w:t>5%</w:t>
            </w:r>
            <w:r>
              <w:rPr>
                <w:color w:val="000000"/>
                <w:spacing w:val="0"/>
                <w:w w:val="100"/>
                <w:position w:val="0"/>
              </w:rPr>
              <w:t>的其他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一）避免同业竞 争的承诺：长 期。（二）发行 人控股股东、实 际控制人关于 公司对外担保 和资金往来的 承诺：长期。</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（三）首次公开 发行前股东所 持股份的流通 限制和自愿锁 定股份的承诺：</w:t>
            </w:r>
          </w:p>
          <w:p>
            <w:pPr>
              <w:pStyle w:val="Style2"/>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本公司控股 股东周炜、王英 夫妇和股东刘 宁三十六个月；</w:t>
            </w:r>
          </w:p>
          <w:p>
            <w:pPr>
              <w:pStyle w:val="Style2"/>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其他股东十 二个月；</w:t>
            </w:r>
            <w:r>
              <w:rPr>
                <w:rFonts w:ascii="Times New Roman" w:eastAsia="Times New Roman" w:hAnsi="Times New Roman" w:cs="Times New Roman"/>
                <w:color w:val="000000"/>
                <w:spacing w:val="0"/>
                <w:w w:val="100"/>
                <w:position w:val="0"/>
              </w:rPr>
              <w:t>3</w:t>
            </w:r>
            <w:r>
              <w:rPr>
                <w:color w:val="000000"/>
                <w:spacing w:val="0"/>
                <w:w w:val="100"/>
                <w:position w:val="0"/>
              </w:rPr>
              <w:t>、同 时，担任公司董 事、监事、高级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末，上述承诺人 严格信守承诺， 未发现违反上 述承诺的情况。</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主要股东刘宁、 孙凯、张士英、 陈建国、贾按师 均分别向公司 出具了避免同 业竞争的《承诺 函》。（二）发行 人控股股东、实 际控制人关于 公司对外担保 和资金往来的 承诺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 控股股东、实际 控制人周炜、王 英夫妇就关于 公司对外担保 和资金往来作 出《关于严格执 行中国证监会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【证监发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56 </w:t>
            </w:r>
            <w:r>
              <w:rPr>
                <w:color w:val="000000"/>
                <w:spacing w:val="0"/>
                <w:w w:val="100"/>
                <w:position w:val="0"/>
              </w:rPr>
              <w:t>号】 文有关规定的 承诺函》。（三） 首次公开发行 前股东所持股 份的流通限制 和自愿锁定股 份的承诺</w:t>
            </w:r>
            <w:r>
              <w:rPr>
                <w:rFonts w:ascii="Times New Roman" w:eastAsia="Times New Roman" w:hAnsi="Times New Roman" w:cs="Times New Roman"/>
                <w:color w:val="000000"/>
                <w:spacing w:val="0"/>
                <w:w w:val="100"/>
                <w:position w:val="0"/>
              </w:rPr>
              <w:t>1</w:t>
            </w:r>
            <w:r>
              <w:rPr>
                <w:color w:val="000000"/>
                <w:spacing w:val="0"/>
                <w:w w:val="100"/>
                <w:position w:val="0"/>
              </w:rPr>
              <w:t>、本 公司控股股东 周炜、王英夫妇 和股东刘宁承 诺：自发行人股 票上市之日起 三十六个月内， 不转让或者委 托他人管理其 直接或者间接 持有的发行人 公开发行股票 前已发行的股 份，也不由发行 人回购其直接 或者间接持有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管理人员的周 炜、刘宁、孙凯、 靳茂、张士英、 黄克华还承诺： 除前述锁定期 外，在其任职期 间每年转让的 股份不超过其 所持有发行人 股份总数的百 分之二十五，离 职后六个月内， 不转让其所持 有的发行人股 份。在首次公开 发行股票上市 之日起六个月 内申报离职的， 自申报离职之 日起十八个月 内不得转让其 直接持有的公 司股份；在首次 公开发行股票 上市之日起第 七个月至第十 二个月之间申 报离职的，自申 报离职之日起 十二个月内不 得转让其直接 持有的公司股 份。公司董事周 炜之关联方王 英还承诺：在周 炜担任公司董 事、监事或高级 管理人员期间， 其持有的公司 股份按照对公 司董事、监事及 高级管理人员 的股份减持的 规定执行。（四）</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的发行人公开 发行股票前已 发行的股份。</w:t>
            </w:r>
            <w:r>
              <w:rPr>
                <w:rFonts w:ascii="Times New Roman" w:eastAsia="Times New Roman" w:hAnsi="Times New Roman" w:cs="Times New Roman"/>
                <w:color w:val="000000"/>
                <w:spacing w:val="0"/>
                <w:w w:val="100"/>
                <w:position w:val="0"/>
              </w:rPr>
              <w:t>2</w:t>
            </w:r>
            <w:r>
              <w:rPr>
                <w:color w:val="000000"/>
                <w:spacing w:val="0"/>
                <w:w w:val="100"/>
                <w:position w:val="0"/>
              </w:rPr>
              <w:t>、 本公司股东孙 凯、张士英、陈 建国、贾按师、 凌红、胡美珍、 范钧、曾刚琴、 韩伟、黄晓怡、 靳茂、周洪、付 春林、付晖、黄 克华、孙超仁、 邓荣华、陈军 华、熊海浪、艾 国光、汪国亮、 阚家平、李继东 均承诺：自股票 上市之日起十 二个月内，不转 让或者委托他 人管理其直接 或者间接持有 的发行人公开 发行股票前已 发行的股份，也 不由发行人回 购其直接或者 间接持有的发 行人公开发行 股票前已发行 的股份。</w:t>
            </w:r>
            <w:r>
              <w:rPr>
                <w:rFonts w:ascii="Times New Roman" w:eastAsia="Times New Roman" w:hAnsi="Times New Roman" w:cs="Times New Roman"/>
                <w:color w:val="000000"/>
                <w:spacing w:val="0"/>
                <w:w w:val="100"/>
                <w:position w:val="0"/>
              </w:rPr>
              <w:t>3</w:t>
            </w:r>
            <w:r>
              <w:rPr>
                <w:color w:val="000000"/>
                <w:spacing w:val="0"/>
                <w:w w:val="100"/>
                <w:position w:val="0"/>
              </w:rPr>
              <w:t>、同 时，担任公司董 事、监事、高级 管理人员的周 炜、刘宁、孙凯、 靳茂、张士英、 黄克华还承诺： 除前述锁定期 外，在其任职期 间每年转让的 股份不超过其 所持有发行人 股份总数的百 分之二十五，离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主要股东关于 承担发行人相 关税收补缴责 任的承诺：长 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职后六个月内， 不转让其所持 有的发行人股 份。在首次公开 发行股票上市 之日起六个月 内申报离职的， 自申报离职之 日起十八个月 内不得转让其 直接持有的公 司股份；在首次 公开发行股票 上市之日起第 七个月至第十 二个月之间申 报离职的，自申 报离职之日起 十二个月内不 得转让其直接 持有的公司股 份。公司董事周 炜之关联方王 英还承诺：在周 炜担任公司董 事、监事或高级 管理人员期间， 其持有的公司 股份按照对公 司董事、监事及 高级管理人员 的股份减持的 规定执行。（四） 主要股东关于 承担发行人相 关税收补缴责 任的承诺周炜、 王英和刘宁作 为发行人实际 控制人及主要 股东，就发行人 成立以来所涉 及的企业所得 税缴纳事项，出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具了《承诺书》， 承诺如果税务 机关认定发行 人需要补交 </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年度已享受减 免的企业所得 税税款，则该等 需要补交的税 款将由承诺人 周炜、刘宁、王 英按照其持有 的发行人的股 权比例共同承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1"/>
        <w:keepNext/>
        <w:keepLines/>
        <w:widowControl w:val="0"/>
        <w:shd w:val="clear" w:color="auto" w:fill="auto"/>
        <w:bidi w:val="0"/>
        <w:spacing w:before="0" w:after="340" w:line="322"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、公司资产或项目存在盈利预测，且报告期仍处在盈利预测期间，公司就资产或项目达到原盈利预测及 其原因做出说明</w:t>
      </w:r>
      <w:bookmarkEnd w:id="278"/>
      <w:bookmarkEnd w:id="279"/>
      <w:bookmarkEnd w:id="281"/>
    </w:p>
    <w:tbl>
      <w:tblPr>
        <w:tblOverlap w:val="never"/>
        <w:jc w:val="center"/>
        <w:tblLayout w:type="fixed"/>
      </w:tblPr>
      <w:tblGrid>
        <w:gridCol w:w="1200"/>
        <w:gridCol w:w="1195"/>
        <w:gridCol w:w="1195"/>
        <w:gridCol w:w="1200"/>
        <w:gridCol w:w="1195"/>
        <w:gridCol w:w="1195"/>
        <w:gridCol w:w="1195"/>
        <w:gridCol w:w="121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九</w:t>
      </w:r>
      <w:bookmarkEnd w:id="284"/>
      <w:r>
        <w:rPr>
          <w:color w:val="000000"/>
          <w:spacing w:val="0"/>
          <w:w w:val="100"/>
          <w:position w:val="0"/>
          <w:sz w:val="24"/>
          <w:szCs w:val="24"/>
        </w:rPr>
        <w:t>、聘任、解聘会计师事务所情况</w:t>
      </w:r>
      <w:bookmarkEnd w:id="282"/>
      <w:bookmarkEnd w:id="283"/>
      <w:bookmarkEnd w:id="28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王殷、欧维义、杨秀容</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中磊会计师事务所有限责任公司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聂平、欧维义</w:t>
            </w:r>
          </w:p>
        </w:tc>
      </w:tr>
    </w:tbl>
    <w:p>
      <w:pPr>
        <w:pStyle w:val="Style23"/>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是否在审计期间改聘会计师事务所</w:t>
      </w:r>
    </w:p>
    <w:p>
      <w:pPr>
        <w:pStyle w:val="Style2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更换会计师事务所是否履行审批程序 </w:t>
      </w: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40" w:line="355" w:lineRule="exact"/>
        <w:ind w:left="0" w:right="0" w:firstLine="0"/>
        <w:jc w:val="left"/>
      </w:pPr>
      <w:r>
        <w:rPr>
          <w:color w:val="000000"/>
          <w:spacing w:val="0"/>
          <w:w w:val="100"/>
          <w:position w:val="0"/>
        </w:rPr>
        <w:t>聘任、解聘会计师事务所情况说明</w:t>
      </w:r>
    </w:p>
    <w:p>
      <w:pPr>
        <w:pStyle w:val="Style23"/>
        <w:keepNext w:val="0"/>
        <w:keepLines w:val="0"/>
        <w:widowControl w:val="0"/>
        <w:shd w:val="clear" w:color="auto" w:fill="auto"/>
        <w:bidi w:val="0"/>
        <w:spacing w:before="0" w:after="320" w:line="316"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日召开的第二届董事会第十五次会议和第二次监事会第十六次会议分别审议通过了《关于改聘</w:t>
      </w:r>
      <w:r>
        <w:rPr>
          <w:rFonts w:ascii="Times New Roman" w:eastAsia="Times New Roman" w:hAnsi="Times New Roman" w:cs="Times New Roman"/>
          <w:color w:val="000000"/>
          <w:spacing w:val="0"/>
          <w:w w:val="100"/>
          <w:position w:val="0"/>
        </w:rPr>
        <w:t>2 013</w:t>
      </w:r>
      <w:r>
        <w:rPr>
          <w:color w:val="000000"/>
          <w:spacing w:val="0"/>
          <w:w w:val="100"/>
          <w:position w:val="0"/>
        </w:rPr>
        <w:t>年度审 计机构的议案》，鉴于华普天健会计师事务所（特殊普通合伙）从事审计工作多年，现拥有</w:t>
      </w:r>
      <w:r>
        <w:rPr>
          <w:rFonts w:ascii="Times New Roman" w:eastAsia="Times New Roman" w:hAnsi="Times New Roman" w:cs="Times New Roman"/>
          <w:color w:val="000000"/>
          <w:spacing w:val="0"/>
          <w:w w:val="100"/>
          <w:position w:val="0"/>
        </w:rPr>
        <w:t>300</w:t>
      </w:r>
      <w:r>
        <w:rPr>
          <w:color w:val="000000"/>
          <w:spacing w:val="0"/>
          <w:w w:val="100"/>
          <w:position w:val="0"/>
        </w:rPr>
        <w:t>余名注册会计师的专业团队， 业务区域遍及全国</w:t>
      </w:r>
      <w:r>
        <w:rPr>
          <w:rFonts w:ascii="Times New Roman" w:eastAsia="Times New Roman" w:hAnsi="Times New Roman" w:cs="Times New Roman"/>
          <w:color w:val="000000"/>
          <w:spacing w:val="0"/>
          <w:w w:val="100"/>
          <w:position w:val="0"/>
        </w:rPr>
        <w:t>27</w:t>
      </w:r>
      <w:r>
        <w:rPr>
          <w:color w:val="000000"/>
          <w:spacing w:val="0"/>
          <w:w w:val="100"/>
          <w:position w:val="0"/>
        </w:rPr>
        <w:t>个省市自治区，具有证券相关业务审计从业资格，同意改聘华普天健会计师事务所（特殊普通合伙）为 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年度审计机构，聘期一年。公司独立董事发表了事前认可意见。该事项已经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年第一次临 时股东大会审议批准。</w:t>
      </w:r>
    </w:p>
    <w:p>
      <w:pPr>
        <w:pStyle w:val="Style21"/>
        <w:keepNext/>
        <w:keepLines/>
        <w:widowControl w:val="0"/>
        <w:shd w:val="clear" w:color="auto" w:fill="auto"/>
        <w:bidi w:val="0"/>
        <w:spacing w:before="0" w:after="360" w:line="326" w:lineRule="exact"/>
        <w:ind w:left="0" w:right="0" w:firstLine="0"/>
        <w:jc w:val="left"/>
      </w:pPr>
      <w:bookmarkStart w:id="286" w:name="bookmark286"/>
      <w:bookmarkStart w:id="287" w:name="bookmark287"/>
      <w:bookmarkStart w:id="288" w:name="bookmark288"/>
      <w:r>
        <w:rPr>
          <w:color w:val="000000"/>
          <w:spacing w:val="0"/>
          <w:w w:val="100"/>
          <w:position w:val="0"/>
          <w:sz w:val="24"/>
          <w:szCs w:val="24"/>
        </w:rPr>
        <w:t>十、上市公司及其董事、监事、高级管理人员、公司股东、实际控制人和收购人处罚及整改 情况</w:t>
      </w:r>
      <w:bookmarkEnd w:id="286"/>
      <w:bookmarkEnd w:id="287"/>
      <w:bookmarkEnd w:id="288"/>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上市公司及其子公司是否被列入环保部门公布的污染严重企业名单</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上市公司及其子公司是否存在其他重大社会安全问题</w:t>
      </w:r>
    </w:p>
    <w:p>
      <w:pPr>
        <w:pStyle w:val="Style2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3"/>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报告期内是否被行政处罚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1"/>
        <w:keepNext/>
        <w:keepLines/>
        <w:widowControl w:val="0"/>
        <w:shd w:val="clear" w:color="auto" w:fill="auto"/>
        <w:bidi w:val="0"/>
        <w:spacing w:before="0" w:after="320" w:line="326" w:lineRule="exact"/>
        <w:ind w:left="0" w:right="0" w:firstLine="0"/>
        <w:jc w:val="left"/>
      </w:pPr>
      <w:bookmarkStart w:id="289" w:name="bookmark289"/>
      <w:bookmarkStart w:id="290" w:name="bookmark290"/>
      <w:bookmarkStart w:id="291" w:name="bookmark291"/>
      <w:r>
        <w:rPr>
          <w:color w:val="000000"/>
          <w:spacing w:val="0"/>
          <w:w w:val="100"/>
          <w:position w:val="0"/>
          <w:sz w:val="24"/>
          <w:szCs w:val="24"/>
        </w:rPr>
        <w:t>十一、公司股东及其一致行动人在报告期提出或实施股份增持计划的情况</w:t>
      </w:r>
      <w:bookmarkEnd w:id="289"/>
      <w:bookmarkEnd w:id="290"/>
      <w:bookmarkEnd w:id="291"/>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一致行 动人姓名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计划增持股份数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bl>
    <w:p>
      <w:pPr>
        <w:widowControl w:val="0"/>
        <w:spacing w:after="3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其他情况说明</w:t>
      </w:r>
    </w:p>
    <w:p>
      <w:pPr>
        <w:pStyle w:val="Style21"/>
        <w:keepNext/>
        <w:keepLines/>
        <w:widowControl w:val="0"/>
        <w:shd w:val="clear" w:color="auto" w:fill="auto"/>
        <w:bidi w:val="0"/>
        <w:spacing w:before="0" w:after="320" w:line="240" w:lineRule="auto"/>
        <w:ind w:left="0" w:right="0" w:firstLine="0"/>
        <w:jc w:val="left"/>
      </w:pPr>
      <w:bookmarkStart w:id="292" w:name="bookmark292"/>
      <w:bookmarkStart w:id="293" w:name="bookmark293"/>
      <w:bookmarkStart w:id="294" w:name="bookmark294"/>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92"/>
      <w:bookmarkEnd w:id="293"/>
      <w:bookmarkEnd w:id="294"/>
    </w:p>
    <w:tbl>
      <w:tblPr>
        <w:tblOverlap w:val="never"/>
        <w:jc w:val="center"/>
        <w:tblLayout w:type="fixed"/>
      </w:tblPr>
      <w:tblGrid>
        <w:gridCol w:w="1920"/>
        <w:gridCol w:w="1915"/>
        <w:gridCol w:w="1915"/>
        <w:gridCol w:w="1910"/>
        <w:gridCol w:w="1925"/>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违规买卖公司股票的具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涉嫌违规所得收益收回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 的金额（元）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董事会采取的问责措施</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十三、违规对外担保情况</w:t>
      </w:r>
      <w:bookmarkEnd w:id="295"/>
      <w:bookmarkEnd w:id="296"/>
      <w:bookmarkEnd w:id="2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74"/>
        <w:gridCol w:w="869"/>
        <w:gridCol w:w="869"/>
        <w:gridCol w:w="874"/>
        <w:gridCol w:w="869"/>
        <w:gridCol w:w="869"/>
        <w:gridCol w:w="864"/>
        <w:gridCol w:w="869"/>
        <w:gridCol w:w="869"/>
        <w:gridCol w:w="883"/>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与上市公 司的关系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占期末净 资产的比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预计解除 时间（月</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1"/>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十四、年度报告披露后面临暂停上市和终止上市情况</w:t>
      </w:r>
      <w:bookmarkEnd w:id="298"/>
      <w:bookmarkEnd w:id="299"/>
      <w:bookmarkEnd w:id="30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十五、其他重大事项的说明</w:t>
      </w:r>
      <w:bookmarkEnd w:id="301"/>
      <w:bookmarkEnd w:id="302"/>
      <w:bookmarkEnd w:id="30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十六、控股子公司重要事项</w:t>
      </w:r>
      <w:bookmarkEnd w:id="304"/>
      <w:bookmarkEnd w:id="305"/>
      <w:bookmarkEnd w:id="306"/>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5" w:right="880" w:bottom="1479" w:left="925"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600" w:line="240" w:lineRule="auto"/>
        <w:ind w:left="0" w:right="0" w:firstLine="0"/>
        <w:jc w:val="center"/>
      </w:pPr>
      <w:bookmarkStart w:id="307" w:name="bookmark307"/>
      <w:bookmarkStart w:id="308" w:name="bookmark308"/>
      <w:bookmarkStart w:id="309" w:name="bookmark309"/>
      <w:r>
        <w:rPr>
          <w:color w:val="000000"/>
          <w:spacing w:val="0"/>
          <w:w w:val="100"/>
          <w:position w:val="0"/>
        </w:rPr>
        <w:t>第六节股份变动及股东情况</w:t>
      </w:r>
      <w:bookmarkEnd w:id="307"/>
      <w:bookmarkEnd w:id="308"/>
      <w:bookmarkEnd w:id="309"/>
    </w:p>
    <w:p>
      <w:pPr>
        <w:pStyle w:val="Style21"/>
        <w:keepNext/>
        <w:keepLines/>
        <w:widowControl w:val="0"/>
        <w:shd w:val="clear" w:color="auto" w:fill="auto"/>
        <w:bidi w:val="0"/>
        <w:spacing w:before="0" w:after="340" w:line="240" w:lineRule="auto"/>
        <w:ind w:left="0" w:right="0" w:firstLine="0"/>
        <w:jc w:val="both"/>
      </w:pPr>
      <w:bookmarkStart w:id="310" w:name="bookmark310"/>
      <w:bookmarkStart w:id="311" w:name="bookmark311"/>
      <w:bookmarkStart w:id="312" w:name="bookmark312"/>
      <w:bookmarkStart w:id="313" w:name="bookmark313"/>
      <w:bookmarkStart w:id="314" w:name="bookmark314"/>
      <w:r>
        <w:rPr>
          <w:color w:val="000000"/>
          <w:spacing w:val="0"/>
          <w:w w:val="100"/>
          <w:position w:val="0"/>
          <w:sz w:val="24"/>
          <w:szCs w:val="24"/>
        </w:rPr>
        <w:t>一</w:t>
      </w:r>
      <w:bookmarkEnd w:id="313"/>
      <w:r>
        <w:rPr>
          <w:color w:val="000000"/>
          <w:spacing w:val="0"/>
          <w:w w:val="100"/>
          <w:position w:val="0"/>
          <w:sz w:val="24"/>
          <w:szCs w:val="24"/>
        </w:rPr>
        <w:t>、股份变动情况</w:t>
      </w:r>
      <w:bookmarkEnd w:id="311"/>
      <w:bookmarkEnd w:id="312"/>
      <w:bookmarkEnd w:id="314"/>
      <w:bookmarkEnd w:id="310"/>
    </w:p>
    <w:p>
      <w:pPr>
        <w:pStyle w:val="Style31"/>
        <w:keepNext/>
        <w:keepLines/>
        <w:widowControl w:val="0"/>
        <w:shd w:val="clear" w:color="auto" w:fill="auto"/>
        <w:bidi w:val="0"/>
        <w:spacing w:before="0" w:after="34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、股份变动情况</w:t>
      </w:r>
      <w:bookmarkEnd w:id="315"/>
      <w:bookmarkEnd w:id="316"/>
      <w:bookmarkEnd w:id="318"/>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45"/>
        <w:gridCol w:w="850"/>
        <w:gridCol w:w="840"/>
        <w:gridCol w:w="840"/>
        <w:gridCol w:w="845"/>
        <w:gridCol w:w="845"/>
        <w:gridCol w:w="811"/>
        <w:gridCol w:w="82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56,983,19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50,820,34</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56,983,19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50,820,34</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56,983,19</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50,820,34</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50,016,80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57,146,75</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50,016,80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57,146,75</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107,967,1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901" w:val="left"/>
        </w:tabs>
        <w:bidi w:val="0"/>
        <w:spacing w:before="0" w:after="40" w:line="302" w:lineRule="exact"/>
        <w:ind w:left="0" w:right="0" w:firstLine="36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报告期内，公司股票期权激励计划首次授予股票期权第一批共计行权</w:t>
      </w:r>
      <w:r>
        <w:rPr>
          <w:rFonts w:ascii="Times New Roman" w:eastAsia="Times New Roman" w:hAnsi="Times New Roman" w:cs="Times New Roman"/>
          <w:color w:val="000000"/>
          <w:spacing w:val="0"/>
          <w:w w:val="100"/>
          <w:position w:val="0"/>
        </w:rPr>
        <w:t>967,100</w:t>
      </w:r>
      <w:r>
        <w:rPr>
          <w:color w:val="000000"/>
          <w:spacing w:val="0"/>
          <w:w w:val="100"/>
          <w:position w:val="0"/>
        </w:rPr>
        <w:t>股，引起公司股本数量增加</w:t>
      </w:r>
      <w:r>
        <w:rPr>
          <w:rFonts w:ascii="Times New Roman" w:eastAsia="Times New Roman" w:hAnsi="Times New Roman" w:cs="Times New Roman"/>
          <w:color w:val="000000"/>
          <w:spacing w:val="0"/>
          <w:w w:val="100"/>
          <w:position w:val="0"/>
        </w:rPr>
        <w:t xml:space="preserve">967,100 </w:t>
      </w:r>
      <w:r>
        <w:rPr>
          <w:color w:val="000000"/>
          <w:spacing w:val="0"/>
          <w:w w:val="100"/>
          <w:position w:val="0"/>
        </w:rPr>
        <w:t>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日，公司股本总额为</w:t>
      </w:r>
      <w:r>
        <w:rPr>
          <w:rFonts w:ascii="Times New Roman" w:eastAsia="Times New Roman" w:hAnsi="Times New Roman" w:cs="Times New Roman"/>
          <w:color w:val="000000"/>
          <w:spacing w:val="0"/>
          <w:w w:val="100"/>
          <w:position w:val="0"/>
        </w:rPr>
        <w:t>107,967,100</w:t>
      </w:r>
      <w:r>
        <w:rPr>
          <w:color w:val="000000"/>
          <w:spacing w:val="0"/>
          <w:w w:val="100"/>
          <w:position w:val="0"/>
        </w:rPr>
        <w:t>股。</w:t>
      </w:r>
    </w:p>
    <w:p>
      <w:pPr>
        <w:pStyle w:val="Style23"/>
        <w:keepNext w:val="0"/>
        <w:keepLines w:val="0"/>
        <w:widowControl w:val="0"/>
        <w:shd w:val="clear" w:color="auto" w:fill="auto"/>
        <w:tabs>
          <w:tab w:pos="805" w:val="left"/>
        </w:tabs>
        <w:bidi w:val="0"/>
        <w:spacing w:before="0" w:after="40" w:line="302" w:lineRule="exact"/>
        <w:ind w:left="0" w:right="0" w:firstLine="36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报告期内，公司离任监事所持股份锁定及部分董事、监事和高级管理人员减持。</w:t>
      </w:r>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股份变动的批准情况</w:t>
      </w:r>
    </w:p>
    <w:p>
      <w:pPr>
        <w:pStyle w:val="Style23"/>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年第二次临时股东大会，会议以特别决议审议通过了《上海金仕达卫宁软件股份有限公司股 票期权激励计划（草案修订稿）及其摘要的议案》，授予董事会办理公司股票期权激励计划相关事宜。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 第二届董事会第十三次会议根据《上海金仕达卫宁软件股份有限公司股票期权激励计划（草案修订稿）》和公司《股票期权 激励计划实施考核办法》的考核结果，同意首次授予股票期权的</w:t>
      </w:r>
      <w:r>
        <w:rPr>
          <w:rFonts w:ascii="Times New Roman" w:eastAsia="Times New Roman" w:hAnsi="Times New Roman" w:cs="Times New Roman"/>
          <w:color w:val="000000"/>
          <w:spacing w:val="0"/>
          <w:w w:val="100"/>
          <w:position w:val="0"/>
        </w:rPr>
        <w:t>16 2</w:t>
      </w:r>
      <w:r>
        <w:rPr>
          <w:color w:val="000000"/>
          <w:spacing w:val="0"/>
          <w:w w:val="100"/>
          <w:position w:val="0"/>
        </w:rPr>
        <w:t>名激励对象在第一个行权期以定向发行股票的方式进行 行权，可行权数量为</w:t>
      </w:r>
      <w:r>
        <w:rPr>
          <w:rFonts w:ascii="Times New Roman" w:eastAsia="Times New Roman" w:hAnsi="Times New Roman" w:cs="Times New Roman"/>
          <w:color w:val="000000"/>
          <w:spacing w:val="0"/>
          <w:w w:val="100"/>
          <w:position w:val="0"/>
        </w:rPr>
        <w:t>108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18.78</w:t>
      </w:r>
      <w:r>
        <w:rPr>
          <w:color w:val="000000"/>
          <w:spacing w:val="0"/>
          <w:w w:val="100"/>
          <w:position w:val="0"/>
        </w:rPr>
        <w:t>元，行权期限为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日，本次行权采用自主行权模 式。报告期内，公司首次授予股票期权第一个行权期共计行权</w:t>
      </w:r>
      <w:r>
        <w:rPr>
          <w:rFonts w:ascii="Times New Roman" w:eastAsia="Times New Roman" w:hAnsi="Times New Roman" w:cs="Times New Roman"/>
          <w:color w:val="000000"/>
          <w:spacing w:val="0"/>
          <w:w w:val="100"/>
          <w:position w:val="0"/>
        </w:rPr>
        <w:t>967,100</w:t>
      </w:r>
      <w:r>
        <w:rPr>
          <w:color w:val="000000"/>
          <w:spacing w:val="0"/>
          <w:w w:val="100"/>
          <w:position w:val="0"/>
        </w:rPr>
        <w:t>股。</w:t>
      </w:r>
    </w:p>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公司首次授予股票期权第一个行权期采用自主行权模式，行权期限为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日，报告期内，共计 </w:t>
      </w:r>
      <w:r>
        <w:rPr>
          <w:rStyle w:val="CharStyle46"/>
          <w:rFonts w:ascii="SimSun" w:eastAsia="SimSun" w:hAnsi="SimSun" w:cs="SimSun"/>
        </w:rPr>
        <w:t>行权</w:t>
      </w:r>
      <w:r>
        <w:rPr>
          <w:rStyle w:val="CharStyle46"/>
        </w:rPr>
        <w:t>967,100</w:t>
      </w:r>
      <w:r>
        <w:rPr>
          <w:rStyle w:val="CharStyle46"/>
          <w:rFonts w:ascii="SimSun" w:eastAsia="SimSun" w:hAnsi="SimSun" w:cs="SimSun"/>
        </w:rPr>
        <w:t>股。</w:t>
      </w:r>
    </w:p>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报告期内，公司股本由</w:t>
      </w:r>
      <w:r>
        <w:rPr>
          <w:rFonts w:ascii="Times New Roman" w:eastAsia="Times New Roman" w:hAnsi="Times New Roman" w:cs="Times New Roman"/>
          <w:color w:val="000000"/>
          <w:spacing w:val="0"/>
          <w:w w:val="100"/>
          <w:position w:val="0"/>
        </w:rPr>
        <w:t>107,000,000</w:t>
      </w:r>
      <w:r>
        <w:rPr>
          <w:color w:val="000000"/>
          <w:spacing w:val="0"/>
          <w:w w:val="100"/>
          <w:position w:val="0"/>
        </w:rPr>
        <w:t>股增加至</w:t>
      </w:r>
      <w:r>
        <w:rPr>
          <w:rFonts w:ascii="Times New Roman" w:eastAsia="Times New Roman" w:hAnsi="Times New Roman" w:cs="Times New Roman"/>
          <w:color w:val="000000"/>
          <w:spacing w:val="0"/>
          <w:w w:val="100"/>
          <w:position w:val="0"/>
        </w:rPr>
        <w:t>107,967,100</w:t>
      </w:r>
      <w:r>
        <w:rPr>
          <w:color w:val="000000"/>
          <w:spacing w:val="0"/>
          <w:w w:val="100"/>
          <w:position w:val="0"/>
        </w:rPr>
        <w:t>股。如按未变动前股本</w:t>
      </w:r>
      <w:r>
        <w:rPr>
          <w:rFonts w:ascii="Times New Roman" w:eastAsia="Times New Roman" w:hAnsi="Times New Roman" w:cs="Times New Roman"/>
          <w:color w:val="000000"/>
          <w:spacing w:val="0"/>
          <w:w w:val="100"/>
          <w:position w:val="0"/>
        </w:rPr>
        <w:t>107,000,000</w:t>
      </w:r>
      <w:r>
        <w:rPr>
          <w:color w:val="000000"/>
          <w:spacing w:val="0"/>
          <w:w w:val="100"/>
          <w:position w:val="0"/>
        </w:rPr>
        <w:t xml:space="preserve">股计算，报告期基本每股收益 </w:t>
      </w:r>
      <w:r>
        <w:rPr>
          <w:rFonts w:ascii="Times New Roman" w:eastAsia="Times New Roman" w:hAnsi="Times New Roman" w:cs="Times New Roman"/>
          <w:color w:val="000000"/>
          <w:spacing w:val="0"/>
          <w:w w:val="100"/>
          <w:position w:val="0"/>
        </w:rPr>
        <w:t>0.7533</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.7395</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rPr>
        <w:t>5.8686</w:t>
      </w:r>
      <w:r>
        <w:rPr>
          <w:color w:val="000000"/>
          <w:spacing w:val="0"/>
          <w:w w:val="100"/>
          <w:position w:val="0"/>
        </w:rPr>
        <w:t>元。以最新期末股本</w:t>
      </w:r>
      <w:r>
        <w:rPr>
          <w:rFonts w:ascii="Times New Roman" w:eastAsia="Times New Roman" w:hAnsi="Times New Roman" w:cs="Times New Roman"/>
          <w:color w:val="000000"/>
          <w:spacing w:val="0"/>
          <w:w w:val="100"/>
          <w:position w:val="0"/>
        </w:rPr>
        <w:t>107,967,100</w:t>
      </w:r>
      <w:r>
        <w:rPr>
          <w:color w:val="000000"/>
          <w:spacing w:val="0"/>
          <w:w w:val="100"/>
          <w:position w:val="0"/>
        </w:rPr>
        <w:t>股计算，报 告期基本每股份收益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.7528</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.7390</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rPr>
        <w:t>5.8160</w:t>
      </w:r>
      <w:r>
        <w:rPr>
          <w:color w:val="000000"/>
          <w:spacing w:val="0"/>
          <w:w w:val="100"/>
          <w:position w:val="0"/>
        </w:rPr>
        <w:t>元。</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3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、限售股份变动情况</w:t>
      </w:r>
      <w:bookmarkEnd w:id="321"/>
      <w:bookmarkEnd w:id="322"/>
      <w:bookmarkEnd w:id="3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17,714,094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17,714,094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14,969,210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14,969,210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13,285,570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13,285,570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按监事锁定规定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52,324,510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1,512,767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50,820,343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sz w:val="24"/>
          <w:szCs w:val="24"/>
        </w:rPr>
        <w:t>二</w:t>
      </w:r>
      <w:bookmarkEnd w:id="327"/>
      <w:r>
        <w:rPr>
          <w:color w:val="000000"/>
          <w:spacing w:val="0"/>
          <w:w w:val="100"/>
          <w:position w:val="0"/>
          <w:sz w:val="24"/>
          <w:szCs w:val="24"/>
        </w:rPr>
        <w:t>、证券发行与上市情况</w:t>
      </w:r>
      <w:bookmarkEnd w:id="325"/>
      <w:bookmarkEnd w:id="326"/>
      <w:bookmarkEnd w:id="328"/>
    </w:p>
    <w:p>
      <w:pPr>
        <w:pStyle w:val="Style31"/>
        <w:keepNext/>
        <w:keepLines/>
        <w:widowControl w:val="0"/>
        <w:shd w:val="clear" w:color="auto" w:fill="auto"/>
        <w:bidi w:val="0"/>
        <w:spacing w:before="0" w:after="32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、报告期内证券发行情况</w:t>
      </w:r>
      <w:bookmarkEnd w:id="329"/>
      <w:bookmarkEnd w:id="330"/>
      <w:bookmarkEnd w:id="332"/>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31"/>
        <w:keepNext/>
        <w:keepLines/>
        <w:widowControl w:val="0"/>
        <w:shd w:val="clear" w:color="auto" w:fill="auto"/>
        <w:bidi w:val="0"/>
        <w:spacing w:before="0" w:after="2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、公司股份总数及股东结构的变动、公司资产和负债结构的变动情况说明</w:t>
      </w:r>
      <w:bookmarkEnd w:id="333"/>
      <w:bookmarkEnd w:id="334"/>
      <w:bookmarkEnd w:id="336"/>
    </w:p>
    <w:p>
      <w:pPr>
        <w:pStyle w:val="Style23"/>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日召开的第二届董事会第十三次会议审议通过了《关于公司股票期权激励计划首次授予股票期权第一个行权 期可行权的议案》，首次授予股票期权第一个行权期的行权条件已满足，首次授予股票期权的</w:t>
      </w:r>
      <w:r>
        <w:rPr>
          <w:rFonts w:ascii="Times New Roman" w:eastAsia="Times New Roman" w:hAnsi="Times New Roman" w:cs="Times New Roman"/>
          <w:color w:val="000000"/>
          <w:spacing w:val="0"/>
          <w:w w:val="100"/>
          <w:position w:val="0"/>
        </w:rPr>
        <w:t>162</w:t>
      </w:r>
      <w:r>
        <w:rPr>
          <w:color w:val="000000"/>
          <w:spacing w:val="0"/>
          <w:w w:val="100"/>
          <w:position w:val="0"/>
        </w:rPr>
        <w:t>名激励对象在第一个行权 期可行权数量为</w:t>
      </w:r>
      <w:r>
        <w:rPr>
          <w:rFonts w:ascii="Times New Roman" w:eastAsia="Times New Roman" w:hAnsi="Times New Roman" w:cs="Times New Roman"/>
          <w:color w:val="000000"/>
          <w:spacing w:val="0"/>
          <w:w w:val="100"/>
          <w:position w:val="0"/>
        </w:rPr>
        <w:t>108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18.78</w:t>
      </w:r>
      <w:r>
        <w:rPr>
          <w:color w:val="000000"/>
          <w:spacing w:val="0"/>
          <w:w w:val="100"/>
          <w:position w:val="0"/>
        </w:rPr>
        <w:t>元，行权期限为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日，本次行权采用自主行权模式行 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日，公司股票期权激励计划首次授予股票期权第一个行权期共计行权</w:t>
      </w:r>
      <w:r>
        <w:rPr>
          <w:rFonts w:ascii="Times New Roman" w:eastAsia="Times New Roman" w:hAnsi="Times New Roman" w:cs="Times New Roman"/>
          <w:color w:val="000000"/>
          <w:spacing w:val="0"/>
          <w:w w:val="100"/>
          <w:position w:val="0"/>
        </w:rPr>
        <w:t>967,100</w:t>
      </w:r>
      <w:r>
        <w:rPr>
          <w:color w:val="000000"/>
          <w:spacing w:val="0"/>
          <w:w w:val="100"/>
          <w:position w:val="0"/>
        </w:rPr>
        <w:t xml:space="preserve">股，公司股份总数增加 至 </w:t>
      </w:r>
      <w:r>
        <w:rPr>
          <w:rFonts w:ascii="Times New Roman" w:eastAsia="Times New Roman" w:hAnsi="Times New Roman" w:cs="Times New Roman"/>
          <w:color w:val="000000"/>
          <w:spacing w:val="0"/>
          <w:w w:val="100"/>
          <w:position w:val="0"/>
        </w:rPr>
        <w:t>107,967,100</w:t>
      </w:r>
      <w:r>
        <w:rPr>
          <w:color w:val="000000"/>
          <w:spacing w:val="0"/>
          <w:w w:val="100"/>
          <w:position w:val="0"/>
        </w:rPr>
        <w:t>股。</w:t>
      </w:r>
    </w:p>
    <w:p>
      <w:pPr>
        <w:pStyle w:val="Style21"/>
        <w:keepNext/>
        <w:keepLines/>
        <w:widowControl w:val="0"/>
        <w:shd w:val="clear" w:color="auto" w:fill="auto"/>
        <w:bidi w:val="0"/>
        <w:spacing w:before="0" w:after="34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三</w:t>
      </w:r>
      <w:bookmarkEnd w:id="339"/>
      <w:r>
        <w:rPr>
          <w:color w:val="000000"/>
          <w:spacing w:val="0"/>
          <w:w w:val="100"/>
          <w:position w:val="0"/>
          <w:sz w:val="24"/>
          <w:szCs w:val="24"/>
        </w:rPr>
        <w:t>、股东和实际控制人情况</w:t>
      </w:r>
      <w:bookmarkEnd w:id="337"/>
      <w:bookmarkEnd w:id="338"/>
      <w:bookmarkEnd w:id="340"/>
    </w:p>
    <w:p>
      <w:pPr>
        <w:pStyle w:val="Style31"/>
        <w:keepNext/>
        <w:keepLines/>
        <w:widowControl w:val="0"/>
        <w:shd w:val="clear" w:color="auto" w:fill="auto"/>
        <w:bidi w:val="0"/>
        <w:spacing w:before="0" w:after="34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、公司股东数量及持股情况</w:t>
      </w:r>
      <w:bookmarkEnd w:id="341"/>
      <w:bookmarkEnd w:id="342"/>
      <w:bookmarkEnd w:id="3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3"/>
        <w:gridCol w:w="864"/>
        <w:gridCol w:w="797"/>
        <w:gridCol w:w="802"/>
        <w:gridCol w:w="797"/>
        <w:gridCol w:w="850"/>
        <w:gridCol w:w="1368"/>
        <w:gridCol w:w="1378"/>
      </w:tblGrid>
      <w:tr>
        <w:trPr>
          <w:trHeight w:val="40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4656"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2,735</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17,714,09</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17,714,09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14,969,21</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14,969,21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13,285,57</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13,285,57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-1,465,70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中国工商银行一 富国天惠精选成 长混合型证券投 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中国建设银行一 华夏红利混合型 开放式证券投资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 银河行业优选股 票型证券投资基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-2,129,00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中国农业银行一 富国天瑞强势地 区精选混合型开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2,055,717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3"/>
        <w:gridCol w:w="864"/>
        <w:gridCol w:w="797"/>
        <w:gridCol w:w="802"/>
        <w:gridCol w:w="797"/>
        <w:gridCol w:w="850"/>
        <w:gridCol w:w="1368"/>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放式证券投资基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全国社保基金一 一四组合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中国光大银行股 份有限公司一泰 信先行策略开放 式证券投资基金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公司控股股东、实际控制人为周炜、王英夫妇；上述其他股东与公司控股股东、实际控 制人均无关联关系，也不属于一致行动人，公司未知上述其他股东之间是否存在关联关 系或属于一致行动人。</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中国工商银行一富国天惠精选成 长混合型证券投资基金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中国建设银行一华夏红利混合型 开放式证券投资基金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3,264,011</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中国建设银行一银河行业优选股 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2,800,000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中国农业银行一富国天瑞强势地 区精选混合型开放式证券投资基 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2,055,717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全国社保基金一一四组合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1,867,139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中国光大银行股份有限公司一泰 信先行策略开放式证券投资基金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1,756,725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中信银行一银河主题策略股票型 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中国农业银行一宝盈策略增长股 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1,553,000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中国工商银行一广发聚瑞股票型 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1,550,672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中国银行股份有限公司一广发聚 优灵活配置混合型证券投资基金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1,522,349</w:t>
            </w:r>
          </w:p>
        </w:tc>
      </w:tr>
      <w:tr>
        <w:trPr>
          <w:trHeight w:val="682"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公司控股股东、实际控制人为周炜、王英夫妇；上述其他股东与公司控股股东、实际控 制人均无关联关系，也不属于一致行动人，公司未知上述其他股东之间是否存在关联关</w:t>
            </w:r>
          </w:p>
        </w:tc>
      </w:tr>
    </w:tbl>
    <w:p>
      <w:pPr>
        <w:spacing w:lineRule="exact" w:line="1"/>
        <w:rPr>
          <w:sz w:val="2"/>
          <w:szCs w:val="2"/>
        </w:rPr>
      </w:pPr>
      <w:r>
        <w:br w:type="page"/>
      </w:r>
    </w:p>
    <w:tbl>
      <w:tblPr>
        <w:tblOverlap w:val="never"/>
        <w:jc w:val="center"/>
        <w:tblLayout w:type="fixed"/>
      </w:tblPr>
      <w:tblGrid>
        <w:gridCol w:w="2722"/>
        <w:gridCol w:w="6864"/>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系或属于一致行动人。</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4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、公司控股股东情况</w:t>
      </w:r>
      <w:bookmarkEnd w:id="345"/>
      <w:bookmarkEnd w:id="346"/>
      <w:bookmarkEnd w:id="348"/>
    </w:p>
    <w:p>
      <w:pPr>
        <w:pStyle w:val="Style23"/>
        <w:keepNext w:val="0"/>
        <w:keepLines w:val="0"/>
        <w:widowControl w:val="0"/>
        <w:shd w:val="clear" w:color="auto" w:fill="auto"/>
        <w:bidi w:val="0"/>
        <w:spacing w:before="0" w:after="100" w:line="350" w:lineRule="exact"/>
        <w:ind w:left="0" w:right="0" w:firstLine="0"/>
        <w:jc w:val="left"/>
      </w:pPr>
      <w:r>
        <w:rPr>
          <w:color w:val="000000"/>
          <w:spacing w:val="0"/>
          <w:w w:val="100"/>
          <w:position w:val="0"/>
        </w:rPr>
        <w:t>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周炜先生任公司董事长、王英女士在公司从事行政工作。</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、公司实际控制人情况</w:t>
      </w:r>
      <w:bookmarkEnd w:id="349"/>
      <w:bookmarkEnd w:id="350"/>
      <w:bookmarkEnd w:id="352"/>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37"/>
        <w:gridCol w:w="41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w:t>
            </w:r>
            <w:r>
              <w:rPr>
                <w:rFonts w:ascii="Times New Roman" w:eastAsia="Times New Roman" w:hAnsi="Times New Roman" w:cs="Times New Roman"/>
                <w:color w:val="000000"/>
                <w:spacing w:val="0"/>
                <w:w w:val="100"/>
                <w:position w:val="0"/>
              </w:rPr>
              <w:t>5</w:t>
            </w:r>
            <w:r>
              <w:rPr>
                <w:color w:val="000000"/>
                <w:spacing w:val="0"/>
                <w:w w:val="100"/>
                <w:position w:val="0"/>
              </w:rPr>
              <w:t>年周炜任公司董事长、王英在公司从事行政工作。</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5723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572385"/>
                    </a:xfrm>
                    <a:prstGeom prst="rect"/>
                  </pic:spPr>
                </pic:pic>
              </a:graphicData>
            </a:graphic>
          </wp:inline>
        </w:drawing>
      </w:r>
    </w:p>
    <w:p>
      <w:pPr>
        <w:widowControl w:val="0"/>
        <w:spacing w:after="239" w:line="1" w:lineRule="exact"/>
      </w:pPr>
    </w:p>
    <w:p>
      <w:pPr>
        <w:pStyle w:val="Style4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53"/>
      <w:bookmarkEnd w:id="354"/>
      <w:bookmarkEnd w:id="356"/>
    </w:p>
    <w:tbl>
      <w:tblPr>
        <w:tblOverlap w:val="never"/>
        <w:jc w:val="center"/>
        <w:tblLayout w:type="fixed"/>
      </w:tblPr>
      <w:tblGrid>
        <w:gridCol w:w="2189"/>
        <w:gridCol w:w="1094"/>
        <w:gridCol w:w="888"/>
        <w:gridCol w:w="1800"/>
        <w:gridCol w:w="1805"/>
        <w:gridCol w:w="18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主要经营业务或管理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5</w:t>
      </w:r>
      <w:bookmarkEnd w:id="359"/>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57"/>
      <w:bookmarkEnd w:id="358"/>
      <w:bookmarkEnd w:id="360"/>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持有的限售条件股份数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新增可上市交易股份数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限售条件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17,714,094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14,969,210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13,285,570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按董事锁定规定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按监事锁定规定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按离任监事锁定规定</w:t>
            </w:r>
          </w:p>
        </w:tc>
      </w:tr>
    </w:tbl>
    <w:p>
      <w:pPr>
        <w:spacing w:lineRule="exact" w:line="1"/>
        <w:rPr>
          <w:sz w:val="2"/>
          <w:szCs w:val="2"/>
        </w:rPr>
      </w:pPr>
      <w:r>
        <w:br w:type="page"/>
      </w:r>
    </w:p>
    <w:p>
      <w:pPr>
        <w:pStyle w:val="Style13"/>
        <w:keepNext/>
        <w:keepLines/>
        <w:widowControl w:val="0"/>
        <w:shd w:val="clear" w:color="auto" w:fill="auto"/>
        <w:bidi w:val="0"/>
        <w:spacing w:before="0" w:after="520" w:line="240" w:lineRule="auto"/>
        <w:ind w:left="0" w:right="0" w:firstLine="0"/>
        <w:jc w:val="center"/>
      </w:pPr>
      <w:bookmarkStart w:id="361" w:name="bookmark361"/>
      <w:bookmarkStart w:id="362" w:name="bookmark362"/>
      <w:bookmarkStart w:id="363" w:name="bookmark363"/>
      <w:r>
        <w:rPr>
          <w:color w:val="000000"/>
          <w:spacing w:val="0"/>
          <w:w w:val="100"/>
          <w:position w:val="0"/>
        </w:rPr>
        <w:t>第七节 董事、监事、高级管理人员和员工情况</w:t>
      </w:r>
      <w:bookmarkEnd w:id="361"/>
      <w:bookmarkEnd w:id="362"/>
      <w:bookmarkEnd w:id="363"/>
    </w:p>
    <w:p>
      <w:pPr>
        <w:pStyle w:val="Style21"/>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bookmarkStart w:id="368" w:name="bookmark368"/>
      <w:r>
        <w:rPr>
          <w:color w:val="000000"/>
          <w:spacing w:val="0"/>
          <w:w w:val="100"/>
          <w:position w:val="0"/>
          <w:sz w:val="24"/>
          <w:szCs w:val="24"/>
        </w:rPr>
        <w:t>一</w:t>
      </w:r>
      <w:bookmarkEnd w:id="367"/>
      <w:r>
        <w:rPr>
          <w:color w:val="000000"/>
          <w:spacing w:val="0"/>
          <w:w w:val="100"/>
          <w:position w:val="0"/>
          <w:sz w:val="24"/>
          <w:szCs w:val="24"/>
        </w:rPr>
        <w:t>、董事、监事和高级管理人员持股变动</w:t>
      </w:r>
      <w:bookmarkEnd w:id="365"/>
      <w:bookmarkEnd w:id="366"/>
      <w:bookmarkEnd w:id="368"/>
      <w:bookmarkEnd w:id="364"/>
    </w:p>
    <w:p>
      <w:pPr>
        <w:pStyle w:val="Style31"/>
        <w:keepNext/>
        <w:keepLines/>
        <w:widowControl w:val="0"/>
        <w:shd w:val="clear" w:color="auto" w:fill="auto"/>
        <w:bidi w:val="0"/>
        <w:spacing w:before="0" w:after="32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、持股情况</w:t>
      </w:r>
      <w:bookmarkEnd w:id="369"/>
      <w:bookmarkEnd w:id="370"/>
      <w:bookmarkEnd w:id="372"/>
    </w:p>
    <w:tbl>
      <w:tblPr>
        <w:tblOverlap w:val="never"/>
        <w:jc w:val="center"/>
        <w:tblLayout w:type="fixed"/>
      </w:tblPr>
      <w:tblGrid>
        <w:gridCol w:w="686"/>
        <w:gridCol w:w="682"/>
        <w:gridCol w:w="682"/>
        <w:gridCol w:w="682"/>
        <w:gridCol w:w="686"/>
        <w:gridCol w:w="682"/>
        <w:gridCol w:w="686"/>
        <w:gridCol w:w="682"/>
        <w:gridCol w:w="686"/>
        <w:gridCol w:w="682"/>
        <w:gridCol w:w="682"/>
        <w:gridCol w:w="686"/>
        <w:gridCol w:w="677"/>
        <w:gridCol w:w="701"/>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5,862,9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4,397,2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82"/>
        <w:gridCol w:w="682"/>
        <w:gridCol w:w="682"/>
        <w:gridCol w:w="686"/>
        <w:gridCol w:w="682"/>
        <w:gridCol w:w="686"/>
        <w:gridCol w:w="682"/>
        <w:gridCol w:w="682"/>
        <w:gridCol w:w="686"/>
        <w:gridCol w:w="682"/>
        <w:gridCol w:w="686"/>
        <w:gridCol w:w="682"/>
        <w:gridCol w:w="69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离任监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增持； 股票期 权行权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37,363,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、持有股票期权情况</w:t>
      </w:r>
      <w:bookmarkEnd w:id="373"/>
      <w:bookmarkEnd w:id="374"/>
      <w:bookmarkEnd w:id="376"/>
    </w:p>
    <w:tbl>
      <w:tblPr>
        <w:tblOverlap w:val="never"/>
        <w:jc w:val="center"/>
        <w:tblLayout w:type="fixed"/>
      </w:tblPr>
      <w:tblGrid>
        <w:gridCol w:w="1200"/>
        <w:gridCol w:w="1195"/>
        <w:gridCol w:w="1195"/>
        <w:gridCol w:w="1195"/>
        <w:gridCol w:w="1195"/>
        <w:gridCol w:w="1200"/>
        <w:gridCol w:w="1195"/>
        <w:gridCol w:w="121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期初持有股票 期权数量（份）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本期获授予股 票期权数量</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本期已行权股 票期权数量</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本期注销的股 票期权数量</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期末持有股票 期权数量（份）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277,500</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60"/>
        <w:jc w:val="left"/>
      </w:pPr>
      <w:bookmarkStart w:id="377" w:name="bookmark377"/>
      <w:bookmarkStart w:id="378" w:name="bookmark378"/>
      <w:bookmarkStart w:id="379" w:name="bookmark379"/>
      <w:r>
        <w:rPr>
          <w:color w:val="000000"/>
          <w:spacing w:val="0"/>
          <w:w w:val="100"/>
          <w:position w:val="0"/>
          <w:sz w:val="24"/>
          <w:szCs w:val="24"/>
        </w:rPr>
        <w:t>、任职情况</w:t>
      </w:r>
      <w:bookmarkEnd w:id="377"/>
      <w:bookmarkEnd w:id="378"/>
      <w:bookmarkEnd w:id="379"/>
    </w:p>
    <w:p>
      <w:pPr>
        <w:pStyle w:val="Style23"/>
        <w:keepNext w:val="0"/>
        <w:keepLines w:val="0"/>
        <w:widowControl w:val="0"/>
        <w:shd w:val="clear" w:color="auto" w:fill="auto"/>
        <w:bidi w:val="0"/>
        <w:spacing w:before="0" w:after="200" w:line="310"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3"/>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、董事会成员</w:t>
      </w:r>
    </w:p>
    <w:p>
      <w:pPr>
        <w:pStyle w:val="Style23"/>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公司第二届董事会由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名。各董事由公司董事会提名，经公司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 选举产生，本届董事会任期自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3"/>
        <w:keepNext w:val="0"/>
        <w:keepLines w:val="0"/>
        <w:widowControl w:val="0"/>
        <w:shd w:val="clear" w:color="auto" w:fill="auto"/>
        <w:tabs>
          <w:tab w:pos="924" w:val="left"/>
        </w:tabs>
        <w:bidi w:val="0"/>
        <w:spacing w:before="0" w:after="120" w:line="310" w:lineRule="exact"/>
        <w:ind w:left="0" w:right="0" w:firstLine="44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w:t>
        <w:tab/>
        <w:t>周炜，男，</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年出生，中国国籍，无境外永久居留权。中欧国际工商学院高级管理人员工商管理硕士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高级工程师、高级经济师。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年，先后担任上海泰格新技术开发公司总经理、上海金仕达卫宁医疗信息技术有限 公司董事长兼总裁；</w:t>
      </w:r>
      <w:r>
        <w:rPr>
          <w:rFonts w:ascii="Times New Roman" w:eastAsia="Times New Roman" w:hAnsi="Times New Roman" w:cs="Times New Roman"/>
          <w:color w:val="000000"/>
          <w:spacing w:val="0"/>
          <w:w w:val="100"/>
          <w:position w:val="0"/>
        </w:rPr>
        <w:t>2004</w:t>
      </w:r>
      <w:r>
        <w:rPr>
          <w:color w:val="000000"/>
          <w:spacing w:val="0"/>
          <w:w w:val="100"/>
          <w:position w:val="0"/>
        </w:rPr>
        <w:t>年起加入上海金仕达卫宁软件有限公司，历任董事长、总裁。</w:t>
      </w:r>
      <w:r>
        <w:rPr>
          <w:rFonts w:ascii="Times New Roman" w:eastAsia="Times New Roman" w:hAnsi="Times New Roman" w:cs="Times New Roman"/>
          <w:color w:val="000000"/>
          <w:spacing w:val="0"/>
          <w:w w:val="100"/>
          <w:position w:val="0"/>
        </w:rPr>
        <w:t>2000</w:t>
      </w:r>
      <w:r>
        <w:rPr>
          <w:color w:val="000000"/>
          <w:spacing w:val="0"/>
          <w:w w:val="100"/>
          <w:position w:val="0"/>
        </w:rPr>
        <w:t>年被评选为上海市虹口区优秀科 技工作者，并被选举为上海市虹口区政协委员、青联委员、科技企业联合会副会长，</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年被评为上海市优秀软件企业家， </w:t>
      </w:r>
      <w:r>
        <w:rPr>
          <w:rFonts w:ascii="Times New Roman" w:eastAsia="Times New Roman" w:hAnsi="Times New Roman" w:cs="Times New Roman"/>
          <w:color w:val="000000"/>
          <w:spacing w:val="0"/>
          <w:w w:val="100"/>
          <w:position w:val="0"/>
        </w:rPr>
        <w:t>2011</w:t>
      </w:r>
      <w:r>
        <w:rPr>
          <w:color w:val="000000"/>
          <w:spacing w:val="0"/>
          <w:w w:val="100"/>
          <w:position w:val="0"/>
        </w:rPr>
        <w:t>年被选举为上海市浦东新区工商业联合会（商会）常委。现任本公司董事长，卫宁科技董事长。</w:t>
      </w:r>
    </w:p>
    <w:p>
      <w:pPr>
        <w:pStyle w:val="Style23"/>
        <w:keepNext w:val="0"/>
        <w:keepLines w:val="0"/>
        <w:widowControl w:val="0"/>
        <w:shd w:val="clear" w:color="auto" w:fill="auto"/>
        <w:tabs>
          <w:tab w:pos="919" w:val="left"/>
        </w:tabs>
        <w:bidi w:val="0"/>
        <w:spacing w:before="0" w:after="120" w:line="314" w:lineRule="exact"/>
        <w:ind w:left="0" w:right="0" w:firstLine="44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w:t>
        <w:tab/>
        <w:t>刘宁，男，</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年出生，中国国籍，无境外永久居留权。复旦大学应用数学专业硕士、高级工程师。</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年，历任美国惠普</w:t>
      </w:r>
      <w:r>
        <w:rPr>
          <w:color w:val="000000"/>
          <w:spacing w:val="0"/>
          <w:w w:val="100"/>
          <w:position w:val="0"/>
        </w:rPr>
        <w:t>（</w:t>
      </w:r>
      <w:r>
        <w:rPr>
          <w:rFonts w:ascii="Times New Roman" w:eastAsia="Times New Roman" w:hAnsi="Times New Roman" w:cs="Times New Roman"/>
          <w:color w:val="000000"/>
          <w:spacing w:val="0"/>
          <w:w w:val="100"/>
          <w:position w:val="0"/>
        </w:rPr>
        <w:t>HP</w:t>
      </w:r>
      <w:r>
        <w:rPr>
          <w:color w:val="000000"/>
          <w:spacing w:val="0"/>
          <w:w w:val="100"/>
          <w:position w:val="0"/>
        </w:rPr>
        <w:t>）</w:t>
      </w:r>
      <w:r>
        <w:rPr>
          <w:color w:val="000000"/>
          <w:spacing w:val="0"/>
          <w:w w:val="100"/>
          <w:position w:val="0"/>
        </w:rPr>
        <w:t>公司技术员、上海金仕达卫宁医疗信息技术有限公司董事、副总裁。</w:t>
      </w:r>
      <w:r>
        <w:rPr>
          <w:rFonts w:ascii="Times New Roman" w:eastAsia="Times New Roman" w:hAnsi="Times New Roman" w:cs="Times New Roman"/>
          <w:color w:val="000000"/>
          <w:spacing w:val="0"/>
          <w:w w:val="100"/>
          <w:position w:val="0"/>
        </w:rPr>
        <w:t>2004</w:t>
      </w:r>
      <w:r>
        <w:rPr>
          <w:color w:val="000000"/>
          <w:spacing w:val="0"/>
          <w:w w:val="100"/>
          <w:position w:val="0"/>
        </w:rPr>
        <w:t>年起加入上海金仕达卫 宁软件有限公司，任副总裁。长期从事医疗信息行业应用软件及解决方案的开发，主持完成了公司核心产品医院信息管理系 统的开发工作，主持开发的医技信息管理软件荣获</w:t>
      </w:r>
      <w:r>
        <w:rPr>
          <w:rFonts w:ascii="Times New Roman" w:eastAsia="Times New Roman" w:hAnsi="Times New Roman" w:cs="Times New Roman"/>
          <w:color w:val="000000"/>
          <w:spacing w:val="0"/>
          <w:w w:val="100"/>
          <w:position w:val="0"/>
        </w:rPr>
        <w:t>2008</w:t>
      </w:r>
      <w:r>
        <w:rPr>
          <w:color w:val="000000"/>
          <w:spacing w:val="0"/>
          <w:w w:val="100"/>
          <w:position w:val="0"/>
        </w:rPr>
        <w:t>年国家级火炬计划项目；对医疗卫生行业业务流程及信息化有深刻的 理解，发表论文数篇，并参编医学信息学等教材；擅长业务需求分析、项目管理，主导并建立了公司整套开发、维护、服务 及管理流程。</w:t>
      </w:r>
      <w:r>
        <w:rPr>
          <w:rFonts w:ascii="Times New Roman" w:eastAsia="Times New Roman" w:hAnsi="Times New Roman" w:cs="Times New Roman"/>
          <w:color w:val="000000"/>
          <w:spacing w:val="0"/>
          <w:w w:val="100"/>
          <w:position w:val="0"/>
        </w:rPr>
        <w:t>2010</w:t>
      </w:r>
      <w:r>
        <w:rPr>
          <w:color w:val="000000"/>
          <w:spacing w:val="0"/>
          <w:w w:val="100"/>
          <w:position w:val="0"/>
        </w:rPr>
        <w:t>年被评为上海市优秀软件企业家，</w:t>
      </w:r>
      <w:r>
        <w:rPr>
          <w:rFonts w:ascii="Times New Roman" w:eastAsia="Times New Roman" w:hAnsi="Times New Roman" w:cs="Times New Roman"/>
          <w:color w:val="000000"/>
          <w:spacing w:val="0"/>
          <w:w w:val="100"/>
          <w:position w:val="0"/>
        </w:rPr>
        <w:t>2010</w:t>
      </w:r>
      <w:r>
        <w:rPr>
          <w:color w:val="000000"/>
          <w:spacing w:val="0"/>
          <w:w w:val="100"/>
          <w:position w:val="0"/>
        </w:rPr>
        <w:t>年被评为上海市计算机行业创新领军人物。现任本公司董事、总经 理，卫宁科技董事。</w:t>
      </w:r>
    </w:p>
    <w:p>
      <w:pPr>
        <w:pStyle w:val="Style23"/>
        <w:keepNext w:val="0"/>
        <w:keepLines w:val="0"/>
        <w:widowControl w:val="0"/>
        <w:shd w:val="clear" w:color="auto" w:fill="auto"/>
        <w:tabs>
          <w:tab w:pos="914" w:val="left"/>
        </w:tabs>
        <w:bidi w:val="0"/>
        <w:spacing w:before="0" w:after="100" w:line="307" w:lineRule="exact"/>
        <w:ind w:left="0" w:right="0" w:firstLine="44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3</w:t>
      </w:r>
      <w:r>
        <w:rPr>
          <w:color w:val="000000"/>
          <w:spacing w:val="0"/>
          <w:w w:val="100"/>
          <w:position w:val="0"/>
        </w:rPr>
        <w:t>）</w:t>
        <w:tab/>
        <w:t>孙凯，男，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年出生，中国国籍，无境外永久居留权。大学本科，高级工程师。</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年，历任上海金 仕达卫宁医疗信息技术有限公司工程师、主管、开发部经理等职。</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年起加入本公司，历任医技事业部产品总监、副总经 </w:t>
      </w:r>
      <w:r>
        <w:rPr>
          <w:color w:val="000000"/>
          <w:spacing w:val="0"/>
          <w:w w:val="100"/>
          <w:position w:val="0"/>
        </w:rPr>
        <w:t>理、总经理，公司总经理助理。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w:t>
      </w:r>
      <w:r>
        <w:rPr>
          <w:color w:val="000000"/>
          <w:spacing w:val="0"/>
          <w:w w:val="100"/>
          <w:position w:val="0"/>
        </w:rPr>
        <w:t>年度被评为</w:t>
      </w:r>
      <w:r>
        <w:rPr>
          <w:rFonts w:ascii="Times New Roman" w:eastAsia="Times New Roman" w:hAnsi="Times New Roman" w:cs="Times New Roman"/>
          <w:color w:val="000000"/>
          <w:spacing w:val="0"/>
          <w:w w:val="100"/>
          <w:position w:val="0"/>
        </w:rPr>
        <w:t>“</w:t>
      </w:r>
      <w:r>
        <w:rPr>
          <w:color w:val="000000"/>
          <w:spacing w:val="0"/>
          <w:w w:val="100"/>
          <w:position w:val="0"/>
        </w:rPr>
        <w:t>上海市劳动模范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年当选上海市工会第十二次代表大会代表， 荣获</w:t>
      </w:r>
      <w:r>
        <w:rPr>
          <w:rFonts w:ascii="Times New Roman" w:eastAsia="Times New Roman" w:hAnsi="Times New Roman" w:cs="Times New Roman"/>
          <w:color w:val="000000"/>
          <w:spacing w:val="0"/>
          <w:w w:val="100"/>
          <w:position w:val="0"/>
        </w:rPr>
        <w:t>“2009</w:t>
      </w:r>
      <w:r>
        <w:rPr>
          <w:color w:val="000000"/>
          <w:spacing w:val="0"/>
          <w:w w:val="100"/>
          <w:position w:val="0"/>
        </w:rPr>
        <w:t>年度上海市软件行业标兵</w:t>
      </w:r>
      <w:r>
        <w:rPr>
          <w:rFonts w:ascii="Times New Roman" w:eastAsia="Times New Roman" w:hAnsi="Times New Roman" w:cs="Times New Roman"/>
          <w:color w:val="000000"/>
          <w:spacing w:val="0"/>
          <w:w w:val="100"/>
          <w:position w:val="0"/>
        </w:rPr>
        <w:t>”</w:t>
      </w:r>
      <w:r>
        <w:rPr>
          <w:color w:val="000000"/>
          <w:spacing w:val="0"/>
          <w:w w:val="100"/>
          <w:position w:val="0"/>
        </w:rPr>
        <w:t>称号。长期从事医疗信息行业应用软件及解决方案的开发，参与主持完成了公司医技信 息管理系列软件的开发工作，参与主持开发的医技信息管理软件荣获</w:t>
      </w:r>
      <w:r>
        <w:rPr>
          <w:rFonts w:ascii="Times New Roman" w:eastAsia="Times New Roman" w:hAnsi="Times New Roman" w:cs="Times New Roman"/>
          <w:color w:val="000000"/>
          <w:spacing w:val="0"/>
          <w:w w:val="100"/>
          <w:position w:val="0"/>
        </w:rPr>
        <w:t>2008</w:t>
      </w:r>
      <w:r>
        <w:rPr>
          <w:color w:val="000000"/>
          <w:spacing w:val="0"/>
          <w:w w:val="100"/>
          <w:position w:val="0"/>
        </w:rPr>
        <w:t>年国家级火炬计划项目，获得信息产业部高级项目 经理证书，擅长软件技术开发、项目管理，尤擅长</w:t>
      </w:r>
      <w:r>
        <w:rPr>
          <w:rFonts w:ascii="Times New Roman" w:eastAsia="Times New Roman" w:hAnsi="Times New Roman" w:cs="Times New Roman"/>
          <w:color w:val="000000"/>
          <w:spacing w:val="0"/>
          <w:w w:val="100"/>
          <w:position w:val="0"/>
        </w:rPr>
        <w:t>PACS</w:t>
      </w:r>
      <w:r>
        <w:rPr>
          <w:color w:val="000000"/>
          <w:spacing w:val="0"/>
          <w:w w:val="100"/>
          <w:position w:val="0"/>
        </w:rPr>
        <w:t>、</w:t>
      </w:r>
      <w:r>
        <w:rPr>
          <w:rFonts w:ascii="Times New Roman" w:eastAsia="Times New Roman" w:hAnsi="Times New Roman" w:cs="Times New Roman"/>
          <w:color w:val="000000"/>
          <w:spacing w:val="0"/>
          <w:w w:val="100"/>
          <w:position w:val="0"/>
        </w:rPr>
        <w:t>LIMS</w:t>
      </w:r>
      <w:r>
        <w:rPr>
          <w:color w:val="000000"/>
          <w:spacing w:val="0"/>
          <w:w w:val="100"/>
          <w:position w:val="0"/>
        </w:rPr>
        <w:t>、</w:t>
      </w:r>
      <w:r>
        <w:rPr>
          <w:rFonts w:ascii="Times New Roman" w:eastAsia="Times New Roman" w:hAnsi="Times New Roman" w:cs="Times New Roman"/>
          <w:color w:val="000000"/>
          <w:spacing w:val="0"/>
          <w:w w:val="100"/>
          <w:position w:val="0"/>
        </w:rPr>
        <w:t>MIIS</w:t>
      </w:r>
      <w:r>
        <w:rPr>
          <w:color w:val="000000"/>
          <w:spacing w:val="0"/>
          <w:w w:val="100"/>
          <w:position w:val="0"/>
        </w:rPr>
        <w:t>技术架构及设计，对</w:t>
      </w:r>
      <w:r>
        <w:rPr>
          <w:rFonts w:ascii="Times New Roman" w:eastAsia="Times New Roman" w:hAnsi="Times New Roman" w:cs="Times New Roman"/>
          <w:color w:val="000000"/>
          <w:spacing w:val="0"/>
          <w:w w:val="100"/>
          <w:position w:val="0"/>
        </w:rPr>
        <w:t>HL7</w:t>
      </w:r>
      <w:r>
        <w:rPr>
          <w:color w:val="000000"/>
          <w:spacing w:val="0"/>
          <w:w w:val="100"/>
          <w:position w:val="0"/>
        </w:rPr>
        <w:t>及</w:t>
      </w:r>
      <w:r>
        <w:rPr>
          <w:rFonts w:ascii="Times New Roman" w:eastAsia="Times New Roman" w:hAnsi="Times New Roman" w:cs="Times New Roman"/>
          <w:color w:val="000000"/>
          <w:spacing w:val="0"/>
          <w:w w:val="100"/>
          <w:position w:val="0"/>
        </w:rPr>
        <w:t>IHE</w:t>
      </w:r>
      <w:r>
        <w:rPr>
          <w:color w:val="000000"/>
          <w:spacing w:val="0"/>
          <w:w w:val="100"/>
          <w:position w:val="0"/>
        </w:rPr>
        <w:t>有深刻理解，主导了 公司多项核心技术开发工作。现任本公司董事、副总经理、江苏卫宁执行董事兼总经理、西安卫宁执行董事兼总经理。</w:t>
      </w:r>
    </w:p>
    <w:p>
      <w:pPr>
        <w:pStyle w:val="Style23"/>
        <w:keepNext w:val="0"/>
        <w:keepLines w:val="0"/>
        <w:widowControl w:val="0"/>
        <w:shd w:val="clear" w:color="auto" w:fill="auto"/>
        <w:tabs>
          <w:tab w:pos="856" w:val="left"/>
        </w:tabs>
        <w:bidi w:val="0"/>
        <w:spacing w:before="0" w:after="100" w:line="317" w:lineRule="exact"/>
        <w:ind w:left="0" w:right="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4</w:t>
      </w:r>
      <w:r>
        <w:rPr>
          <w:color w:val="000000"/>
          <w:spacing w:val="0"/>
          <w:w w:val="100"/>
          <w:position w:val="0"/>
        </w:rPr>
        <w:t>）</w:t>
        <w:tab/>
        <w:t>靳茂，男，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年出生，中国国籍，无境外永久居留权。复旦大学工商管理硕士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年，历 任万向集团公司发展部项目经理、上海超凡电子有限公司副总经理、上海双威科技投资管理有限公司项目投资部副总监、上 海金仕达卫宁医疗信息技术有限公司总裁办主任。</w:t>
      </w:r>
      <w:r>
        <w:rPr>
          <w:rFonts w:ascii="Times New Roman" w:eastAsia="Times New Roman" w:hAnsi="Times New Roman" w:cs="Times New Roman"/>
          <w:color w:val="000000"/>
          <w:spacing w:val="0"/>
          <w:w w:val="100"/>
          <w:position w:val="0"/>
        </w:rPr>
        <w:t>2004</w:t>
      </w:r>
      <w:r>
        <w:rPr>
          <w:color w:val="000000"/>
          <w:spacing w:val="0"/>
          <w:w w:val="100"/>
          <w:position w:val="0"/>
        </w:rPr>
        <w:t>年起加入本公司，历任总裁办主任、董事会秘书、董事、财务负责人。 现任本公司董事、副总经理、董事会秘书。</w:t>
      </w:r>
    </w:p>
    <w:p>
      <w:pPr>
        <w:pStyle w:val="Style23"/>
        <w:keepNext w:val="0"/>
        <w:keepLines w:val="0"/>
        <w:widowControl w:val="0"/>
        <w:shd w:val="clear" w:color="auto" w:fill="auto"/>
        <w:tabs>
          <w:tab w:pos="856" w:val="left"/>
        </w:tabs>
        <w:bidi w:val="0"/>
        <w:spacing w:before="0" w:after="100" w:line="314" w:lineRule="exact"/>
        <w:ind w:left="0" w:right="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5</w:t>
      </w:r>
      <w:r>
        <w:rPr>
          <w:color w:val="000000"/>
          <w:spacing w:val="0"/>
          <w:w w:val="100"/>
          <w:position w:val="0"/>
        </w:rPr>
        <w:t>）</w:t>
        <w:tab/>
        <w:t>王绍东，男，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年出生，中国国籍，无境外永久居留权。硕士研究生，注册会计师。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任西安铁路局财务主管；</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月，任中信会计师事务所审计经理；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月，任上海宝联投 资公司投资经理；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月，任上海美都太盈创业投资有限公司投资副总监、总监；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任江苏沙钢集团董事局投资部副部长；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月至今任沙钢新业投资有限公司总经理。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年起担任本公司独立董事。</w:t>
      </w:r>
    </w:p>
    <w:p>
      <w:pPr>
        <w:pStyle w:val="Style23"/>
        <w:keepNext w:val="0"/>
        <w:keepLines w:val="0"/>
        <w:widowControl w:val="0"/>
        <w:shd w:val="clear" w:color="auto" w:fill="auto"/>
        <w:tabs>
          <w:tab w:pos="909" w:val="left"/>
        </w:tabs>
        <w:bidi w:val="0"/>
        <w:spacing w:before="0" w:after="100" w:line="314" w:lineRule="exact"/>
        <w:ind w:left="0" w:right="0" w:firstLine="44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6</w:t>
      </w:r>
      <w:r>
        <w:rPr>
          <w:color w:val="000000"/>
          <w:spacing w:val="0"/>
          <w:w w:val="100"/>
          <w:position w:val="0"/>
        </w:rPr>
        <w:t>）</w:t>
        <w:tab/>
        <w:t>徐劲科，男，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年出生，中国国籍，无境外永久居留权。法学硕士，执业律师。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月，任职 于上海建工集团材料公司；</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月，任上海市光大律师事务所律师助理、律师；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月至今，任上海和 华利盛律师事务所合伙人、律师。</w:t>
      </w:r>
      <w:r>
        <w:rPr>
          <w:rFonts w:ascii="Times New Roman" w:eastAsia="Times New Roman" w:hAnsi="Times New Roman" w:cs="Times New Roman"/>
          <w:color w:val="000000"/>
          <w:spacing w:val="0"/>
          <w:w w:val="100"/>
          <w:position w:val="0"/>
        </w:rPr>
        <w:t>2009</w:t>
      </w:r>
      <w:r>
        <w:rPr>
          <w:color w:val="000000"/>
          <w:spacing w:val="0"/>
          <w:w w:val="100"/>
          <w:position w:val="0"/>
        </w:rPr>
        <w:t>年起担任天顺风能（苏州）股份有限公司独立董事。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年起担任本公司独立董事。</w:t>
      </w:r>
    </w:p>
    <w:p>
      <w:pPr>
        <w:pStyle w:val="Style23"/>
        <w:keepNext w:val="0"/>
        <w:keepLines w:val="0"/>
        <w:widowControl w:val="0"/>
        <w:shd w:val="clear" w:color="auto" w:fill="auto"/>
        <w:tabs>
          <w:tab w:pos="830" w:val="left"/>
        </w:tabs>
        <w:bidi w:val="0"/>
        <w:spacing w:before="0" w:after="0" w:line="313" w:lineRule="exact"/>
        <w:ind w:left="0" w:right="0" w:firstLine="44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7</w:t>
      </w:r>
      <w:r>
        <w:rPr>
          <w:color w:val="000000"/>
          <w:spacing w:val="0"/>
          <w:w w:val="100"/>
          <w:position w:val="0"/>
        </w:rPr>
        <w:t>）</w:t>
        <w:tab/>
        <w:t>程焱，男，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），高级经济师。</w:t>
      </w:r>
    </w:p>
    <w:p>
      <w:pPr>
        <w:pStyle w:val="Style23"/>
        <w:keepNext w:val="0"/>
        <w:keepLines w:val="0"/>
        <w:widowControl w:val="0"/>
        <w:shd w:val="clear" w:color="auto" w:fill="auto"/>
        <w:bidi w:val="0"/>
        <w:spacing w:before="0" w:after="200" w:line="313" w:lineRule="exact"/>
        <w:ind w:left="0" w:right="0" w:firstLine="0"/>
        <w:jc w:val="left"/>
      </w:pP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年，任国家超细粉末工程研究中心员工；</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年，任上海卓越纳米新材料股份有限公司财务负责人； </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年，任上海延华智能科技股份有限公司财务部副经理、商务部副经理；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月，任上海开能环保 设备股份有限公司财务部经理、投资发展部经理；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月，任江苏考普乐新材料有限公司董事、副总经理、 董事会秘书、财务负责人；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月，任江苏考普乐新材料股份有限公司董事、副总经理、董事会秘书、财务 负责人，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月任江苏考普乐新材料股份有限公司董事、副总经理、董事会秘书。</w:t>
      </w:r>
      <w:r>
        <w:rPr>
          <w:rFonts w:ascii="Times New Roman" w:eastAsia="Times New Roman" w:hAnsi="Times New Roman" w:cs="Times New Roman"/>
          <w:color w:val="000000"/>
          <w:spacing w:val="0"/>
          <w:w w:val="100"/>
          <w:position w:val="0"/>
        </w:rPr>
        <w:t>2013</w:t>
      </w:r>
      <w:r>
        <w:rPr>
          <w:color w:val="000000"/>
          <w:spacing w:val="0"/>
          <w:w w:val="100"/>
          <w:position w:val="0"/>
        </w:rPr>
        <w:t>年起担任金安国纪 科技股份有限公司独立董事。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年起担任本公司独立董事。</w:t>
      </w:r>
    </w:p>
    <w:p>
      <w:pPr>
        <w:pStyle w:val="Style23"/>
        <w:keepNext w:val="0"/>
        <w:keepLines w:val="0"/>
        <w:widowControl w:val="0"/>
        <w:shd w:val="clear" w:color="auto" w:fill="auto"/>
        <w:tabs>
          <w:tab w:pos="799" w:val="left"/>
        </w:tabs>
        <w:bidi w:val="0"/>
        <w:spacing w:before="0" w:after="0"/>
        <w:ind w:left="0" w:right="0" w:firstLine="440"/>
        <w:jc w:val="both"/>
      </w:pPr>
      <w:bookmarkStart w:id="387" w:name="bookmark387"/>
      <w:r>
        <w:rPr>
          <w:rFonts w:ascii="Times New Roman" w:eastAsia="Times New Roman" w:hAnsi="Times New Roman" w:cs="Times New Roman"/>
          <w:b/>
          <w:bCs/>
          <w:color w:val="000000"/>
          <w:spacing w:val="0"/>
          <w:w w:val="100"/>
          <w:position w:val="0"/>
        </w:rPr>
        <w:t>2</w:t>
      </w:r>
      <w:bookmarkEnd w:id="387"/>
      <w:r>
        <w:rPr>
          <w:b/>
          <w:bCs/>
          <w:color w:val="000000"/>
          <w:spacing w:val="0"/>
          <w:w w:val="100"/>
          <w:position w:val="0"/>
        </w:rPr>
        <w:t>、</w:t>
        <w:tab/>
        <w:t>监事会成员</w:t>
      </w:r>
    </w:p>
    <w:p>
      <w:pPr>
        <w:pStyle w:val="Style23"/>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本公司第二届监事会由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名监事组成，其中李琳为职工监事，由职工代表大会选派产生，黄克华和沈亦宁由公司监事会 提名，经公司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年第一次临时股东大会选举产生，本届监事会任期自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3"/>
        <w:keepNext w:val="0"/>
        <w:keepLines w:val="0"/>
        <w:widowControl w:val="0"/>
        <w:shd w:val="clear" w:color="auto" w:fill="auto"/>
        <w:tabs>
          <w:tab w:pos="918" w:val="left"/>
        </w:tabs>
        <w:bidi w:val="0"/>
        <w:spacing w:before="0" w:after="100" w:line="312" w:lineRule="exact"/>
        <w:ind w:left="0" w:right="0" w:firstLine="44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黄克华，男，</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年出生，中国国籍，无境外永久居留权。大学本科、工程师。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年在上海金仕达卫 宁医疗信息技术有限公司工作，</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年起加入上海金仕达卫宁软件有限公司，任项目管理部经理。现任本公司监事会主席、 </w:t>
      </w:r>
      <w:r>
        <w:rPr>
          <w:rFonts w:ascii="Times New Roman" w:eastAsia="Times New Roman" w:hAnsi="Times New Roman" w:cs="Times New Roman"/>
          <w:color w:val="000000"/>
          <w:spacing w:val="0"/>
          <w:w w:val="100"/>
          <w:position w:val="0"/>
        </w:rPr>
        <w:t>HIS</w:t>
      </w:r>
      <w:r>
        <w:rPr>
          <w:color w:val="000000"/>
          <w:spacing w:val="0"/>
          <w:w w:val="100"/>
          <w:position w:val="0"/>
        </w:rPr>
        <w:t>事业部副总经理、工会主席。</w:t>
      </w:r>
    </w:p>
    <w:p>
      <w:pPr>
        <w:pStyle w:val="Style23"/>
        <w:keepNext w:val="0"/>
        <w:keepLines w:val="0"/>
        <w:widowControl w:val="0"/>
        <w:shd w:val="clear" w:color="auto" w:fill="auto"/>
        <w:tabs>
          <w:tab w:pos="909" w:val="left"/>
        </w:tabs>
        <w:bidi w:val="0"/>
        <w:spacing w:before="0" w:after="100" w:line="317" w:lineRule="exact"/>
        <w:ind w:left="0" w:right="0" w:firstLine="44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沈亦宁，女，</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年出生，中国国籍，无境外永久居留权。大专、统计师。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年任上海金仕达卫宁医 疗信息技术有限公司会计。</w:t>
      </w:r>
      <w:r>
        <w:rPr>
          <w:rFonts w:ascii="Times New Roman" w:eastAsia="Times New Roman" w:hAnsi="Times New Roman" w:cs="Times New Roman"/>
          <w:color w:val="000000"/>
          <w:spacing w:val="0"/>
          <w:w w:val="100"/>
          <w:position w:val="0"/>
        </w:rPr>
        <w:t>2004</w:t>
      </w:r>
      <w:r>
        <w:rPr>
          <w:color w:val="000000"/>
          <w:spacing w:val="0"/>
          <w:w w:val="100"/>
          <w:position w:val="0"/>
        </w:rPr>
        <w:t>年起加入上海金仕达卫宁软件有限公司，任会计。现任本公司监事。</w:t>
      </w:r>
    </w:p>
    <w:p>
      <w:pPr>
        <w:pStyle w:val="Style23"/>
        <w:keepNext w:val="0"/>
        <w:keepLines w:val="0"/>
        <w:widowControl w:val="0"/>
        <w:shd w:val="clear" w:color="auto" w:fill="auto"/>
        <w:tabs>
          <w:tab w:pos="909" w:val="left"/>
        </w:tabs>
        <w:bidi w:val="0"/>
        <w:spacing w:before="0" w:after="200" w:line="317" w:lineRule="exact"/>
        <w:ind w:left="0" w:right="0" w:firstLine="44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李琳，女，</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年出生，中国国籍，无境外永久居留权。大学本科。</w:t>
      </w:r>
      <w:r>
        <w:rPr>
          <w:rFonts w:ascii="Times New Roman" w:eastAsia="Times New Roman" w:hAnsi="Times New Roman" w:cs="Times New Roman"/>
          <w:color w:val="000000"/>
          <w:spacing w:val="0"/>
          <w:w w:val="100"/>
          <w:position w:val="0"/>
        </w:rPr>
        <w:t>2007</w:t>
      </w:r>
      <w:r>
        <w:rPr>
          <w:color w:val="000000"/>
          <w:spacing w:val="0"/>
          <w:w w:val="100"/>
          <w:position w:val="0"/>
        </w:rPr>
        <w:t>年先后在公司全资子公司上海金仕达卫 宁信息技术有限公司和江苏金仕达卫宁软件有限公司，任服务部总经理助理，</w:t>
      </w:r>
      <w:r>
        <w:rPr>
          <w:rFonts w:ascii="Times New Roman" w:eastAsia="Times New Roman" w:hAnsi="Times New Roman" w:cs="Times New Roman"/>
          <w:color w:val="000000"/>
          <w:spacing w:val="0"/>
          <w:w w:val="100"/>
          <w:position w:val="0"/>
        </w:rPr>
        <w:t>2013</w:t>
      </w:r>
      <w:r>
        <w:rPr>
          <w:color w:val="000000"/>
          <w:spacing w:val="0"/>
          <w:w w:val="100"/>
          <w:position w:val="0"/>
        </w:rPr>
        <w:t>年起任本公司上海大区总经理助理。现任 本公司监事。</w:t>
      </w:r>
    </w:p>
    <w:p>
      <w:pPr>
        <w:pStyle w:val="Style23"/>
        <w:keepNext w:val="0"/>
        <w:keepLines w:val="0"/>
        <w:widowControl w:val="0"/>
        <w:shd w:val="clear" w:color="auto" w:fill="auto"/>
        <w:tabs>
          <w:tab w:pos="799" w:val="left"/>
        </w:tabs>
        <w:bidi w:val="0"/>
        <w:spacing w:before="0" w:after="0"/>
        <w:ind w:left="0" w:right="0" w:firstLine="440"/>
        <w:jc w:val="both"/>
      </w:pPr>
      <w:bookmarkStart w:id="391" w:name="bookmark391"/>
      <w:r>
        <w:rPr>
          <w:rFonts w:ascii="Times New Roman" w:eastAsia="Times New Roman" w:hAnsi="Times New Roman" w:cs="Times New Roman"/>
          <w:b/>
          <w:bCs/>
          <w:color w:val="000000"/>
          <w:spacing w:val="0"/>
          <w:w w:val="100"/>
          <w:position w:val="0"/>
        </w:rPr>
        <w:t>3</w:t>
      </w:r>
      <w:bookmarkEnd w:id="391"/>
      <w:r>
        <w:rPr>
          <w:b/>
          <w:bCs/>
          <w:color w:val="000000"/>
          <w:spacing w:val="0"/>
          <w:w w:val="100"/>
          <w:position w:val="0"/>
        </w:rPr>
        <w:t>、</w:t>
        <w:tab/>
        <w:t>高级管理人员</w:t>
      </w:r>
    </w:p>
    <w:p>
      <w:pPr>
        <w:pStyle w:val="Style23"/>
        <w:keepNext w:val="0"/>
        <w:keepLines w:val="0"/>
        <w:widowControl w:val="0"/>
        <w:shd w:val="clear" w:color="auto" w:fill="auto"/>
        <w:tabs>
          <w:tab w:pos="835" w:val="left"/>
        </w:tabs>
        <w:bidi w:val="0"/>
        <w:spacing w:before="0" w:after="100" w:line="314" w:lineRule="exact"/>
        <w:ind w:left="0" w:right="0" w:firstLine="44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w:t>
        <w:tab/>
        <w:t>刘宁，总经理兼董事，简历见上。</w:t>
      </w:r>
    </w:p>
    <w:p>
      <w:pPr>
        <w:pStyle w:val="Style23"/>
        <w:keepNext w:val="0"/>
        <w:keepLines w:val="0"/>
        <w:widowControl w:val="0"/>
        <w:shd w:val="clear" w:color="auto" w:fill="auto"/>
        <w:tabs>
          <w:tab w:pos="835" w:val="left"/>
        </w:tabs>
        <w:bidi w:val="0"/>
        <w:spacing w:before="0" w:after="100" w:line="314" w:lineRule="exact"/>
        <w:ind w:left="0" w:right="0" w:firstLine="44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w:t>
        <w:tab/>
        <w:t>孙凯，副总经理兼董事，简历见上。</w:t>
      </w:r>
    </w:p>
    <w:p>
      <w:pPr>
        <w:pStyle w:val="Style23"/>
        <w:keepNext w:val="0"/>
        <w:keepLines w:val="0"/>
        <w:widowControl w:val="0"/>
        <w:shd w:val="clear" w:color="auto" w:fill="auto"/>
        <w:tabs>
          <w:tab w:pos="799" w:val="left"/>
        </w:tabs>
        <w:bidi w:val="0"/>
        <w:spacing w:before="0" w:after="0" w:line="314" w:lineRule="exact"/>
        <w:ind w:left="0" w:right="0"/>
        <w:jc w:val="both"/>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3</w:t>
      </w:r>
      <w:r>
        <w:rPr>
          <w:color w:val="000000"/>
          <w:spacing w:val="0"/>
          <w:w w:val="100"/>
          <w:position w:val="0"/>
        </w:rPr>
        <w:t>）</w:t>
        <w:tab/>
        <w:t>靳茂，副总经理、董事会秘书兼董事，简历见上。</w:t>
      </w:r>
    </w:p>
    <w:p>
      <w:pPr>
        <w:pStyle w:val="Style23"/>
        <w:keepNext w:val="0"/>
        <w:keepLines w:val="0"/>
        <w:widowControl w:val="0"/>
        <w:shd w:val="clear" w:color="auto" w:fill="auto"/>
        <w:tabs>
          <w:tab w:pos="419" w:val="left"/>
        </w:tabs>
        <w:bidi w:val="0"/>
        <w:spacing w:before="0" w:after="0" w:line="314" w:lineRule="exact"/>
        <w:ind w:left="0" w:right="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4</w:t>
      </w:r>
      <w:r>
        <w:rPr>
          <w:color w:val="000000"/>
          <w:spacing w:val="0"/>
          <w:w w:val="100"/>
          <w:position w:val="0"/>
        </w:rPr>
        <w:t>）</w:t>
        <w:tab/>
        <w:t>徐春华，男，</w:t>
      </w:r>
      <w:r>
        <w:rPr>
          <w:rFonts w:ascii="Times New Roman" w:eastAsia="Times New Roman" w:hAnsi="Times New Roman" w:cs="Times New Roman"/>
          <w:color w:val="000000"/>
          <w:spacing w:val="0"/>
          <w:w w:val="100"/>
          <w:position w:val="0"/>
        </w:rPr>
        <w:t>1974</w:t>
      </w:r>
      <w:r>
        <w:rPr>
          <w:color w:val="000000"/>
          <w:spacing w:val="0"/>
          <w:w w:val="100"/>
          <w:position w:val="0"/>
        </w:rPr>
        <w:t>出生，中国国籍，无境外永久居留权。浙江大学工学硕士、</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 xml:space="preserve">高级工程师，卫生部卫生统 </w:t>
      </w:r>
      <w:r>
        <w:rPr>
          <w:color w:val="000000"/>
          <w:spacing w:val="0"/>
          <w:w w:val="100"/>
          <w:position w:val="0"/>
        </w:rPr>
        <w:t>计信息中心信息化咨询委员会专家，中国卫生信息学会卫生信息标准专业委员会常委，中国电子学会健康物联专家委员会专 家。</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年，历任金华理工学院计算机系副主任，创业软件股份有限公司副总裁、总工程师，用友医疗卫生信息系 统有限公司副总裁、用友智慧健康研究院首席专家。长期从事医疗卫生信息化行业的科研与产业实践工作，主持了国家高新 技术产业化项目、国家电子发展基金、国家火炬计划项目等多个科研项目并获得多个奖项；曾主持或参与</w:t>
      </w:r>
      <w:r>
        <w:rPr>
          <w:rFonts w:ascii="Times New Roman" w:eastAsia="Times New Roman" w:hAnsi="Times New Roman" w:cs="Times New Roman"/>
          <w:color w:val="000000"/>
          <w:spacing w:val="0"/>
          <w:w w:val="100"/>
          <w:position w:val="0"/>
        </w:rPr>
        <w:t>30</w:t>
      </w:r>
      <w:r>
        <w:rPr>
          <w:color w:val="000000"/>
          <w:spacing w:val="0"/>
          <w:w w:val="100"/>
          <w:position w:val="0"/>
        </w:rPr>
        <w:t>多个城市的区域 卫生信息化规划或建设实践工作，作为主要专家参与卫生部《健康档案架构与数据标准》、《电子病历架构与标准》、《区 域卫生信息平台技术规范》、《医院信息平台技术规范》、《卫生信息共享文档规范》等标准课题工作。</w:t>
      </w:r>
      <w:r>
        <w:rPr>
          <w:rFonts w:ascii="Times New Roman" w:eastAsia="Times New Roman" w:hAnsi="Times New Roman" w:cs="Times New Roman"/>
          <w:color w:val="000000"/>
          <w:spacing w:val="0"/>
          <w:w w:val="100"/>
          <w:position w:val="0"/>
        </w:rPr>
        <w:t>2013</w:t>
      </w:r>
      <w:r>
        <w:rPr>
          <w:color w:val="000000"/>
          <w:spacing w:val="0"/>
          <w:w w:val="100"/>
          <w:position w:val="0"/>
        </w:rPr>
        <w:t>年加入本公司， 任资深行业专家。现任本公司副总经理。</w:t>
      </w:r>
    </w:p>
    <w:p>
      <w:pPr>
        <w:pStyle w:val="Style23"/>
        <w:keepNext w:val="0"/>
        <w:keepLines w:val="0"/>
        <w:widowControl w:val="0"/>
        <w:shd w:val="clear" w:color="auto" w:fill="auto"/>
        <w:bidi w:val="0"/>
        <w:spacing w:before="0" w:after="0" w:line="312" w:lineRule="exact"/>
        <w:ind w:left="0" w:right="0" w:firstLine="30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5</w:t>
      </w:r>
      <w:r>
        <w:rPr>
          <w:color w:val="000000"/>
          <w:spacing w:val="0"/>
          <w:w w:val="100"/>
          <w:position w:val="0"/>
        </w:rPr>
        <w:t>）王利，男，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年出生，中国国籍，无境外永久居留权。上海财经大学会计学本科，具有审计师职称、中国注册 会计师、中国注册税务师、特许公认会计师公会会员</w:t>
      </w:r>
      <w:r>
        <w:rPr>
          <w:color w:val="000000"/>
          <w:spacing w:val="0"/>
          <w:w w:val="100"/>
          <w:position w:val="0"/>
        </w:rPr>
        <w:t>（</w:t>
      </w:r>
      <w:r>
        <w:rPr>
          <w:rFonts w:ascii="Times New Roman" w:eastAsia="Times New Roman" w:hAnsi="Times New Roman" w:cs="Times New Roman"/>
          <w:color w:val="000000"/>
          <w:spacing w:val="0"/>
          <w:w w:val="100"/>
          <w:position w:val="0"/>
        </w:rPr>
        <w:t>ACCA</w:t>
      </w:r>
      <w:r>
        <w:rPr>
          <w:color w:val="000000"/>
          <w:spacing w:val="0"/>
          <w:w w:val="100"/>
          <w:position w:val="0"/>
        </w:rPr>
        <w:t>）</w:t>
      </w:r>
      <w:r>
        <w:rPr>
          <w:color w:val="000000"/>
          <w:spacing w:val="0"/>
          <w:w w:val="100"/>
          <w:position w:val="0"/>
        </w:rPr>
        <w:t>资格。</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年，历任上海金佰汇科技有限公司财务 主管、上海东华会计师事务所高级审计师、德勤华永会计师事务所高级审计经理、昆明寰基生物芯片开发有限公司财务总监。 </w:t>
      </w:r>
      <w:r>
        <w:rPr>
          <w:rFonts w:ascii="Times New Roman" w:eastAsia="Times New Roman" w:hAnsi="Times New Roman" w:cs="Times New Roman"/>
          <w:color w:val="000000"/>
          <w:spacing w:val="0"/>
          <w:w w:val="100"/>
          <w:position w:val="0"/>
        </w:rPr>
        <w:t>2013</w:t>
      </w:r>
      <w:r>
        <w:rPr>
          <w:color w:val="000000"/>
          <w:spacing w:val="0"/>
          <w:w w:val="100"/>
          <w:position w:val="0"/>
        </w:rPr>
        <w:t>年加入本公司，任财务副总监。现任本公司财务负责人。</w:t>
      </w:r>
    </w:p>
    <w:p>
      <w:pPr>
        <w:pStyle w:val="Style23"/>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34"/>
        <w:gridCol w:w="159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天顺风能（苏州）股份有限公司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金安国纪科技股份有限公司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三、董事、监事、高级管理人员报酬情况</w:t>
      </w:r>
      <w:bookmarkEnd w:id="397"/>
      <w:bookmarkEnd w:id="398"/>
      <w:bookmarkEnd w:id="399"/>
    </w:p>
    <w:tbl>
      <w:tblPr>
        <w:tblOverlap w:val="never"/>
        <w:jc w:val="center"/>
        <w:tblLayout w:type="fixed"/>
      </w:tblPr>
      <w:tblGrid>
        <w:gridCol w:w="3590"/>
        <w:gridCol w:w="599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公司董事、监事报酬由股东大会决定，高级管理人员报酬由董事会决定；在 公司承担职务的董事、监事、高级管理人员报酬由公司支付，董事、监事不 另外支付津贴；独立董事津贴依据股东大会决议支付。</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依据公司盈利水平及各董事、监事、高级管理人员的工作分工及履职情况确 定。</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已按相关规定及时支付董事、监事和高级管理人员报酬。</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195"/>
        <w:gridCol w:w="12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王绍东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徐劲科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沈亦宁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252.64</w:t>
            </w:r>
          </w:p>
        </w:tc>
      </w:tr>
    </w:tbl>
    <w:p>
      <w:pPr>
        <w:pStyle w:val="Style2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0"/>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行权的期权</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行权的期权</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报告期内已 行权期限的 行权价格（元</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限制性股票 的授予价格</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报告期行权 的限制性股 票数量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四</w:t>
      </w:r>
      <w:bookmarkEnd w:id="402"/>
      <w:r>
        <w:rPr>
          <w:color w:val="000000"/>
          <w:spacing w:val="0"/>
          <w:w w:val="100"/>
          <w:position w:val="0"/>
          <w:sz w:val="24"/>
          <w:szCs w:val="24"/>
        </w:rPr>
        <w:t>、公司董事、监事、高级管理人员变动情况</w:t>
      </w:r>
      <w:bookmarkEnd w:id="400"/>
      <w:bookmarkEnd w:id="401"/>
      <w:bookmarkEnd w:id="403"/>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李士玉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因工作繁忙原因辞去监事职务，其辞职后仍在公司任 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职工代表大会选派</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五</w:t>
      </w:r>
      <w:bookmarkEnd w:id="406"/>
      <w:r>
        <w:rPr>
          <w:color w:val="000000"/>
          <w:spacing w:val="0"/>
          <w:w w:val="100"/>
          <w:position w:val="0"/>
          <w:sz w:val="24"/>
          <w:szCs w:val="24"/>
        </w:rPr>
        <w:t>、报告期核心技术团队或关键技术人员变动情况（非董事、监事、高级管理人员）</w:t>
      </w:r>
      <w:bookmarkEnd w:id="404"/>
      <w:bookmarkEnd w:id="405"/>
      <w:bookmarkEnd w:id="407"/>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报告期内，公司核心技术团队或关键技术人员未发生变动情况（非董事、监事、高级管理人员）。</w:t>
      </w:r>
    </w:p>
    <w:p>
      <w:pPr>
        <w:pStyle w:val="Style21"/>
        <w:keepNext/>
        <w:keepLines/>
        <w:widowControl w:val="0"/>
        <w:shd w:val="clear" w:color="auto" w:fill="auto"/>
        <w:bidi w:val="0"/>
        <w:spacing w:before="0" w:after="34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六</w:t>
      </w:r>
      <w:bookmarkEnd w:id="410"/>
      <w:r>
        <w:rPr>
          <w:color w:val="000000"/>
          <w:spacing w:val="0"/>
          <w:w w:val="100"/>
          <w:position w:val="0"/>
          <w:sz w:val="24"/>
          <w:szCs w:val="24"/>
        </w:rPr>
        <w:t>、公司员工情况</w:t>
      </w:r>
      <w:bookmarkEnd w:id="408"/>
      <w:bookmarkEnd w:id="409"/>
      <w:bookmarkEnd w:id="411"/>
    </w:p>
    <w:p>
      <w:pPr>
        <w:pStyle w:val="Style2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年末，公司员工数量为</w:t>
      </w:r>
      <w:r>
        <w:rPr>
          <w:rFonts w:ascii="Times New Roman" w:eastAsia="Times New Roman" w:hAnsi="Times New Roman" w:cs="Times New Roman"/>
          <w:color w:val="000000"/>
          <w:spacing w:val="0"/>
          <w:w w:val="100"/>
          <w:position w:val="0"/>
        </w:rPr>
        <w:t>1135</w:t>
      </w:r>
      <w:r>
        <w:rPr>
          <w:color w:val="000000"/>
          <w:spacing w:val="0"/>
          <w:w w:val="100"/>
          <w:position w:val="0"/>
        </w:rPr>
        <w:t>人。员工基本构成如下：</w:t>
      </w:r>
    </w:p>
    <w:p>
      <w:pPr>
        <w:pStyle w:val="Style27"/>
        <w:keepNext w:val="0"/>
        <w:keepLines w:val="0"/>
        <w:widowControl w:val="0"/>
        <w:shd w:val="clear" w:color="auto" w:fill="auto"/>
        <w:bidi w:val="0"/>
        <w:spacing w:before="0" w:after="0" w:line="240" w:lineRule="auto"/>
        <w:ind w:left="504" w:right="0" w:firstLine="0"/>
        <w:jc w:val="left"/>
      </w:pPr>
      <w:r>
        <w:rPr>
          <w:b/>
          <w:bCs/>
          <w:color w:val="000000"/>
          <w:spacing w:val="0"/>
          <w:w w:val="100"/>
          <w:position w:val="0"/>
        </w:rPr>
        <w:t>（一）员工专业结构</w:t>
      </w:r>
    </w:p>
    <w:tbl>
      <w:tblPr>
        <w:tblOverlap w:val="never"/>
        <w:jc w:val="left"/>
        <w:tblLayout w:type="fixed"/>
      </w:tblPr>
      <w:tblGrid>
        <w:gridCol w:w="2851"/>
        <w:gridCol w:w="2846"/>
        <w:gridCol w:w="2779"/>
      </w:tblGrid>
      <w:tr>
        <w:trPr>
          <w:trHeight w:val="46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职工专业构成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研究开发人员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实施、二次开发人员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40.79%</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8.63%</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销售、服务人员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27.50%</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139" w:line="1" w:lineRule="exact"/>
      </w:pPr>
    </w:p>
    <w:p>
      <w:pPr>
        <w:pStyle w:val="Style27"/>
        <w:keepNext w:val="0"/>
        <w:keepLines w:val="0"/>
        <w:widowControl w:val="0"/>
        <w:shd w:val="clear" w:color="auto" w:fill="auto"/>
        <w:bidi w:val="0"/>
        <w:spacing w:before="0" w:after="0" w:line="240" w:lineRule="auto"/>
        <w:ind w:left="504" w:right="0" w:firstLine="0"/>
        <w:jc w:val="left"/>
      </w:pPr>
      <w:r>
        <w:rPr>
          <w:b/>
          <w:bCs/>
          <w:color w:val="000000"/>
          <w:spacing w:val="0"/>
          <w:w w:val="100"/>
          <w:position w:val="0"/>
        </w:rPr>
        <w:t>（二）员工受教育程度水平</w:t>
      </w:r>
    </w:p>
    <w:tbl>
      <w:tblPr>
        <w:tblOverlap w:val="never"/>
        <w:jc w:val="left"/>
        <w:tblLayout w:type="fixed"/>
      </w:tblPr>
      <w:tblGrid>
        <w:gridCol w:w="2851"/>
        <w:gridCol w:w="2846"/>
        <w:gridCol w:w="2779"/>
      </w:tblGrid>
      <w:tr>
        <w:trPr>
          <w:trHeight w:val="46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55.95%</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139" w:line="1" w:lineRule="exact"/>
      </w:pPr>
    </w:p>
    <w:p>
      <w:pPr>
        <w:pStyle w:val="Style27"/>
        <w:keepNext w:val="0"/>
        <w:keepLines w:val="0"/>
        <w:widowControl w:val="0"/>
        <w:shd w:val="clear" w:color="auto" w:fill="auto"/>
        <w:bidi w:val="0"/>
        <w:spacing w:before="0" w:after="0" w:line="240" w:lineRule="auto"/>
        <w:ind w:left="504" w:right="0" w:firstLine="0"/>
        <w:jc w:val="left"/>
      </w:pPr>
      <w:r>
        <w:rPr>
          <w:b/>
          <w:bCs/>
          <w:color w:val="000000"/>
          <w:spacing w:val="0"/>
          <w:w w:val="100"/>
          <w:position w:val="0"/>
        </w:rPr>
        <w:t>（三）员工年龄结构</w:t>
      </w:r>
    </w:p>
    <w:tbl>
      <w:tblPr>
        <w:tblOverlap w:val="never"/>
        <w:jc w:val="left"/>
        <w:tblLayout w:type="fixed"/>
      </w:tblPr>
      <w:tblGrid>
        <w:gridCol w:w="2851"/>
        <w:gridCol w:w="2846"/>
        <w:gridCol w:w="2779"/>
      </w:tblGrid>
      <w:tr>
        <w:trPr>
          <w:trHeight w:val="4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r>
              <w:rPr>
                <w:color w:val="000000"/>
                <w:spacing w:val="0"/>
                <w:w w:val="100"/>
                <w:position w:val="0"/>
              </w:rPr>
              <w:t>至</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22.38%</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r>
              <w:rPr>
                <w:color w:val="000000"/>
                <w:spacing w:val="0"/>
                <w:w w:val="100"/>
                <w:position w:val="0"/>
              </w:rPr>
              <w:t>至</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w:t>
            </w:r>
          </w:p>
        </w:tc>
      </w:tr>
    </w:tbl>
    <w:p>
      <w:pPr>
        <w:spacing w:lineRule="exact" w:line="1"/>
        <w:rPr>
          <w:sz w:val="2"/>
          <w:szCs w:val="2"/>
        </w:rPr>
      </w:pPr>
      <w:r>
        <w:br w:type="page"/>
      </w:r>
    </w:p>
    <w:tbl>
      <w:tblPr>
        <w:tblOverlap w:val="never"/>
        <w:jc w:val="left"/>
        <w:tblLayout w:type="fixed"/>
      </w:tblPr>
      <w:tblGrid>
        <w:gridCol w:w="2851"/>
        <w:gridCol w:w="2846"/>
        <w:gridCol w:w="2779"/>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0.35%</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7"/>
        <w:keepNext w:val="0"/>
        <w:keepLines w:val="0"/>
        <w:widowControl w:val="0"/>
        <w:shd w:val="clear" w:color="auto" w:fill="auto"/>
        <w:bidi w:val="0"/>
        <w:spacing w:before="0" w:after="0" w:line="240" w:lineRule="auto"/>
        <w:ind w:left="389" w:right="0" w:firstLine="0"/>
        <w:jc w:val="left"/>
        <w:sectPr>
          <w:footnotePr>
            <w:pos w:val="pageBottom"/>
            <w:numFmt w:val="decimal"/>
            <w:numRestart w:val="continuous"/>
          </w:footnotePr>
          <w:pgSz w:w="11900" w:h="16840"/>
          <w:pgMar w:top="1374" w:right="1075" w:bottom="1561" w:left="1047" w:header="0" w:footer="3" w:gutter="0"/>
          <w:cols w:space="720"/>
          <w:noEndnote/>
          <w:rtlGutter w:val="0"/>
          <w:docGrid w:linePitch="360"/>
        </w:sectPr>
      </w:pPr>
      <w:r>
        <w:rPr>
          <w:b/>
          <w:bCs/>
          <w:color w:val="000000"/>
          <w:spacing w:val="0"/>
          <w:w w:val="100"/>
          <w:position w:val="0"/>
        </w:rPr>
        <w:t>（四）公司没有需要承担费用的离退休人员。</w:t>
      </w:r>
    </w:p>
    <w:p>
      <w:pPr>
        <w:pStyle w:val="Style13"/>
        <w:keepNext/>
        <w:keepLines/>
        <w:widowControl w:val="0"/>
        <w:shd w:val="clear" w:color="auto" w:fill="auto"/>
        <w:bidi w:val="0"/>
        <w:spacing w:before="560" w:line="240" w:lineRule="auto"/>
        <w:ind w:left="0" w:right="0" w:firstLine="0"/>
        <w:jc w:val="center"/>
      </w:pPr>
      <w:bookmarkStart w:id="412" w:name="bookmark412"/>
      <w:bookmarkStart w:id="413" w:name="bookmark413"/>
      <w:bookmarkStart w:id="414" w:name="bookmark414"/>
      <w:r>
        <w:rPr>
          <w:color w:val="000000"/>
          <w:spacing w:val="0"/>
          <w:w w:val="100"/>
          <w:position w:val="0"/>
        </w:rPr>
        <w:t>第八节公司治理</w:t>
      </w:r>
      <w:bookmarkEnd w:id="412"/>
      <w:bookmarkEnd w:id="413"/>
      <w:bookmarkEnd w:id="414"/>
    </w:p>
    <w:p>
      <w:pPr>
        <w:pStyle w:val="Style21"/>
        <w:keepNext/>
        <w:keepLines/>
        <w:widowControl w:val="0"/>
        <w:shd w:val="clear" w:color="auto" w:fill="auto"/>
        <w:bidi w:val="0"/>
        <w:spacing w:before="0" w:after="260" w:line="240" w:lineRule="auto"/>
        <w:ind w:left="0" w:right="0" w:firstLine="0"/>
        <w:jc w:val="left"/>
      </w:pPr>
      <w:bookmarkStart w:id="415" w:name="bookmark415"/>
      <w:bookmarkStart w:id="416" w:name="bookmark416"/>
      <w:bookmarkStart w:id="417" w:name="bookmark417"/>
      <w:bookmarkStart w:id="418" w:name="bookmark418"/>
      <w:bookmarkStart w:id="419" w:name="bookmark419"/>
      <w:r>
        <w:rPr>
          <w:color w:val="000000"/>
          <w:spacing w:val="0"/>
          <w:w w:val="100"/>
          <w:position w:val="0"/>
          <w:sz w:val="24"/>
          <w:szCs w:val="24"/>
        </w:rPr>
        <w:t>一</w:t>
      </w:r>
      <w:bookmarkEnd w:id="418"/>
      <w:r>
        <w:rPr>
          <w:color w:val="000000"/>
          <w:spacing w:val="0"/>
          <w:w w:val="100"/>
          <w:position w:val="0"/>
          <w:sz w:val="24"/>
          <w:szCs w:val="24"/>
        </w:rPr>
        <w:t>、公司治理的基本状况</w:t>
      </w:r>
      <w:bookmarkEnd w:id="416"/>
      <w:bookmarkEnd w:id="417"/>
      <w:bookmarkEnd w:id="419"/>
      <w:bookmarkEnd w:id="415"/>
    </w:p>
    <w:p>
      <w:pPr>
        <w:pStyle w:val="Style2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治理结构，建立健全公司内部管理和控制制度，规范运作，严格进行信息披露工作，保护广大投资者利益。</w:t>
      </w:r>
    </w:p>
    <w:p>
      <w:pPr>
        <w:pStyle w:val="Style23"/>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截至报告期末，公司治理的实际情况基本符合中国证监会发布的有关上市公司治理的规范性文件的要求，已经形成了 权力机构、决策机构、监督机构与管理层之间权责分明、各司其职、相互制衡、科学决策、协调运作的法人治理结构。</w:t>
      </w:r>
    </w:p>
    <w:p>
      <w:pPr>
        <w:pStyle w:val="Style23"/>
        <w:keepNext w:val="0"/>
        <w:keepLines w:val="0"/>
        <w:widowControl w:val="0"/>
        <w:shd w:val="clear" w:color="auto" w:fill="auto"/>
        <w:tabs>
          <w:tab w:pos="773" w:val="left"/>
        </w:tabs>
        <w:bidi w:val="0"/>
        <w:spacing w:before="0" w:after="120" w:line="312" w:lineRule="exact"/>
        <w:ind w:left="0" w:right="0" w:firstLine="440"/>
        <w:jc w:val="both"/>
      </w:pPr>
      <w:bookmarkStart w:id="420" w:name="bookmark420"/>
      <w:r>
        <w:rPr>
          <w:rFonts w:ascii="Times New Roman" w:eastAsia="Times New Roman" w:hAnsi="Times New Roman" w:cs="Times New Roman"/>
          <w:b/>
          <w:bCs/>
          <w:color w:val="000000"/>
          <w:spacing w:val="0"/>
          <w:w w:val="100"/>
          <w:position w:val="0"/>
        </w:rPr>
        <w:t>1</w:t>
      </w:r>
      <w:bookmarkEnd w:id="420"/>
      <w:r>
        <w:rPr>
          <w:b/>
          <w:bCs/>
          <w:color w:val="000000"/>
          <w:spacing w:val="0"/>
          <w:w w:val="100"/>
          <w:position w:val="0"/>
        </w:rPr>
        <w:t>、</w:t>
        <w:tab/>
        <w:t>关于股东与股东大会</w:t>
      </w:r>
    </w:p>
    <w:p>
      <w:pPr>
        <w:pStyle w:val="Style23"/>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公司股东大会均严格按照《上市公司股东大会规则》、《公司章程》、《股东大会议事规则》等规定召集、召开，平 等对待所有股东，并尽可能为股东参加股东大会提供便利，使其充分行使股东权利。同时，公司聘请专业律师见证股东大会, 确保会议召集召开以及表决程序符合相关法律规定，维护股东的合法权益。</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1" w:name="bookmark421"/>
      <w:r>
        <w:rPr>
          <w:rFonts w:ascii="Times New Roman" w:eastAsia="Times New Roman" w:hAnsi="Times New Roman" w:cs="Times New Roman"/>
          <w:b/>
          <w:bCs/>
          <w:color w:val="000000"/>
          <w:spacing w:val="0"/>
          <w:w w:val="100"/>
          <w:position w:val="0"/>
        </w:rPr>
        <w:t>2</w:t>
      </w:r>
      <w:bookmarkEnd w:id="421"/>
      <w:r>
        <w:rPr>
          <w:b/>
          <w:bCs/>
          <w:color w:val="000000"/>
          <w:spacing w:val="0"/>
          <w:w w:val="100"/>
          <w:position w:val="0"/>
        </w:rPr>
        <w:t>、</w:t>
        <w:tab/>
        <w:t>关于公司与控股股东、实际控制人</w:t>
      </w:r>
    </w:p>
    <w:p>
      <w:pPr>
        <w:pStyle w:val="Style2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公司控股股东、实际控制人严格规范自己的行为，没有超越股东大会直接或间接干预公司的决策和经营活动，未损害 公司及其他股东的利益，不存在控股股东占用公司资金的现象，公司亦无为控股股东提供担保的情形。公司拥有独立完整的 业务和自主经营能力，在业务、人员、资产、机构、财务上独立于控股股东，公司董事会、监事会和内部机构独立运作。</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2" w:name="bookmark422"/>
      <w:r>
        <w:rPr>
          <w:rFonts w:ascii="Times New Roman" w:eastAsia="Times New Roman" w:hAnsi="Times New Roman" w:cs="Times New Roman"/>
          <w:b/>
          <w:bCs/>
          <w:color w:val="000000"/>
          <w:spacing w:val="0"/>
          <w:w w:val="100"/>
          <w:position w:val="0"/>
        </w:rPr>
        <w:t>3</w:t>
      </w:r>
      <w:bookmarkEnd w:id="422"/>
      <w:r>
        <w:rPr>
          <w:b/>
          <w:bCs/>
          <w:color w:val="000000"/>
          <w:spacing w:val="0"/>
          <w:w w:val="100"/>
          <w:position w:val="0"/>
        </w:rPr>
        <w:t>、</w:t>
        <w:tab/>
        <w:t>关于董事和董事会</w:t>
      </w:r>
    </w:p>
    <w:p>
      <w:pPr>
        <w:pStyle w:val="Style23"/>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名，董事会的人数及人员构成符合法律、法规和《公司章程》的要求。公司董 事能够依据《深圳证券交易所创业板上市公司规范运作指引》、《董事会议事规则》、《独立董事工作制度》等开展工作， 出席董事会和股东大会，勤勉尽责地履行职责和义务，同时积极参加相关培训，熟悉相关法律法规。</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3" w:name="bookmark423"/>
      <w:r>
        <w:rPr>
          <w:rFonts w:ascii="Times New Roman" w:eastAsia="Times New Roman" w:hAnsi="Times New Roman" w:cs="Times New Roman"/>
          <w:b/>
          <w:bCs/>
          <w:color w:val="000000"/>
          <w:spacing w:val="0"/>
          <w:w w:val="100"/>
          <w:position w:val="0"/>
        </w:rPr>
        <w:t>4</w:t>
      </w:r>
      <w:bookmarkEnd w:id="423"/>
      <w:r>
        <w:rPr>
          <w:b/>
          <w:bCs/>
          <w:color w:val="000000"/>
          <w:spacing w:val="0"/>
          <w:w w:val="100"/>
          <w:position w:val="0"/>
        </w:rPr>
        <w:t>、</w:t>
        <w:tab/>
        <w:t>关于监事和监事会</w:t>
      </w:r>
    </w:p>
    <w:p>
      <w:pPr>
        <w:pStyle w:val="Style23"/>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名，监事会的人数和构成符合法律、法规的要求。公司监事能够按照《深圳证 券交易所创业板上市公司规范运作指引》、《监事会议事规则》的要求，认真履行自己的职责，对公司重大事项、财务状况、 董事和高级管理人员的履行职责的合法合规性进行监督，维护公司及股东的合法权益。</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4" w:name="bookmark424"/>
      <w:r>
        <w:rPr>
          <w:rFonts w:ascii="Times New Roman" w:eastAsia="Times New Roman" w:hAnsi="Times New Roman" w:cs="Times New Roman"/>
          <w:b/>
          <w:bCs/>
          <w:color w:val="000000"/>
          <w:spacing w:val="0"/>
          <w:w w:val="100"/>
          <w:position w:val="0"/>
        </w:rPr>
        <w:t>5</w:t>
      </w:r>
      <w:bookmarkEnd w:id="424"/>
      <w:r>
        <w:rPr>
          <w:b/>
          <w:bCs/>
          <w:color w:val="000000"/>
          <w:spacing w:val="0"/>
          <w:w w:val="100"/>
          <w:position w:val="0"/>
        </w:rPr>
        <w:t>、</w:t>
        <w:tab/>
        <w:t>关于绩效评价与激励约束机制</w:t>
      </w:r>
    </w:p>
    <w:p>
      <w:pPr>
        <w:pStyle w:val="Style23"/>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公司已建立企业绩效激励与评价体系，并不断完善。公司董事、监事和高级管理人员的绩效评价标准和激励约束机制 公开、透明，符合法律、法规的规定。公司董事会设立了薪酬与考核委员会，负责薪酬政策及方案的制定与审定。公司高级 管理人员均认真履行工作职责，较好地完成了董事会制定的经营管理任务。</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5" w:name="bookmark425"/>
      <w:r>
        <w:rPr>
          <w:rFonts w:ascii="Times New Roman" w:eastAsia="Times New Roman" w:hAnsi="Times New Roman" w:cs="Times New Roman"/>
          <w:b/>
          <w:bCs/>
          <w:color w:val="000000"/>
          <w:spacing w:val="0"/>
          <w:w w:val="100"/>
          <w:position w:val="0"/>
        </w:rPr>
        <w:t>6</w:t>
      </w:r>
      <w:bookmarkEnd w:id="425"/>
      <w:r>
        <w:rPr>
          <w:b/>
          <w:bCs/>
          <w:color w:val="000000"/>
          <w:spacing w:val="0"/>
          <w:w w:val="100"/>
          <w:position w:val="0"/>
        </w:rPr>
        <w:t>、</w:t>
        <w:tab/>
        <w:t>关于信息披露与透明度</w:t>
      </w:r>
    </w:p>
    <w:p>
      <w:pPr>
        <w:pStyle w:val="Style23"/>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公司严格按照《上市公司信息披露管理办法》、深圳证券交易所创业板上市公司的信息披露格式指引等规定以及公司 制定的《信息披露制度》等要求，真实、准确、及时、公平、完整地披露有关信息；并指定公司董事会秘书负责信息披露工 作，协调公司与投资者的关系</w:t>
      </w:r>
      <w:r>
        <w:rPr>
          <w:color w:val="000000"/>
          <w:spacing w:val="0"/>
          <w:w w:val="100"/>
          <w:position w:val="0"/>
        </w:rPr>
        <w:t>，</w:t>
      </w:r>
      <w:r>
        <w:rPr>
          <w:color w:val="000000"/>
          <w:spacing w:val="0"/>
          <w:w w:val="100"/>
          <w:position w:val="0"/>
        </w:rPr>
        <w:t>接待股东来访，回答投资者咨询；并指定《证券时报》、《上海证券报》、《中国证券报》、 《证券日报》等法定报纸和巨潮资讯网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 以平等的机会获得信息。</w:t>
      </w:r>
    </w:p>
    <w:p>
      <w:pPr>
        <w:pStyle w:val="Style23"/>
        <w:keepNext w:val="0"/>
        <w:keepLines w:val="0"/>
        <w:widowControl w:val="0"/>
        <w:shd w:val="clear" w:color="auto" w:fill="auto"/>
        <w:tabs>
          <w:tab w:pos="788" w:val="left"/>
        </w:tabs>
        <w:bidi w:val="0"/>
        <w:spacing w:before="0" w:after="120" w:line="312" w:lineRule="exact"/>
        <w:ind w:left="0" w:right="0" w:firstLine="440"/>
        <w:jc w:val="both"/>
      </w:pPr>
      <w:bookmarkStart w:id="426" w:name="bookmark426"/>
      <w:r>
        <w:rPr>
          <w:rFonts w:ascii="Times New Roman" w:eastAsia="Times New Roman" w:hAnsi="Times New Roman" w:cs="Times New Roman"/>
          <w:b/>
          <w:bCs/>
          <w:color w:val="000000"/>
          <w:spacing w:val="0"/>
          <w:w w:val="100"/>
          <w:position w:val="0"/>
        </w:rPr>
        <w:t>7</w:t>
      </w:r>
      <w:bookmarkEnd w:id="426"/>
      <w:r>
        <w:rPr>
          <w:b/>
          <w:bCs/>
          <w:color w:val="000000"/>
          <w:spacing w:val="0"/>
          <w:w w:val="100"/>
          <w:position w:val="0"/>
        </w:rPr>
        <w:t>、</w:t>
        <w:tab/>
        <w:t>关于相关利益者</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公司治理与《公司法》和中国证监会相关规定的要求是否存在差异</w:t>
      </w:r>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二</w:t>
      </w:r>
      <w:bookmarkEnd w:id="429"/>
      <w:r>
        <w:rPr>
          <w:color w:val="000000"/>
          <w:spacing w:val="0"/>
          <w:w w:val="100"/>
          <w:position w:val="0"/>
          <w:sz w:val="24"/>
          <w:szCs w:val="24"/>
        </w:rPr>
        <w:t>、报告期内召开的年度股东大会和临时股东大会的有关情况</w:t>
      </w:r>
      <w:bookmarkEnd w:id="427"/>
      <w:bookmarkEnd w:id="428"/>
      <w:bookmarkEnd w:id="430"/>
    </w:p>
    <w:p>
      <w:pPr>
        <w:pStyle w:val="Style31"/>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、本报告期年度股东大会情况</w:t>
      </w:r>
      <w:bookmarkEnd w:id="431"/>
      <w:bookmarkEnd w:id="432"/>
      <w:bookmarkEnd w:id="434"/>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、本报告期临时股东大会情况</w:t>
      </w:r>
      <w:bookmarkEnd w:id="435"/>
      <w:bookmarkEnd w:id="436"/>
      <w:bookmarkEnd w:id="438"/>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、报告期董事会召开情况</w:t>
      </w:r>
      <w:bookmarkEnd w:id="439"/>
      <w:bookmarkEnd w:id="440"/>
      <w:bookmarkEnd w:id="442"/>
    </w:p>
    <w:tbl>
      <w:tblPr>
        <w:tblOverlap w:val="never"/>
        <w:jc w:val="center"/>
        <w:tblLayout w:type="fixed"/>
      </w:tblPr>
      <w:tblGrid>
        <w:gridCol w:w="2400"/>
        <w:gridCol w:w="2395"/>
        <w:gridCol w:w="2386"/>
        <w:gridCol w:w="24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四</w:t>
      </w:r>
      <w:bookmarkEnd w:id="445"/>
      <w:r>
        <w:rPr>
          <w:color w:val="000000"/>
          <w:spacing w:val="0"/>
          <w:w w:val="100"/>
          <w:position w:val="0"/>
          <w:sz w:val="24"/>
          <w:szCs w:val="24"/>
        </w:rPr>
        <w:t>、年度报告重大差错责任追究制度的建立与执行情况</w:t>
      </w:r>
      <w:bookmarkEnd w:id="443"/>
      <w:bookmarkEnd w:id="444"/>
      <w:bookmarkEnd w:id="446"/>
    </w:p>
    <w:p>
      <w:pPr>
        <w:pStyle w:val="Style23"/>
        <w:keepNext w:val="0"/>
        <w:keepLines w:val="0"/>
        <w:widowControl w:val="0"/>
        <w:shd w:val="clear" w:color="auto" w:fill="auto"/>
        <w:bidi w:val="0"/>
        <w:spacing w:before="0" w:after="360" w:line="310" w:lineRule="exact"/>
        <w:ind w:left="0" w:right="0"/>
        <w:jc w:val="left"/>
      </w:pPr>
      <w:r>
        <w:rPr>
          <w:color w:val="000000"/>
          <w:spacing w:val="0"/>
          <w:w w:val="100"/>
          <w:position w:val="0"/>
        </w:rPr>
        <w:t>为进一步提高公司规范运作水平，加大对年报信息披露责任人的问责力度，提高年报信息披露的质量和透明度，根据《证 券法》、《会计法》、《上市公司信息披露管理办法》等相关规定及《公司章程》、《信息披露制度》的规定，公司董事会制定了 《年报信息披露重大差错责任追究制度》。该制度已经</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日召开的公司第一届董事会第二十一次会议审议通过。 报告期内公司未发生重大会计差错更正、重大遗漏信息补充以及业绩预告修正等情况。</w:t>
      </w:r>
    </w:p>
    <w:p>
      <w:pPr>
        <w:pStyle w:val="Style21"/>
        <w:keepNext/>
        <w:keepLines/>
        <w:widowControl w:val="0"/>
        <w:shd w:val="clear" w:color="auto" w:fill="auto"/>
        <w:bidi w:val="0"/>
        <w:spacing w:before="0" w:after="2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五</w:t>
      </w:r>
      <w:bookmarkEnd w:id="449"/>
      <w:r>
        <w:rPr>
          <w:color w:val="000000"/>
          <w:spacing w:val="0"/>
          <w:w w:val="100"/>
          <w:position w:val="0"/>
          <w:sz w:val="24"/>
          <w:szCs w:val="24"/>
        </w:rPr>
        <w:t>、监事会工作情况</w:t>
      </w:r>
      <w:bookmarkEnd w:id="447"/>
      <w:bookmarkEnd w:id="448"/>
      <w:bookmarkEnd w:id="450"/>
    </w:p>
    <w:p>
      <w:pPr>
        <w:pStyle w:val="Style23"/>
        <w:keepNext w:val="0"/>
        <w:keepLines w:val="0"/>
        <w:widowControl w:val="0"/>
        <w:shd w:val="clear" w:color="auto" w:fill="auto"/>
        <w:bidi w:val="0"/>
        <w:spacing w:before="0" w:after="320" w:line="310" w:lineRule="exact"/>
        <w:ind w:left="0" w:right="0" w:firstLine="0"/>
        <w:jc w:val="left"/>
      </w:pPr>
      <w:r>
        <w:rPr>
          <w:color w:val="000000"/>
          <w:spacing w:val="0"/>
          <w:w w:val="100"/>
          <w:position w:val="0"/>
        </w:rPr>
        <w:t>监事会在报告期内的监督活动是否发现公司存在风险</w:t>
      </w:r>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23" w:bottom="1719" w:left="1104"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480" w:after="520" w:line="240" w:lineRule="auto"/>
        <w:ind w:left="0" w:right="0" w:firstLine="0"/>
        <w:jc w:val="center"/>
      </w:pPr>
      <w:bookmarkStart w:id="451" w:name="bookmark451"/>
      <w:bookmarkStart w:id="452" w:name="bookmark452"/>
      <w:bookmarkStart w:id="453" w:name="bookmark453"/>
      <w:r>
        <w:rPr>
          <w:color w:val="000000"/>
          <w:spacing w:val="0"/>
          <w:w w:val="100"/>
          <w:position w:val="0"/>
        </w:rPr>
        <w:t>第九节财务报告</w:t>
      </w:r>
      <w:bookmarkEnd w:id="451"/>
      <w:bookmarkEnd w:id="452"/>
      <w:bookmarkEnd w:id="453"/>
    </w:p>
    <w:p>
      <w:pPr>
        <w:pStyle w:val="Style21"/>
        <w:keepNext/>
        <w:keepLines/>
        <w:widowControl w:val="0"/>
        <w:shd w:val="clear" w:color="auto" w:fill="auto"/>
        <w:bidi w:val="0"/>
        <w:spacing w:before="0" w:after="360" w:line="240" w:lineRule="auto"/>
        <w:ind w:left="0" w:right="0" w:firstLine="260"/>
        <w:jc w:val="both"/>
      </w:pPr>
      <w:bookmarkStart w:id="454" w:name="bookmark454"/>
      <w:bookmarkStart w:id="455" w:name="bookmark455"/>
      <w:bookmarkStart w:id="456" w:name="bookmark456"/>
      <w:bookmarkStart w:id="457" w:name="bookmark457"/>
      <w:r>
        <w:rPr>
          <w:color w:val="000000"/>
          <w:spacing w:val="0"/>
          <w:w w:val="100"/>
          <w:position w:val="0"/>
          <w:sz w:val="24"/>
          <w:szCs w:val="24"/>
        </w:rPr>
        <w:t>、审计报告</w:t>
      </w:r>
      <w:bookmarkEnd w:id="455"/>
      <w:bookmarkEnd w:id="456"/>
      <w:bookmarkEnd w:id="457"/>
      <w:bookmarkEnd w:id="4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rPr>
              <w:t>[2014]0821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王殷、欧维义、杨秀容</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99" w:line="1" w:lineRule="exact"/>
      </w:pPr>
    </w:p>
    <w:p>
      <w:pPr>
        <w:pStyle w:val="Style23"/>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rPr>
        <w:t>上海金仕达卫宁软件股份有限公司全体股东：</w:t>
      </w:r>
    </w:p>
    <w:p>
      <w:pPr>
        <w:pStyle w:val="Style23"/>
        <w:keepNext w:val="0"/>
        <w:keepLines w:val="0"/>
        <w:widowControl w:val="0"/>
        <w:shd w:val="clear" w:color="auto" w:fill="auto"/>
        <w:bidi w:val="0"/>
        <w:spacing w:before="0" w:after="100" w:line="314" w:lineRule="exact"/>
        <w:ind w:left="0" w:right="0"/>
        <w:jc w:val="both"/>
      </w:pPr>
      <w:r>
        <w:rPr>
          <w:color w:val="000000"/>
          <w:spacing w:val="0"/>
          <w:w w:val="100"/>
          <w:position w:val="0"/>
        </w:rPr>
        <w:t>我们审计了后附上海金仕达卫宁软件股份有限公司（以下简称卫宁软件公司）财务报表，包括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年度的合并及母公司利润表、合并及母公司现金流量表、合并及母公司股东权益变动表，以及财务 报表附注。</w:t>
      </w:r>
    </w:p>
    <w:p>
      <w:pPr>
        <w:pStyle w:val="Style23"/>
        <w:keepNext w:val="0"/>
        <w:keepLines w:val="0"/>
        <w:widowControl w:val="0"/>
        <w:shd w:val="clear" w:color="auto" w:fill="auto"/>
        <w:tabs>
          <w:tab w:pos="820" w:val="left"/>
        </w:tabs>
        <w:bidi w:val="0"/>
        <w:spacing w:before="0" w:after="100" w:line="312" w:lineRule="exact"/>
        <w:ind w:left="0" w:right="0"/>
        <w:jc w:val="both"/>
      </w:pPr>
      <w:bookmarkStart w:id="458" w:name="bookmark458"/>
      <w:r>
        <w:rPr>
          <w:b/>
          <w:bCs/>
          <w:color w:val="000000"/>
          <w:spacing w:val="0"/>
          <w:w w:val="100"/>
          <w:position w:val="0"/>
        </w:rPr>
        <w:t>一</w:t>
      </w:r>
      <w:bookmarkEnd w:id="458"/>
      <w:r>
        <w:rPr>
          <w:b/>
          <w:bCs/>
          <w:color w:val="000000"/>
          <w:spacing w:val="0"/>
          <w:w w:val="100"/>
          <w:position w:val="0"/>
        </w:rPr>
        <w:t>、</w:t>
        <w:tab/>
        <w:t>管理层对财务报表的责任</w:t>
      </w:r>
    </w:p>
    <w:p>
      <w:pPr>
        <w:pStyle w:val="Style23"/>
        <w:keepNext w:val="0"/>
        <w:keepLines w:val="0"/>
        <w:widowControl w:val="0"/>
        <w:shd w:val="clear" w:color="auto" w:fill="auto"/>
        <w:bidi w:val="0"/>
        <w:spacing w:before="0" w:after="100" w:line="307" w:lineRule="exact"/>
        <w:ind w:left="0" w:right="0"/>
        <w:jc w:val="both"/>
      </w:pPr>
      <w:r>
        <w:rPr>
          <w:color w:val="000000"/>
          <w:spacing w:val="0"/>
          <w:w w:val="100"/>
          <w:position w:val="0"/>
        </w:rPr>
        <w:t>编制和公允列报财务报表是卫宁软件公司管理层的责任，这种责任包括：（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3"/>
        <w:keepNext w:val="0"/>
        <w:keepLines w:val="0"/>
        <w:widowControl w:val="0"/>
        <w:shd w:val="clear" w:color="auto" w:fill="auto"/>
        <w:tabs>
          <w:tab w:pos="820" w:val="left"/>
        </w:tabs>
        <w:bidi w:val="0"/>
        <w:spacing w:before="0" w:after="100" w:line="312" w:lineRule="exact"/>
        <w:ind w:left="0" w:right="0"/>
        <w:jc w:val="left"/>
      </w:pPr>
      <w:bookmarkStart w:id="459" w:name="bookmark459"/>
      <w:r>
        <w:rPr>
          <w:b/>
          <w:bCs/>
          <w:color w:val="000000"/>
          <w:spacing w:val="0"/>
          <w:w w:val="100"/>
          <w:position w:val="0"/>
        </w:rPr>
        <w:t>二</w:t>
      </w:r>
      <w:bookmarkEnd w:id="459"/>
      <w:r>
        <w:rPr>
          <w:b/>
          <w:bCs/>
          <w:color w:val="000000"/>
          <w:spacing w:val="0"/>
          <w:w w:val="100"/>
          <w:position w:val="0"/>
        </w:rPr>
        <w:t>、</w:t>
        <w:tab/>
        <w:t>注册会计师的责任</w:t>
      </w:r>
    </w:p>
    <w:p>
      <w:pPr>
        <w:pStyle w:val="Style23"/>
        <w:keepNext w:val="0"/>
        <w:keepLines w:val="0"/>
        <w:widowControl w:val="0"/>
        <w:shd w:val="clear" w:color="auto" w:fill="auto"/>
        <w:bidi w:val="0"/>
        <w:spacing w:before="0" w:after="100" w:line="312"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3"/>
        <w:keepNext w:val="0"/>
        <w:keepLines w:val="0"/>
        <w:widowControl w:val="0"/>
        <w:shd w:val="clear" w:color="auto" w:fill="auto"/>
        <w:bidi w:val="0"/>
        <w:spacing w:before="0" w:after="100" w:line="312"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3"/>
        <w:keepNext w:val="0"/>
        <w:keepLines w:val="0"/>
        <w:widowControl w:val="0"/>
        <w:shd w:val="clear" w:color="auto" w:fill="auto"/>
        <w:bidi w:val="0"/>
        <w:spacing w:before="0" w:after="100" w:line="312" w:lineRule="exact"/>
        <w:ind w:left="0" w:right="0"/>
        <w:jc w:val="both"/>
      </w:pPr>
      <w:r>
        <w:rPr>
          <w:color w:val="000000"/>
          <w:spacing w:val="0"/>
          <w:w w:val="100"/>
          <w:position w:val="0"/>
        </w:rPr>
        <w:t>我们相信，我们获取的审计证据是充分、适当的，为发表审计意见提供了基础。</w:t>
      </w:r>
    </w:p>
    <w:p>
      <w:pPr>
        <w:pStyle w:val="Style23"/>
        <w:keepNext w:val="0"/>
        <w:keepLines w:val="0"/>
        <w:widowControl w:val="0"/>
        <w:shd w:val="clear" w:color="auto" w:fill="auto"/>
        <w:tabs>
          <w:tab w:pos="825" w:val="left"/>
        </w:tabs>
        <w:bidi w:val="0"/>
        <w:spacing w:before="0" w:after="100" w:line="312" w:lineRule="exact"/>
        <w:ind w:left="0" w:right="0"/>
        <w:jc w:val="both"/>
      </w:pPr>
      <w:bookmarkStart w:id="460" w:name="bookmark460"/>
      <w:r>
        <w:rPr>
          <w:b/>
          <w:bCs/>
          <w:color w:val="000000"/>
          <w:spacing w:val="0"/>
          <w:w w:val="100"/>
          <w:position w:val="0"/>
        </w:rPr>
        <w:t>三</w:t>
      </w:r>
      <w:bookmarkEnd w:id="460"/>
      <w:r>
        <w:rPr>
          <w:b/>
          <w:bCs/>
          <w:color w:val="000000"/>
          <w:spacing w:val="0"/>
          <w:w w:val="100"/>
          <w:position w:val="0"/>
        </w:rPr>
        <w:t>、</w:t>
        <w:tab/>
        <w:t>审计意见</w:t>
      </w:r>
    </w:p>
    <w:p>
      <w:pPr>
        <w:pStyle w:val="Style23"/>
        <w:keepNext w:val="0"/>
        <w:keepLines w:val="0"/>
        <w:widowControl w:val="0"/>
        <w:shd w:val="clear" w:color="auto" w:fill="auto"/>
        <w:bidi w:val="0"/>
        <w:spacing w:before="0" w:after="360" w:line="307" w:lineRule="exact"/>
        <w:ind w:left="0" w:right="0"/>
        <w:jc w:val="both"/>
      </w:pPr>
      <w:r>
        <w:rPr>
          <w:color w:val="000000"/>
          <w:spacing w:val="0"/>
          <w:w w:val="100"/>
          <w:position w:val="0"/>
        </w:rPr>
        <w:t>我们认为，卫宁软件公司财务报表在所有重大方面按照企业会计准则的规定编制，公允反映了卫宁软件公司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年度的合并及母公司经营成果和合并及母公司现金流量。</w:t>
      </w:r>
    </w:p>
    <w:p>
      <w:pPr>
        <w:pStyle w:val="Style21"/>
        <w:keepNext/>
        <w:keepLines/>
        <w:widowControl w:val="0"/>
        <w:shd w:val="clear" w:color="auto" w:fill="auto"/>
        <w:bidi w:val="0"/>
        <w:spacing w:before="0" w:after="24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、财务报表</w:t>
      </w:r>
      <w:bookmarkEnd w:id="461"/>
      <w:bookmarkEnd w:id="462"/>
      <w:bookmarkEnd w:id="464"/>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财务附注中报表的单位为：人民币元</w:t>
      </w:r>
    </w:p>
    <w:p>
      <w:pPr>
        <w:pStyle w:val="Style31"/>
        <w:keepNext/>
        <w:keepLines/>
        <w:widowControl w:val="0"/>
        <w:shd w:val="clear" w:color="auto" w:fill="auto"/>
        <w:bidi w:val="0"/>
        <w:spacing w:before="0" w:after="36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、合并资产负债表</w:t>
      </w:r>
      <w:bookmarkEnd w:id="465"/>
      <w:bookmarkEnd w:id="466"/>
      <w:bookmarkEnd w:id="468"/>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编制单位：上海金仕达卫宁软件股份有限公司</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458,093,549.42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412,384,289.19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3,783,672.00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180,764,331.34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104,728,958.56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2,218,112.24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3,150,448.05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1,417,004.68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1,787,935.95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29,272,098.64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33,801,729.24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6,859,446.17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26,150,827.88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678,830,126.49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585,787,860.87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30,266,469.27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23,589,929.85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1,979,939.80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2,162,835.07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13,461,196.98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4,446,666.68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7,327,171.61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6,121,703.80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62,481,444.34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36,874,468.72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741,311,570.83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622,662,329.59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3,222,129.75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33,103,602.60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26,769,256.06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34,408,759.33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42,608,828.32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16,150,905.98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7,233,911.07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3,297,079.89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-5,882,426.11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13,762,259.35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9,788,343.91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103,944,736.90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80,517,913.25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3,745,411.43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2,447,070.82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7,340,500.00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7,245,411.43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9,787,570.82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111,190,148.33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90,305,484.07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107,967,100.00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313,171,550.49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288,145,205.35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24,568,345.40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16,165,332.64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182,234,099.73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117,523,083.77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627,941,095.62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528,833,621.76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2,180,326.88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3,523,223.76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630,121,422.50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532,356,845.52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741,311,570.83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622,662,329.59</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78" behindDoc="0" locked="0" layoutInCell="1" allowOverlap="1">
                <wp:simplePos x="0" y="0"/>
                <wp:positionH relativeFrom="page">
                  <wp:posOffset>702310</wp:posOffset>
                </wp:positionH>
                <wp:positionV relativeFrom="margin">
                  <wp:posOffset>5525770</wp:posOffset>
                </wp:positionV>
                <wp:extent cx="938530" cy="149225"/>
                <wp:wrapTopAndBottom/>
                <wp:docPr id="12" name="Shape 1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38" type="#_x0000_t202" style="position:absolute;margin-left:55.300000000000004pt;margin-top:435.10000000000002pt;width:73.900000000000006pt;height:11.75pt;z-index:-125829375;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380" behindDoc="0" locked="0" layoutInCell="1" allowOverlap="1">
                <wp:simplePos x="0" y="0"/>
                <wp:positionH relativeFrom="page">
                  <wp:posOffset>2936240</wp:posOffset>
                </wp:positionH>
                <wp:positionV relativeFrom="margin">
                  <wp:posOffset>5525770</wp:posOffset>
                </wp:positionV>
                <wp:extent cx="1393190" cy="146050"/>
                <wp:wrapTopAndBottom/>
                <wp:docPr id="14" name="Shape 1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40" type="#_x0000_t202" style="position:absolute;margin-left:231.20000000000002pt;margin-top:435.10000000000002pt;width:109.7pt;height:11.5pt;z-index:-125829373;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382" behindDoc="0" locked="0" layoutInCell="1" allowOverlap="1">
                <wp:simplePos x="0" y="0"/>
                <wp:positionH relativeFrom="page">
                  <wp:posOffset>5618480</wp:posOffset>
                </wp:positionH>
                <wp:positionV relativeFrom="margin">
                  <wp:posOffset>5525770</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42" type="#_x0000_t202" style="position:absolute;margin-left:442.40000000000003pt;margin-top:435.10000000000002pt;width:92.150000000000006pt;height:11.75pt;z-index:-125829371;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、母公司资产负债表</w:t>
      </w:r>
      <w:bookmarkEnd w:id="469"/>
      <w:bookmarkEnd w:id="470"/>
      <w:bookmarkEnd w:id="472"/>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441,958,129.44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390,717,380.45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3,783,672.00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164,223,954.93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93,552,460.61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1,918,269.14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3,123,398.05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1,381,976.90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1,787,935.95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43,697,845.79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37,849,700.41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6,807,053.01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26,011,340.71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660,087,229.21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556,825,888.18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29,159,391.03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22,670,337.30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1,920,378.07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2,154,703.40</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9,863,875.89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4,446,666.68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5,836,605.35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3,715,539.69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77,726,917.02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56,040,580.39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737,814,146.23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612,866,468.57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3,222,129.75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33,654,863.21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25,987,784.04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32,541,419.57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40,797,912.60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11,353,011.07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4,669,822.21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2,298,598.56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-8,929,941.25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12,564,759.85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9,258,416.14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95,634,782.01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71,783,993.74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3,434,608.29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2,293,443.12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7,340,500.00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6,934,608.29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9,633,943.12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102,569,390.30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81,417,936.86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107,967,100.00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314,434,202.01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288,145,205.35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24,568,345.40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16,165,332.64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188,275,108.52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120,137,993.72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635,244,755.93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531,448,531.71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737,814,146.23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612,866,468.57</w:t>
            </w:r>
          </w:p>
        </w:tc>
      </w:tr>
    </w:tbl>
    <w:p>
      <w:pPr>
        <w:widowControl w:val="0"/>
        <w:spacing w:line="1" w:lineRule="exact"/>
        <w:sectPr>
          <w:footnotePr>
            <w:pos w:val="pageBottom"/>
            <w:numFmt w:val="decimal"/>
            <w:numRestart w:val="continuous"/>
          </w:footnotePr>
          <w:pgSz w:w="11900" w:h="16840"/>
          <w:pgMar w:top="1441" w:right="1070" w:bottom="1494" w:left="1058" w:header="0" w:footer="3" w:gutter="0"/>
          <w:cols w:space="720"/>
          <w:noEndnote/>
          <w:rtlGutter w:val="0"/>
          <w:docGrid w:linePitch="360"/>
        </w:sectPr>
      </w:pPr>
      <w:r>
        <mc:AlternateContent>
          <mc:Choice Requires="wps">
            <w:drawing>
              <wp:anchor distT="152400" distB="0" distL="114300" distR="5262880" simplePos="0" relativeHeight="125829384" behindDoc="0" locked="0" layoutInCell="1" allowOverlap="1">
                <wp:simplePos x="0" y="0"/>
                <wp:positionH relativeFrom="page">
                  <wp:posOffset>702310</wp:posOffset>
                </wp:positionH>
                <wp:positionV relativeFrom="margin">
                  <wp:posOffset>7315200</wp:posOffset>
                </wp:positionV>
                <wp:extent cx="938530" cy="149225"/>
                <wp:wrapTopAndBottom/>
                <wp:docPr id="18" name="Shape 1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44" type="#_x0000_t202" style="position:absolute;margin-left:55.300000000000004pt;margin-top:576.pt;width:73.900000000000006pt;height:11.75pt;z-index:-125829369;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386" behindDoc="0" locked="0" layoutInCell="1" allowOverlap="1">
                <wp:simplePos x="0" y="0"/>
                <wp:positionH relativeFrom="page">
                  <wp:posOffset>2936240</wp:posOffset>
                </wp:positionH>
                <wp:positionV relativeFrom="margin">
                  <wp:posOffset>7315200</wp:posOffset>
                </wp:positionV>
                <wp:extent cx="1393190" cy="146050"/>
                <wp:wrapTopAndBottom/>
                <wp:docPr id="20" name="Shape 2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46" type="#_x0000_t202" style="position:absolute;margin-left:231.20000000000002pt;margin-top:576.pt;width:109.7pt;height:11.5pt;z-index:-125829367;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5618480</wp:posOffset>
                </wp:positionH>
                <wp:positionV relativeFrom="margin">
                  <wp:posOffset>7315200</wp:posOffset>
                </wp:positionV>
                <wp:extent cx="1170305" cy="149225"/>
                <wp:wrapTopAndBottom/>
                <wp:docPr id="22" name="Shape 2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48" type="#_x0000_t202" style="position:absolute;margin-left:442.40000000000003pt;margin-top:576.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1" w:right="0" w:bottom="1379" w:left="0" w:header="0" w:footer="3" w:gutter="0"/>
          <w:cols w:space="720"/>
          <w:noEndnote/>
          <w:rtlGutter w:val="0"/>
          <w:docGrid w:linePitch="360"/>
        </w:sectPr>
      </w:pPr>
    </w:p>
    <w:p>
      <w:pPr>
        <w:pStyle w:val="Style31"/>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、合并利润表</w:t>
      </w:r>
      <w:bookmarkEnd w:id="473"/>
      <w:bookmarkEnd w:id="474"/>
      <w:bookmarkEnd w:id="47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90" behindDoc="0" locked="0" layoutInCell="1" allowOverlap="1">
                <wp:simplePos x="0" y="0"/>
                <wp:positionH relativeFrom="page">
                  <wp:posOffset>1528445</wp:posOffset>
                </wp:positionH>
                <wp:positionV relativeFrom="paragraph">
                  <wp:posOffset>41275</wp:posOffset>
                </wp:positionV>
                <wp:extent cx="255905" cy="146050"/>
                <wp:wrapTopAndBottom/>
                <wp:docPr id="24" name="Shape 24"/>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3"/>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0" type="#_x0000_t202" style="position:absolute;margin-left:120.35000000000001pt;margin-top:3.25pt;width:20.150000000000002pt;height:11.5pt;z-index:-125829363;mso-wrap-distance-left:0;mso-wrap-distance-top:3.25pt;mso-wrap-distance-right:0;mso-position-horizontal-relative:page" filled="f" stroked="f">
                <v:textbox inset="0,0,0,0">
                  <w:txbxContent>
                    <w:p>
                      <w:pPr>
                        <w:pStyle w:val="Style23"/>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392" behindDoc="0" locked="0" layoutInCell="1" allowOverlap="1">
                <wp:simplePos x="0" y="0"/>
                <wp:positionH relativeFrom="page">
                  <wp:posOffset>3406140</wp:posOffset>
                </wp:positionH>
                <wp:positionV relativeFrom="paragraph">
                  <wp:posOffset>38100</wp:posOffset>
                </wp:positionV>
                <wp:extent cx="481330" cy="149225"/>
                <wp:wrapTopAndBottom/>
                <wp:docPr id="26" name="Shape 2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3"/>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052" type="#_x0000_t202" style="position:absolute;margin-left:268.19999999999999pt;margin-top:3.pt;width:37.899999999999999pt;height:11.75pt;z-index:-125829361;mso-wrap-distance-left:0;mso-wrap-distance-top:3.pt;mso-wrap-distance-right:0;mso-position-horizontal-relative:page" filled="f" stroked="f">
                <v:textbox inset="0,0,0,0">
                  <w:txbxContent>
                    <w:p>
                      <w:pPr>
                        <w:pStyle w:val="Style23"/>
                        <w:keepNext w:val="0"/>
                        <w:keepLines w:val="0"/>
                        <w:widowControl w:val="0"/>
                        <w:pBdr>
                          <w:top w:val="single" w:sz="0" w:space="0" w:color="D4D4D4"/>
                          <w:left w:val="single" w:sz="0" w:space="31" w:color="D4D4D4"/>
                          <w:bottom w:val="single" w:sz="0" w:space="0" w:color="D4D4D4"/>
                          <w:right w:val="single" w:sz="0" w:space="31" w:color="D4D4D4"/>
                        </w:pBdr>
                        <w:shd w:val="clear" w:color="auto" w:fill="D4D4D4"/>
                        <w:bidi w:val="0"/>
                        <w:spacing w:before="0" w:after="0" w:line="240" w:lineRule="auto"/>
                        <w:ind w:left="0" w:right="0" w:firstLine="0"/>
                        <w:jc w:val="left"/>
                      </w:pPr>
                      <w:r>
                        <w:rPr>
                          <w:color w:val="000000"/>
                          <w:spacing w:val="0"/>
                          <w:w w:val="100"/>
                          <w:position w:val="0"/>
                        </w:rPr>
                        <w:t>本期金额</w:t>
                      </w:r>
                    </w:p>
                  </w:txbxContent>
                </v:textbox>
                <w10:wrap type="topAndBottom" anchorx="page"/>
              </v:shape>
            </w:pict>
          </mc:Fallback>
        </mc:AlternateContent>
      </w:r>
      <w:r>
        <mc:AlternateContent>
          <mc:Choice Requires="wps">
            <w:drawing>
              <wp:anchor distT="38100" distB="0" distL="0" distR="0" simplePos="0" relativeHeight="125829394" behindDoc="0" locked="0" layoutInCell="1" allowOverlap="1">
                <wp:simplePos x="0" y="0"/>
                <wp:positionH relativeFrom="page">
                  <wp:posOffset>5499735</wp:posOffset>
                </wp:positionH>
                <wp:positionV relativeFrom="paragraph">
                  <wp:posOffset>38100</wp:posOffset>
                </wp:positionV>
                <wp:extent cx="484505" cy="149225"/>
                <wp:wrapTopAndBottom/>
                <wp:docPr id="28" name="Shape 2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3"/>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054" type="#_x0000_t202" style="position:absolute;margin-left:433.05000000000001pt;margin-top:3.pt;width:38.149999999999999pt;height:11.75pt;z-index:-125829359;mso-wrap-distance-left:0;mso-wrap-distance-top:3.pt;mso-wrap-distance-right:0;mso-position-horizontal-relative:page" filled="f" stroked="f">
                <v:textbox inset="0,0,0,0">
                  <w:txbxContent>
                    <w:p>
                      <w:pPr>
                        <w:pStyle w:val="Style23"/>
                        <w:keepNext w:val="0"/>
                        <w:keepLines w:val="0"/>
                        <w:widowControl w:val="0"/>
                        <w:pBdr>
                          <w:top w:val="single" w:sz="4" w:space="0" w:color="D4D4D4"/>
                          <w:left w:val="single" w:sz="4" w:space="31" w:color="D4D4D4"/>
                          <w:bottom w:val="single" w:sz="4" w:space="0" w:color="D4D4D4"/>
                          <w:right w:val="single" w:sz="4" w:space="31" w:color="D4D4D4"/>
                        </w:pBdr>
                        <w:shd w:val="clear" w:color="auto" w:fill="D4D4D4"/>
                        <w:bidi w:val="0"/>
                        <w:spacing w:before="0" w:after="0" w:line="240" w:lineRule="auto"/>
                        <w:ind w:left="0" w:right="0" w:firstLine="0"/>
                        <w:jc w:val="left"/>
                      </w:pPr>
                      <w:r>
                        <w:rPr>
                          <w:color w:val="000000"/>
                          <w:spacing w:val="0"/>
                          <w:w w:val="100"/>
                          <w:position w:val="0"/>
                        </w:rPr>
                        <w:t>上期金额</w:t>
                      </w:r>
                    </w:p>
                  </w:txbxContent>
                </v:textbox>
                <w10:wrap type="topAndBottom" anchorx="page"/>
              </v:shape>
            </w:pict>
          </mc:Fallback>
        </mc:AlternateConten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265,771,223.38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265,771,223.38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298,185,789.17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229,772,947.32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120,823,323.64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4,978,547.22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3,780,548.54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68,095,669.51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60,264,758.83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61,331,690.97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48,564,064.79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-7,058,759.12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-8,618,086.10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10,691,232.24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4,958,337.62</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50,642,073.68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35,998,276.06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33,841,122.59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21,760,864.82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84,144,992.25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57,743,830.51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5,746,511.89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5,270,658.34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78,398,480.36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52,473,172.17</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80,604,028.76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52,849,948.41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-2,205,548.40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-376,776.24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78,398,480.36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52,473,172.17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80,604,028.76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52,849,948.41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-2,205,548.40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-376,776.24</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96" behindDoc="0" locked="0" layoutInCell="1" allowOverlap="1">
                <wp:simplePos x="0" y="0"/>
                <wp:positionH relativeFrom="page">
                  <wp:posOffset>706120</wp:posOffset>
                </wp:positionH>
                <wp:positionV relativeFrom="margin">
                  <wp:posOffset>3356610</wp:posOffset>
                </wp:positionV>
                <wp:extent cx="938530" cy="149225"/>
                <wp:wrapTopAndBottom/>
                <wp:docPr id="30" name="Shape 3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56" type="#_x0000_t202" style="position:absolute;margin-left:55.600000000000001pt;margin-top:264.30000000000001pt;width:73.900000000000006pt;height:11.75pt;z-index:-125829357;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398" behindDoc="0" locked="0" layoutInCell="1" allowOverlap="1">
                <wp:simplePos x="0" y="0"/>
                <wp:positionH relativeFrom="page">
                  <wp:posOffset>2940050</wp:posOffset>
                </wp:positionH>
                <wp:positionV relativeFrom="margin">
                  <wp:posOffset>3356610</wp:posOffset>
                </wp:positionV>
                <wp:extent cx="1393190" cy="146050"/>
                <wp:wrapTopAndBottom/>
                <wp:docPr id="32" name="Shape 3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58" type="#_x0000_t202" style="position:absolute;margin-left:231.5pt;margin-top:264.30000000000001pt;width:109.7pt;height:11.5pt;z-index:-125829355;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400" behindDoc="0" locked="0" layoutInCell="1" allowOverlap="1">
                <wp:simplePos x="0" y="0"/>
                <wp:positionH relativeFrom="page">
                  <wp:posOffset>5622290</wp:posOffset>
                </wp:positionH>
                <wp:positionV relativeFrom="margin">
                  <wp:posOffset>3356610</wp:posOffset>
                </wp:positionV>
                <wp:extent cx="1170305" cy="149225"/>
                <wp:wrapTopAndBottom/>
                <wp:docPr id="34" name="Shape 3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60" type="#_x0000_t202" style="position:absolute;margin-left:442.69999999999999pt;margin-top:264.30000000000001pt;width:92.150000000000006pt;height:11.75pt;z-index:-125829353;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、母公司利润表</w:t>
      </w:r>
      <w:bookmarkEnd w:id="477"/>
      <w:bookmarkEnd w:id="478"/>
      <w:bookmarkEnd w:id="48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316,185,632.40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244,658,572.91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148,939,758.26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117,940,580.44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4,453,336.09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3,198,081.26</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52,200,996.04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50,988,706.02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48,600,052.19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38,595,055.45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-6,986,493.15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-8,597,950.12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10,156,583.74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4,577,205.05</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1,639,467.42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60,460,866.65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37,956,894.81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29,572,234.55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20,655,826.00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328,204.02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89,694,897.18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58,597,410.44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5,664,769.58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5,529,677.55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84,030,127.60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53,067,732.89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84,030,127.60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53,067,732.89</w:t>
            </w:r>
          </w:p>
        </w:tc>
      </w:tr>
    </w:tbl>
    <w:p>
      <w:pPr>
        <w:pStyle w:val="Style31"/>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62880" simplePos="0" relativeHeight="125829402" behindDoc="0" locked="0" layoutInCell="1" allowOverlap="1">
                <wp:simplePos x="0" y="0"/>
                <wp:positionH relativeFrom="page">
                  <wp:posOffset>706120</wp:posOffset>
                </wp:positionH>
                <wp:positionV relativeFrom="margin">
                  <wp:posOffset>2646045</wp:posOffset>
                </wp:positionV>
                <wp:extent cx="938530" cy="149225"/>
                <wp:wrapTopAndBottom/>
                <wp:docPr id="36" name="Shape 3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62" type="#_x0000_t202" style="position:absolute;margin-left:55.600000000000001pt;margin-top:208.34999999999999pt;width:73.900000000000006pt;height:11.75pt;z-index:-125829351;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404" behindDoc="0" locked="0" layoutInCell="1" allowOverlap="1">
                <wp:simplePos x="0" y="0"/>
                <wp:positionH relativeFrom="page">
                  <wp:posOffset>2940050</wp:posOffset>
                </wp:positionH>
                <wp:positionV relativeFrom="margin">
                  <wp:posOffset>2646045</wp:posOffset>
                </wp:positionV>
                <wp:extent cx="1393190" cy="146050"/>
                <wp:wrapTopAndBottom/>
                <wp:docPr id="38" name="Shape 3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64" type="#_x0000_t202" style="position:absolute;margin-left:231.5pt;margin-top:208.34999999999999pt;width:109.7pt;height:11.5pt;z-index:-125829349;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406" behindDoc="0" locked="0" layoutInCell="1" allowOverlap="1">
                <wp:simplePos x="0" y="0"/>
                <wp:positionH relativeFrom="page">
                  <wp:posOffset>5622290</wp:posOffset>
                </wp:positionH>
                <wp:positionV relativeFrom="margin">
                  <wp:posOffset>2646045</wp:posOffset>
                </wp:positionV>
                <wp:extent cx="1170305" cy="149225"/>
                <wp:wrapTopAndBottom/>
                <wp:docPr id="40" name="Shape 4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66" type="#_x0000_t202" style="position:absolute;margin-left:442.69999999999999pt;margin-top:208.34999999999999pt;width:92.150000000000006pt;height:11.75pt;z-index:-125829347;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、合并现金流量表</w:t>
      </w:r>
      <w:bookmarkEnd w:id="481"/>
      <w:bookmarkEnd w:id="482"/>
      <w:bookmarkEnd w:id="48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312,124,433.94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291,395,542.99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31,953,088.86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14,023,858.54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48,655,999.85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58,548,340.44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392,733,522.65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363,967,741.97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92,183,624.13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119,383,595.60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106,818,553.17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74,585,187.36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45,387,494.54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46,875,565.52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98,195,735.65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95,750,225.34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342,585,407.49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336,594,573.82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50,148,115.16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27,373,168.15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6,976.54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6,976.54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21,321,350.14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17,260,617.83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21,721,350.14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22,260,617.83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-21,714,373.60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-22,259,598.83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15,987,414.00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7,351,773.01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23,339,187.01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7,490,000.04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5,350,000.00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5,920,090.30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13,410,090.34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9,929,096.67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38,362,838.23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3,663,569.32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408,922,209.19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405,258,639.87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447,285,047.42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408,922,209.19</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08" behindDoc="0" locked="0" layoutInCell="1" allowOverlap="1">
                <wp:simplePos x="0" y="0"/>
                <wp:positionH relativeFrom="page">
                  <wp:posOffset>706120</wp:posOffset>
                </wp:positionH>
                <wp:positionV relativeFrom="margin">
                  <wp:posOffset>3810635</wp:posOffset>
                </wp:positionV>
                <wp:extent cx="938530" cy="149225"/>
                <wp:wrapTopAndBottom/>
                <wp:docPr id="42" name="Shape 4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68" type="#_x0000_t202" style="position:absolute;margin-left:55.600000000000001pt;margin-top:300.05000000000001pt;width:73.900000000000006pt;height:11.75pt;z-index:-125829345;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410" behindDoc="0" locked="0" layoutInCell="1" allowOverlap="1">
                <wp:simplePos x="0" y="0"/>
                <wp:positionH relativeFrom="page">
                  <wp:posOffset>2940050</wp:posOffset>
                </wp:positionH>
                <wp:positionV relativeFrom="margin">
                  <wp:posOffset>3810635</wp:posOffset>
                </wp:positionV>
                <wp:extent cx="1393190" cy="146050"/>
                <wp:wrapTopAndBottom/>
                <wp:docPr id="44" name="Shape 4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70" type="#_x0000_t202" style="position:absolute;margin-left:231.5pt;margin-top:300.05000000000001pt;width:109.7pt;height:11.5pt;z-index:-125829343;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412" behindDoc="0" locked="0" layoutInCell="1" allowOverlap="1">
                <wp:simplePos x="0" y="0"/>
                <wp:positionH relativeFrom="page">
                  <wp:posOffset>5622290</wp:posOffset>
                </wp:positionH>
                <wp:positionV relativeFrom="margin">
                  <wp:posOffset>3810635</wp:posOffset>
                </wp:positionV>
                <wp:extent cx="1170305" cy="149225"/>
                <wp:wrapTopAndBottom/>
                <wp:docPr id="46" name="Shape 4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72" type="#_x0000_t202" style="position:absolute;margin-left:442.69999999999999pt;margin-top:300.05000000000001pt;width:92.150000000000006pt;height:11.75pt;z-index:-125829341;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6</w:t>
      </w:r>
      <w:bookmarkEnd w:id="487"/>
      <w:r>
        <w:rPr>
          <w:color w:val="000000"/>
          <w:spacing w:val="0"/>
          <w:w w:val="100"/>
          <w:position w:val="0"/>
        </w:rPr>
        <w:t>、母公司现金流量表</w:t>
      </w:r>
      <w:bookmarkEnd w:id="485"/>
      <w:bookmarkEnd w:id="486"/>
      <w:bookmarkEnd w:id="48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281,263,022.90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264,273,769.85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27,316,676.43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12,954,617.65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47,508,950.94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50,604,747.93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356,088,650.27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327,833,135.43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90,588,636.90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114,871,908.95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79,965,343.42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57,956,931.40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38,550,400.39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44,584,104.76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95,058,742.01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86,222,426.43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304,163,122.72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303,635,371.54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51,925,527.55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24,197,763.89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取得投资收益所收到的现金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2,297,181.41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2,304,157.95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20,264,455.18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16,716,996.80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20,264,455.18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33,216,996.80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-17,960,297.23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-33,215,977.80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15,987,414.00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7,351,773.01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23,339,187.01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7,490,000.04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5,920,090.30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13,410,090.34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9,929,096.67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-5,350,000.00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43,894,326.99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-14,368,213.91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387,255,300.45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401,623,514.36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431,149,627.44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387,255,300.45</w:t>
            </w:r>
          </w:p>
        </w:tc>
      </w:tr>
    </w:tbl>
    <w:p>
      <w:pPr>
        <w:pStyle w:val="Style31"/>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62880" simplePos="0" relativeHeight="125829414" behindDoc="0" locked="0" layoutInCell="1" allowOverlap="1">
                <wp:simplePos x="0" y="0"/>
                <wp:positionH relativeFrom="page">
                  <wp:posOffset>732155</wp:posOffset>
                </wp:positionH>
                <wp:positionV relativeFrom="margin">
                  <wp:posOffset>7976870</wp:posOffset>
                </wp:positionV>
                <wp:extent cx="938530" cy="149225"/>
                <wp:wrapTopAndBottom/>
                <wp:docPr id="48" name="Shape 4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74" type="#_x0000_t202" style="position:absolute;margin-left:57.649999999999999pt;margin-top:628.10000000000002pt;width:73.900000000000006pt;height:11.75pt;z-index:-125829339;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416" behindDoc="0" locked="0" layoutInCell="1" allowOverlap="1">
                <wp:simplePos x="0" y="0"/>
                <wp:positionH relativeFrom="page">
                  <wp:posOffset>2966085</wp:posOffset>
                </wp:positionH>
                <wp:positionV relativeFrom="margin">
                  <wp:posOffset>7976870</wp:posOffset>
                </wp:positionV>
                <wp:extent cx="1393190" cy="146050"/>
                <wp:wrapTopAndBottom/>
                <wp:docPr id="50" name="Shape 5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76" type="#_x0000_t202" style="position:absolute;margin-left:233.55000000000001pt;margin-top:628.10000000000002pt;width:109.7pt;height:11.5pt;z-index:-125829337;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418" behindDoc="0" locked="0" layoutInCell="1" allowOverlap="1">
                <wp:simplePos x="0" y="0"/>
                <wp:positionH relativeFrom="page">
                  <wp:posOffset>5648325</wp:posOffset>
                </wp:positionH>
                <wp:positionV relativeFrom="margin">
                  <wp:posOffset>7976870</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78" type="#_x0000_t202" style="position:absolute;margin-left:444.75pt;margin-top:628.10000000000002pt;width:92.150000000000006pt;height:11.75pt;z-index:-125829335;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7</w:t>
      </w:r>
      <w:bookmarkEnd w:id="491"/>
      <w:r>
        <w:rPr>
          <w:color w:val="000000"/>
          <w:spacing w:val="0"/>
          <w:w w:val="100"/>
          <w:position w:val="0"/>
        </w:rPr>
        <w:t>、合并所有者权益变动表</w:t>
      </w:r>
      <w:bookmarkEnd w:id="489"/>
      <w:bookmarkEnd w:id="490"/>
      <w:bookmarkEnd w:id="49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编制单位：上海金仕达卫宁软件股份有限公司</w:t>
      </w: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532,356,84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532,356,84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205.35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r>
      <w:tr>
        <w:trPr>
          <w:trHeight w:val="37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-1,342,89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97,764,576</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78,398,480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78,398,480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26,856,096</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18,162,138</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9,093,958.</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-7,490,000.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012.80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-7,490,000.</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107,967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313,171,</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24,568,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182,234,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2,180,326</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630,121,42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338,392,</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75,329,9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478,080,77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338,392,</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75,329,9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478,080,77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-50,247,</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42,193,1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3,523,223</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54,276,067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52,849,9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-376,776.</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52,473,172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52,849,9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-376,776.</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52,473,172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3,252,89</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3,900,000</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3,252,89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288,145,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117,523,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3,523,223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532,356,84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20" behindDoc="0" locked="0" layoutInCell="1" allowOverlap="1">
                <wp:simplePos x="0" y="0"/>
                <wp:positionH relativeFrom="page">
                  <wp:posOffset>706120</wp:posOffset>
                </wp:positionH>
                <wp:positionV relativeFrom="margin">
                  <wp:posOffset>6785610</wp:posOffset>
                </wp:positionV>
                <wp:extent cx="938530" cy="149225"/>
                <wp:wrapTopAndBottom/>
                <wp:docPr id="54" name="Shape 5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wps:txbx>
                      <wps:bodyPr wrap="none" lIns="0" tIns="0" rIns="0" bIns="0">
                        <a:noAutoFit/>
                      </wps:bodyPr>
                    </wps:wsp>
                  </a:graphicData>
                </a:graphic>
              </wp:anchor>
            </w:drawing>
          </mc:Choice>
          <mc:Fallback>
            <w:pict>
              <v:shape id="_x0000_s1080" type="#_x0000_t202" style="position:absolute;margin-left:55.600000000000001pt;margin-top:534.29999999999995pt;width:73.900000000000006pt;height:11.75pt;z-index:-125829333;mso-wrap-distance-left:9.pt;mso-wrap-distance-top:12.pt;mso-wrap-distance-right:414.40000000000003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法定代表人：周炜</w:t>
                      </w:r>
                    </w:p>
                  </w:txbxContent>
                </v:textbox>
                <w10:wrap type="topAndBottom" anchorx="page" anchory="margin"/>
              </v:shape>
            </w:pict>
          </mc:Fallback>
        </mc:AlternateContent>
      </w:r>
      <w:r>
        <mc:AlternateContent>
          <mc:Choice Requires="wps">
            <w:drawing>
              <wp:anchor distT="152400" distB="3175" distL="2348230" distR="2574290" simplePos="0" relativeHeight="125829422" behindDoc="0" locked="0" layoutInCell="1" allowOverlap="1">
                <wp:simplePos x="0" y="0"/>
                <wp:positionH relativeFrom="page">
                  <wp:posOffset>2940050</wp:posOffset>
                </wp:positionH>
                <wp:positionV relativeFrom="margin">
                  <wp:posOffset>6785610</wp:posOffset>
                </wp:positionV>
                <wp:extent cx="1393190" cy="146050"/>
                <wp:wrapTopAndBottom/>
                <wp:docPr id="56" name="Shape 5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wps:txbx>
                      <wps:bodyPr wrap="none" lIns="0" tIns="0" rIns="0" bIns="0">
                        <a:noAutoFit/>
                      </wps:bodyPr>
                    </wps:wsp>
                  </a:graphicData>
                </a:graphic>
              </wp:anchor>
            </w:drawing>
          </mc:Choice>
          <mc:Fallback>
            <w:pict>
              <v:shape id="_x0000_s1082" type="#_x0000_t202" style="position:absolute;margin-left:231.5pt;margin-top:534.29999999999995pt;width:109.7pt;height:11.5pt;z-index:-125829331;mso-wrap-distance-left:184.90000000000001pt;mso-wrap-distance-top:12.pt;mso-wrap-distance-right:202.70000000000002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主管会计工作负责人：王利</w:t>
                      </w:r>
                    </w:p>
                  </w:txbxContent>
                </v:textbox>
                <w10:wrap type="topAndBottom" anchorx="page" anchory="margin"/>
              </v:shape>
            </w:pict>
          </mc:Fallback>
        </mc:AlternateContent>
      </w:r>
      <w:r>
        <mc:AlternateContent>
          <mc:Choice Requires="wps">
            <w:drawing>
              <wp:anchor distT="152400" distB="0" distL="5030470" distR="114935" simplePos="0" relativeHeight="125829424" behindDoc="0" locked="0" layoutInCell="1" allowOverlap="1">
                <wp:simplePos x="0" y="0"/>
                <wp:positionH relativeFrom="page">
                  <wp:posOffset>5622290</wp:posOffset>
                </wp:positionH>
                <wp:positionV relativeFrom="margin">
                  <wp:posOffset>6785610</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wps:txbx>
                      <wps:bodyPr wrap="none" lIns="0" tIns="0" rIns="0" bIns="0">
                        <a:noAutoFit/>
                      </wps:bodyPr>
                    </wps:wsp>
                  </a:graphicData>
                </a:graphic>
              </wp:anchor>
            </w:drawing>
          </mc:Choice>
          <mc:Fallback>
            <w:pict>
              <v:shape id="_x0000_s1084" type="#_x0000_t202" style="position:absolute;margin-left:442.69999999999999pt;margin-top:534.29999999999995pt;width:92.150000000000006pt;height:11.75pt;z-index:-125829329;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会计机构负责人：奚冰</w:t>
                      </w:r>
                    </w:p>
                  </w:txbxContent>
                </v:textbox>
                <w10:wrap type="topAndBottom" anchorx="page" anchory="margin"/>
              </v:shape>
            </w:pict>
          </mc:Fallback>
        </mc:AlternateContent>
      </w: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8</w:t>
      </w:r>
      <w:bookmarkEnd w:id="495"/>
      <w:r>
        <w:rPr>
          <w:color w:val="000000"/>
          <w:spacing w:val="0"/>
          <w:w w:val="100"/>
          <w:position w:val="0"/>
        </w:rPr>
        <w:t>、母公司所有者权益变动表</w:t>
      </w:r>
      <w:bookmarkEnd w:id="493"/>
      <w:bookmarkEnd w:id="494"/>
      <w:bookmarkEnd w:id="49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编制单位：上海金仕达卫宁软件股份有限公司</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8"/>
        <w:gridCol w:w="89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288,145,20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16,165,332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120,137,99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531,448,53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288,145,20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16,165,332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120,137,99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531,448,53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26,288,996</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8,403,012.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68,137,114</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103,796,22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84,030,127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84,030,127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84,030,127</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84,030,127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26,288,996</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27,256,096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17,195,038</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18,162,138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9,093,958.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9,093,958.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8,403,012.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-15,893,01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8,403,012.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-8,403,012.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2659"/>
        <w:gridCol w:w="1771"/>
        <w:gridCol w:w="888"/>
        <w:gridCol w:w="8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107,967,10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314,434,20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24,568,345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188,275,10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635,244,75</w:t>
            </w:r>
          </w:p>
        </w:tc>
      </w:tr>
      <w:tr>
        <w:trPr>
          <w:trHeight w:val="427"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8"/>
        <w:gridCol w:w="878"/>
        <w:gridCol w:w="888"/>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338,392,30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10,858,559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77,727,034</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480,477,90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338,392,30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10,858,559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77,727,034</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480,477,90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-50,247,10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42,410,959</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50,970,628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53,067,732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53,067,732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53,067,732</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53,067,732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3,252,895.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-10,656,77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-5,306,773.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8"/>
        <w:gridCol w:w="888"/>
        <w:gridCol w:w="878"/>
        <w:gridCol w:w="888"/>
        <w:gridCol w:w="883"/>
        <w:gridCol w:w="883"/>
        <w:gridCol w:w="89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288,145,20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16,165,332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120,137,99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531,448,53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bl>
    <w:p>
      <w:pPr>
        <w:widowControl w:val="0"/>
        <w:spacing w:after="239" w:line="1" w:lineRule="exact"/>
      </w:pPr>
    </w:p>
    <w:p>
      <w:pPr>
        <w:pStyle w:val="Style23"/>
        <w:keepNext w:val="0"/>
        <w:keepLines w:val="0"/>
        <w:widowControl w:val="0"/>
        <w:shd w:val="clear" w:color="auto" w:fill="auto"/>
        <w:tabs>
          <w:tab w:pos="3470" w:val="left"/>
          <w:tab w:pos="7699" w:val="left"/>
        </w:tabs>
        <w:bidi w:val="0"/>
        <w:spacing w:before="0" w:after="360" w:line="314" w:lineRule="exact"/>
        <w:ind w:left="0" w:right="0" w:firstLine="0"/>
        <w:jc w:val="both"/>
      </w:pPr>
      <w:r>
        <w:rPr>
          <w:color w:val="000000"/>
          <w:spacing w:val="0"/>
          <w:w w:val="100"/>
          <w:position w:val="0"/>
        </w:rPr>
        <w:t>法定代表人：周炜</w:t>
        <w:tab/>
        <w:t>主管会计工作负责人：王利</w:t>
        <w:tab/>
        <w:t>会计机构负责人：奚冰</w:t>
      </w:r>
    </w:p>
    <w:p>
      <w:pPr>
        <w:pStyle w:val="Style21"/>
        <w:keepNext/>
        <w:keepLines/>
        <w:widowControl w:val="0"/>
        <w:shd w:val="clear" w:color="auto" w:fill="auto"/>
        <w:bidi w:val="0"/>
        <w:spacing w:before="0" w:after="24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、公司基本情况</w:t>
      </w:r>
      <w:bookmarkEnd w:id="497"/>
      <w:bookmarkEnd w:id="498"/>
      <w:bookmarkEnd w:id="500"/>
    </w:p>
    <w:p>
      <w:pPr>
        <w:pStyle w:val="Style23"/>
        <w:keepNext w:val="0"/>
        <w:keepLines w:val="0"/>
        <w:widowControl w:val="0"/>
        <w:shd w:val="clear" w:color="auto" w:fill="auto"/>
        <w:bidi w:val="0"/>
        <w:spacing w:before="0" w:after="120" w:line="310" w:lineRule="exact"/>
        <w:ind w:left="0" w:right="0"/>
        <w:jc w:val="both"/>
      </w:pPr>
      <w:r>
        <w:rPr>
          <w:color w:val="000000"/>
          <w:spacing w:val="0"/>
          <w:w w:val="100"/>
          <w:position w:val="0"/>
        </w:rPr>
        <w:t>上海金仕达卫宁软件股份有限公司（以下简称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）前身为上海金仕达卫宁软件有限公司，系由英属维尔 京群岛</w:t>
      </w:r>
      <w:r>
        <w:rPr>
          <w:rFonts w:ascii="Times New Roman" w:eastAsia="Times New Roman" w:hAnsi="Times New Roman" w:cs="Times New Roman"/>
          <w:color w:val="000000"/>
          <w:spacing w:val="0"/>
          <w:w w:val="100"/>
          <w:position w:val="0"/>
        </w:rPr>
        <w:t>WINNINGINTERNATIONALTECHNOLOGYLTD</w:t>
      </w:r>
      <w:r>
        <w:rPr>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）和上海金仕达卫宁医疗信息技术有限公司（</w:t>
      </w:r>
      <w:r>
        <w:rPr>
          <w:rFonts w:ascii="Times New Roman" w:eastAsia="Times New Roman" w:hAnsi="Times New Roman" w:cs="Times New Roman"/>
          <w:color w:val="000000"/>
          <w:spacing w:val="0"/>
          <w:w w:val="100"/>
          <w:position w:val="0"/>
        </w:rPr>
        <w:t>10%</w:t>
      </w:r>
      <w:r>
        <w:rPr>
          <w:color w:val="000000"/>
          <w:spacing w:val="0"/>
          <w:w w:val="100"/>
          <w:position w:val="0"/>
        </w:rPr>
        <w:t>）合资设 立的中外合资企业。经浦府项字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135</w:t>
      </w:r>
      <w:r>
        <w:rPr>
          <w:color w:val="000000"/>
          <w:spacing w:val="0"/>
          <w:w w:val="100"/>
          <w:position w:val="0"/>
        </w:rPr>
        <w:t>号文批准，于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日取得商外资沪浦合资字</w:t>
      </w:r>
      <w:r>
        <w:rPr>
          <w:rFonts w:ascii="Times New Roman" w:eastAsia="Times New Roman" w:hAnsi="Times New Roman" w:cs="Times New Roman"/>
          <w:color w:val="000000"/>
          <w:spacing w:val="0"/>
          <w:w w:val="100"/>
          <w:position w:val="0"/>
        </w:rPr>
        <w:t>［2004］0841</w:t>
      </w:r>
      <w:r>
        <w:rPr>
          <w:color w:val="000000"/>
          <w:spacing w:val="0"/>
          <w:w w:val="100"/>
          <w:position w:val="0"/>
        </w:rPr>
        <w:t>号外商投资企业 批准证书，于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日取得企合沪浦总副字第</w:t>
      </w:r>
      <w:r>
        <w:rPr>
          <w:rFonts w:ascii="Times New Roman" w:eastAsia="Times New Roman" w:hAnsi="Times New Roman" w:cs="Times New Roman"/>
          <w:color w:val="000000"/>
          <w:spacing w:val="0"/>
          <w:w w:val="100"/>
          <w:position w:val="0"/>
        </w:rPr>
        <w:t>318540</w:t>
      </w:r>
      <w:r>
        <w:rPr>
          <w:color w:val="000000"/>
          <w:spacing w:val="0"/>
          <w:w w:val="100"/>
          <w:position w:val="0"/>
        </w:rPr>
        <w:t>号（浦东）企业法人营业执照。投资总额</w:t>
      </w:r>
      <w:r>
        <w:rPr>
          <w:rFonts w:ascii="Times New Roman" w:eastAsia="Times New Roman" w:hAnsi="Times New Roman" w:cs="Times New Roman"/>
          <w:color w:val="000000"/>
          <w:spacing w:val="0"/>
          <w:w w:val="100"/>
          <w:position w:val="0"/>
        </w:rPr>
        <w:t>28</w:t>
      </w:r>
      <w:r>
        <w:rPr>
          <w:color w:val="000000"/>
          <w:spacing w:val="0"/>
          <w:w w:val="100"/>
          <w:position w:val="0"/>
        </w:rPr>
        <w:t>万美元，注册资本</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万美元（实收资本</w:t>
      </w:r>
      <w:r>
        <w:rPr>
          <w:rFonts w:ascii="Times New Roman" w:eastAsia="Times New Roman" w:hAnsi="Times New Roman" w:cs="Times New Roman"/>
          <w:color w:val="000000"/>
          <w:spacing w:val="0"/>
          <w:w w:val="100"/>
          <w:position w:val="0"/>
        </w:rPr>
        <w:t>20</w:t>
      </w:r>
      <w:r>
        <w:rPr>
          <w:color w:val="000000"/>
          <w:spacing w:val="0"/>
          <w:w w:val="100"/>
          <w:position w:val="0"/>
        </w:rPr>
        <w:t>万美元）。</w:t>
      </w:r>
    </w:p>
    <w:p>
      <w:pPr>
        <w:pStyle w:val="Style23"/>
        <w:keepNext w:val="0"/>
        <w:keepLines w:val="0"/>
        <w:widowControl w:val="0"/>
        <w:shd w:val="clear" w:color="auto" w:fill="auto"/>
        <w:bidi w:val="0"/>
        <w:spacing w:before="0" w:after="120" w:line="315"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日，经上海金仕达卫宁软件有限公司第一届第四次董事会决议并经浦府项字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798</w:t>
      </w:r>
      <w:r>
        <w:rPr>
          <w:color w:val="000000"/>
          <w:spacing w:val="0"/>
          <w:w w:val="100"/>
          <w:position w:val="0"/>
        </w:rPr>
        <w:t>号文批准，上海 金仕达卫宁医疗信息技术有限公司将所持上海金仕达卫宁软件有限公司</w:t>
      </w:r>
      <w:r>
        <w:rPr>
          <w:rFonts w:ascii="Times New Roman" w:eastAsia="Times New Roman" w:hAnsi="Times New Roman" w:cs="Times New Roman"/>
          <w:color w:val="000000"/>
          <w:spacing w:val="0"/>
          <w:w w:val="100"/>
          <w:position w:val="0"/>
        </w:rPr>
        <w:t>10%</w:t>
      </w:r>
      <w:r>
        <w:rPr>
          <w:color w:val="000000"/>
          <w:spacing w:val="0"/>
          <w:w w:val="100"/>
          <w:position w:val="0"/>
        </w:rPr>
        <w:t>股权转让给上海为宁信息技术有限公司，于</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日取得换发的商外资沪浦合资字</w:t>
      </w:r>
      <w:r>
        <w:rPr>
          <w:rFonts w:ascii="Times New Roman" w:eastAsia="Times New Roman" w:hAnsi="Times New Roman" w:cs="Times New Roman"/>
          <w:color w:val="000000"/>
          <w:spacing w:val="0"/>
          <w:w w:val="100"/>
          <w:position w:val="0"/>
        </w:rPr>
        <w:t>［2004］0841</w:t>
      </w:r>
      <w:r>
        <w:rPr>
          <w:color w:val="000000"/>
          <w:spacing w:val="0"/>
          <w:w w:val="100"/>
          <w:position w:val="0"/>
        </w:rPr>
        <w:t>号外商投资企业批准证书，于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w:t>
      </w:r>
      <w:r>
        <w:rPr>
          <w:rFonts w:ascii="Times New Roman" w:eastAsia="Times New Roman" w:hAnsi="Times New Roman" w:cs="Times New Roman"/>
          <w:color w:val="000000"/>
          <w:spacing w:val="0"/>
          <w:w w:val="100"/>
          <w:position w:val="0"/>
        </w:rPr>
        <w:t>310115400147263</w:t>
      </w:r>
      <w:r>
        <w:rPr>
          <w:color w:val="000000"/>
          <w:spacing w:val="0"/>
          <w:w w:val="100"/>
          <w:position w:val="0"/>
        </w:rPr>
        <w:t>号 企业法人营业执照，投资总额和注册资本不变。</w:t>
      </w:r>
    </w:p>
    <w:p>
      <w:pPr>
        <w:pStyle w:val="Style23"/>
        <w:keepNext w:val="0"/>
        <w:keepLines w:val="0"/>
        <w:widowControl w:val="0"/>
        <w:shd w:val="clear" w:color="auto" w:fill="auto"/>
        <w:bidi w:val="0"/>
        <w:spacing w:before="0" w:after="120" w:line="316"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日，经上海金仕达卫宁软件有限公司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日股东会、董事会决议并经浦府项字</w:t>
      </w:r>
      <w:r>
        <w:rPr>
          <w:rFonts w:ascii="Times New Roman" w:eastAsia="Times New Roman" w:hAnsi="Times New Roman" w:cs="Times New Roman"/>
          <w:color w:val="000000"/>
          <w:spacing w:val="0"/>
          <w:w w:val="100"/>
          <w:position w:val="0"/>
        </w:rPr>
        <w:t>［2008</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458</w:t>
      </w:r>
      <w:r>
        <w:rPr>
          <w:color w:val="000000"/>
          <w:spacing w:val="0"/>
          <w:w w:val="100"/>
          <w:position w:val="0"/>
        </w:rPr>
        <w:t>号文批 准，英属维尔京群岛</w:t>
      </w:r>
      <w:r>
        <w:rPr>
          <w:rFonts w:ascii="Times New Roman" w:eastAsia="Times New Roman" w:hAnsi="Times New Roman" w:cs="Times New Roman"/>
          <w:color w:val="000000"/>
          <w:spacing w:val="0"/>
          <w:w w:val="100"/>
          <w:position w:val="0"/>
        </w:rPr>
        <w:t>WINNING INTERNATIONAL TECHNOLOGYLTD</w:t>
      </w:r>
      <w:r>
        <w:rPr>
          <w:color w:val="000000"/>
          <w:spacing w:val="0"/>
          <w:w w:val="100"/>
          <w:position w:val="0"/>
        </w:rPr>
        <w:t>将所持上海金仕达卫宁软件有限公司</w:t>
      </w:r>
      <w:r>
        <w:rPr>
          <w:rFonts w:ascii="Times New Roman" w:eastAsia="Times New Roman" w:hAnsi="Times New Roman" w:cs="Times New Roman"/>
          <w:color w:val="000000"/>
          <w:spacing w:val="0"/>
          <w:w w:val="100"/>
          <w:position w:val="0"/>
        </w:rPr>
        <w:t>90%</w:t>
      </w:r>
      <w:r>
        <w:rPr>
          <w:color w:val="000000"/>
          <w:spacing w:val="0"/>
          <w:w w:val="100"/>
          <w:position w:val="0"/>
        </w:rPr>
        <w:t>的股权转让 给周炜、王英、刘宁三位自然人，上海金仕达卫宁软件有限公司企业性质由中外合资企业变更为内资有限责任公司，注册资 本由</w:t>
      </w:r>
      <w:r>
        <w:rPr>
          <w:rFonts w:ascii="Times New Roman" w:eastAsia="Times New Roman" w:hAnsi="Times New Roman" w:cs="Times New Roman"/>
          <w:color w:val="000000"/>
          <w:spacing w:val="0"/>
          <w:w w:val="100"/>
          <w:position w:val="0"/>
        </w:rPr>
        <w:t>20</w:t>
      </w:r>
      <w:r>
        <w:rPr>
          <w:color w:val="000000"/>
          <w:spacing w:val="0"/>
          <w:w w:val="100"/>
          <w:position w:val="0"/>
        </w:rPr>
        <w:t>万美元变更为等额人民币注册资本，变更后的注册资本为人民币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,653,156.00</w:t>
      </w:r>
      <w:r>
        <w:rPr>
          <w:color w:val="000000"/>
          <w:spacing w:val="0"/>
          <w:w w:val="100"/>
          <w:position w:val="0"/>
        </w:rPr>
        <w:t>元。变更后，股东为周炜、王英、刘宁</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名自然人和上海为宁信息技术有限公司。</w:t>
      </w:r>
    </w:p>
    <w:p>
      <w:pPr>
        <w:pStyle w:val="Style23"/>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日临时股东会决议，上海金仕达卫宁软件有限公司增 加注册资本人民币</w:t>
      </w:r>
      <w:r>
        <w:rPr>
          <w:rFonts w:ascii="Times New Roman" w:eastAsia="Times New Roman" w:hAnsi="Times New Roman" w:cs="Times New Roman"/>
          <w:color w:val="000000"/>
          <w:spacing w:val="0"/>
          <w:w w:val="100"/>
          <w:position w:val="0"/>
        </w:rPr>
        <w:t>8,346,844.00</w:t>
      </w:r>
      <w:r>
        <w:rPr>
          <w:color w:val="000000"/>
          <w:spacing w:val="0"/>
          <w:w w:val="100"/>
          <w:position w:val="0"/>
        </w:rPr>
        <w:t>元，其中股东周炜、刘宁、王英和上海为宁信息技术有限公司以上海金仕达卫宁软件有限公 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日未分配利润</w:t>
      </w:r>
      <w:r>
        <w:rPr>
          <w:rFonts w:ascii="Times New Roman" w:eastAsia="Times New Roman" w:hAnsi="Times New Roman" w:cs="Times New Roman"/>
          <w:color w:val="000000"/>
          <w:spacing w:val="0"/>
          <w:w w:val="100"/>
          <w:position w:val="0"/>
        </w:rPr>
        <w:t>4,498,523.8</w:t>
      </w:r>
      <w:r>
        <w:rPr>
          <w:rFonts w:ascii="Times New Roman" w:eastAsia="Times New Roman" w:hAnsi="Times New Roman" w:cs="Times New Roman"/>
          <w:color w:val="000000"/>
          <w:spacing w:val="0"/>
          <w:w w:val="100"/>
          <w:position w:val="0"/>
        </w:rPr>
        <w:t>0</w:t>
      </w:r>
      <w:r>
        <w:rPr>
          <w:color w:val="000000"/>
          <w:spacing w:val="0"/>
          <w:w w:val="100"/>
          <w:position w:val="0"/>
        </w:rPr>
        <w:t>元转增资本，刘宁、孙凯等</w:t>
      </w:r>
      <w:r>
        <w:rPr>
          <w:rFonts w:ascii="Times New Roman" w:eastAsia="Times New Roman" w:hAnsi="Times New Roman" w:cs="Times New Roman"/>
          <w:color w:val="000000"/>
          <w:spacing w:val="0"/>
          <w:w w:val="100"/>
          <w:position w:val="0"/>
        </w:rPr>
        <w:t>24</w:t>
      </w:r>
      <w:r>
        <w:rPr>
          <w:color w:val="000000"/>
          <w:spacing w:val="0"/>
          <w:w w:val="100"/>
          <w:position w:val="0"/>
        </w:rPr>
        <w:t>名自然人以货币资金增资</w:t>
      </w:r>
      <w:r>
        <w:rPr>
          <w:rFonts w:ascii="Times New Roman" w:eastAsia="Times New Roman" w:hAnsi="Times New Roman" w:cs="Times New Roman"/>
          <w:color w:val="000000"/>
          <w:spacing w:val="0"/>
          <w:w w:val="100"/>
          <w:position w:val="0"/>
        </w:rPr>
        <w:t>3,848,320.20</w:t>
      </w:r>
      <w:r>
        <w:rPr>
          <w:color w:val="000000"/>
          <w:spacing w:val="0"/>
          <w:w w:val="100"/>
          <w:position w:val="0"/>
        </w:rPr>
        <w:t>元，变更后的 注册资本为人民币</w:t>
      </w:r>
      <w:r>
        <w:rPr>
          <w:rFonts w:ascii="Times New Roman" w:eastAsia="Times New Roman" w:hAnsi="Times New Roman" w:cs="Times New Roman"/>
          <w:color w:val="000000"/>
          <w:spacing w:val="0"/>
          <w:w w:val="100"/>
          <w:position w:val="0"/>
        </w:rPr>
        <w:t>10,000,000.00</w:t>
      </w:r>
      <w:r>
        <w:rPr>
          <w:color w:val="000000"/>
          <w:spacing w:val="0"/>
          <w:w w:val="100"/>
          <w:position w:val="0"/>
        </w:rPr>
        <w:t>元。变更注册资本后，股东为周炜等</w:t>
      </w:r>
      <w:r>
        <w:rPr>
          <w:rFonts w:ascii="Times New Roman" w:eastAsia="Times New Roman" w:hAnsi="Times New Roman" w:cs="Times New Roman"/>
          <w:color w:val="000000"/>
          <w:spacing w:val="0"/>
          <w:w w:val="100"/>
          <w:position w:val="0"/>
        </w:rPr>
        <w:t>26</w:t>
      </w:r>
      <w:r>
        <w:rPr>
          <w:color w:val="000000"/>
          <w:spacing w:val="0"/>
          <w:w w:val="100"/>
          <w:position w:val="0"/>
        </w:rPr>
        <w:t>名自然人和上海为宁信息技术有限公司。</w:t>
      </w:r>
    </w:p>
    <w:p>
      <w:pPr>
        <w:pStyle w:val="Style23"/>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日，上海为宁信息技术有限公司将所持上海金仕达卫宁软件有限公司</w:t>
      </w:r>
      <w:r>
        <w:rPr>
          <w:rFonts w:ascii="Times New Roman" w:eastAsia="Times New Roman" w:hAnsi="Times New Roman" w:cs="Times New Roman"/>
          <w:color w:val="000000"/>
          <w:spacing w:val="0"/>
          <w:w w:val="100"/>
          <w:position w:val="0"/>
        </w:rPr>
        <w:t>6.16%</w:t>
      </w:r>
      <w:r>
        <w:rPr>
          <w:color w:val="000000"/>
          <w:spacing w:val="0"/>
          <w:w w:val="100"/>
          <w:position w:val="0"/>
        </w:rPr>
        <w:t>股权转让给自然人孙凯。变更 后股东为周炜等</w:t>
      </w:r>
      <w:r>
        <w:rPr>
          <w:rFonts w:ascii="Times New Roman" w:eastAsia="Times New Roman" w:hAnsi="Times New Roman" w:cs="Times New Roman"/>
          <w:color w:val="000000"/>
          <w:spacing w:val="0"/>
          <w:w w:val="100"/>
          <w:position w:val="0"/>
        </w:rPr>
        <w:t>26</w:t>
      </w:r>
      <w:r>
        <w:rPr>
          <w:color w:val="000000"/>
          <w:spacing w:val="0"/>
          <w:w w:val="100"/>
          <w:position w:val="0"/>
        </w:rPr>
        <w:t>名自然人。</w:t>
      </w:r>
    </w:p>
    <w:p>
      <w:pPr>
        <w:pStyle w:val="Style23"/>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日，根据上海金仕达卫宁软件有限公司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日临时股东会决议，上海金仕达卫宁软件有限公司整 体变更为上海金仕达卫宁软件股份有限公司，上海金仕达卫宁软件有限公司全体股东以截至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日经审计后的净资 产</w:t>
      </w:r>
      <w:r>
        <w:rPr>
          <w:rFonts w:ascii="Times New Roman" w:eastAsia="Times New Roman" w:hAnsi="Times New Roman" w:cs="Times New Roman"/>
          <w:color w:val="000000"/>
          <w:spacing w:val="0"/>
          <w:w w:val="100"/>
          <w:position w:val="0"/>
        </w:rPr>
        <w:t>52,912,479.56</w:t>
      </w:r>
      <w:r>
        <w:rPr>
          <w:color w:val="000000"/>
          <w:spacing w:val="0"/>
          <w:w w:val="100"/>
          <w:position w:val="0"/>
        </w:rPr>
        <w:t>元出资，其中以净资产出资</w:t>
      </w:r>
      <w:r>
        <w:rPr>
          <w:rFonts w:ascii="Times New Roman" w:eastAsia="Times New Roman" w:hAnsi="Times New Roman" w:cs="Times New Roman"/>
          <w:color w:val="000000"/>
          <w:spacing w:val="0"/>
          <w:w w:val="100"/>
          <w:position w:val="0"/>
        </w:rPr>
        <w:t>40,000,000.00</w:t>
      </w:r>
      <w:r>
        <w:rPr>
          <w:color w:val="000000"/>
          <w:spacing w:val="0"/>
          <w:w w:val="100"/>
          <w:position w:val="0"/>
        </w:rPr>
        <w:t>元，折</w:t>
      </w:r>
      <w:r>
        <w:rPr>
          <w:rFonts w:ascii="Times New Roman" w:eastAsia="Times New Roman" w:hAnsi="Times New Roman" w:cs="Times New Roman"/>
          <w:color w:val="000000"/>
          <w:spacing w:val="0"/>
          <w:w w:val="100"/>
          <w:position w:val="0"/>
        </w:rPr>
        <w:t>40,000,000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元，其余</w:t>
      </w:r>
      <w:r>
        <w:rPr>
          <w:rFonts w:ascii="Times New Roman" w:eastAsia="Times New Roman" w:hAnsi="Times New Roman" w:cs="Times New Roman"/>
          <w:color w:val="000000"/>
          <w:spacing w:val="0"/>
          <w:w w:val="100"/>
          <w:position w:val="0"/>
        </w:rPr>
        <w:t>12,912,479.56</w:t>
      </w:r>
      <w:r>
        <w:rPr>
          <w:color w:val="000000"/>
          <w:spacing w:val="0"/>
          <w:w w:val="100"/>
          <w:position w:val="0"/>
        </w:rPr>
        <w:t xml:space="preserve">元转为上海 </w:t>
      </w:r>
      <w:r>
        <w:rPr>
          <w:color w:val="000000"/>
          <w:spacing w:val="0"/>
          <w:w w:val="100"/>
          <w:position w:val="0"/>
        </w:rPr>
        <w:t>金仕达卫宁软件股份有限公司的资本公积，变更后的注册资本为人民币</w:t>
      </w:r>
      <w:r>
        <w:rPr>
          <w:rFonts w:ascii="Times New Roman" w:eastAsia="Times New Roman" w:hAnsi="Times New Roman" w:cs="Times New Roman"/>
          <w:color w:val="000000"/>
          <w:spacing w:val="0"/>
          <w:w w:val="100"/>
          <w:position w:val="0"/>
        </w:rPr>
        <w:t>40,000,000.00</w:t>
      </w:r>
      <w:r>
        <w:rPr>
          <w:color w:val="000000"/>
          <w:spacing w:val="0"/>
          <w:w w:val="100"/>
          <w:position w:val="0"/>
        </w:rPr>
        <w:t>元，此次变更业经中磊会计师事务所有 限责任公司中磊验字</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7004</w:t>
      </w:r>
      <w:r>
        <w:rPr>
          <w:color w:val="000000"/>
          <w:spacing w:val="0"/>
          <w:w w:val="100"/>
          <w:position w:val="0"/>
        </w:rPr>
        <w:t>号验资报告验证。公司于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日取得上海市工商行政管理局换发的 </w:t>
      </w:r>
      <w:r>
        <w:rPr>
          <w:rFonts w:ascii="Times New Roman" w:eastAsia="Times New Roman" w:hAnsi="Times New Roman" w:cs="Times New Roman"/>
          <w:color w:val="000000"/>
          <w:spacing w:val="0"/>
          <w:w w:val="100"/>
          <w:position w:val="0"/>
        </w:rPr>
        <w:t>310115400147263</w:t>
      </w:r>
      <w:r>
        <w:rPr>
          <w:color w:val="000000"/>
          <w:spacing w:val="0"/>
          <w:w w:val="100"/>
          <w:position w:val="0"/>
        </w:rPr>
        <w:t>号企业法人营业执照，注册资本为人民币</w:t>
      </w:r>
      <w:r>
        <w:rPr>
          <w:rFonts w:ascii="Times New Roman" w:eastAsia="Times New Roman" w:hAnsi="Times New Roman" w:cs="Times New Roman"/>
          <w:color w:val="000000"/>
          <w:spacing w:val="0"/>
          <w:w w:val="100"/>
          <w:position w:val="0"/>
        </w:rPr>
        <w:t>40,000,000.00</w:t>
      </w:r>
      <w:r>
        <w:rPr>
          <w:color w:val="000000"/>
          <w:spacing w:val="0"/>
          <w:w w:val="100"/>
          <w:position w:val="0"/>
        </w:rPr>
        <w:t>元，股东为周炜等</w:t>
      </w:r>
      <w:r>
        <w:rPr>
          <w:rFonts w:ascii="Times New Roman" w:eastAsia="Times New Roman" w:hAnsi="Times New Roman" w:cs="Times New Roman"/>
          <w:color w:val="000000"/>
          <w:spacing w:val="0"/>
          <w:w w:val="100"/>
          <w:position w:val="0"/>
        </w:rPr>
        <w:t>26</w:t>
      </w:r>
      <w:r>
        <w:rPr>
          <w:color w:val="000000"/>
          <w:spacing w:val="0"/>
          <w:w w:val="100"/>
          <w:position w:val="0"/>
        </w:rPr>
        <w:t>名自然人。</w:t>
      </w:r>
    </w:p>
    <w:p>
      <w:pPr>
        <w:pStyle w:val="Style23"/>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1129</w:t>
      </w:r>
      <w:r>
        <w:rPr>
          <w:color w:val="000000"/>
          <w:spacing w:val="0"/>
          <w:w w:val="100"/>
          <w:position w:val="0"/>
        </w:rPr>
        <w:t>号文《关于核准上海金仕达卫宁软件股份有限公司首次公开发行股票并 在创业板上市的批复》，</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月本公司发行社会公众股</w:t>
      </w:r>
      <w:r>
        <w:rPr>
          <w:rFonts w:ascii="Times New Roman" w:eastAsia="Times New Roman" w:hAnsi="Times New Roman" w:cs="Times New Roman"/>
          <w:color w:val="000000"/>
          <w:spacing w:val="0"/>
          <w:w w:val="100"/>
          <w:position w:val="0"/>
        </w:rPr>
        <w:t>13,500,000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元，发行后总股本为</w:t>
      </w:r>
      <w:r>
        <w:rPr>
          <w:rFonts w:ascii="Times New Roman" w:eastAsia="Times New Roman" w:hAnsi="Times New Roman" w:cs="Times New Roman"/>
          <w:color w:val="000000"/>
          <w:spacing w:val="0"/>
          <w:w w:val="100"/>
          <w:position w:val="0"/>
        </w:rPr>
        <w:t>53,500,000.00</w:t>
      </w:r>
      <w:r>
        <w:rPr>
          <w:color w:val="000000"/>
          <w:spacing w:val="0"/>
          <w:w w:val="100"/>
          <w:position w:val="0"/>
        </w:rPr>
        <w:t>元。 此次变更业经中磊会计师事务所有限责任公司中磊验字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0067</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日换发相同注册号 的企业法人营业执照，注册资本为人民币</w:t>
      </w:r>
      <w:r>
        <w:rPr>
          <w:rFonts w:ascii="Times New Roman" w:eastAsia="Times New Roman" w:hAnsi="Times New Roman" w:cs="Times New Roman"/>
          <w:color w:val="000000"/>
          <w:spacing w:val="0"/>
          <w:w w:val="100"/>
          <w:position w:val="0"/>
        </w:rPr>
        <w:t>53,500,000.00</w:t>
      </w:r>
      <w:r>
        <w:rPr>
          <w:color w:val="000000"/>
          <w:spacing w:val="0"/>
          <w:w w:val="100"/>
          <w:position w:val="0"/>
        </w:rPr>
        <w:t>元。</w:t>
      </w:r>
    </w:p>
    <w:p>
      <w:pPr>
        <w:pStyle w:val="Style23"/>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万股为基数，以资本公积向全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5,350</w:t>
      </w:r>
      <w:r>
        <w:rPr>
          <w:color w:val="000000"/>
          <w:spacing w:val="0"/>
          <w:w w:val="100"/>
          <w:position w:val="0"/>
        </w:rPr>
        <w:t>万股，增加注册资本人民币</w:t>
      </w:r>
      <w:r>
        <w:rPr>
          <w:rFonts w:ascii="Times New Roman" w:eastAsia="Times New Roman" w:hAnsi="Times New Roman" w:cs="Times New Roman"/>
          <w:color w:val="000000"/>
          <w:spacing w:val="0"/>
          <w:w w:val="100"/>
          <w:position w:val="0"/>
        </w:rPr>
        <w:t>53,500,000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107,000,000</w:t>
      </w:r>
      <w:r>
        <w:rPr>
          <w:color w:val="000000"/>
          <w:spacing w:val="0"/>
          <w:w w:val="100"/>
          <w:position w:val="0"/>
        </w:rPr>
        <w:t>元。 此次变更业经中磊会计师事务所有限责任公司（</w:t>
      </w:r>
      <w:r>
        <w:rPr>
          <w:rFonts w:ascii="Times New Roman" w:eastAsia="Times New Roman" w:hAnsi="Times New Roman" w:cs="Times New Roman"/>
          <w:color w:val="000000"/>
          <w:spacing w:val="0"/>
          <w:w w:val="100"/>
          <w:position w:val="0"/>
        </w:rPr>
        <w:t>2012</w:t>
      </w:r>
      <w:r>
        <w:rPr>
          <w:color w:val="000000"/>
          <w:spacing w:val="0"/>
          <w:w w:val="100"/>
          <w:position w:val="0"/>
        </w:rPr>
        <w:t>）中磊（验</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字第</w:t>
      </w:r>
      <w:r>
        <w:rPr>
          <w:rFonts w:ascii="Times New Roman" w:eastAsia="Times New Roman" w:hAnsi="Times New Roman" w:cs="Times New Roman"/>
          <w:color w:val="000000"/>
          <w:spacing w:val="0"/>
          <w:w w:val="100"/>
          <w:position w:val="0"/>
        </w:rPr>
        <w:t>0012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日换发相 同注册号的企业法人营业执照，注册资本为人民币</w:t>
      </w:r>
      <w:r>
        <w:rPr>
          <w:rFonts w:ascii="Times New Roman" w:eastAsia="Times New Roman" w:hAnsi="Times New Roman" w:cs="Times New Roman"/>
          <w:color w:val="000000"/>
          <w:spacing w:val="0"/>
          <w:w w:val="100"/>
          <w:position w:val="0"/>
        </w:rPr>
        <w:t>107,000,000</w:t>
      </w:r>
      <w:r>
        <w:rPr>
          <w:color w:val="000000"/>
          <w:spacing w:val="0"/>
          <w:w w:val="100"/>
          <w:position w:val="0"/>
        </w:rPr>
        <w:t>元。</w:t>
      </w:r>
    </w:p>
    <w:p>
      <w:pPr>
        <w:pStyle w:val="Style23"/>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日止，公司股票期权激励计划首次授予股票期权第一批共计行权</w:t>
      </w:r>
      <w:r>
        <w:rPr>
          <w:rFonts w:ascii="Times New Roman" w:eastAsia="Times New Roman" w:hAnsi="Times New Roman" w:cs="Times New Roman"/>
          <w:color w:val="000000"/>
          <w:spacing w:val="0"/>
          <w:w w:val="100"/>
          <w:position w:val="0"/>
        </w:rPr>
        <w:t>967,100</w:t>
      </w:r>
      <w:r>
        <w:rPr>
          <w:color w:val="000000"/>
          <w:spacing w:val="0"/>
          <w:w w:val="100"/>
          <w:position w:val="0"/>
        </w:rPr>
        <w:t xml:space="preserve">股，引起公司股本数量增加 </w:t>
      </w:r>
      <w:r>
        <w:rPr>
          <w:rFonts w:ascii="Times New Roman" w:eastAsia="Times New Roman" w:hAnsi="Times New Roman" w:cs="Times New Roman"/>
          <w:color w:val="000000"/>
          <w:spacing w:val="0"/>
          <w:w w:val="100"/>
          <w:position w:val="0"/>
        </w:rPr>
        <w:t>967,100</w:t>
      </w:r>
      <w:r>
        <w:rPr>
          <w:color w:val="000000"/>
          <w:spacing w:val="0"/>
          <w:w w:val="100"/>
          <w:position w:val="0"/>
        </w:rPr>
        <w:t>股，公司申请增加股本</w:t>
      </w:r>
      <w:r>
        <w:rPr>
          <w:rFonts w:ascii="Times New Roman" w:eastAsia="Times New Roman" w:hAnsi="Times New Roman" w:cs="Times New Roman"/>
          <w:color w:val="000000"/>
          <w:spacing w:val="0"/>
          <w:w w:val="100"/>
          <w:position w:val="0"/>
        </w:rPr>
        <w:t>967,100</w:t>
      </w:r>
      <w:r>
        <w:rPr>
          <w:color w:val="000000"/>
          <w:spacing w:val="0"/>
          <w:w w:val="100"/>
          <w:position w:val="0"/>
        </w:rPr>
        <w:t>元，变更后总股本为</w:t>
      </w:r>
      <w:r>
        <w:rPr>
          <w:rFonts w:ascii="Times New Roman" w:eastAsia="Times New Roman" w:hAnsi="Times New Roman" w:cs="Times New Roman"/>
          <w:color w:val="000000"/>
          <w:spacing w:val="0"/>
          <w:w w:val="100"/>
          <w:position w:val="0"/>
        </w:rPr>
        <w:t>107,967,100</w:t>
      </w:r>
      <w:r>
        <w:rPr>
          <w:color w:val="000000"/>
          <w:spacing w:val="0"/>
          <w:w w:val="100"/>
          <w:position w:val="0"/>
        </w:rPr>
        <w:t>元。上述股本于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日业经华普天健会计师事 务所（特殊普通合伙）会验字</w:t>
      </w:r>
      <w:r>
        <w:rPr>
          <w:rFonts w:ascii="Times New Roman" w:eastAsia="Times New Roman" w:hAnsi="Times New Roman" w:cs="Times New Roman"/>
          <w:color w:val="000000"/>
          <w:spacing w:val="0"/>
          <w:w w:val="100"/>
          <w:position w:val="0"/>
        </w:rPr>
        <w:t>［2014］0292</w:t>
      </w:r>
      <w:r>
        <w:rPr>
          <w:color w:val="000000"/>
          <w:spacing w:val="0"/>
          <w:w w:val="100"/>
          <w:position w:val="0"/>
        </w:rPr>
        <w:t>号验资报告验证。</w:t>
      </w:r>
    </w:p>
    <w:p>
      <w:pPr>
        <w:pStyle w:val="Style23"/>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注册地址：上海市浦东新区上南路</w:t>
      </w:r>
      <w:r>
        <w:rPr>
          <w:rFonts w:ascii="Times New Roman" w:eastAsia="Times New Roman" w:hAnsi="Times New Roman" w:cs="Times New Roman"/>
          <w:color w:val="000000"/>
          <w:spacing w:val="0"/>
          <w:w w:val="100"/>
          <w:position w:val="0"/>
        </w:rPr>
        <w:t>4184</w:t>
      </w:r>
      <w:r>
        <w:rPr>
          <w:color w:val="000000"/>
          <w:spacing w:val="0"/>
          <w:w w:val="100"/>
          <w:position w:val="0"/>
        </w:rPr>
        <w:t>号</w:t>
      </w:r>
      <w:r>
        <w:rPr>
          <w:rFonts w:ascii="Times New Roman" w:eastAsia="Times New Roman" w:hAnsi="Times New Roman" w:cs="Times New Roman"/>
          <w:color w:val="000000"/>
          <w:spacing w:val="0"/>
          <w:w w:val="100"/>
          <w:position w:val="0"/>
        </w:rPr>
        <w:t>258</w:t>
      </w:r>
      <w:r>
        <w:rPr>
          <w:color w:val="000000"/>
          <w:spacing w:val="0"/>
          <w:w w:val="100"/>
          <w:position w:val="0"/>
        </w:rPr>
        <w:t>室</w:t>
      </w:r>
    </w:p>
    <w:p>
      <w:pPr>
        <w:pStyle w:val="Style23"/>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法定代表人：周炜</w:t>
      </w:r>
    </w:p>
    <w:p>
      <w:pPr>
        <w:pStyle w:val="Style23"/>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本公司属于医疗卫生信息化行业，经营范围主要包括：计算机软件的开发、设计和制作，销售自产产品，计算机及辅助 设备的销售，计算机网络信息系统集成的维护，并提供相关的技术咨询和技术服务（企业经营涉及行政许可的，凭许可证件 经营）。</w:t>
      </w:r>
    </w:p>
    <w:p>
      <w:pPr>
        <w:pStyle w:val="Style21"/>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四</w:t>
      </w:r>
      <w:bookmarkEnd w:id="503"/>
      <w:r>
        <w:rPr>
          <w:color w:val="000000"/>
          <w:spacing w:val="0"/>
          <w:w w:val="100"/>
          <w:position w:val="0"/>
          <w:sz w:val="24"/>
          <w:szCs w:val="24"/>
        </w:rPr>
        <w:t>、公司主要会计政策、会计估计和前期差错</w:t>
      </w:r>
      <w:bookmarkEnd w:id="501"/>
      <w:bookmarkEnd w:id="502"/>
      <w:bookmarkEnd w:id="504"/>
    </w:p>
    <w:p>
      <w:pPr>
        <w:pStyle w:val="Style31"/>
        <w:keepNext/>
        <w:keepLines/>
        <w:widowControl w:val="0"/>
        <w:shd w:val="clear" w:color="auto" w:fill="auto"/>
        <w:tabs>
          <w:tab w:pos="368" w:val="left"/>
        </w:tabs>
        <w:bidi w:val="0"/>
        <w:spacing w:before="0" w:after="2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w:t>
        <w:tab/>
        <w:t>财务报表的编制基础</w:t>
      </w:r>
      <w:bookmarkEnd w:id="505"/>
      <w:bookmarkEnd w:id="506"/>
      <w:bookmarkEnd w:id="508"/>
    </w:p>
    <w:p>
      <w:pPr>
        <w:pStyle w:val="Style23"/>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本公司以持续经营为基础，根据实际发生的交易和事项，按照《企业会计准则》、应用指南及准则解释的规定进行确认 和计量，在此基础上编制财务报表。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遵循企业会计准则的声明</w:t>
      </w:r>
      <w:bookmarkEnd w:id="509"/>
      <w:bookmarkEnd w:id="510"/>
      <w:bookmarkEnd w:id="512"/>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本公司按上述基础编制的财务报表符合《企业会计准则》的要求，真实完整地反映了本公司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公司财务状况、</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年度的合并及母公司经营成果和合并及母公司现金流量等有关信息。</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会计期间</w:t>
      </w:r>
      <w:bookmarkEnd w:id="513"/>
      <w:bookmarkEnd w:id="514"/>
      <w:bookmarkEnd w:id="516"/>
    </w:p>
    <w:p>
      <w:pPr>
        <w:pStyle w:val="Style23"/>
        <w:keepNext w:val="0"/>
        <w:keepLines w:val="0"/>
        <w:widowControl w:val="0"/>
        <w:shd w:val="clear" w:color="auto" w:fill="auto"/>
        <w:bidi w:val="0"/>
        <w:spacing w:before="0" w:after="360" w:line="312" w:lineRule="exact"/>
        <w:ind w:left="0" w:right="0" w:firstLine="320"/>
        <w:jc w:val="left"/>
      </w:pPr>
      <w:r>
        <w:rPr>
          <w:color w:val="000000"/>
          <w:spacing w:val="0"/>
          <w:w w:val="100"/>
          <w:position w:val="0"/>
        </w:rPr>
        <w:t>本公司会计年度采用公历制，即公历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记账本位币</w:t>
      </w:r>
      <w:bookmarkEnd w:id="517"/>
      <w:bookmarkEnd w:id="518"/>
      <w:bookmarkEnd w:id="520"/>
    </w:p>
    <w:p>
      <w:pPr>
        <w:pStyle w:val="Style23"/>
        <w:keepNext w:val="0"/>
        <w:keepLines w:val="0"/>
        <w:widowControl w:val="0"/>
        <w:shd w:val="clear" w:color="auto" w:fill="auto"/>
        <w:bidi w:val="0"/>
        <w:spacing w:before="0" w:after="260" w:line="312" w:lineRule="exact"/>
        <w:ind w:left="0" w:right="0" w:firstLine="320"/>
        <w:jc w:val="both"/>
      </w:pPr>
      <w:r>
        <w:rPr>
          <w:color w:val="000000"/>
          <w:spacing w:val="0"/>
          <w:w w:val="100"/>
          <w:position w:val="0"/>
        </w:rPr>
        <w:t>本公司以人民币为记账本位币。</w:t>
      </w:r>
    </w:p>
    <w:p>
      <w:pPr>
        <w:pStyle w:val="Style31"/>
        <w:keepNext/>
        <w:keepLines/>
        <w:widowControl w:val="0"/>
        <w:shd w:val="clear" w:color="auto" w:fill="auto"/>
        <w:tabs>
          <w:tab w:pos="409" w:val="left"/>
        </w:tabs>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5</w:t>
      </w:r>
      <w:bookmarkEnd w:id="523"/>
      <w:r>
        <w:rPr>
          <w:color w:val="000000"/>
          <w:spacing w:val="0"/>
          <w:w w:val="100"/>
          <w:position w:val="0"/>
        </w:rPr>
        <w:t>、</w:t>
        <w:tab/>
        <w:t>同一控制下和非同一控制下企业合并的会计处理方法</w:t>
      </w:r>
      <w:bookmarkEnd w:id="521"/>
      <w:bookmarkEnd w:id="522"/>
      <w:bookmarkEnd w:id="524"/>
    </w:p>
    <w:p>
      <w:pPr>
        <w:pStyle w:val="Style34"/>
        <w:keepNext/>
        <w:keepLines/>
        <w:widowControl w:val="0"/>
        <w:shd w:val="clear" w:color="auto" w:fill="auto"/>
        <w:tabs>
          <w:tab w:pos="488"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25"/>
      <w:bookmarkEnd w:id="526"/>
      <w:bookmarkEnd w:id="528"/>
    </w:p>
    <w:p>
      <w:pPr>
        <w:pStyle w:val="Style23"/>
        <w:keepNext w:val="0"/>
        <w:keepLines w:val="0"/>
        <w:widowControl w:val="0"/>
        <w:shd w:val="clear" w:color="auto" w:fill="auto"/>
        <w:bidi w:val="0"/>
        <w:spacing w:before="0" w:after="360" w:line="322" w:lineRule="exact"/>
        <w:ind w:left="0" w:right="0"/>
        <w:jc w:val="both"/>
      </w:pPr>
      <w:r>
        <w:rPr>
          <w:color w:val="000000"/>
          <w:spacing w:val="0"/>
          <w:w w:val="100"/>
          <w:position w:val="0"/>
        </w:rPr>
        <w:t>本公司在企业合并中取得的资产和负债，按照合并日被合并方的账面价值计量。本公司取得的净资产账面价值与支付的 合并对价账面价值（或发生股份面值总额）的差额，应当调整资本公积；资本公积不足冲减的，调整留存收益。</w:t>
      </w:r>
    </w:p>
    <w:p>
      <w:pPr>
        <w:pStyle w:val="Style34"/>
        <w:keepNext/>
        <w:keepLines/>
        <w:widowControl w:val="0"/>
        <w:shd w:val="clear" w:color="auto" w:fill="auto"/>
        <w:tabs>
          <w:tab w:pos="488"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29"/>
      <w:bookmarkEnd w:id="530"/>
      <w:bookmarkEnd w:id="532"/>
    </w:p>
    <w:p>
      <w:pPr>
        <w:pStyle w:val="Style23"/>
        <w:keepNext w:val="0"/>
        <w:keepLines w:val="0"/>
        <w:widowControl w:val="0"/>
        <w:shd w:val="clear" w:color="auto" w:fill="auto"/>
        <w:bidi w:val="0"/>
        <w:spacing w:before="0" w:after="120" w:line="312" w:lineRule="exact"/>
        <w:ind w:left="0" w:right="0"/>
        <w:jc w:val="left"/>
      </w:pPr>
      <w:r>
        <w:rPr>
          <w:color w:val="000000"/>
          <w:spacing w:val="0"/>
          <w:w w:val="100"/>
          <w:position w:val="0"/>
        </w:rPr>
        <w:t>本公司在购买日对合并成本大于合并中取得的被购买方可辨认净资产公允价值份额的差额，确认为商誉；如果合并成本 小于合并中取得的被购买方可辨认净资产公允价值份额的差额，首先对取得的被购买方的各项可辨认资产、负债及或有负债 的公允价值以及合并成本的计量进行复核，经复核后合并成本仍小于合并中取得的被购买方可辨认净资产公允价值份额的， 其差额应当计入当期损益。</w:t>
      </w:r>
    </w:p>
    <w:p>
      <w:pPr>
        <w:pStyle w:val="Style23"/>
        <w:keepNext w:val="0"/>
        <w:keepLines w:val="0"/>
        <w:widowControl w:val="0"/>
        <w:shd w:val="clear" w:color="auto" w:fill="auto"/>
        <w:bidi w:val="0"/>
        <w:spacing w:before="0" w:after="360" w:line="314" w:lineRule="exact"/>
        <w:ind w:left="0" w:right="0"/>
        <w:jc w:val="left"/>
      </w:pPr>
      <w:r>
        <w:rPr>
          <w:color w:val="000000"/>
          <w:spacing w:val="0"/>
          <w:w w:val="100"/>
          <w:position w:val="0"/>
        </w:rPr>
        <w:t>公司对企业合并所形成的商誉，在每年年度终了进行减值测试，减值测试时结合与其相关的资产组或者资产组组合进行, 比较相关资产组或者资产组组合的账面价值（包括所分摊的商誉的账面价值部分）与其可收回金额，如相关资产组或者资产 组组合的可收回金额低于其账面价值的，确认商誉的减值损失。</w:t>
      </w:r>
    </w:p>
    <w:p>
      <w:pPr>
        <w:pStyle w:val="Style31"/>
        <w:keepNext/>
        <w:keepLines/>
        <w:widowControl w:val="0"/>
        <w:shd w:val="clear" w:color="auto" w:fill="auto"/>
        <w:tabs>
          <w:tab w:pos="409"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6</w:t>
      </w:r>
      <w:bookmarkEnd w:id="535"/>
      <w:r>
        <w:rPr>
          <w:color w:val="000000"/>
          <w:spacing w:val="0"/>
          <w:w w:val="100"/>
          <w:position w:val="0"/>
        </w:rPr>
        <w:t>、</w:t>
        <w:tab/>
        <w:t>合并财务报表的编制方法</w:t>
      </w:r>
      <w:bookmarkEnd w:id="533"/>
      <w:bookmarkEnd w:id="534"/>
      <w:bookmarkEnd w:id="536"/>
    </w:p>
    <w:p>
      <w:pPr>
        <w:pStyle w:val="Style34"/>
        <w:keepNext/>
        <w:keepLines/>
        <w:widowControl w:val="0"/>
        <w:shd w:val="clear" w:color="auto" w:fill="auto"/>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37"/>
      <w:bookmarkEnd w:id="538"/>
      <w:bookmarkEnd w:id="540"/>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凡本公司能够控制的子公司以及特殊目的主体（以下简称</w:t>
      </w:r>
      <w:r>
        <w:rPr>
          <w:rFonts w:ascii="Times New Roman" w:eastAsia="Times New Roman" w:hAnsi="Times New Roman" w:cs="Times New Roman"/>
          <w:color w:val="000000"/>
          <w:spacing w:val="0"/>
          <w:w w:val="100"/>
          <w:position w:val="0"/>
        </w:rPr>
        <w:t>“</w:t>
      </w:r>
      <w:r>
        <w:rPr>
          <w:color w:val="000000"/>
          <w:spacing w:val="0"/>
          <w:w w:val="100"/>
          <w:position w:val="0"/>
        </w:rPr>
        <w:t>纳入合并范围的公司</w:t>
      </w:r>
      <w:r>
        <w:rPr>
          <w:color w:val="000000"/>
          <w:spacing w:val="0"/>
          <w:w w:val="100"/>
          <w:position w:val="0"/>
        </w:rPr>
        <w:t>''）</w:t>
      </w:r>
      <w:r>
        <w:rPr>
          <w:color w:val="000000"/>
          <w:spacing w:val="0"/>
          <w:w w:val="100"/>
          <w:position w:val="0"/>
        </w:rPr>
        <w:t>都纳入合并范围；纳入合并范围的公 司所采用的会计期间、会计政策与母公司不一致的，已按照母公司的会计期间、会计政策对其财务报表进行调整；以母公司 和纳入合并范围公司调整后的财务报表为基础，按照权益法调整对纳入合并范围公司的长期股权投资后，由母公司编制；合 并报表范围内母公司与纳入合并范围的公司、纳入合并范围的公司相互之间发生的内部交易、资金往来在合并时予以抵销。</w:t>
      </w:r>
    </w:p>
    <w:p>
      <w:pPr>
        <w:pStyle w:val="Style31"/>
        <w:keepNext/>
        <w:keepLines/>
        <w:widowControl w:val="0"/>
        <w:shd w:val="clear" w:color="auto" w:fill="auto"/>
        <w:tabs>
          <w:tab w:pos="409" w:val="left"/>
        </w:tabs>
        <w:bidi w:val="0"/>
        <w:spacing w:before="0" w:after="2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7</w:t>
      </w:r>
      <w:bookmarkEnd w:id="543"/>
      <w:r>
        <w:rPr>
          <w:color w:val="000000"/>
          <w:spacing w:val="0"/>
          <w:w w:val="100"/>
          <w:position w:val="0"/>
        </w:rPr>
        <w:t>、</w:t>
        <w:tab/>
        <w:t>现金及现金等价物的确定标准</w:t>
      </w:r>
      <w:bookmarkEnd w:id="541"/>
      <w:bookmarkEnd w:id="542"/>
      <w:bookmarkEnd w:id="544"/>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1"/>
        <w:keepNext/>
        <w:keepLines/>
        <w:widowControl w:val="0"/>
        <w:shd w:val="clear" w:color="auto" w:fill="auto"/>
        <w:tabs>
          <w:tab w:pos="409"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8</w:t>
      </w:r>
      <w:bookmarkEnd w:id="547"/>
      <w:r>
        <w:rPr>
          <w:color w:val="000000"/>
          <w:spacing w:val="0"/>
          <w:w w:val="100"/>
          <w:position w:val="0"/>
        </w:rPr>
        <w:t>、</w:t>
        <w:tab/>
        <w:t>外币业务和外币报表折算</w:t>
      </w:r>
      <w:bookmarkEnd w:id="545"/>
      <w:bookmarkEnd w:id="546"/>
      <w:bookmarkEnd w:id="548"/>
    </w:p>
    <w:p>
      <w:pPr>
        <w:pStyle w:val="Style34"/>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49"/>
      <w:bookmarkEnd w:id="550"/>
      <w:bookmarkEnd w:id="552"/>
    </w:p>
    <w:p>
      <w:pPr>
        <w:pStyle w:val="Style23"/>
        <w:keepNext w:val="0"/>
        <w:keepLines w:val="0"/>
        <w:widowControl w:val="0"/>
        <w:shd w:val="clear" w:color="auto" w:fill="auto"/>
        <w:bidi w:val="0"/>
        <w:spacing w:before="0" w:after="120" w:line="312" w:lineRule="exact"/>
        <w:ind w:left="0" w:right="0"/>
        <w:jc w:val="both"/>
      </w:pPr>
      <w:r>
        <w:rPr>
          <w:color w:val="000000"/>
          <w:spacing w:val="0"/>
          <w:w w:val="100"/>
          <w:position w:val="0"/>
        </w:rPr>
        <w:t>本公司外币交易初始确认时采用交易发生日的即期汇率折算为记账本位币。</w:t>
      </w:r>
    </w:p>
    <w:p>
      <w:pPr>
        <w:pStyle w:val="Style23"/>
        <w:keepNext w:val="0"/>
        <w:keepLines w:val="0"/>
        <w:widowControl w:val="0"/>
        <w:shd w:val="clear" w:color="auto" w:fill="auto"/>
        <w:bidi w:val="0"/>
        <w:spacing w:before="0" w:after="120" w:line="312" w:lineRule="exact"/>
        <w:ind w:left="0" w:right="0"/>
        <w:jc w:val="both"/>
      </w:pPr>
      <w:r>
        <w:rPr>
          <w:color w:val="000000"/>
          <w:spacing w:val="0"/>
          <w:w w:val="100"/>
          <w:position w:val="0"/>
        </w:rPr>
        <w:t>在资产负债表日，公司按照下列规定对外币货币性项目和外币非货币性项目进行处理：</w:t>
      </w:r>
    </w:p>
    <w:p>
      <w:pPr>
        <w:pStyle w:val="Style23"/>
        <w:keepNext w:val="0"/>
        <w:keepLines w:val="0"/>
        <w:widowControl w:val="0"/>
        <w:numPr>
          <w:ilvl w:val="0"/>
          <w:numId w:val="11"/>
        </w:numPr>
        <w:shd w:val="clear" w:color="auto" w:fill="auto"/>
        <w:tabs>
          <w:tab w:pos="728" w:val="left"/>
        </w:tabs>
        <w:bidi w:val="0"/>
        <w:spacing w:before="0" w:after="120" w:line="302" w:lineRule="exact"/>
        <w:ind w:left="0" w:right="0"/>
        <w:jc w:val="both"/>
      </w:pPr>
      <w:bookmarkStart w:id="553" w:name="bookmark553"/>
      <w:bookmarkEnd w:id="553"/>
      <w:r>
        <w:rPr>
          <w:color w:val="000000"/>
          <w:spacing w:val="0"/>
          <w:w w:val="100"/>
          <w:position w:val="0"/>
        </w:rPr>
        <w:t>外币货币性项目，采用资产负债表日即期汇率折算。因资产负债表日即期汇率与初始确认时或前一资产负债表日即期 汇率不同而产生的汇兑差额，计入当期损益。</w:t>
      </w:r>
    </w:p>
    <w:p>
      <w:pPr>
        <w:pStyle w:val="Style23"/>
        <w:keepNext w:val="0"/>
        <w:keepLines w:val="0"/>
        <w:widowControl w:val="0"/>
        <w:numPr>
          <w:ilvl w:val="0"/>
          <w:numId w:val="11"/>
        </w:numPr>
        <w:shd w:val="clear" w:color="auto" w:fill="auto"/>
        <w:tabs>
          <w:tab w:pos="753" w:val="left"/>
        </w:tabs>
        <w:bidi w:val="0"/>
        <w:spacing w:before="0" w:after="260" w:line="312" w:lineRule="exact"/>
        <w:ind w:left="0" w:right="0"/>
        <w:jc w:val="left"/>
      </w:pPr>
      <w:bookmarkStart w:id="554" w:name="bookmark554"/>
      <w:bookmarkEnd w:id="554"/>
      <w:r>
        <w:rPr>
          <w:color w:val="000000"/>
          <w:spacing w:val="0"/>
          <w:w w:val="100"/>
          <w:position w:val="0"/>
        </w:rPr>
        <w:t>以历史成本计量的外币非货币性项目，仍采用交易发生日的即期汇率折算，不改变其记账本位币金额。</w:t>
      </w:r>
    </w:p>
    <w:p>
      <w:pPr>
        <w:pStyle w:val="Style34"/>
        <w:keepNext/>
        <w:keepLines/>
        <w:widowControl w:val="0"/>
        <w:shd w:val="clear" w:color="auto" w:fill="auto"/>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55"/>
      <w:bookmarkEnd w:id="556"/>
      <w:bookmarkEnd w:id="558"/>
    </w:p>
    <w:p>
      <w:pPr>
        <w:pStyle w:val="Style23"/>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3"/>
        <w:keepNext w:val="0"/>
        <w:keepLines w:val="0"/>
        <w:widowControl w:val="0"/>
        <w:numPr>
          <w:ilvl w:val="0"/>
          <w:numId w:val="13"/>
        </w:numPr>
        <w:shd w:val="clear" w:color="auto" w:fill="auto"/>
        <w:tabs>
          <w:tab w:pos="728" w:val="left"/>
        </w:tabs>
        <w:bidi w:val="0"/>
        <w:spacing w:before="0" w:after="100" w:line="312" w:lineRule="exact"/>
        <w:ind w:left="0" w:right="0" w:firstLine="400"/>
        <w:jc w:val="both"/>
      </w:pPr>
      <w:bookmarkStart w:id="559" w:name="bookmark559"/>
      <w:bookmarkEnd w:id="559"/>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w:t>
      </w:r>
    </w:p>
    <w:p>
      <w:pPr>
        <w:pStyle w:val="Style23"/>
        <w:keepNext w:val="0"/>
        <w:keepLines w:val="0"/>
        <w:widowControl w:val="0"/>
        <w:numPr>
          <w:ilvl w:val="0"/>
          <w:numId w:val="13"/>
        </w:numPr>
        <w:shd w:val="clear" w:color="auto" w:fill="auto"/>
        <w:tabs>
          <w:tab w:pos="773" w:val="left"/>
        </w:tabs>
        <w:bidi w:val="0"/>
        <w:spacing w:before="0" w:after="100" w:line="311" w:lineRule="exact"/>
        <w:ind w:left="0" w:right="0" w:firstLine="400"/>
        <w:jc w:val="both"/>
      </w:pPr>
      <w:bookmarkStart w:id="560" w:name="bookmark560"/>
      <w:bookmarkEnd w:id="560"/>
      <w:r>
        <w:rPr>
          <w:color w:val="000000"/>
          <w:spacing w:val="0"/>
          <w:w w:val="100"/>
          <w:position w:val="0"/>
        </w:rPr>
        <w:t>利润表中的收入和费用项目，采用交易发生日的即期汇率或即期汇率的近似汇率折算。</w:t>
      </w:r>
    </w:p>
    <w:p>
      <w:pPr>
        <w:pStyle w:val="Style23"/>
        <w:keepNext w:val="0"/>
        <w:keepLines w:val="0"/>
        <w:widowControl w:val="0"/>
        <w:numPr>
          <w:ilvl w:val="0"/>
          <w:numId w:val="13"/>
        </w:numPr>
        <w:shd w:val="clear" w:color="auto" w:fill="auto"/>
        <w:tabs>
          <w:tab w:pos="728" w:val="left"/>
        </w:tabs>
        <w:bidi w:val="0"/>
        <w:spacing w:before="0" w:after="360" w:line="317" w:lineRule="exact"/>
        <w:ind w:left="0" w:right="0" w:firstLine="400"/>
        <w:jc w:val="both"/>
      </w:pPr>
      <w:bookmarkStart w:id="561" w:name="bookmark561"/>
      <w:bookmarkEnd w:id="561"/>
      <w:r>
        <w:rPr>
          <w:color w:val="000000"/>
          <w:spacing w:val="0"/>
          <w:w w:val="100"/>
          <w:position w:val="0"/>
        </w:rPr>
        <w:t>产生的外币财务报表折算差额，在编制合并财务报表时，在合并资产负债表中所有者权益项目下单独作为</w:t>
      </w:r>
      <w:r>
        <w:rPr>
          <w:rFonts w:ascii="Times New Roman" w:eastAsia="Times New Roman" w:hAnsi="Times New Roman" w:cs="Times New Roman"/>
          <w:color w:val="000000"/>
          <w:spacing w:val="0"/>
          <w:w w:val="100"/>
          <w:position w:val="0"/>
        </w:rPr>
        <w:t>“</w:t>
      </w:r>
      <w:r>
        <w:rPr>
          <w:color w:val="000000"/>
          <w:spacing w:val="0"/>
          <w:w w:val="100"/>
          <w:position w:val="0"/>
        </w:rPr>
        <w:t>外币报表 折算差额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1"/>
        <w:keepNext/>
        <w:keepLines/>
        <w:widowControl w:val="0"/>
        <w:shd w:val="clear" w:color="auto" w:fill="auto"/>
        <w:bidi w:val="0"/>
        <w:spacing w:before="0" w:after="2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9</w:t>
      </w:r>
      <w:bookmarkEnd w:id="564"/>
      <w:r>
        <w:rPr>
          <w:color w:val="000000"/>
          <w:spacing w:val="0"/>
          <w:w w:val="100"/>
          <w:position w:val="0"/>
        </w:rPr>
        <w:t>、金融工具</w:t>
      </w:r>
      <w:bookmarkEnd w:id="562"/>
      <w:bookmarkEnd w:id="563"/>
      <w:bookmarkEnd w:id="565"/>
    </w:p>
    <w:p>
      <w:pPr>
        <w:pStyle w:val="Style2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34"/>
        <w:keepNext/>
        <w:keepLines/>
        <w:widowControl w:val="0"/>
        <w:shd w:val="clear" w:color="auto" w:fill="auto"/>
        <w:tabs>
          <w:tab w:pos="550"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66"/>
      <w:bookmarkEnd w:id="567"/>
      <w:bookmarkEnd w:id="569"/>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金融工具划分为金融资产或金融负债。</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金融资产于初始确认时分类为：以公允价值计量且其变动计入当期损益的金融资产（包括交易性金融资产和指定为以 公允价值计量且其变动计入当期损益的金融资产）、持有至到期投资、应收款项、可供出售金融资产。除应收款项以外的金 融资产的分类取决于本公司及其子公司对金融资产的持有意图和持有能力等。</w:t>
      </w:r>
    </w:p>
    <w:p>
      <w:pPr>
        <w:pStyle w:val="Style2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金融负债于初始确认时分类为：以公允价值计量且其变动计入当期损益的金融负债（包括交易性金融负债和指定为以 公允价值计量且其变动计入当期损益的金融负债）以及其他金融负债。</w:t>
      </w:r>
    </w:p>
    <w:p>
      <w:pPr>
        <w:pStyle w:val="Style34"/>
        <w:keepNext/>
        <w:keepLines/>
        <w:widowControl w:val="0"/>
        <w:shd w:val="clear" w:color="auto" w:fill="auto"/>
        <w:tabs>
          <w:tab w:pos="550"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70"/>
      <w:bookmarkEnd w:id="571"/>
      <w:bookmarkEnd w:id="573"/>
    </w:p>
    <w:p>
      <w:pPr>
        <w:pStyle w:val="Style23"/>
        <w:keepNext w:val="0"/>
        <w:keepLines w:val="0"/>
        <w:widowControl w:val="0"/>
        <w:numPr>
          <w:ilvl w:val="0"/>
          <w:numId w:val="15"/>
        </w:numPr>
        <w:shd w:val="clear" w:color="auto" w:fill="auto"/>
        <w:tabs>
          <w:tab w:pos="773" w:val="left"/>
        </w:tabs>
        <w:bidi w:val="0"/>
        <w:spacing w:before="0" w:after="100" w:line="311" w:lineRule="exact"/>
        <w:ind w:left="0" w:right="0" w:firstLine="400"/>
        <w:jc w:val="both"/>
      </w:pPr>
      <w:bookmarkStart w:id="574" w:name="bookmark574"/>
      <w:bookmarkEnd w:id="574"/>
      <w:r>
        <w:rPr>
          <w:color w:val="000000"/>
          <w:spacing w:val="0"/>
          <w:w w:val="100"/>
          <w:position w:val="0"/>
        </w:rPr>
        <w:t>以公允价值计量且其变动计入当期损益的金融资产</w:t>
      </w:r>
    </w:p>
    <w:p>
      <w:pPr>
        <w:pStyle w:val="Style23"/>
        <w:keepNext w:val="0"/>
        <w:keepLines w:val="0"/>
        <w:widowControl w:val="0"/>
        <w:shd w:val="clear" w:color="auto" w:fill="auto"/>
        <w:bidi w:val="0"/>
        <w:spacing w:before="0" w:after="100" w:line="311" w:lineRule="exact"/>
        <w:ind w:left="0" w:right="0" w:firstLine="400"/>
        <w:jc w:val="both"/>
      </w:pPr>
      <w:r>
        <w:rPr>
          <w:color w:val="000000"/>
          <w:spacing w:val="0"/>
          <w:w w:val="100"/>
          <w:position w:val="0"/>
        </w:rPr>
        <w:t>主要是指本公司为了近期内出售而持有的股票、债券、基金以及不作为有效套期工具的衍生工具。包括交易性金融资产 和直接指定为以公允价值计量且其变动计入当期损益的金融资产。这类资产在初始计量时按照取得时的公允价值作为初始确 认金额，相关的交易费用在发生时计入当期损益。支付的价款中包含已宣告但尚未发放的现金股利或已到付息但尚未领取的 债券利息，单独确认为应收项目。在持有期间取得利息或现金股利，确认为投资收益。资产负债表日，本公司将这类金融资 产以公允价值计量且其变动计入当期损益。这类金融资产在处置时，其公允价值与初始入账金额之间的差额确认为投资收益， 同时调整公允价值变动损益。</w:t>
      </w:r>
    </w:p>
    <w:p>
      <w:pPr>
        <w:pStyle w:val="Style23"/>
        <w:keepNext w:val="0"/>
        <w:keepLines w:val="0"/>
        <w:widowControl w:val="0"/>
        <w:numPr>
          <w:ilvl w:val="0"/>
          <w:numId w:val="15"/>
        </w:numPr>
        <w:shd w:val="clear" w:color="auto" w:fill="auto"/>
        <w:tabs>
          <w:tab w:pos="773" w:val="left"/>
        </w:tabs>
        <w:bidi w:val="0"/>
        <w:spacing w:before="0" w:after="40" w:line="311" w:lineRule="exact"/>
        <w:ind w:left="0" w:right="0" w:firstLine="400"/>
        <w:jc w:val="both"/>
      </w:pPr>
      <w:bookmarkStart w:id="575" w:name="bookmark575"/>
      <w:bookmarkEnd w:id="575"/>
      <w:r>
        <w:rPr>
          <w:color w:val="000000"/>
          <w:spacing w:val="0"/>
          <w:w w:val="100"/>
          <w:position w:val="0"/>
        </w:rPr>
        <w:t>持有至到期投资</w:t>
      </w:r>
    </w:p>
    <w:p>
      <w:pPr>
        <w:pStyle w:val="Style2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主要是指到期日固定、回收金额固定或可确定，且本公司具有明确意图和能力持有至到期的国债、公司债券等。这类 金融资产按照取得时的公允价值和相关交易费用之和作为初始确认金额。支付价款中包含的已到付息期但尚未发放的债券利 息，单独确认为应收项目。持有至到期投资在持有期间按照摊余成本和实际利率计算确认利息收入，计入投资收益。处置持 有至到期投资时，将所取得价款与该投资账面价值之间的差额计入投资收益。</w:t>
      </w:r>
    </w:p>
    <w:p>
      <w:pPr>
        <w:pStyle w:val="Style23"/>
        <w:keepNext w:val="0"/>
        <w:keepLines w:val="0"/>
        <w:widowControl w:val="0"/>
        <w:numPr>
          <w:ilvl w:val="0"/>
          <w:numId w:val="15"/>
        </w:numPr>
        <w:shd w:val="clear" w:color="auto" w:fill="auto"/>
        <w:tabs>
          <w:tab w:pos="813" w:val="left"/>
        </w:tabs>
        <w:bidi w:val="0"/>
        <w:spacing w:before="0" w:after="0" w:line="311" w:lineRule="exact"/>
        <w:ind w:left="0" w:right="0" w:firstLine="440"/>
        <w:jc w:val="left"/>
      </w:pPr>
      <w:bookmarkStart w:id="576" w:name="bookmark576"/>
      <w:bookmarkEnd w:id="576"/>
      <w:r>
        <w:rPr>
          <w:color w:val="000000"/>
          <w:spacing w:val="0"/>
          <w:w w:val="100"/>
          <w:position w:val="0"/>
        </w:rPr>
        <w:t>应收款项</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应收款项包括应收账款和其他应收款等。应收账款是指本公司销售商品或提供劳务形成的应收款项。应收账款按从购 货方应收的合同或协议价款作为初始确认金额。</w:t>
      </w:r>
    </w:p>
    <w:p>
      <w:pPr>
        <w:pStyle w:val="Style23"/>
        <w:keepNext w:val="0"/>
        <w:keepLines w:val="0"/>
        <w:widowControl w:val="0"/>
        <w:numPr>
          <w:ilvl w:val="0"/>
          <w:numId w:val="15"/>
        </w:numPr>
        <w:shd w:val="clear" w:color="auto" w:fill="auto"/>
        <w:tabs>
          <w:tab w:pos="813" w:val="left"/>
        </w:tabs>
        <w:bidi w:val="0"/>
        <w:spacing w:before="0" w:after="0" w:line="311" w:lineRule="exact"/>
        <w:ind w:left="0" w:right="0" w:firstLine="440"/>
        <w:jc w:val="both"/>
      </w:pPr>
      <w:bookmarkStart w:id="577" w:name="bookmark577"/>
      <w:bookmarkEnd w:id="577"/>
      <w:r>
        <w:rPr>
          <w:color w:val="000000"/>
          <w:spacing w:val="0"/>
          <w:w w:val="100"/>
          <w:position w:val="0"/>
        </w:rPr>
        <w:t>可供出售金融资产</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主要是指本公司没有划分为以公允价值计量且其变动计入当期损益的金融资产、持有至到期投资、贷款和应收款项的 </w:t>
      </w:r>
      <w:r>
        <w:rPr>
          <w:color w:val="000000"/>
          <w:spacing w:val="0"/>
          <w:w w:val="100"/>
          <w:position w:val="0"/>
        </w:rPr>
        <w:t>金融资产。可供出售金融资产按照取得该金融资产的公允价值和相关交易费用之和作为初始确认金额。支付的价款中包含的 已到付息期但尚未领取的债券利息或已宣告但尚未发放的现金股利，单独确认为应收项目。可供出售金融资产持有期间取得 的利息或现金股利计入投资收益。资产负债表日，可供出售金融资产以公允价值计量且公允价值变动计入资本公积。处置可 供出售金融资产时，将取得的价款与该金融资产账面价值之间差额计入投资收益；同时，将原计入所有者权益的公允价值变 动累计额对应处置部分的金额转出，计入投资收益。</w:t>
      </w:r>
    </w:p>
    <w:p>
      <w:pPr>
        <w:pStyle w:val="Style23"/>
        <w:keepNext w:val="0"/>
        <w:keepLines w:val="0"/>
        <w:widowControl w:val="0"/>
        <w:numPr>
          <w:ilvl w:val="0"/>
          <w:numId w:val="15"/>
        </w:numPr>
        <w:shd w:val="clear" w:color="auto" w:fill="auto"/>
        <w:tabs>
          <w:tab w:pos="786" w:val="left"/>
        </w:tabs>
        <w:bidi w:val="0"/>
        <w:spacing w:before="0" w:after="0" w:line="312" w:lineRule="exact"/>
        <w:ind w:left="0" w:right="0" w:firstLine="440"/>
        <w:jc w:val="both"/>
      </w:pPr>
      <w:bookmarkStart w:id="578" w:name="bookmark578"/>
      <w:bookmarkEnd w:id="578"/>
      <w:r>
        <w:rPr>
          <w:color w:val="000000"/>
          <w:spacing w:val="0"/>
          <w:w w:val="100"/>
          <w:position w:val="0"/>
        </w:rPr>
        <w:t>以公允价值计量且其变动计入当期损益的金融负债，包括交易性金融负债和指定为以公允价值计量且其变动计入当 期损益的金融负债；这类金融负债初始确认时以公允价值计量，相关交易费用直接计入当期损益，资产负债表日将公允价值 变动计入当期损益。</w:t>
      </w:r>
    </w:p>
    <w:p>
      <w:pPr>
        <w:pStyle w:val="Style23"/>
        <w:keepNext w:val="0"/>
        <w:keepLines w:val="0"/>
        <w:widowControl w:val="0"/>
        <w:numPr>
          <w:ilvl w:val="0"/>
          <w:numId w:val="15"/>
        </w:numPr>
        <w:shd w:val="clear" w:color="auto" w:fill="auto"/>
        <w:tabs>
          <w:tab w:pos="793" w:val="left"/>
        </w:tabs>
        <w:bidi w:val="0"/>
        <w:spacing w:before="0" w:after="360" w:line="312" w:lineRule="exact"/>
        <w:ind w:left="0" w:right="0" w:firstLine="420"/>
        <w:jc w:val="left"/>
      </w:pPr>
      <w:bookmarkStart w:id="579" w:name="bookmark579"/>
      <w:bookmarkEnd w:id="579"/>
      <w:r>
        <w:rPr>
          <w:color w:val="000000"/>
          <w:spacing w:val="0"/>
          <w:w w:val="100"/>
          <w:position w:val="0"/>
        </w:rPr>
        <w:t>其他金融负债，是指以公允价值计量且其变动计入当期损益的金融负债以外的金融负债。</w:t>
      </w:r>
    </w:p>
    <w:p>
      <w:pPr>
        <w:pStyle w:val="Style34"/>
        <w:keepNext/>
        <w:keepLines/>
        <w:widowControl w:val="0"/>
        <w:shd w:val="clear" w:color="auto" w:fill="auto"/>
        <w:tabs>
          <w:tab w:pos="488" w:val="left"/>
        </w:tabs>
        <w:bidi w:val="0"/>
        <w:spacing w:before="0" w:after="2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80"/>
      <w:bookmarkEnd w:id="581"/>
      <w:bookmarkEnd w:id="583"/>
    </w:p>
    <w:p>
      <w:pPr>
        <w:pStyle w:val="Style23"/>
        <w:keepNext w:val="0"/>
        <w:keepLines w:val="0"/>
        <w:widowControl w:val="0"/>
        <w:numPr>
          <w:ilvl w:val="0"/>
          <w:numId w:val="17"/>
        </w:numPr>
        <w:shd w:val="clear" w:color="auto" w:fill="auto"/>
        <w:tabs>
          <w:tab w:pos="813" w:val="left"/>
        </w:tabs>
        <w:bidi w:val="0"/>
        <w:spacing w:before="0" w:after="0" w:line="317" w:lineRule="exact"/>
        <w:ind w:left="0" w:right="0" w:firstLine="440"/>
        <w:jc w:val="left"/>
      </w:pPr>
      <w:bookmarkStart w:id="584" w:name="bookmark584"/>
      <w:bookmarkEnd w:id="584"/>
      <w:r>
        <w:rPr>
          <w:color w:val="000000"/>
          <w:spacing w:val="0"/>
          <w:w w:val="100"/>
          <w:position w:val="0"/>
        </w:rPr>
        <w:t>已将金融资产所有权上几乎所有的风险和报酬转移给转入方时终止对该项金融资产的确认。</w:t>
      </w:r>
    </w:p>
    <w:p>
      <w:pPr>
        <w:pStyle w:val="Style23"/>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金融资产整体转移满足终止确认条件的，将下列两项的差额计入当期损益：</w:t>
      </w:r>
    </w:p>
    <w:p>
      <w:pPr>
        <w:pStyle w:val="Style23"/>
        <w:keepNext w:val="0"/>
        <w:keepLines w:val="0"/>
        <w:widowControl w:val="0"/>
        <w:shd w:val="clear" w:color="auto" w:fill="auto"/>
        <w:tabs>
          <w:tab w:pos="837" w:val="left"/>
        </w:tabs>
        <w:bidi w:val="0"/>
        <w:spacing w:before="0" w:after="0"/>
        <w:ind w:left="0" w:right="0" w:firstLine="440"/>
        <w:jc w:val="left"/>
      </w:pPr>
      <w:bookmarkStart w:id="585" w:name="bookmark585"/>
      <w:r>
        <w:rPr>
          <w:rFonts w:ascii="Times New Roman" w:eastAsia="Times New Roman" w:hAnsi="Times New Roman" w:cs="Times New Roman"/>
          <w:color w:val="000000"/>
          <w:spacing w:val="0"/>
          <w:w w:val="100"/>
          <w:position w:val="0"/>
        </w:rPr>
        <w:t>A</w:t>
      </w:r>
      <w:bookmarkEnd w:id="585"/>
      <w:r>
        <w:rPr>
          <w:color w:val="000000"/>
          <w:spacing w:val="0"/>
          <w:w w:val="100"/>
          <w:position w:val="0"/>
        </w:rPr>
        <w:t>、</w:t>
        <w:tab/>
      </w:r>
      <w:r>
        <w:rPr>
          <w:color w:val="000000"/>
          <w:spacing w:val="0"/>
          <w:w w:val="100"/>
          <w:position w:val="0"/>
        </w:rPr>
        <w:t>所转移金融资产的账面价值。</w:t>
      </w:r>
    </w:p>
    <w:p>
      <w:pPr>
        <w:pStyle w:val="Style23"/>
        <w:keepNext w:val="0"/>
        <w:keepLines w:val="0"/>
        <w:widowControl w:val="0"/>
        <w:shd w:val="clear" w:color="auto" w:fill="auto"/>
        <w:tabs>
          <w:tab w:pos="837" w:val="left"/>
        </w:tabs>
        <w:bidi w:val="0"/>
        <w:spacing w:before="0" w:after="0"/>
        <w:ind w:left="0" w:right="0" w:firstLine="440"/>
        <w:jc w:val="left"/>
      </w:pPr>
      <w:bookmarkStart w:id="586" w:name="bookmark586"/>
      <w:r>
        <w:rPr>
          <w:rFonts w:ascii="Times New Roman" w:eastAsia="Times New Roman" w:hAnsi="Times New Roman" w:cs="Times New Roman"/>
          <w:color w:val="000000"/>
          <w:spacing w:val="0"/>
          <w:w w:val="100"/>
          <w:position w:val="0"/>
        </w:rPr>
        <w:t>B</w:t>
      </w:r>
      <w:bookmarkEnd w:id="586"/>
      <w:r>
        <w:rPr>
          <w:color w:val="000000"/>
          <w:spacing w:val="0"/>
          <w:w w:val="100"/>
          <w:position w:val="0"/>
        </w:rPr>
        <w:t>、</w:t>
        <w:tab/>
      </w:r>
      <w:r>
        <w:rPr>
          <w:color w:val="000000"/>
          <w:spacing w:val="0"/>
          <w:w w:val="100"/>
          <w:position w:val="0"/>
        </w:rPr>
        <w:t>因转移而收到的对价，与原直接计入所有者权益的公允价值变动累计额之和。</w:t>
      </w:r>
    </w:p>
    <w:p>
      <w:pPr>
        <w:pStyle w:val="Style23"/>
        <w:keepNext w:val="0"/>
        <w:keepLines w:val="0"/>
        <w:widowControl w:val="0"/>
        <w:shd w:val="clear" w:color="auto" w:fill="auto"/>
        <w:bidi w:val="0"/>
        <w:spacing w:before="0" w:after="80" w:line="317" w:lineRule="exact"/>
        <w:ind w:left="0" w:right="0" w:firstLine="44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3"/>
        <w:keepNext w:val="0"/>
        <w:keepLines w:val="0"/>
        <w:widowControl w:val="0"/>
        <w:shd w:val="clear" w:color="auto" w:fill="auto"/>
        <w:tabs>
          <w:tab w:pos="817" w:val="left"/>
        </w:tabs>
        <w:bidi w:val="0"/>
        <w:spacing w:before="0" w:after="0"/>
        <w:ind w:left="0" w:right="0" w:firstLine="420"/>
        <w:jc w:val="both"/>
      </w:pPr>
      <w:bookmarkStart w:id="587" w:name="bookmark587"/>
      <w:r>
        <w:rPr>
          <w:rFonts w:ascii="Times New Roman" w:eastAsia="Times New Roman" w:hAnsi="Times New Roman" w:cs="Times New Roman"/>
          <w:color w:val="000000"/>
          <w:spacing w:val="0"/>
          <w:w w:val="100"/>
          <w:position w:val="0"/>
        </w:rPr>
        <w:t>A</w:t>
      </w:r>
      <w:bookmarkEnd w:id="587"/>
      <w:r>
        <w:rPr>
          <w:color w:val="000000"/>
          <w:spacing w:val="0"/>
          <w:w w:val="100"/>
          <w:position w:val="0"/>
        </w:rPr>
        <w:t>、</w:t>
        <w:tab/>
      </w:r>
      <w:r>
        <w:rPr>
          <w:color w:val="000000"/>
          <w:spacing w:val="0"/>
          <w:w w:val="100"/>
          <w:position w:val="0"/>
        </w:rPr>
        <w:t>终止确认部分的账面价值。</w:t>
      </w:r>
    </w:p>
    <w:p>
      <w:pPr>
        <w:pStyle w:val="Style23"/>
        <w:keepNext w:val="0"/>
        <w:keepLines w:val="0"/>
        <w:widowControl w:val="0"/>
        <w:shd w:val="clear" w:color="auto" w:fill="auto"/>
        <w:tabs>
          <w:tab w:pos="817" w:val="left"/>
        </w:tabs>
        <w:bidi w:val="0"/>
        <w:spacing w:before="0" w:after="0"/>
        <w:ind w:left="0" w:right="0" w:firstLine="420"/>
        <w:jc w:val="left"/>
      </w:pPr>
      <w:bookmarkStart w:id="588" w:name="bookmark588"/>
      <w:r>
        <w:rPr>
          <w:rFonts w:ascii="Times New Roman" w:eastAsia="Times New Roman" w:hAnsi="Times New Roman" w:cs="Times New Roman"/>
          <w:color w:val="000000"/>
          <w:spacing w:val="0"/>
          <w:w w:val="100"/>
          <w:position w:val="0"/>
        </w:rPr>
        <w:t>B</w:t>
      </w:r>
      <w:bookmarkEnd w:id="588"/>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终止确认部分的对价，与原直接计入所有者权益的公允价值变动累计额中对应终止确认部分的金额之和。</w:t>
      </w:r>
    </w:p>
    <w:p>
      <w:pPr>
        <w:pStyle w:val="Style23"/>
        <w:keepNext w:val="0"/>
        <w:keepLines w:val="0"/>
        <w:widowControl w:val="0"/>
        <w:numPr>
          <w:ilvl w:val="0"/>
          <w:numId w:val="17"/>
        </w:numPr>
        <w:shd w:val="clear" w:color="auto" w:fill="auto"/>
        <w:tabs>
          <w:tab w:pos="793" w:val="left"/>
        </w:tabs>
        <w:bidi w:val="0"/>
        <w:spacing w:before="0" w:after="360" w:line="317" w:lineRule="exact"/>
        <w:ind w:left="0" w:right="0" w:firstLine="420"/>
        <w:jc w:val="left"/>
      </w:pPr>
      <w:bookmarkStart w:id="589" w:name="bookmark589"/>
      <w:bookmarkEnd w:id="589"/>
      <w:r>
        <w:rPr>
          <w:color w:val="000000"/>
          <w:spacing w:val="0"/>
          <w:w w:val="100"/>
          <w:position w:val="0"/>
        </w:rPr>
        <w:t>金融资产转移不满足终止确认条件的，继续确认该金融资产，将所收到的对价确认为一项金融负债。</w:t>
      </w:r>
    </w:p>
    <w:p>
      <w:pPr>
        <w:pStyle w:val="Style34"/>
        <w:keepNext/>
        <w:keepLines/>
        <w:widowControl w:val="0"/>
        <w:shd w:val="clear" w:color="auto" w:fill="auto"/>
        <w:tabs>
          <w:tab w:pos="488" w:val="left"/>
        </w:tabs>
        <w:bidi w:val="0"/>
        <w:spacing w:before="0" w:after="28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90"/>
      <w:bookmarkEnd w:id="591"/>
      <w:bookmarkEnd w:id="593"/>
    </w:p>
    <w:p>
      <w:pPr>
        <w:pStyle w:val="Style2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金融负债的现时义务全部或部分已经解除的，终止确认该金融负债或其一部分。金融负债全部或部分终止确认的，将 终止确认部分的账面价值与支付的对价（包括转出的非现金资产或承担的新金融负债）之间的差额，计入当期损益。</w:t>
      </w:r>
    </w:p>
    <w:p>
      <w:pPr>
        <w:pStyle w:val="Style34"/>
        <w:keepNext/>
        <w:keepLines/>
        <w:widowControl w:val="0"/>
        <w:shd w:val="clear" w:color="auto" w:fill="auto"/>
        <w:tabs>
          <w:tab w:pos="488"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94"/>
      <w:bookmarkEnd w:id="595"/>
      <w:bookmarkEnd w:id="597"/>
    </w:p>
    <w:p>
      <w:pPr>
        <w:pStyle w:val="Style23"/>
        <w:keepNext w:val="0"/>
        <w:keepLines w:val="0"/>
        <w:widowControl w:val="0"/>
        <w:numPr>
          <w:ilvl w:val="0"/>
          <w:numId w:val="19"/>
        </w:numPr>
        <w:shd w:val="clear" w:color="auto" w:fill="auto"/>
        <w:tabs>
          <w:tab w:pos="793" w:val="left"/>
        </w:tabs>
        <w:bidi w:val="0"/>
        <w:spacing w:before="0" w:after="0" w:line="312" w:lineRule="exact"/>
        <w:ind w:left="0" w:right="0" w:firstLine="420"/>
        <w:jc w:val="left"/>
      </w:pPr>
      <w:bookmarkStart w:id="598" w:name="bookmark598"/>
      <w:bookmarkEnd w:id="598"/>
      <w:r>
        <w:rPr>
          <w:color w:val="000000"/>
          <w:spacing w:val="0"/>
          <w:w w:val="100"/>
          <w:position w:val="0"/>
        </w:rPr>
        <w:t>存在活跃市场的金融资产或金融负债，采用活跃市场中的报价来确定公允价值；</w:t>
      </w:r>
    </w:p>
    <w:p>
      <w:pPr>
        <w:pStyle w:val="Style23"/>
        <w:keepNext w:val="0"/>
        <w:keepLines w:val="0"/>
        <w:widowControl w:val="0"/>
        <w:numPr>
          <w:ilvl w:val="0"/>
          <w:numId w:val="19"/>
        </w:numPr>
        <w:shd w:val="clear" w:color="auto" w:fill="auto"/>
        <w:tabs>
          <w:tab w:pos="793" w:val="left"/>
        </w:tabs>
        <w:bidi w:val="0"/>
        <w:spacing w:before="0" w:after="360" w:line="312" w:lineRule="exact"/>
        <w:ind w:left="0" w:right="0" w:firstLine="420"/>
        <w:jc w:val="left"/>
      </w:pPr>
      <w:bookmarkStart w:id="599" w:name="bookmark599"/>
      <w:bookmarkEnd w:id="599"/>
      <w:r>
        <w:rPr>
          <w:color w:val="000000"/>
          <w:spacing w:val="0"/>
          <w:w w:val="100"/>
          <w:position w:val="0"/>
        </w:rPr>
        <w:t>金融工具不存在活跃市场的，本公司采用估值技术确定其公允价值。</w:t>
      </w:r>
    </w:p>
    <w:p>
      <w:pPr>
        <w:pStyle w:val="Style34"/>
        <w:keepNext/>
        <w:keepLines/>
        <w:widowControl w:val="0"/>
        <w:shd w:val="clear" w:color="auto" w:fill="auto"/>
        <w:tabs>
          <w:tab w:pos="488"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00"/>
      <w:bookmarkEnd w:id="601"/>
      <w:bookmarkEnd w:id="603"/>
    </w:p>
    <w:p>
      <w:pPr>
        <w:pStyle w:val="Style23"/>
        <w:keepNext w:val="0"/>
        <w:keepLines w:val="0"/>
        <w:widowControl w:val="0"/>
        <w:shd w:val="clear" w:color="auto" w:fill="auto"/>
        <w:bidi w:val="0"/>
        <w:spacing w:before="0" w:after="80" w:line="240" w:lineRule="auto"/>
        <w:ind w:left="0" w:right="0" w:firstLine="420"/>
        <w:jc w:val="left"/>
      </w:pPr>
      <w:r>
        <w:rPr>
          <w:color w:val="000000"/>
          <w:spacing w:val="0"/>
          <w:w w:val="100"/>
          <w:position w:val="0"/>
        </w:rPr>
        <w:t>金融资产减值测试方法及减值准备计提方法</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①本公司在有以下证据表明该金融资产发生减值的，计提减值准备：</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发行方或债务人发生严重财务困难；</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债务人违反了合同条款，如偿付利息或本金发生违约或逾期等；</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债权人出于经济或法律等方面的考虑，对发生财务困难的债务人作出让步；</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债务人可能倒闭或进行其他财务重组；</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因发行方发生重大财务困难，该金融资产无法在活跃市场继续交易；</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w:t>
      </w:r>
    </w:p>
    <w:p>
      <w:pPr>
        <w:pStyle w:val="Style23"/>
        <w:keepNext w:val="0"/>
        <w:keepLines w:val="0"/>
        <w:widowControl w:val="0"/>
        <w:shd w:val="clear" w:color="auto" w:fill="auto"/>
        <w:bidi w:val="0"/>
        <w:spacing w:before="0" w:after="280" w:line="312" w:lineRule="exact"/>
        <w:ind w:left="420" w:right="0" w:firstLine="20"/>
        <w:jc w:val="left"/>
      </w:pPr>
      <w:r>
        <w:rPr>
          <w:color w:val="000000"/>
          <w:spacing w:val="0"/>
          <w:w w:val="100"/>
          <w:position w:val="0"/>
        </w:rPr>
        <w:t>债务人经营所处的技术、市场、经济或法律环境等发生重大不利变化，使权益工具投资人可能无法收回投资成本； 权益工具投资的公允价值发生严重或非暂时性下跌；</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其他表明金融资产发生减值的客观证据。</w:t>
      </w:r>
    </w:p>
    <w:p>
      <w:pPr>
        <w:pStyle w:val="Style23"/>
        <w:keepNext w:val="0"/>
        <w:keepLines w:val="0"/>
        <w:widowControl w:val="0"/>
        <w:shd w:val="clear" w:color="auto" w:fill="auto"/>
        <w:bidi w:val="0"/>
        <w:spacing w:before="0" w:after="40" w:line="240" w:lineRule="auto"/>
        <w:ind w:left="0" w:right="0" w:firstLine="440"/>
        <w:jc w:val="left"/>
      </w:pPr>
      <w:r>
        <w:rPr>
          <w:color w:val="000000"/>
          <w:spacing w:val="0"/>
          <w:w w:val="100"/>
          <w:position w:val="0"/>
        </w:rPr>
        <w:t>②本公司在资产负债表日分别不同类别的金融资产采取不同的方法进行减值测试，并计提减值准备：</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交易性金融资产：在资产负债表日以公允价值反映，公允价值的变动计入当期损益；</w:t>
      </w:r>
    </w:p>
    <w:p>
      <w:pPr>
        <w:pStyle w:val="Style2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持有至到期投资：在资产负债表日本公司对于持有至到期投资有客观证据表明其发生了减值的，根据其账面价值与预 计未来现金流量现值之间差额计算确认减值损失。</w:t>
      </w:r>
    </w:p>
    <w:p>
      <w:pPr>
        <w:pStyle w:val="Style23"/>
        <w:keepNext w:val="0"/>
        <w:keepLines w:val="0"/>
        <w:widowControl w:val="0"/>
        <w:shd w:val="clear" w:color="auto" w:fill="auto"/>
        <w:bidi w:val="0"/>
        <w:spacing w:before="0" w:after="40" w:line="312" w:lineRule="exact"/>
        <w:ind w:left="0" w:right="0"/>
        <w:jc w:val="both"/>
      </w:pPr>
      <w:r>
        <w:rPr>
          <w:color w:val="000000"/>
          <w:spacing w:val="0"/>
          <w:w w:val="100"/>
          <w:position w:val="0"/>
        </w:rPr>
        <w:t>可供出售金融资产：在资产负债表日本公司对可供出售金融资产的减值情况进行分析，判断该项金融资产公允价值是否 持续下降。通常情况下，如果可供出售金融资产的公允价值发生较大幅度下降，在综合考虑各种相关因素后，预期这种下降 趋势属于非暂时性的，可以认定该可供出售金融资产已发生减值，确认减值损失。可供出售金融资产发生减值的，在确认减 值损失时，将原直接计入所有者权益的公允价值下降形成的累计损失一并转出，计入资产减值损失。</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各类可供出售金融资产减值的各项认定标准</w:t>
      </w:r>
    </w:p>
    <w:p>
      <w:pPr>
        <w:pStyle w:val="Style31"/>
        <w:keepNext/>
        <w:keepLines/>
        <w:widowControl w:val="0"/>
        <w:shd w:val="clear" w:color="auto" w:fill="auto"/>
        <w:bidi w:val="0"/>
        <w:spacing w:before="0" w:after="2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04"/>
      <w:bookmarkEnd w:id="605"/>
      <w:bookmarkEnd w:id="607"/>
    </w:p>
    <w:p>
      <w:pPr>
        <w:pStyle w:val="Style23"/>
        <w:keepNext w:val="0"/>
        <w:keepLines w:val="0"/>
        <w:widowControl w:val="0"/>
        <w:shd w:val="clear" w:color="auto" w:fill="auto"/>
        <w:bidi w:val="0"/>
        <w:spacing w:before="0" w:after="360" w:line="312" w:lineRule="exact"/>
        <w:ind w:left="0" w:right="0"/>
        <w:jc w:val="left"/>
      </w:pPr>
      <w:r>
        <w:rPr>
          <w:color w:val="000000"/>
          <w:spacing w:val="0"/>
          <w:w w:val="100"/>
          <w:position w:val="0"/>
        </w:rPr>
        <w:t>公司应收款项坏账核算采用备抵法。</w:t>
      </w:r>
    </w:p>
    <w:p>
      <w:pPr>
        <w:pStyle w:val="Style34"/>
        <w:keepNext/>
        <w:keepLines/>
        <w:widowControl w:val="0"/>
        <w:numPr>
          <w:ilvl w:val="0"/>
          <w:numId w:val="21"/>
        </w:numPr>
        <w:shd w:val="clear" w:color="auto" w:fill="auto"/>
        <w:bidi w:val="0"/>
        <w:spacing w:before="0" w:after="320" w:line="240" w:lineRule="auto"/>
        <w:ind w:left="0" w:right="0" w:firstLine="140"/>
        <w:jc w:val="left"/>
      </w:pPr>
      <w:bookmarkStart w:id="608" w:name="bookmark608"/>
      <w:bookmarkStart w:id="609" w:name="bookmark609"/>
      <w:bookmarkStart w:id="610" w:name="bookmark610"/>
      <w:bookmarkStart w:id="611" w:name="bookmark611"/>
      <w:bookmarkEnd w:id="610"/>
      <w:r>
        <w:rPr>
          <w:color w:val="000000"/>
          <w:spacing w:val="0"/>
          <w:w w:val="100"/>
          <w:position w:val="0"/>
        </w:rPr>
        <w:t>单项金额重大的应收款项坏账准备</w:t>
      </w:r>
      <w:bookmarkEnd w:id="608"/>
      <w:bookmarkEnd w:id="609"/>
      <w:bookmarkEnd w:id="611"/>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本公司单项金额重大的应收账款是指单个客户金额</w:t>
            </w:r>
            <w:r>
              <w:rPr>
                <w:rFonts w:ascii="Times New Roman" w:eastAsia="Times New Roman" w:hAnsi="Times New Roman" w:cs="Times New Roman"/>
                <w:color w:val="000000"/>
                <w:spacing w:val="0"/>
                <w:w w:val="100"/>
                <w:position w:val="0"/>
              </w:rPr>
              <w:t>100</w:t>
            </w:r>
            <w:r>
              <w:rPr>
                <w:color w:val="000000"/>
                <w:spacing w:val="0"/>
                <w:w w:val="100"/>
                <w:position w:val="0"/>
              </w:rPr>
              <w:t>万 元及以上的应收款项。</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对于单项金额重大的应收款项，单独进行减值测试。</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20" w:line="240" w:lineRule="auto"/>
        <w:ind w:left="0" w:right="0" w:firstLine="140"/>
        <w:jc w:val="left"/>
      </w:pPr>
      <w:bookmarkStart w:id="612" w:name="bookmark612"/>
      <w:bookmarkStart w:id="613" w:name="bookmark613"/>
      <w:bookmarkStart w:id="614" w:name="bookmark614"/>
      <w:bookmarkStart w:id="615" w:name="bookmark615"/>
      <w:bookmarkEnd w:id="614"/>
      <w:r>
        <w:rPr>
          <w:color w:val="000000"/>
          <w:spacing w:val="0"/>
          <w:w w:val="100"/>
          <w:position w:val="0"/>
        </w:rPr>
        <w:t>按组合计提坏账准备的应收款项</w:t>
      </w:r>
      <w:bookmarkEnd w:id="612"/>
      <w:bookmarkEnd w:id="613"/>
      <w:bookmarkEnd w:id="615"/>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以账龄为信用风险组合确认依据</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14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w:t>
      </w:r>
      <w:bookmarkEnd w:id="618"/>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16"/>
      <w:bookmarkEnd w:id="617"/>
      <w:bookmarkEnd w:id="619"/>
    </w:p>
    <w:tbl>
      <w:tblPr>
        <w:tblOverlap w:val="never"/>
        <w:jc w:val="center"/>
        <w:tblLayout w:type="fixed"/>
      </w:tblPr>
      <w:tblGrid>
        <w:gridCol w:w="3360"/>
        <w:gridCol w:w="622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有确凿证据表明该款项的信用风险特征明显不同于组合的信用风险特征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个别认定法</w:t>
            </w:r>
          </w:p>
        </w:tc>
      </w:tr>
    </w:tbl>
    <w:p>
      <w:pPr>
        <w:widowControl w:val="0"/>
        <w:spacing w:after="279" w:line="1" w:lineRule="exact"/>
      </w:pPr>
    </w:p>
    <w:p>
      <w:pPr>
        <w:pStyle w:val="Style31"/>
        <w:keepNext/>
        <w:keepLines/>
        <w:widowControl w:val="0"/>
        <w:shd w:val="clear" w:color="auto" w:fill="auto"/>
        <w:tabs>
          <w:tab w:pos="469" w:val="left"/>
        </w:tabs>
        <w:bidi w:val="0"/>
        <w:spacing w:before="0" w:after="34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620"/>
      <w:bookmarkEnd w:id="621"/>
      <w:bookmarkEnd w:id="623"/>
    </w:p>
    <w:p>
      <w:pPr>
        <w:pStyle w:val="Style34"/>
        <w:keepNext/>
        <w:keepLines/>
        <w:widowControl w:val="0"/>
        <w:shd w:val="clear" w:color="auto" w:fill="auto"/>
        <w:tabs>
          <w:tab w:pos="488" w:val="left"/>
        </w:tabs>
        <w:bidi w:val="0"/>
        <w:spacing w:before="0" w:after="2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24"/>
      <w:bookmarkEnd w:id="625"/>
      <w:bookmarkEnd w:id="627"/>
    </w:p>
    <w:p>
      <w:pPr>
        <w:pStyle w:val="Style23"/>
        <w:keepNext w:val="0"/>
        <w:keepLines w:val="0"/>
        <w:widowControl w:val="0"/>
        <w:shd w:val="clear" w:color="auto" w:fill="auto"/>
        <w:bidi w:val="0"/>
        <w:spacing w:before="0" w:after="340" w:line="317" w:lineRule="exact"/>
        <w:ind w:left="0" w:right="0"/>
        <w:jc w:val="both"/>
      </w:pPr>
      <w:r>
        <w:rPr>
          <w:color w:val="000000"/>
          <w:spacing w:val="0"/>
          <w:w w:val="100"/>
          <w:position w:val="0"/>
        </w:rPr>
        <w:t>存货的分类：存货是指本公司在日常活动中持有以备出售的产成品或商品、处在生产过程中的在产品、在生产过程或提 供劳务过程中耗用的材料和物料等，包括原材料、在产品、产成品、库存商品、周转材料等。</w:t>
      </w:r>
    </w:p>
    <w:p>
      <w:pPr>
        <w:pStyle w:val="Style34"/>
        <w:keepNext/>
        <w:keepLines/>
        <w:widowControl w:val="0"/>
        <w:shd w:val="clear" w:color="auto" w:fill="auto"/>
        <w:tabs>
          <w:tab w:pos="488" w:val="left"/>
        </w:tabs>
        <w:bidi w:val="0"/>
        <w:spacing w:before="0" w:after="2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28"/>
      <w:bookmarkEnd w:id="629"/>
      <w:bookmarkEnd w:id="631"/>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计价方法：加权平均法</w:t>
      </w:r>
    </w:p>
    <w:p>
      <w:pPr>
        <w:pStyle w:val="Style2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发出存货的计价方法：发出时按加权平均法计价。</w:t>
      </w:r>
    </w:p>
    <w:p>
      <w:pPr>
        <w:pStyle w:val="Style34"/>
        <w:keepNext/>
        <w:keepLines/>
        <w:widowControl w:val="0"/>
        <w:shd w:val="clear" w:color="auto" w:fill="auto"/>
        <w:tabs>
          <w:tab w:pos="488" w:val="left"/>
        </w:tabs>
        <w:bidi w:val="0"/>
        <w:spacing w:before="0" w:after="2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32"/>
      <w:bookmarkEnd w:id="633"/>
      <w:bookmarkEnd w:id="635"/>
    </w:p>
    <w:p>
      <w:pPr>
        <w:pStyle w:val="Style23"/>
        <w:keepNext w:val="0"/>
        <w:keepLines w:val="0"/>
        <w:widowControl w:val="0"/>
        <w:shd w:val="clear" w:color="auto" w:fill="auto"/>
        <w:bidi w:val="0"/>
        <w:spacing w:before="0" w:after="340" w:line="312" w:lineRule="exact"/>
        <w:ind w:left="0" w:right="0"/>
        <w:jc w:val="both"/>
      </w:pPr>
      <w:r>
        <w:rPr>
          <w:color w:val="000000"/>
          <w:spacing w:val="0"/>
          <w:w w:val="100"/>
          <w:position w:val="0"/>
        </w:rPr>
        <w:t>资产负债表日按成本与可变现净值孰低计量，存货成本高于其可变现净值的，计提存货跌价准备，计入当期损益。在确 定存货的可变现净值时，以取得的可靠证据为基础，并且考虑持有存货的目的、资产负债表日后事项的影响等因素。</w:t>
      </w:r>
    </w:p>
    <w:p>
      <w:pPr>
        <w:pStyle w:val="Style34"/>
        <w:keepNext/>
        <w:keepLines/>
        <w:widowControl w:val="0"/>
        <w:shd w:val="clear" w:color="auto" w:fill="auto"/>
        <w:tabs>
          <w:tab w:pos="488" w:val="left"/>
        </w:tabs>
        <w:bidi w:val="0"/>
        <w:spacing w:before="0" w:after="2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36"/>
      <w:bookmarkEnd w:id="637"/>
      <w:bookmarkEnd w:id="639"/>
    </w:p>
    <w:p>
      <w:pPr>
        <w:pStyle w:val="Style2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盘存制度：永续盘存制</w:t>
      </w:r>
    </w:p>
    <w:p>
      <w:pPr>
        <w:pStyle w:val="Style2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采用永续盘存制，每年至少盘点一次，盘盈及盘亏金额计入当年度损益。</w:t>
      </w:r>
    </w:p>
    <w:p>
      <w:pPr>
        <w:pStyle w:val="Style34"/>
        <w:keepNext/>
        <w:keepLines/>
        <w:widowControl w:val="0"/>
        <w:shd w:val="clear" w:color="auto" w:fill="auto"/>
        <w:tabs>
          <w:tab w:pos="488" w:val="left"/>
        </w:tabs>
        <w:bidi w:val="0"/>
        <w:spacing w:before="0" w:after="2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40"/>
      <w:bookmarkEnd w:id="641"/>
      <w:bookmarkEnd w:id="643"/>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低值易耗品</w:t>
      </w:r>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摊销方法：一次摊销法</w:t>
      </w:r>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包装物</w:t>
      </w:r>
    </w:p>
    <w:p>
      <w:pPr>
        <w:pStyle w:val="Style2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摊销方法：一次摊销法</w:t>
      </w:r>
    </w:p>
    <w:p>
      <w:pPr>
        <w:pStyle w:val="Style31"/>
        <w:keepNext/>
        <w:keepLines/>
        <w:widowControl w:val="0"/>
        <w:shd w:val="clear" w:color="auto" w:fill="auto"/>
        <w:tabs>
          <w:tab w:pos="469" w:val="left"/>
        </w:tabs>
        <w:bidi w:val="0"/>
        <w:spacing w:before="0" w:after="34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644"/>
      <w:bookmarkEnd w:id="645"/>
      <w:bookmarkEnd w:id="647"/>
    </w:p>
    <w:p>
      <w:pPr>
        <w:pStyle w:val="Style34"/>
        <w:keepNext/>
        <w:keepLines/>
        <w:widowControl w:val="0"/>
        <w:shd w:val="clear" w:color="auto" w:fill="auto"/>
        <w:bidi w:val="0"/>
        <w:spacing w:before="0" w:after="2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48"/>
      <w:bookmarkEnd w:id="649"/>
      <w:bookmarkEnd w:id="651"/>
    </w:p>
    <w:p>
      <w:pPr>
        <w:pStyle w:val="Style23"/>
        <w:keepNext w:val="0"/>
        <w:keepLines w:val="0"/>
        <w:widowControl w:val="0"/>
        <w:shd w:val="clear" w:color="auto" w:fill="auto"/>
        <w:bidi w:val="0"/>
        <w:spacing w:before="0" w:after="40" w:line="314" w:lineRule="exact"/>
        <w:ind w:left="0" w:right="0"/>
        <w:jc w:val="left"/>
      </w:pPr>
      <w:r>
        <w:rPr>
          <w:color w:val="000000"/>
          <w:spacing w:val="0"/>
          <w:w w:val="100"/>
          <w:position w:val="0"/>
        </w:rPr>
        <w:t>分别下列情况对长期股权投资进行计量：</w:t>
      </w:r>
    </w:p>
    <w:p>
      <w:pPr>
        <w:pStyle w:val="Style23"/>
        <w:keepNext w:val="0"/>
        <w:keepLines w:val="0"/>
        <w:widowControl w:val="0"/>
        <w:numPr>
          <w:ilvl w:val="0"/>
          <w:numId w:val="23"/>
        </w:numPr>
        <w:shd w:val="clear" w:color="auto" w:fill="auto"/>
        <w:bidi w:val="0"/>
        <w:spacing w:before="0" w:after="40" w:line="314" w:lineRule="exact"/>
        <w:ind w:left="0" w:right="0"/>
        <w:jc w:val="left"/>
      </w:pPr>
      <w:bookmarkStart w:id="652" w:name="bookmark652"/>
      <w:bookmarkEnd w:id="652"/>
      <w:r>
        <w:rPr>
          <w:color w:val="000000"/>
          <w:spacing w:val="0"/>
          <w:w w:val="100"/>
          <w:position w:val="0"/>
        </w:rPr>
        <w:t>企业合并形成的长期股权投资，按照下列规定确定其投资成本：</w:t>
      </w:r>
    </w:p>
    <w:p>
      <w:pPr>
        <w:pStyle w:val="Style23"/>
        <w:keepNext w:val="0"/>
        <w:keepLines w:val="0"/>
        <w:widowControl w:val="0"/>
        <w:numPr>
          <w:ilvl w:val="0"/>
          <w:numId w:val="25"/>
        </w:numPr>
        <w:shd w:val="clear" w:color="auto" w:fill="auto"/>
        <w:bidi w:val="0"/>
        <w:spacing w:before="0" w:after="0" w:line="314" w:lineRule="exact"/>
        <w:ind w:left="0" w:right="0"/>
        <w:jc w:val="left"/>
      </w:pPr>
      <w:bookmarkStart w:id="653" w:name="bookmark653"/>
      <w:bookmarkEnd w:id="653"/>
      <w:r>
        <w:rPr>
          <w:color w:val="000000"/>
          <w:spacing w:val="0"/>
          <w:w w:val="100"/>
          <w:position w:val="0"/>
        </w:rPr>
        <w:t xml:space="preserve">同一控制下的企业合并，合并方以支付现金、转让非现金资产或承担债务方式作为合并对价的，在合并日按照取得被 合并方所有者权益账面价值的份额作为长期股权投资的初始投资成本。长期股权投资初始投资成本与支付的现金、转让的非 现金资产以及所承担债务账面价值之间的差额，调整资本公积（股本溢价）；资本公积（股本溢价）的余额不足冲减的，调 </w:t>
      </w:r>
      <w:r>
        <w:rPr>
          <w:color w:val="000000"/>
          <w:spacing w:val="0"/>
          <w:w w:val="100"/>
          <w:position w:val="0"/>
        </w:rPr>
        <w:t>整留存收益；</w:t>
      </w:r>
    </w:p>
    <w:p>
      <w:pPr>
        <w:pStyle w:val="Style23"/>
        <w:keepNext w:val="0"/>
        <w:keepLines w:val="0"/>
        <w:widowControl w:val="0"/>
        <w:numPr>
          <w:ilvl w:val="0"/>
          <w:numId w:val="25"/>
        </w:numPr>
        <w:shd w:val="clear" w:color="auto" w:fill="auto"/>
        <w:tabs>
          <w:tab w:pos="698" w:val="left"/>
        </w:tabs>
        <w:bidi w:val="0"/>
        <w:spacing w:before="0" w:after="0" w:line="317" w:lineRule="exact"/>
        <w:ind w:left="0" w:right="0"/>
        <w:jc w:val="both"/>
      </w:pPr>
      <w:bookmarkStart w:id="654" w:name="bookmark654"/>
      <w:bookmarkEnd w:id="654"/>
      <w:r>
        <w:rPr>
          <w:color w:val="000000"/>
          <w:spacing w:val="0"/>
          <w:w w:val="100"/>
          <w:position w:val="0"/>
        </w:rPr>
        <w:t>同一控制下的企业合并，合并方以发行权益性证券作为合并对价的，在合并日按照取得被合并方所有者权益账面价值 的份额作为长期股权投资的初始投资成本。按照发行股份的面值总额作为股本，长期股权投资的初始投资成本与所发行股份 面值总额之间的差额，调整资本公积（股本溢价）；资本公积（股本溢价）不足冲减的，调整留存收益；</w:t>
      </w:r>
    </w:p>
    <w:p>
      <w:pPr>
        <w:pStyle w:val="Style23"/>
        <w:keepNext w:val="0"/>
        <w:keepLines w:val="0"/>
        <w:widowControl w:val="0"/>
        <w:numPr>
          <w:ilvl w:val="0"/>
          <w:numId w:val="25"/>
        </w:numPr>
        <w:shd w:val="clear" w:color="auto" w:fill="auto"/>
        <w:tabs>
          <w:tab w:pos="703" w:val="left"/>
        </w:tabs>
        <w:bidi w:val="0"/>
        <w:spacing w:before="0" w:after="0" w:line="317" w:lineRule="exact"/>
        <w:ind w:left="0" w:right="0"/>
        <w:jc w:val="both"/>
      </w:pPr>
      <w:bookmarkStart w:id="655" w:name="bookmark655"/>
      <w:bookmarkEnd w:id="655"/>
      <w:r>
        <w:rPr>
          <w:color w:val="000000"/>
          <w:spacing w:val="0"/>
          <w:w w:val="100"/>
          <w:position w:val="0"/>
        </w:rPr>
        <w:t>非同一控制下的企业合并，以购买日为取得对被购买方的控制权而付出的资产、发生或承担的负债以及发行的权益性 证券的公允价值确定为合并成本作为长期股权投资的初始投资成本。</w:t>
      </w:r>
    </w:p>
    <w:p>
      <w:pPr>
        <w:pStyle w:val="Style23"/>
        <w:keepNext w:val="0"/>
        <w:keepLines w:val="0"/>
        <w:widowControl w:val="0"/>
        <w:numPr>
          <w:ilvl w:val="0"/>
          <w:numId w:val="23"/>
        </w:numPr>
        <w:shd w:val="clear" w:color="auto" w:fill="auto"/>
        <w:bidi w:val="0"/>
        <w:spacing w:before="0" w:after="0" w:line="316" w:lineRule="exact"/>
        <w:ind w:left="0" w:right="0"/>
        <w:jc w:val="both"/>
      </w:pPr>
      <w:bookmarkStart w:id="656" w:name="bookmark656"/>
      <w:bookmarkEnd w:id="656"/>
      <w:r>
        <w:rPr>
          <w:color w:val="000000"/>
          <w:spacing w:val="0"/>
          <w:w w:val="100"/>
          <w:position w:val="0"/>
        </w:rPr>
        <w:t>除企业合并形成的长期股权投资以外，其他方式取得的长期股权投资，按照下列规定确定其投资成本：</w:t>
      </w:r>
    </w:p>
    <w:p>
      <w:pPr>
        <w:pStyle w:val="Style23"/>
        <w:keepNext w:val="0"/>
        <w:keepLines w:val="0"/>
        <w:widowControl w:val="0"/>
        <w:numPr>
          <w:ilvl w:val="0"/>
          <w:numId w:val="27"/>
        </w:numPr>
        <w:shd w:val="clear" w:color="auto" w:fill="auto"/>
        <w:tabs>
          <w:tab w:pos="703" w:val="left"/>
        </w:tabs>
        <w:bidi w:val="0"/>
        <w:spacing w:before="0" w:after="0" w:line="322" w:lineRule="exact"/>
        <w:ind w:left="0" w:right="0"/>
        <w:jc w:val="both"/>
      </w:pPr>
      <w:bookmarkStart w:id="657" w:name="bookmark657"/>
      <w:bookmarkEnd w:id="657"/>
      <w:r>
        <w:rPr>
          <w:color w:val="000000"/>
          <w:spacing w:val="0"/>
          <w:w w:val="100"/>
          <w:position w:val="0"/>
        </w:rPr>
        <w:t>以支付现金取得的长期股权投资，按照实际支付的购买价款作为投资成本。投资成本包括与取得长期股权投资直接相 关的费用、税金及其他必要支出，但实际支付的价款中包含的已宣告但尚未领取的现金股利，作为应收项目单独核算；</w:t>
      </w:r>
    </w:p>
    <w:p>
      <w:pPr>
        <w:pStyle w:val="Style23"/>
        <w:keepNext w:val="0"/>
        <w:keepLines w:val="0"/>
        <w:widowControl w:val="0"/>
        <w:numPr>
          <w:ilvl w:val="0"/>
          <w:numId w:val="27"/>
        </w:numPr>
        <w:shd w:val="clear" w:color="auto" w:fill="auto"/>
        <w:tabs>
          <w:tab w:pos="737" w:val="left"/>
        </w:tabs>
        <w:bidi w:val="0"/>
        <w:spacing w:before="0" w:after="0" w:line="322" w:lineRule="exact"/>
        <w:ind w:left="0" w:right="0"/>
        <w:jc w:val="both"/>
      </w:pPr>
      <w:bookmarkStart w:id="658" w:name="bookmark658"/>
      <w:bookmarkEnd w:id="658"/>
      <w:r>
        <w:rPr>
          <w:color w:val="000000"/>
          <w:spacing w:val="0"/>
          <w:w w:val="100"/>
          <w:position w:val="0"/>
        </w:rPr>
        <w:t>以发行权益性证券取得的长期股权投资，按照发行权益性证券的公允价值作为投资成本；</w:t>
      </w:r>
    </w:p>
    <w:p>
      <w:pPr>
        <w:pStyle w:val="Style23"/>
        <w:keepNext w:val="0"/>
        <w:keepLines w:val="0"/>
        <w:widowControl w:val="0"/>
        <w:numPr>
          <w:ilvl w:val="0"/>
          <w:numId w:val="27"/>
        </w:numPr>
        <w:shd w:val="clear" w:color="auto" w:fill="auto"/>
        <w:tabs>
          <w:tab w:pos="737" w:val="left"/>
        </w:tabs>
        <w:bidi w:val="0"/>
        <w:spacing w:before="0" w:after="0" w:line="316" w:lineRule="exact"/>
        <w:ind w:left="0" w:right="0"/>
        <w:jc w:val="both"/>
      </w:pPr>
      <w:bookmarkStart w:id="659" w:name="bookmark659"/>
      <w:bookmarkEnd w:id="659"/>
      <w:r>
        <w:rPr>
          <w:color w:val="000000"/>
          <w:spacing w:val="0"/>
          <w:w w:val="100"/>
          <w:position w:val="0"/>
        </w:rPr>
        <w:t>投资者投入的长期股权投资，按照投资合同或协议约定的价值作为投资成本，但合同或协议约定不公允的除外；</w:t>
      </w:r>
    </w:p>
    <w:p>
      <w:pPr>
        <w:pStyle w:val="Style23"/>
        <w:keepNext w:val="0"/>
        <w:keepLines w:val="0"/>
        <w:widowControl w:val="0"/>
        <w:numPr>
          <w:ilvl w:val="0"/>
          <w:numId w:val="27"/>
        </w:numPr>
        <w:shd w:val="clear" w:color="auto" w:fill="auto"/>
        <w:tabs>
          <w:tab w:pos="707" w:val="left"/>
        </w:tabs>
        <w:bidi w:val="0"/>
        <w:spacing w:before="0" w:after="0" w:line="319" w:lineRule="exact"/>
        <w:ind w:left="0" w:right="0"/>
        <w:jc w:val="both"/>
      </w:pPr>
      <w:bookmarkStart w:id="660" w:name="bookmark660"/>
      <w:bookmarkEnd w:id="660"/>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23"/>
        <w:keepNext w:val="0"/>
        <w:keepLines w:val="0"/>
        <w:widowControl w:val="0"/>
        <w:numPr>
          <w:ilvl w:val="0"/>
          <w:numId w:val="27"/>
        </w:numPr>
        <w:shd w:val="clear" w:color="auto" w:fill="auto"/>
        <w:tabs>
          <w:tab w:pos="693" w:val="left"/>
        </w:tabs>
        <w:bidi w:val="0"/>
        <w:spacing w:before="0" w:after="360" w:line="322" w:lineRule="exact"/>
        <w:ind w:left="0" w:right="0"/>
        <w:jc w:val="both"/>
      </w:pPr>
      <w:bookmarkStart w:id="661" w:name="bookmark661"/>
      <w:bookmarkEnd w:id="661"/>
      <w:r>
        <w:rPr>
          <w:color w:val="000000"/>
          <w:spacing w:val="0"/>
          <w:w w:val="100"/>
          <w:position w:val="0"/>
        </w:rPr>
        <w:t>通过债务重组取得的长期股权投资，按取得的股权的公允价值作为初始投资成本，初始投资成本与债权账面价值之间 的差额计入当期损益。</w:t>
      </w:r>
    </w:p>
    <w:p>
      <w:pPr>
        <w:pStyle w:val="Style34"/>
        <w:keepNext/>
        <w:keepLines/>
        <w:widowControl w:val="0"/>
        <w:shd w:val="clear" w:color="auto" w:fill="auto"/>
        <w:tabs>
          <w:tab w:pos="527" w:val="left"/>
        </w:tabs>
        <w:bidi w:val="0"/>
        <w:spacing w:before="0" w:after="2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62"/>
      <w:bookmarkEnd w:id="663"/>
      <w:bookmarkEnd w:id="665"/>
    </w:p>
    <w:p>
      <w:pPr>
        <w:pStyle w:val="Style2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根据是否对被投资单位具有控制、共同控制或重大影响分别对长期股权投资采用成本法或权益法核算。</w:t>
      </w:r>
    </w:p>
    <w:p>
      <w:pPr>
        <w:pStyle w:val="Style23"/>
        <w:keepNext w:val="0"/>
        <w:keepLines w:val="0"/>
        <w:widowControl w:val="0"/>
        <w:numPr>
          <w:ilvl w:val="0"/>
          <w:numId w:val="29"/>
        </w:numPr>
        <w:shd w:val="clear" w:color="auto" w:fill="auto"/>
        <w:tabs>
          <w:tab w:pos="727" w:val="left"/>
        </w:tabs>
        <w:bidi w:val="0"/>
        <w:spacing w:before="0" w:after="0" w:line="312" w:lineRule="exact"/>
        <w:ind w:left="0" w:right="0"/>
        <w:jc w:val="both"/>
      </w:pPr>
      <w:bookmarkStart w:id="666" w:name="bookmark666"/>
      <w:bookmarkEnd w:id="666"/>
      <w:r>
        <w:rPr>
          <w:color w:val="000000"/>
          <w:spacing w:val="0"/>
          <w:w w:val="100"/>
          <w:position w:val="0"/>
        </w:rPr>
        <w:t>采用成本法核算的长期投资,追加或收回投资调整长期股权投资的成本。取得被投资单位宣告发放的现金股利或利润， 除取得投资时实际支付的价款或对价中包含的已宣告但尚未发放的现金股利或利润外，按照享有被投资单位宣告发放的现金 股利或利润确认当期投资收益。</w:t>
      </w:r>
    </w:p>
    <w:p>
      <w:pPr>
        <w:pStyle w:val="Style23"/>
        <w:keepNext w:val="0"/>
        <w:keepLines w:val="0"/>
        <w:widowControl w:val="0"/>
        <w:numPr>
          <w:ilvl w:val="0"/>
          <w:numId w:val="29"/>
        </w:numPr>
        <w:shd w:val="clear" w:color="auto" w:fill="auto"/>
        <w:tabs>
          <w:tab w:pos="731" w:val="left"/>
        </w:tabs>
        <w:bidi w:val="0"/>
        <w:spacing w:before="0" w:after="0" w:line="313" w:lineRule="exact"/>
        <w:ind w:left="0" w:right="0"/>
        <w:jc w:val="both"/>
      </w:pPr>
      <w:bookmarkStart w:id="667" w:name="bookmark667"/>
      <w:bookmarkEnd w:id="667"/>
      <w:r>
        <w:rPr>
          <w:color w:val="000000"/>
          <w:spacing w:val="0"/>
          <w:w w:val="100"/>
          <w:position w:val="0"/>
        </w:rPr>
        <w:t>采用权益法核算的长期股权投资，本公司在取得长期股权投资后，在计算投资损益时按本公司的会计政策及会计期间 对被投资单位的财务报表进行调整，在此基础上再抵销本公司与联营企业及合营企业之间发生的内部交易损益按照应享有或 应分担计算归属于本公司的部分，确认投资损益并调整长期股权投资账面价值。如果本公司取得投资时被投资单位有关资产、 负债的公允价值与其账面价值不同的，后续计量计算归属于投资企业应享有的净利润或应承担的净亏损时，应考虑被投资单 位计提的折旧额、摊销额以及资产减值准备金额等进行调整。以上调整均考虑重要性原则，在符合下列条件之一的，本公司 按被投资单位的账面净利润为基础，经调整未实现内部交易损益后，计算确认投资损益。</w:t>
      </w:r>
    </w:p>
    <w:p>
      <w:pPr>
        <w:pStyle w:val="Style23"/>
        <w:keepNext w:val="0"/>
        <w:keepLines w:val="0"/>
        <w:widowControl w:val="0"/>
        <w:numPr>
          <w:ilvl w:val="0"/>
          <w:numId w:val="31"/>
        </w:numPr>
        <w:shd w:val="clear" w:color="auto" w:fill="auto"/>
        <w:tabs>
          <w:tab w:pos="742" w:val="left"/>
        </w:tabs>
        <w:bidi w:val="0"/>
        <w:spacing w:before="0" w:after="0" w:line="316" w:lineRule="exact"/>
        <w:ind w:left="0" w:right="0"/>
        <w:jc w:val="both"/>
      </w:pPr>
      <w:bookmarkStart w:id="668" w:name="bookmark668"/>
      <w:bookmarkEnd w:id="668"/>
      <w:r>
        <w:rPr>
          <w:color w:val="000000"/>
          <w:spacing w:val="0"/>
          <w:w w:val="100"/>
          <w:position w:val="0"/>
        </w:rPr>
        <w:t>无法合理确定取得投资时被投资单位各项可辨认资产等的公允价值。</w:t>
      </w:r>
    </w:p>
    <w:p>
      <w:pPr>
        <w:pStyle w:val="Style23"/>
        <w:keepNext w:val="0"/>
        <w:keepLines w:val="0"/>
        <w:widowControl w:val="0"/>
        <w:numPr>
          <w:ilvl w:val="0"/>
          <w:numId w:val="31"/>
        </w:numPr>
        <w:shd w:val="clear" w:color="auto" w:fill="auto"/>
        <w:tabs>
          <w:tab w:pos="742" w:val="left"/>
        </w:tabs>
        <w:bidi w:val="0"/>
        <w:spacing w:before="0" w:after="0" w:line="316" w:lineRule="exact"/>
        <w:ind w:left="0" w:right="0"/>
        <w:jc w:val="both"/>
      </w:pPr>
      <w:bookmarkStart w:id="669" w:name="bookmark669"/>
      <w:bookmarkEnd w:id="669"/>
      <w:r>
        <w:rPr>
          <w:color w:val="000000"/>
          <w:spacing w:val="0"/>
          <w:w w:val="100"/>
          <w:position w:val="0"/>
        </w:rPr>
        <w:t>投资时被投资单位可辨认资产的公允价值与其账面价值相比</w:t>
      </w:r>
      <w:r>
        <w:rPr>
          <w:color w:val="000000"/>
          <w:spacing w:val="0"/>
          <w:w w:val="100"/>
          <w:position w:val="0"/>
        </w:rPr>
        <w:t>，</w:t>
      </w:r>
      <w:r>
        <w:rPr>
          <w:color w:val="000000"/>
          <w:spacing w:val="0"/>
          <w:w w:val="100"/>
          <w:position w:val="0"/>
        </w:rPr>
        <w:t>两者之间的差额不具重要性的。</w:t>
      </w:r>
    </w:p>
    <w:p>
      <w:pPr>
        <w:pStyle w:val="Style23"/>
        <w:keepNext w:val="0"/>
        <w:keepLines w:val="0"/>
        <w:widowControl w:val="0"/>
        <w:numPr>
          <w:ilvl w:val="0"/>
          <w:numId w:val="31"/>
        </w:numPr>
        <w:shd w:val="clear" w:color="auto" w:fill="auto"/>
        <w:tabs>
          <w:tab w:pos="742" w:val="left"/>
        </w:tabs>
        <w:bidi w:val="0"/>
        <w:spacing w:before="0" w:after="0" w:line="316" w:lineRule="exact"/>
        <w:ind w:left="0" w:right="0"/>
        <w:jc w:val="both"/>
      </w:pPr>
      <w:bookmarkStart w:id="670" w:name="bookmark670"/>
      <w:bookmarkEnd w:id="670"/>
      <w:r>
        <w:rPr>
          <w:color w:val="000000"/>
          <w:spacing w:val="0"/>
          <w:w w:val="100"/>
          <w:position w:val="0"/>
        </w:rPr>
        <w:t>其他原因导致无法取得被投资单位的有关资料，不能按照准则中规定的原则对被投资单位的净损益进行调整的。</w:t>
      </w:r>
    </w:p>
    <w:p>
      <w:pPr>
        <w:pStyle w:val="Style23"/>
        <w:keepNext w:val="0"/>
        <w:keepLines w:val="0"/>
        <w:widowControl w:val="0"/>
        <w:numPr>
          <w:ilvl w:val="0"/>
          <w:numId w:val="29"/>
        </w:numPr>
        <w:shd w:val="clear" w:color="auto" w:fill="auto"/>
        <w:tabs>
          <w:tab w:pos="727" w:val="left"/>
        </w:tabs>
        <w:bidi w:val="0"/>
        <w:spacing w:before="0" w:after="0" w:line="314" w:lineRule="exact"/>
        <w:ind w:left="0" w:right="0"/>
        <w:jc w:val="both"/>
      </w:pPr>
      <w:bookmarkStart w:id="671" w:name="bookmark671"/>
      <w:bookmarkEnd w:id="671"/>
      <w:r>
        <w:rPr>
          <w:color w:val="000000"/>
          <w:spacing w:val="0"/>
          <w:w w:val="100"/>
          <w:position w:val="0"/>
        </w:rPr>
        <w:t>在权益法下长期股权投资的账面价值减记至零的情况下</w:t>
      </w:r>
      <w:r>
        <w:rPr>
          <w:rFonts w:ascii="Times New Roman" w:eastAsia="Times New Roman" w:hAnsi="Times New Roman" w:cs="Times New Roman"/>
          <w:color w:val="000000"/>
          <w:spacing w:val="0"/>
          <w:w w:val="100"/>
          <w:position w:val="0"/>
        </w:rPr>
        <w:t>,</w:t>
      </w:r>
      <w:r>
        <w:rPr>
          <w:color w:val="000000"/>
          <w:spacing w:val="0"/>
          <w:w w:val="100"/>
          <w:position w:val="0"/>
        </w:rPr>
        <w:t>如果仍有未确认的投资损失</w:t>
      </w:r>
      <w:r>
        <w:rPr>
          <w:color w:val="000000"/>
          <w:spacing w:val="0"/>
          <w:w w:val="100"/>
          <w:position w:val="0"/>
        </w:rPr>
        <w:t>，</w:t>
      </w:r>
      <w:r>
        <w:rPr>
          <w:color w:val="000000"/>
          <w:spacing w:val="0"/>
          <w:w w:val="100"/>
          <w:position w:val="0"/>
        </w:rPr>
        <w:t>应以其他长期权益的账面价值为 基础继续确认。如果在投资合同或协议中约定将履行其他额外的损失补偿义务，还按《企业会计准则第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 的规定确认预计将承担的损失金额。</w:t>
      </w:r>
    </w:p>
    <w:p>
      <w:pPr>
        <w:pStyle w:val="Style23"/>
        <w:keepNext w:val="0"/>
        <w:keepLines w:val="0"/>
        <w:widowControl w:val="0"/>
        <w:numPr>
          <w:ilvl w:val="0"/>
          <w:numId w:val="29"/>
        </w:numPr>
        <w:shd w:val="clear" w:color="auto" w:fill="auto"/>
        <w:tabs>
          <w:tab w:pos="727" w:val="left"/>
        </w:tabs>
        <w:bidi w:val="0"/>
        <w:spacing w:before="0" w:after="360" w:line="312" w:lineRule="exact"/>
        <w:ind w:left="0" w:right="0"/>
        <w:jc w:val="both"/>
      </w:pPr>
      <w:bookmarkStart w:id="672" w:name="bookmark672"/>
      <w:bookmarkEnd w:id="672"/>
      <w:r>
        <w:rPr>
          <w:color w:val="000000"/>
          <w:spacing w:val="0"/>
          <w:w w:val="100"/>
          <w:position w:val="0"/>
        </w:rPr>
        <w:t>按照权益法核算的长期股权投资，投资企业自被投资单位取得的现金股利或利润，抵减长期股权投资的账面价值。自 被投资单位取得的现金股利或利润超过已确认损益调整的部分视同投资成本的收回，冲减长期股权投资的成本。</w:t>
      </w:r>
    </w:p>
    <w:p>
      <w:pPr>
        <w:pStyle w:val="Style34"/>
        <w:keepNext/>
        <w:keepLines/>
        <w:widowControl w:val="0"/>
        <w:shd w:val="clear" w:color="auto" w:fill="auto"/>
        <w:tabs>
          <w:tab w:pos="527"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73"/>
      <w:bookmarkEnd w:id="674"/>
      <w:bookmarkEnd w:id="676"/>
    </w:p>
    <w:p>
      <w:pPr>
        <w:pStyle w:val="Style23"/>
        <w:keepNext w:val="0"/>
        <w:keepLines w:val="0"/>
        <w:widowControl w:val="0"/>
        <w:numPr>
          <w:ilvl w:val="0"/>
          <w:numId w:val="33"/>
        </w:numPr>
        <w:shd w:val="clear" w:color="auto" w:fill="auto"/>
        <w:bidi w:val="0"/>
        <w:spacing w:before="0" w:after="0" w:line="316" w:lineRule="exact"/>
        <w:ind w:left="0" w:right="0" w:firstLine="360"/>
        <w:jc w:val="both"/>
      </w:pPr>
      <w:bookmarkStart w:id="677" w:name="bookmark677"/>
      <w:bookmarkEnd w:id="677"/>
      <w:r>
        <w:rPr>
          <w:color w:val="000000"/>
          <w:spacing w:val="0"/>
          <w:w w:val="100"/>
          <w:position w:val="0"/>
        </w:rPr>
        <w:t>存在以下一种或几种情况时，确定对被投资单位具有共同控制：</w:t>
      </w:r>
    </w:p>
    <w:p>
      <w:pPr>
        <w:pStyle w:val="Style23"/>
        <w:keepNext w:val="0"/>
        <w:keepLines w:val="0"/>
        <w:widowControl w:val="0"/>
        <w:numPr>
          <w:ilvl w:val="0"/>
          <w:numId w:val="35"/>
        </w:numPr>
        <w:shd w:val="clear" w:color="auto" w:fill="auto"/>
        <w:bidi w:val="0"/>
        <w:spacing w:before="0" w:after="0" w:line="316" w:lineRule="exact"/>
        <w:ind w:left="0" w:right="0" w:firstLine="360"/>
        <w:jc w:val="both"/>
      </w:pPr>
      <w:bookmarkStart w:id="678" w:name="bookmark678"/>
      <w:bookmarkEnd w:id="678"/>
      <w:r>
        <w:rPr>
          <w:color w:val="000000"/>
          <w:spacing w:val="0"/>
          <w:w w:val="100"/>
          <w:position w:val="0"/>
        </w:rPr>
        <w:t>任何一个合营方均不能单独控制合营企业的生产经营活动；</w:t>
      </w:r>
    </w:p>
    <w:p>
      <w:pPr>
        <w:pStyle w:val="Style23"/>
        <w:keepNext w:val="0"/>
        <w:keepLines w:val="0"/>
        <w:widowControl w:val="0"/>
        <w:numPr>
          <w:ilvl w:val="0"/>
          <w:numId w:val="35"/>
        </w:numPr>
        <w:shd w:val="clear" w:color="auto" w:fill="auto"/>
        <w:tabs>
          <w:tab w:pos="709" w:val="left"/>
        </w:tabs>
        <w:bidi w:val="0"/>
        <w:spacing w:before="0" w:after="0" w:line="312" w:lineRule="exact"/>
        <w:ind w:left="0" w:right="0" w:firstLine="360"/>
        <w:jc w:val="both"/>
      </w:pPr>
      <w:bookmarkStart w:id="679" w:name="bookmark679"/>
      <w:bookmarkEnd w:id="679"/>
      <w:r>
        <w:rPr>
          <w:color w:val="000000"/>
          <w:spacing w:val="0"/>
          <w:w w:val="100"/>
          <w:position w:val="0"/>
        </w:rPr>
        <w:t>涉及合营企业基本经营活动的决策需要各合营方一致同意；</w:t>
      </w:r>
    </w:p>
    <w:p>
      <w:pPr>
        <w:pStyle w:val="Style23"/>
        <w:keepNext w:val="0"/>
        <w:keepLines w:val="0"/>
        <w:widowControl w:val="0"/>
        <w:numPr>
          <w:ilvl w:val="0"/>
          <w:numId w:val="35"/>
        </w:numPr>
        <w:shd w:val="clear" w:color="auto" w:fill="auto"/>
        <w:tabs>
          <w:tab w:pos="704" w:val="left"/>
        </w:tabs>
        <w:bidi w:val="0"/>
        <w:spacing w:before="0" w:after="0" w:line="317" w:lineRule="exact"/>
        <w:ind w:left="0" w:right="0" w:firstLine="360"/>
        <w:jc w:val="both"/>
      </w:pPr>
      <w:bookmarkStart w:id="680" w:name="bookmark680"/>
      <w:bookmarkEnd w:id="680"/>
      <w:r>
        <w:rPr>
          <w:color w:val="000000"/>
          <w:spacing w:val="0"/>
          <w:w w:val="100"/>
          <w:position w:val="0"/>
        </w:rPr>
        <w:t>各合营方可能通过合同或协议的形式任命其中的一个合营方对合营企业的日常活动进行管理</w:t>
      </w:r>
      <w:r>
        <w:rPr>
          <w:color w:val="000000"/>
          <w:spacing w:val="0"/>
          <w:w w:val="100"/>
          <w:position w:val="0"/>
        </w:rPr>
        <w:t>，</w:t>
      </w:r>
      <w:r>
        <w:rPr>
          <w:color w:val="000000"/>
          <w:spacing w:val="0"/>
          <w:w w:val="100"/>
          <w:position w:val="0"/>
        </w:rPr>
        <w:t>但其必须在各合营方已 经一致同意的财务和经营政策范围内行使管理权。当被投资单位处于法定重组或破产中，或者在向投资方转移资金的能力受 到严格的长期限制情况下经营时，通常投资方对被投资单位可能无法实施共同控制。但如果能够证明存在共同控制，合营各 方仍按照长期股权投资准则的规定采用权益法核算。</w:t>
      </w:r>
    </w:p>
    <w:p>
      <w:pPr>
        <w:pStyle w:val="Style23"/>
        <w:keepNext w:val="0"/>
        <w:keepLines w:val="0"/>
        <w:widowControl w:val="0"/>
        <w:numPr>
          <w:ilvl w:val="0"/>
          <w:numId w:val="33"/>
        </w:numPr>
        <w:shd w:val="clear" w:color="auto" w:fill="auto"/>
        <w:bidi w:val="0"/>
        <w:spacing w:before="0" w:after="0" w:line="312" w:lineRule="exact"/>
        <w:ind w:left="0" w:right="0" w:firstLine="360"/>
        <w:jc w:val="both"/>
      </w:pPr>
      <w:bookmarkStart w:id="681" w:name="bookmark681"/>
      <w:bookmarkEnd w:id="681"/>
      <w:r>
        <w:rPr>
          <w:color w:val="000000"/>
          <w:spacing w:val="0"/>
          <w:w w:val="100"/>
          <w:position w:val="0"/>
        </w:rPr>
        <w:t>存在以下一种或几种情况时，确定对被投资单位具有重大影响：</w:t>
      </w:r>
    </w:p>
    <w:p>
      <w:pPr>
        <w:pStyle w:val="Style23"/>
        <w:keepNext w:val="0"/>
        <w:keepLines w:val="0"/>
        <w:widowControl w:val="0"/>
        <w:numPr>
          <w:ilvl w:val="0"/>
          <w:numId w:val="37"/>
        </w:numPr>
        <w:shd w:val="clear" w:color="auto" w:fill="auto"/>
        <w:tabs>
          <w:tab w:pos="718" w:val="left"/>
        </w:tabs>
        <w:bidi w:val="0"/>
        <w:spacing w:before="0" w:after="0" w:line="312" w:lineRule="exact"/>
        <w:ind w:left="0" w:right="0" w:firstLine="360"/>
        <w:jc w:val="both"/>
      </w:pPr>
      <w:bookmarkStart w:id="682" w:name="bookmark682"/>
      <w:bookmarkEnd w:id="682"/>
      <w:r>
        <w:rPr>
          <w:color w:val="000000"/>
          <w:spacing w:val="0"/>
          <w:w w:val="100"/>
          <w:position w:val="0"/>
        </w:rPr>
        <w:t>在被投资单位的董事会或类似权力机构中派有代表。</w:t>
      </w:r>
    </w:p>
    <w:p>
      <w:pPr>
        <w:pStyle w:val="Style23"/>
        <w:keepNext w:val="0"/>
        <w:keepLines w:val="0"/>
        <w:widowControl w:val="0"/>
        <w:numPr>
          <w:ilvl w:val="0"/>
          <w:numId w:val="37"/>
        </w:numPr>
        <w:shd w:val="clear" w:color="auto" w:fill="auto"/>
        <w:tabs>
          <w:tab w:pos="718" w:val="left"/>
        </w:tabs>
        <w:bidi w:val="0"/>
        <w:spacing w:before="0" w:after="0" w:line="312" w:lineRule="exact"/>
        <w:ind w:left="0" w:right="0" w:firstLine="360"/>
        <w:jc w:val="both"/>
      </w:pPr>
      <w:bookmarkStart w:id="683" w:name="bookmark683"/>
      <w:bookmarkEnd w:id="683"/>
      <w:r>
        <w:rPr>
          <w:color w:val="000000"/>
          <w:spacing w:val="0"/>
          <w:w w:val="100"/>
          <w:position w:val="0"/>
        </w:rPr>
        <w:t>参与被投资单位的政策制定过程</w:t>
      </w:r>
      <w:r>
        <w:rPr>
          <w:color w:val="000000"/>
          <w:spacing w:val="0"/>
          <w:w w:val="100"/>
          <w:position w:val="0"/>
        </w:rPr>
        <w:t>，</w:t>
      </w:r>
      <w:r>
        <w:rPr>
          <w:color w:val="000000"/>
          <w:spacing w:val="0"/>
          <w:w w:val="100"/>
          <w:position w:val="0"/>
        </w:rPr>
        <w:t>包括股利分配政策等的制定。</w:t>
      </w:r>
    </w:p>
    <w:p>
      <w:pPr>
        <w:pStyle w:val="Style23"/>
        <w:keepNext w:val="0"/>
        <w:keepLines w:val="0"/>
        <w:widowControl w:val="0"/>
        <w:numPr>
          <w:ilvl w:val="0"/>
          <w:numId w:val="37"/>
        </w:numPr>
        <w:shd w:val="clear" w:color="auto" w:fill="auto"/>
        <w:tabs>
          <w:tab w:pos="718" w:val="left"/>
        </w:tabs>
        <w:bidi w:val="0"/>
        <w:spacing w:before="0" w:after="0" w:line="312" w:lineRule="exact"/>
        <w:ind w:left="0" w:right="0" w:firstLine="360"/>
        <w:jc w:val="both"/>
      </w:pPr>
      <w:bookmarkStart w:id="684" w:name="bookmark684"/>
      <w:bookmarkEnd w:id="684"/>
      <w:r>
        <w:rPr>
          <w:color w:val="000000"/>
          <w:spacing w:val="0"/>
          <w:w w:val="100"/>
          <w:position w:val="0"/>
        </w:rPr>
        <w:t>与被投资单位之间发生重要交易。</w:t>
      </w:r>
    </w:p>
    <w:p>
      <w:pPr>
        <w:pStyle w:val="Style23"/>
        <w:keepNext w:val="0"/>
        <w:keepLines w:val="0"/>
        <w:widowControl w:val="0"/>
        <w:numPr>
          <w:ilvl w:val="0"/>
          <w:numId w:val="37"/>
        </w:numPr>
        <w:shd w:val="clear" w:color="auto" w:fill="auto"/>
        <w:tabs>
          <w:tab w:pos="718" w:val="left"/>
        </w:tabs>
        <w:bidi w:val="0"/>
        <w:spacing w:before="0" w:after="0" w:line="312" w:lineRule="exact"/>
        <w:ind w:left="0" w:right="0" w:firstLine="360"/>
        <w:jc w:val="both"/>
      </w:pPr>
      <w:bookmarkStart w:id="685" w:name="bookmark685"/>
      <w:bookmarkEnd w:id="685"/>
      <w:r>
        <w:rPr>
          <w:color w:val="000000"/>
          <w:spacing w:val="0"/>
          <w:w w:val="100"/>
          <w:position w:val="0"/>
        </w:rPr>
        <w:t>向被投资单位派出管理人员。</w:t>
      </w:r>
    </w:p>
    <w:p>
      <w:pPr>
        <w:pStyle w:val="Style23"/>
        <w:keepNext w:val="0"/>
        <w:keepLines w:val="0"/>
        <w:widowControl w:val="0"/>
        <w:numPr>
          <w:ilvl w:val="0"/>
          <w:numId w:val="37"/>
        </w:numPr>
        <w:shd w:val="clear" w:color="auto" w:fill="auto"/>
        <w:tabs>
          <w:tab w:pos="718" w:val="left"/>
        </w:tabs>
        <w:bidi w:val="0"/>
        <w:spacing w:before="0" w:after="360" w:line="312" w:lineRule="exact"/>
        <w:ind w:left="0" w:right="0" w:firstLine="360"/>
        <w:jc w:val="both"/>
      </w:pPr>
      <w:bookmarkStart w:id="686" w:name="bookmark686"/>
      <w:bookmarkEnd w:id="686"/>
      <w:r>
        <w:rPr>
          <w:color w:val="000000"/>
          <w:spacing w:val="0"/>
          <w:w w:val="100"/>
          <w:position w:val="0"/>
        </w:rPr>
        <w:t>向被投资单位提供关键技术资料。</w:t>
      </w:r>
    </w:p>
    <w:p>
      <w:pPr>
        <w:pStyle w:val="Style34"/>
        <w:keepNext/>
        <w:keepLines/>
        <w:widowControl w:val="0"/>
        <w:numPr>
          <w:ilvl w:val="0"/>
          <w:numId w:val="39"/>
        </w:numPr>
        <w:shd w:val="clear" w:color="auto" w:fill="auto"/>
        <w:bidi w:val="0"/>
        <w:spacing w:before="0" w:after="280" w:line="240" w:lineRule="auto"/>
        <w:ind w:left="0" w:right="0" w:firstLine="0"/>
        <w:jc w:val="both"/>
      </w:pPr>
      <w:bookmarkStart w:id="687" w:name="bookmark687"/>
      <w:bookmarkStart w:id="688" w:name="bookmark688"/>
      <w:bookmarkStart w:id="689" w:name="bookmark689"/>
      <w:bookmarkStart w:id="690" w:name="bookmark690"/>
      <w:bookmarkEnd w:id="689"/>
      <w:r>
        <w:rPr>
          <w:color w:val="000000"/>
          <w:spacing w:val="0"/>
          <w:w w:val="100"/>
          <w:position w:val="0"/>
        </w:rPr>
        <w:t>减值测试方法及减值准备计提方法</w:t>
      </w:r>
      <w:bookmarkEnd w:id="687"/>
      <w:bookmarkEnd w:id="688"/>
      <w:bookmarkEnd w:id="690"/>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本公司在资产负债表日对长期股权投资进行逐项检查，根据被投资单位经营政策、法律环境、市场需求、行业及盈利能 力等的各种变化判断长期股权投资是否存在减值迹象。当长期股权投资可收回金额低于账面价值时，将可收回金额低于长期 股权投资账面价值的差额作为长期股权投资减值准备予以计提。资产减值损失一经确认，在以后会计期间不再转回。</w:t>
      </w:r>
    </w:p>
    <w:p>
      <w:pPr>
        <w:pStyle w:val="Style31"/>
        <w:keepNext/>
        <w:keepLines/>
        <w:widowControl w:val="0"/>
        <w:shd w:val="clear" w:color="auto" w:fill="auto"/>
        <w:tabs>
          <w:tab w:pos="534" w:val="left"/>
        </w:tabs>
        <w:bidi w:val="0"/>
        <w:spacing w:before="0" w:after="28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691"/>
      <w:bookmarkEnd w:id="692"/>
      <w:bookmarkEnd w:id="694"/>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投资性房产是指为赚取租金或资本增值，或两者兼有而持有的房地产。主要包括：</w:t>
      </w:r>
    </w:p>
    <w:p>
      <w:pPr>
        <w:pStyle w:val="Style23"/>
        <w:keepNext w:val="0"/>
        <w:keepLines w:val="0"/>
        <w:widowControl w:val="0"/>
        <w:numPr>
          <w:ilvl w:val="0"/>
          <w:numId w:val="41"/>
        </w:numPr>
        <w:shd w:val="clear" w:color="auto" w:fill="auto"/>
        <w:tabs>
          <w:tab w:pos="745" w:val="left"/>
        </w:tabs>
        <w:bidi w:val="0"/>
        <w:spacing w:before="0" w:after="100" w:line="312" w:lineRule="exact"/>
        <w:ind w:left="0" w:right="0" w:firstLine="300"/>
        <w:jc w:val="both"/>
      </w:pPr>
      <w:bookmarkStart w:id="695" w:name="bookmark695"/>
      <w:bookmarkEnd w:id="695"/>
      <w:r>
        <w:rPr>
          <w:color w:val="000000"/>
          <w:spacing w:val="0"/>
          <w:w w:val="100"/>
          <w:position w:val="0"/>
        </w:rPr>
        <w:t>已出租的土地使用权。</w:t>
      </w:r>
    </w:p>
    <w:p>
      <w:pPr>
        <w:pStyle w:val="Style23"/>
        <w:keepNext w:val="0"/>
        <w:keepLines w:val="0"/>
        <w:widowControl w:val="0"/>
        <w:numPr>
          <w:ilvl w:val="0"/>
          <w:numId w:val="41"/>
        </w:numPr>
        <w:shd w:val="clear" w:color="auto" w:fill="auto"/>
        <w:tabs>
          <w:tab w:pos="745" w:val="left"/>
        </w:tabs>
        <w:bidi w:val="0"/>
        <w:spacing w:before="0" w:after="100" w:line="312" w:lineRule="exact"/>
        <w:ind w:left="0" w:right="0" w:firstLine="300"/>
        <w:jc w:val="both"/>
      </w:pPr>
      <w:bookmarkStart w:id="696" w:name="bookmark696"/>
      <w:bookmarkEnd w:id="696"/>
      <w:r>
        <w:rPr>
          <w:color w:val="000000"/>
          <w:spacing w:val="0"/>
          <w:w w:val="100"/>
          <w:position w:val="0"/>
        </w:rPr>
        <w:t>持有并准备增值后转让的土地使用权。</w:t>
      </w:r>
    </w:p>
    <w:p>
      <w:pPr>
        <w:pStyle w:val="Style23"/>
        <w:keepNext w:val="0"/>
        <w:keepLines w:val="0"/>
        <w:widowControl w:val="0"/>
        <w:numPr>
          <w:ilvl w:val="0"/>
          <w:numId w:val="41"/>
        </w:numPr>
        <w:shd w:val="clear" w:color="auto" w:fill="auto"/>
        <w:tabs>
          <w:tab w:pos="745" w:val="left"/>
        </w:tabs>
        <w:bidi w:val="0"/>
        <w:spacing w:before="0" w:after="100" w:line="312" w:lineRule="exact"/>
        <w:ind w:left="0" w:right="0" w:firstLine="300"/>
        <w:jc w:val="both"/>
      </w:pPr>
      <w:bookmarkStart w:id="697" w:name="bookmark697"/>
      <w:bookmarkEnd w:id="697"/>
      <w:r>
        <w:rPr>
          <w:color w:val="000000"/>
          <w:spacing w:val="0"/>
          <w:w w:val="100"/>
          <w:position w:val="0"/>
        </w:rPr>
        <w:t>已出租的建筑物。</w:t>
      </w:r>
    </w:p>
    <w:p>
      <w:pPr>
        <w:pStyle w:val="Style23"/>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本公司采用成本模式对投资性房地产进行后续计量。</w:t>
      </w:r>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本公司对投资性房地产成本减累计减值及净残值后按直线法，按估计可使用年限计算折旧或摊销，计入当期损益。 资产负债表日按投资性房产的成本与可收回金额孰低计价，可收回金额低于成本的，按两者的差额计提减值准备。如果已经 计提减值准备的投资性房地产的价值又得以恢复，前期已计提的减值准备不得转回。</w:t>
      </w:r>
    </w:p>
    <w:p>
      <w:pPr>
        <w:pStyle w:val="Style31"/>
        <w:keepNext/>
        <w:keepLines/>
        <w:widowControl w:val="0"/>
        <w:shd w:val="clear" w:color="auto" w:fill="auto"/>
        <w:tabs>
          <w:tab w:pos="534" w:val="left"/>
        </w:tabs>
        <w:bidi w:val="0"/>
        <w:spacing w:before="0" w:after="360" w:line="240" w:lineRule="auto"/>
        <w:ind w:left="0" w:right="0" w:firstLine="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698"/>
      <w:bookmarkEnd w:id="699"/>
      <w:bookmarkEnd w:id="701"/>
    </w:p>
    <w:p>
      <w:pPr>
        <w:pStyle w:val="Style34"/>
        <w:keepNext/>
        <w:keepLines/>
        <w:widowControl w:val="0"/>
        <w:numPr>
          <w:ilvl w:val="0"/>
          <w:numId w:val="43"/>
        </w:numPr>
        <w:shd w:val="clear" w:color="auto" w:fill="auto"/>
        <w:tabs>
          <w:tab w:pos="534" w:val="left"/>
        </w:tabs>
        <w:bidi w:val="0"/>
        <w:spacing w:before="0" w:after="280" w:line="240" w:lineRule="auto"/>
        <w:ind w:left="0" w:right="0" w:firstLine="0"/>
        <w:jc w:val="both"/>
      </w:pPr>
      <w:bookmarkStart w:id="702" w:name="bookmark702"/>
      <w:bookmarkStart w:id="703" w:name="bookmark703"/>
      <w:bookmarkStart w:id="704" w:name="bookmark704"/>
      <w:bookmarkStart w:id="705" w:name="bookmark705"/>
      <w:bookmarkEnd w:id="704"/>
      <w:r>
        <w:rPr>
          <w:color w:val="000000"/>
          <w:spacing w:val="0"/>
          <w:w w:val="100"/>
          <w:position w:val="0"/>
        </w:rPr>
        <w:t>固定资产确认条件</w:t>
      </w:r>
      <w:bookmarkEnd w:id="702"/>
      <w:bookmarkEnd w:id="703"/>
      <w:bookmarkEnd w:id="705"/>
    </w:p>
    <w:p>
      <w:pPr>
        <w:pStyle w:val="Style23"/>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固定资产是指为生产商品、提供劳务、出租或经营管理而持有的使用年限超过一年的单位价值较高的有形资产。固定资 产在同时满足下列条件时，按取得时的实际成本予以确认：</w:t>
      </w:r>
    </w:p>
    <w:p>
      <w:pPr>
        <w:pStyle w:val="Style23"/>
        <w:keepNext w:val="0"/>
        <w:keepLines w:val="0"/>
        <w:widowControl w:val="0"/>
        <w:numPr>
          <w:ilvl w:val="0"/>
          <w:numId w:val="45"/>
        </w:numPr>
        <w:shd w:val="clear" w:color="auto" w:fill="auto"/>
        <w:tabs>
          <w:tab w:pos="733" w:val="left"/>
        </w:tabs>
        <w:bidi w:val="0"/>
        <w:spacing w:before="0" w:after="0" w:line="312" w:lineRule="exact"/>
        <w:ind w:left="0" w:right="0" w:firstLine="360"/>
        <w:jc w:val="both"/>
      </w:pPr>
      <w:bookmarkStart w:id="706" w:name="bookmark706"/>
      <w:bookmarkEnd w:id="706"/>
      <w:r>
        <w:rPr>
          <w:color w:val="000000"/>
          <w:spacing w:val="0"/>
          <w:w w:val="100"/>
          <w:position w:val="0"/>
        </w:rPr>
        <w:t>与该固定资产有关的经济利益很可能流入企业。</w:t>
      </w:r>
    </w:p>
    <w:p>
      <w:pPr>
        <w:pStyle w:val="Style23"/>
        <w:keepNext w:val="0"/>
        <w:keepLines w:val="0"/>
        <w:widowControl w:val="0"/>
        <w:numPr>
          <w:ilvl w:val="0"/>
          <w:numId w:val="45"/>
        </w:numPr>
        <w:shd w:val="clear" w:color="auto" w:fill="auto"/>
        <w:tabs>
          <w:tab w:pos="714" w:val="left"/>
        </w:tabs>
        <w:bidi w:val="0"/>
        <w:spacing w:before="0" w:after="360" w:line="312" w:lineRule="exact"/>
        <w:ind w:left="0" w:right="0" w:firstLine="360"/>
        <w:jc w:val="both"/>
      </w:pPr>
      <w:bookmarkStart w:id="707" w:name="bookmark707"/>
      <w:bookmarkEnd w:id="707"/>
      <w:r>
        <w:rPr>
          <w:color w:val="000000"/>
          <w:spacing w:val="0"/>
          <w:w w:val="100"/>
          <w:position w:val="0"/>
        </w:rPr>
        <w:t>该固定资产的成本能够可靠地计量。固定资产发生的后续支出，符合固定资产确认条件的计入固定资产成本；不符合 固定资产确认条件的在发生时计入当期损益。</w:t>
      </w:r>
    </w:p>
    <w:p>
      <w:pPr>
        <w:pStyle w:val="Style34"/>
        <w:keepNext/>
        <w:keepLines/>
        <w:widowControl w:val="0"/>
        <w:numPr>
          <w:ilvl w:val="0"/>
          <w:numId w:val="43"/>
        </w:numPr>
        <w:shd w:val="clear" w:color="auto" w:fill="auto"/>
        <w:tabs>
          <w:tab w:pos="534" w:val="left"/>
        </w:tabs>
        <w:bidi w:val="0"/>
        <w:spacing w:before="0" w:after="280" w:line="240" w:lineRule="auto"/>
        <w:ind w:left="0" w:right="0" w:firstLine="0"/>
        <w:jc w:val="both"/>
      </w:pPr>
      <w:bookmarkStart w:id="708" w:name="bookmark708"/>
      <w:bookmarkStart w:id="709" w:name="bookmark709"/>
      <w:bookmarkStart w:id="710" w:name="bookmark710"/>
      <w:bookmarkStart w:id="711" w:name="bookmark711"/>
      <w:bookmarkEnd w:id="710"/>
      <w:r>
        <w:rPr>
          <w:color w:val="000000"/>
          <w:spacing w:val="0"/>
          <w:w w:val="100"/>
          <w:position w:val="0"/>
        </w:rPr>
        <w:t>融资租入固定资产的认定依据、计价方法</w:t>
      </w:r>
      <w:bookmarkEnd w:id="708"/>
      <w:bookmarkEnd w:id="709"/>
      <w:bookmarkEnd w:id="711"/>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 xml:space="preserve">本公司在租入的固定资产实质上转移了与资产有关的全部风险和报酬时确认该项固定资产的租赁为融资租赁。融资租赁 </w:t>
      </w:r>
      <w:r>
        <w:rPr>
          <w:color w:val="000000"/>
          <w:spacing w:val="0"/>
          <w:w w:val="100"/>
          <w:position w:val="0"/>
        </w:rPr>
        <w:t>取得的固定资产的成本，按租赁开始日租赁资产公允价值与最低租赁付款额现值两者中较低者确定。融资租入的固定资产采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用与自有固定资产相一致的折旧政策计提租赁资产折旧。能够合理确定租赁期届满时将会取得租赁资产所有权的，在租赁资 产使用年限内计提折旧；无法合理确定租赁期届满时能够取得租赁资产所有权的，在租赁期与租赁资产使用寿命两者中较短 的期间内计提折旧。</w:t>
      </w:r>
    </w:p>
    <w:p>
      <w:pPr>
        <w:pStyle w:val="Style34"/>
        <w:keepNext/>
        <w:keepLines/>
        <w:widowControl w:val="0"/>
        <w:shd w:val="clear" w:color="auto" w:fill="auto"/>
        <w:bidi w:val="0"/>
        <w:spacing w:before="0" w:after="28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712"/>
      <w:bookmarkEnd w:id="713"/>
      <w:bookmarkEnd w:id="715"/>
    </w:p>
    <w:p>
      <w:pPr>
        <w:pStyle w:val="Style23"/>
        <w:keepNext w:val="0"/>
        <w:keepLines w:val="0"/>
        <w:widowControl w:val="0"/>
        <w:shd w:val="clear" w:color="auto" w:fill="auto"/>
        <w:bidi w:val="0"/>
        <w:spacing w:before="0" w:after="40" w:line="307" w:lineRule="exact"/>
        <w:ind w:left="0" w:right="0"/>
        <w:jc w:val="both"/>
      </w:pPr>
      <w:r>
        <w:rPr>
          <w:color w:val="000000"/>
          <w:spacing w:val="0"/>
          <w:w w:val="100"/>
          <w:position w:val="0"/>
        </w:rPr>
        <w:t>固定资产是指为生产商品、提供劳务、出租或经营管理而持有的使用年限超过一年的单位价值较高的有形资产。固定资 产在同时满足下列条件时，按取得时的实际成本予以确认：</w:t>
      </w:r>
    </w:p>
    <w:p>
      <w:pPr>
        <w:pStyle w:val="Style23"/>
        <w:keepNext w:val="0"/>
        <w:keepLines w:val="0"/>
        <w:widowControl w:val="0"/>
        <w:numPr>
          <w:ilvl w:val="0"/>
          <w:numId w:val="47"/>
        </w:numPr>
        <w:shd w:val="clear" w:color="auto" w:fill="auto"/>
        <w:tabs>
          <w:tab w:pos="753" w:val="left"/>
        </w:tabs>
        <w:bidi w:val="0"/>
        <w:spacing w:before="0" w:after="40" w:line="312" w:lineRule="exact"/>
        <w:ind w:left="0" w:right="0"/>
        <w:jc w:val="both"/>
      </w:pPr>
      <w:bookmarkStart w:id="716" w:name="bookmark716"/>
      <w:bookmarkEnd w:id="716"/>
      <w:r>
        <w:rPr>
          <w:color w:val="000000"/>
          <w:spacing w:val="0"/>
          <w:w w:val="100"/>
          <w:position w:val="0"/>
        </w:rPr>
        <w:t>与该固定资产有关的经济利益很可能流入企业。</w:t>
      </w:r>
    </w:p>
    <w:p>
      <w:pPr>
        <w:pStyle w:val="Style23"/>
        <w:keepNext w:val="0"/>
        <w:keepLines w:val="0"/>
        <w:widowControl w:val="0"/>
        <w:numPr>
          <w:ilvl w:val="0"/>
          <w:numId w:val="47"/>
        </w:numPr>
        <w:shd w:val="clear" w:color="auto" w:fill="auto"/>
        <w:tabs>
          <w:tab w:pos="753" w:val="left"/>
        </w:tabs>
        <w:bidi w:val="0"/>
        <w:spacing w:before="0" w:after="100" w:line="312" w:lineRule="exact"/>
        <w:ind w:left="0" w:right="0"/>
        <w:jc w:val="both"/>
      </w:pPr>
      <w:bookmarkStart w:id="717" w:name="bookmark717"/>
      <w:bookmarkEnd w:id="717"/>
      <w:r>
        <w:rPr>
          <w:color w:val="000000"/>
          <w:spacing w:val="0"/>
          <w:w w:val="100"/>
          <w:position w:val="0"/>
        </w:rPr>
        <w:t>该固定资产的成本能够可靠地计量。固定资产发生的后续支出，符合固定资产确认条件的计入固定资产成本；不符合</w:t>
      </w: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固定资产确认条件的在发生时计入当期损益。</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r>
    </w:tbl>
    <w:p>
      <w:pPr>
        <w:widowControl w:val="0"/>
        <w:spacing w:after="279" w:line="1" w:lineRule="exact"/>
      </w:pPr>
    </w:p>
    <w:p>
      <w:pPr>
        <w:pStyle w:val="Style34"/>
        <w:keepNext/>
        <w:keepLines/>
        <w:widowControl w:val="0"/>
        <w:shd w:val="clear" w:color="auto" w:fill="auto"/>
        <w:tabs>
          <w:tab w:pos="488" w:val="left"/>
        </w:tabs>
        <w:bidi w:val="0"/>
        <w:spacing w:before="0" w:after="2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18"/>
      <w:bookmarkEnd w:id="719"/>
      <w:bookmarkEnd w:id="721"/>
    </w:p>
    <w:p>
      <w:pPr>
        <w:pStyle w:val="Style23"/>
        <w:keepNext w:val="0"/>
        <w:keepLines w:val="0"/>
        <w:widowControl w:val="0"/>
        <w:shd w:val="clear" w:color="auto" w:fill="auto"/>
        <w:bidi w:val="0"/>
        <w:spacing w:before="0" w:after="100" w:line="302" w:lineRule="exact"/>
        <w:ind w:left="0" w:right="0"/>
        <w:jc w:val="left"/>
      </w:pPr>
      <w:r>
        <w:rPr>
          <w:color w:val="000000"/>
          <w:spacing w:val="0"/>
          <w:w w:val="100"/>
          <w:position w:val="0"/>
        </w:rPr>
        <w:t>各类固定资产的折旧方法:本公司从固定资产达到预定可使用状态的次月起按年限平均法计提折旧，按固定资产的类别、 估计的经济使用年限和预计的净残值分别确定折旧年限和年折旧率如下表所示。</w:t>
      </w:r>
    </w:p>
    <w:p>
      <w:pPr>
        <w:pStyle w:val="Style23"/>
        <w:keepNext w:val="0"/>
        <w:keepLines w:val="0"/>
        <w:widowControl w:val="0"/>
        <w:shd w:val="clear" w:color="auto" w:fill="auto"/>
        <w:bidi w:val="0"/>
        <w:spacing w:before="0" w:after="100" w:line="312" w:lineRule="exact"/>
        <w:ind w:left="0" w:right="0"/>
        <w:jc w:val="left"/>
      </w:pPr>
      <w:r>
        <w:rPr>
          <w:color w:val="000000"/>
          <w:spacing w:val="0"/>
          <w:w w:val="100"/>
          <w:position w:val="0"/>
        </w:rPr>
        <w:t>对于已经计提减值准备的固定资产，在计提折旧时扣除已计提的固定资产减值准备。</w:t>
      </w:r>
    </w:p>
    <w:p>
      <w:pPr>
        <w:pStyle w:val="Style23"/>
        <w:keepNext w:val="0"/>
        <w:keepLines w:val="0"/>
        <w:widowControl w:val="0"/>
        <w:shd w:val="clear" w:color="auto" w:fill="auto"/>
        <w:bidi w:val="0"/>
        <w:spacing w:before="0" w:after="800" w:line="312" w:lineRule="exact"/>
        <w:ind w:left="0" w:right="0"/>
        <w:jc w:val="left"/>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34"/>
        <w:keepNext/>
        <w:keepLines/>
        <w:widowControl w:val="0"/>
        <w:shd w:val="clear" w:color="auto" w:fill="auto"/>
        <w:tabs>
          <w:tab w:pos="488" w:val="left"/>
        </w:tabs>
        <w:bidi w:val="0"/>
        <w:spacing w:before="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722"/>
      <w:bookmarkEnd w:id="723"/>
      <w:bookmarkEnd w:id="725"/>
    </w:p>
    <w:p>
      <w:pPr>
        <w:pStyle w:val="Style31"/>
        <w:keepNext/>
        <w:keepLines/>
        <w:widowControl w:val="0"/>
        <w:shd w:val="clear" w:color="auto" w:fill="auto"/>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26"/>
      <w:bookmarkEnd w:id="727"/>
      <w:bookmarkEnd w:id="729"/>
    </w:p>
    <w:p>
      <w:pPr>
        <w:pStyle w:val="Style34"/>
        <w:keepNext/>
        <w:keepLines/>
        <w:widowControl w:val="0"/>
        <w:shd w:val="clear" w:color="auto" w:fill="auto"/>
        <w:tabs>
          <w:tab w:pos="488"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30"/>
      <w:bookmarkEnd w:id="731"/>
      <w:bookmarkEnd w:id="733"/>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在建工程以立项项目分类核算。</w:t>
      </w:r>
    </w:p>
    <w:p>
      <w:pPr>
        <w:pStyle w:val="Style34"/>
        <w:keepNext/>
        <w:keepLines/>
        <w:widowControl w:val="0"/>
        <w:shd w:val="clear" w:color="auto" w:fill="auto"/>
        <w:tabs>
          <w:tab w:pos="488"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34"/>
      <w:bookmarkEnd w:id="735"/>
      <w:bookmarkEnd w:id="737"/>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w:t>
      </w:r>
      <w:r>
        <w:rPr>
          <w:color w:val="000000"/>
          <w:spacing w:val="0"/>
          <w:w w:val="100"/>
          <w:position w:val="0"/>
        </w:rPr>
        <w:t>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34"/>
        <w:keepNext/>
        <w:keepLines/>
        <w:widowControl w:val="0"/>
        <w:shd w:val="clear" w:color="auto" w:fill="auto"/>
        <w:bidi w:val="0"/>
        <w:spacing w:before="0" w:after="280" w:line="240" w:lineRule="auto"/>
        <w:ind w:left="0" w:right="0" w:firstLine="0"/>
        <w:jc w:val="both"/>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738"/>
      <w:bookmarkEnd w:id="739"/>
      <w:bookmarkEnd w:id="741"/>
    </w:p>
    <w:p>
      <w:pPr>
        <w:pStyle w:val="Style23"/>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本公司于资产负债表日对在建工程进行全面检查，如果有证据表明在建工程已经发生了减值，估计可收回金额低于其账 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p>
    <w:p>
      <w:pPr>
        <w:pStyle w:val="Style23"/>
        <w:keepNext w:val="0"/>
        <w:keepLines w:val="0"/>
        <w:widowControl w:val="0"/>
        <w:numPr>
          <w:ilvl w:val="0"/>
          <w:numId w:val="49"/>
        </w:numPr>
        <w:shd w:val="clear" w:color="auto" w:fill="auto"/>
        <w:tabs>
          <w:tab w:pos="733" w:val="left"/>
        </w:tabs>
        <w:bidi w:val="0"/>
        <w:spacing w:before="0" w:after="100" w:line="312" w:lineRule="exact"/>
        <w:ind w:left="0" w:right="0" w:firstLine="360"/>
        <w:jc w:val="both"/>
      </w:pPr>
      <w:bookmarkStart w:id="742" w:name="bookmark742"/>
      <w:bookmarkEnd w:id="742"/>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23"/>
        <w:keepNext w:val="0"/>
        <w:keepLines w:val="0"/>
        <w:widowControl w:val="0"/>
        <w:numPr>
          <w:ilvl w:val="0"/>
          <w:numId w:val="49"/>
        </w:numPr>
        <w:shd w:val="clear" w:color="auto" w:fill="auto"/>
        <w:tabs>
          <w:tab w:pos="733" w:val="left"/>
        </w:tabs>
        <w:bidi w:val="0"/>
        <w:spacing w:before="0" w:after="100" w:line="312" w:lineRule="exact"/>
        <w:ind w:left="0" w:right="0" w:firstLine="360"/>
        <w:jc w:val="both"/>
      </w:pPr>
      <w:bookmarkStart w:id="743" w:name="bookmark743"/>
      <w:bookmarkEnd w:id="743"/>
      <w:r>
        <w:rPr>
          <w:color w:val="000000"/>
          <w:spacing w:val="0"/>
          <w:w w:val="100"/>
          <w:position w:val="0"/>
        </w:rPr>
        <w:t>所建项目无论在性能上，还是在技术上已经落后，并且给企业带来的经济利益具有很大的不确定性；</w:t>
      </w:r>
    </w:p>
    <w:p>
      <w:pPr>
        <w:pStyle w:val="Style23"/>
        <w:keepNext w:val="0"/>
        <w:keepLines w:val="0"/>
        <w:widowControl w:val="0"/>
        <w:numPr>
          <w:ilvl w:val="0"/>
          <w:numId w:val="49"/>
        </w:numPr>
        <w:shd w:val="clear" w:color="auto" w:fill="auto"/>
        <w:tabs>
          <w:tab w:pos="733" w:val="left"/>
        </w:tabs>
        <w:bidi w:val="0"/>
        <w:spacing w:before="0" w:after="360" w:line="312" w:lineRule="exact"/>
        <w:ind w:left="0" w:right="0" w:firstLine="360"/>
        <w:jc w:val="both"/>
      </w:pPr>
      <w:bookmarkStart w:id="744" w:name="bookmark744"/>
      <w:bookmarkEnd w:id="744"/>
      <w:r>
        <w:rPr>
          <w:color w:val="000000"/>
          <w:spacing w:val="0"/>
          <w:w w:val="100"/>
          <w:position w:val="0"/>
        </w:rPr>
        <w:t>其他足以证明在建工程已经发生减值的情形。</w:t>
      </w:r>
    </w:p>
    <w:p>
      <w:pPr>
        <w:pStyle w:val="Style31"/>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745"/>
      <w:bookmarkEnd w:id="746"/>
      <w:bookmarkEnd w:id="748"/>
    </w:p>
    <w:p>
      <w:pPr>
        <w:pStyle w:val="Style34"/>
        <w:keepNext/>
        <w:keepLines/>
        <w:widowControl w:val="0"/>
        <w:shd w:val="clear" w:color="auto" w:fill="auto"/>
        <w:tabs>
          <w:tab w:pos="492"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49"/>
      <w:bookmarkEnd w:id="750"/>
      <w:bookmarkEnd w:id="752"/>
    </w:p>
    <w:p>
      <w:pPr>
        <w:pStyle w:val="Style23"/>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企业发生的借款费用，可直接归属于符合资本化条件的资产购建或者生产的，应当予以资本化，计入相关资产成本；其 他借款费用，应当在发生时根据其发生额确认为费用，计入当期损益。</w:t>
      </w:r>
    </w:p>
    <w:p>
      <w:pPr>
        <w:pStyle w:val="Style34"/>
        <w:keepNext/>
        <w:keepLines/>
        <w:widowControl w:val="0"/>
        <w:shd w:val="clear" w:color="auto" w:fill="auto"/>
        <w:tabs>
          <w:tab w:pos="492"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53"/>
      <w:bookmarkEnd w:id="754"/>
      <w:bookmarkEnd w:id="756"/>
    </w:p>
    <w:p>
      <w:pPr>
        <w:pStyle w:val="Style23"/>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23"/>
        <w:keepNext w:val="0"/>
        <w:keepLines w:val="0"/>
        <w:widowControl w:val="0"/>
        <w:numPr>
          <w:ilvl w:val="0"/>
          <w:numId w:val="51"/>
        </w:numPr>
        <w:shd w:val="clear" w:color="auto" w:fill="auto"/>
        <w:tabs>
          <w:tab w:pos="733" w:val="left"/>
        </w:tabs>
        <w:bidi w:val="0"/>
        <w:spacing w:before="0" w:after="100" w:line="312" w:lineRule="exact"/>
        <w:ind w:left="0" w:right="0" w:firstLine="360"/>
        <w:jc w:val="both"/>
      </w:pPr>
      <w:bookmarkStart w:id="757" w:name="bookmark757"/>
      <w:bookmarkEnd w:id="757"/>
      <w:r>
        <w:rPr>
          <w:color w:val="000000"/>
          <w:spacing w:val="0"/>
          <w:w w:val="100"/>
          <w:position w:val="0"/>
        </w:rPr>
        <w:t>资产支出已经发生；</w:t>
      </w:r>
    </w:p>
    <w:p>
      <w:pPr>
        <w:pStyle w:val="Style23"/>
        <w:keepNext w:val="0"/>
        <w:keepLines w:val="0"/>
        <w:widowControl w:val="0"/>
        <w:numPr>
          <w:ilvl w:val="0"/>
          <w:numId w:val="51"/>
        </w:numPr>
        <w:shd w:val="clear" w:color="auto" w:fill="auto"/>
        <w:tabs>
          <w:tab w:pos="733" w:val="left"/>
        </w:tabs>
        <w:bidi w:val="0"/>
        <w:spacing w:before="0" w:after="100" w:line="312" w:lineRule="exact"/>
        <w:ind w:left="0" w:right="0" w:firstLine="360"/>
        <w:jc w:val="both"/>
      </w:pPr>
      <w:bookmarkStart w:id="758" w:name="bookmark758"/>
      <w:bookmarkEnd w:id="758"/>
      <w:r>
        <w:rPr>
          <w:color w:val="000000"/>
          <w:spacing w:val="0"/>
          <w:w w:val="100"/>
          <w:position w:val="0"/>
        </w:rPr>
        <w:t>借款费用已经发生；</w:t>
      </w:r>
    </w:p>
    <w:p>
      <w:pPr>
        <w:pStyle w:val="Style23"/>
        <w:keepNext w:val="0"/>
        <w:keepLines w:val="0"/>
        <w:widowControl w:val="0"/>
        <w:numPr>
          <w:ilvl w:val="0"/>
          <w:numId w:val="51"/>
        </w:numPr>
        <w:shd w:val="clear" w:color="auto" w:fill="auto"/>
        <w:tabs>
          <w:tab w:pos="733" w:val="left"/>
        </w:tabs>
        <w:bidi w:val="0"/>
        <w:spacing w:before="0" w:after="100" w:line="312" w:lineRule="exact"/>
        <w:ind w:left="0" w:right="0" w:firstLine="360"/>
        <w:jc w:val="both"/>
      </w:pPr>
      <w:bookmarkStart w:id="759" w:name="bookmark759"/>
      <w:bookmarkEnd w:id="759"/>
      <w:r>
        <w:rPr>
          <w:color w:val="000000"/>
          <w:spacing w:val="0"/>
          <w:w w:val="100"/>
          <w:position w:val="0"/>
        </w:rPr>
        <w:t>为使资产达到预定可使用状态所必要的购建或者生产活动已经开始。</w:t>
      </w:r>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34"/>
        <w:keepNext/>
        <w:keepLines/>
        <w:widowControl w:val="0"/>
        <w:shd w:val="clear" w:color="auto" w:fill="auto"/>
        <w:tabs>
          <w:tab w:pos="492"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60"/>
      <w:bookmarkEnd w:id="761"/>
      <w:bookmarkEnd w:id="763"/>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w:t>
      </w:r>
    </w:p>
    <w:p>
      <w:pPr>
        <w:pStyle w:val="Style34"/>
        <w:keepNext/>
        <w:keepLines/>
        <w:widowControl w:val="0"/>
        <w:shd w:val="clear" w:color="auto" w:fill="auto"/>
        <w:tabs>
          <w:tab w:pos="492" w:val="left"/>
        </w:tabs>
        <w:bidi w:val="0"/>
        <w:spacing w:before="0" w:after="28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64"/>
      <w:bookmarkEnd w:id="765"/>
      <w:bookmarkEnd w:id="767"/>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23"/>
        <w:keepNext w:val="0"/>
        <w:keepLines w:val="0"/>
        <w:widowControl w:val="0"/>
        <w:shd w:val="clear" w:color="auto" w:fill="auto"/>
        <w:bidi w:val="0"/>
        <w:spacing w:before="0" w:after="280" w:line="310" w:lineRule="exact"/>
        <w:ind w:left="0" w:right="0" w:firstLine="30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w:t>
      </w:r>
    </w:p>
    <w:p>
      <w:pPr>
        <w:pStyle w:val="Style31"/>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768"/>
      <w:bookmarkEnd w:id="769"/>
      <w:bookmarkEnd w:id="771"/>
    </w:p>
    <w:p>
      <w:pPr>
        <w:pStyle w:val="Style34"/>
        <w:keepNext/>
        <w:keepLines/>
        <w:widowControl w:val="0"/>
        <w:shd w:val="clear" w:color="auto" w:fill="auto"/>
        <w:tabs>
          <w:tab w:pos="488" w:val="left"/>
        </w:tabs>
        <w:bidi w:val="0"/>
        <w:spacing w:before="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72"/>
      <w:bookmarkEnd w:id="773"/>
      <w:bookmarkEnd w:id="775"/>
    </w:p>
    <w:p>
      <w:pPr>
        <w:pStyle w:val="Style23"/>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按取得时的实际成本入账。</w:t>
      </w:r>
    </w:p>
    <w:p>
      <w:pPr>
        <w:pStyle w:val="Style34"/>
        <w:keepNext/>
        <w:keepLines/>
        <w:widowControl w:val="0"/>
        <w:shd w:val="clear" w:color="auto" w:fill="auto"/>
        <w:tabs>
          <w:tab w:pos="488" w:val="left"/>
        </w:tabs>
        <w:bidi w:val="0"/>
        <w:spacing w:before="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76"/>
      <w:bookmarkEnd w:id="777"/>
      <w:bookmarkEnd w:id="779"/>
    </w:p>
    <w:p>
      <w:pPr>
        <w:pStyle w:val="Style23"/>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使用寿命有限的无形资产的使用寿命估计情况：</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对于使用寿命有限的无形资产，本公司在取得时判定其使用寿命，每年年度终了，对使用寿命有限的无形资产的使用寿 命及摊销方法进行复核。经复核，本年末无形资产的使用寿命及摊销方法与以前估计未有不同。</w:t>
      </w:r>
    </w:p>
    <w:tbl>
      <w:tblPr>
        <w:tblOverlap w:val="never"/>
        <w:jc w:val="center"/>
        <w:tblLayout w:type="fixed"/>
      </w:tblPr>
      <w:tblGrid>
        <w:gridCol w:w="2285"/>
        <w:gridCol w:w="2218"/>
        <w:gridCol w:w="508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after="259" w:line="1" w:lineRule="exact"/>
      </w:pPr>
    </w:p>
    <w:p>
      <w:pPr>
        <w:pStyle w:val="Style34"/>
        <w:keepNext/>
        <w:keepLines/>
        <w:widowControl w:val="0"/>
        <w:shd w:val="clear" w:color="auto" w:fill="auto"/>
        <w:tabs>
          <w:tab w:pos="48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80"/>
      <w:bookmarkEnd w:id="781"/>
      <w:bookmarkEnd w:id="783"/>
    </w:p>
    <w:p>
      <w:pPr>
        <w:pStyle w:val="Style2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无法预见无形资产为企业带来经济利益期限的，视为使用寿命不确定的无形资产。对于使用寿命不确定的无形资产，公 司在每年年度终了对使用寿命不确定的无形资产的使用寿命进行复核，如果重新复核后仍为不确定的</w:t>
      </w:r>
      <w:r>
        <w:rPr>
          <w:rFonts w:ascii="Times New Roman" w:eastAsia="Times New Roman" w:hAnsi="Times New Roman" w:cs="Times New Roman"/>
          <w:color w:val="000000"/>
          <w:spacing w:val="0"/>
          <w:w w:val="100"/>
          <w:position w:val="0"/>
        </w:rPr>
        <w:t>,</w:t>
      </w:r>
      <w:r>
        <w:rPr>
          <w:color w:val="000000"/>
          <w:spacing w:val="0"/>
          <w:w w:val="100"/>
          <w:position w:val="0"/>
        </w:rPr>
        <w:t>于在资产负债表日进 行减值测试。</w:t>
      </w:r>
    </w:p>
    <w:p>
      <w:pPr>
        <w:pStyle w:val="Style34"/>
        <w:keepNext/>
        <w:keepLines/>
        <w:widowControl w:val="0"/>
        <w:shd w:val="clear" w:color="auto" w:fill="auto"/>
        <w:tabs>
          <w:tab w:pos="488"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84"/>
      <w:bookmarkEnd w:id="785"/>
      <w:bookmarkEnd w:id="787"/>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当无形资产的可收回金额低于其账面价值时，将资产的账面价值减记至可收回金额，减记的金额确认为资产减值损失， 计入当期损益，同时计提相无形资产减值准备。无形资产减值损失一经确认，在以后会计期间不再转回。存在下列一项或多 项以下情况的，对无形资产进行减值测试：</w:t>
      </w:r>
    </w:p>
    <w:p>
      <w:pPr>
        <w:pStyle w:val="Style23"/>
        <w:keepNext w:val="0"/>
        <w:keepLines w:val="0"/>
        <w:widowControl w:val="0"/>
        <w:numPr>
          <w:ilvl w:val="0"/>
          <w:numId w:val="53"/>
        </w:numPr>
        <w:shd w:val="clear" w:color="auto" w:fill="auto"/>
        <w:tabs>
          <w:tab w:pos="723" w:val="left"/>
        </w:tabs>
        <w:bidi w:val="0"/>
        <w:spacing w:before="0" w:after="0" w:line="312" w:lineRule="exact"/>
        <w:ind w:left="0" w:right="0" w:firstLine="360"/>
        <w:jc w:val="left"/>
      </w:pPr>
      <w:bookmarkStart w:id="788" w:name="bookmark788"/>
      <w:bookmarkEnd w:id="788"/>
      <w:r>
        <w:rPr>
          <w:color w:val="000000"/>
          <w:spacing w:val="0"/>
          <w:w w:val="100"/>
          <w:position w:val="0"/>
        </w:rPr>
        <w:t>该无形资产已被其他新技术等所替代，使其为企业创造经济利益的能力受到重大不利影响；</w:t>
      </w:r>
    </w:p>
    <w:p>
      <w:pPr>
        <w:pStyle w:val="Style23"/>
        <w:keepNext w:val="0"/>
        <w:keepLines w:val="0"/>
        <w:widowControl w:val="0"/>
        <w:numPr>
          <w:ilvl w:val="0"/>
          <w:numId w:val="53"/>
        </w:numPr>
        <w:shd w:val="clear" w:color="auto" w:fill="auto"/>
        <w:tabs>
          <w:tab w:pos="723" w:val="left"/>
        </w:tabs>
        <w:bidi w:val="0"/>
        <w:spacing w:before="0" w:after="0" w:line="312" w:lineRule="exact"/>
        <w:ind w:left="0" w:right="0" w:firstLine="360"/>
        <w:jc w:val="left"/>
      </w:pPr>
      <w:bookmarkStart w:id="789" w:name="bookmark789"/>
      <w:bookmarkEnd w:id="789"/>
      <w:r>
        <w:rPr>
          <w:color w:val="000000"/>
          <w:spacing w:val="0"/>
          <w:w w:val="100"/>
          <w:position w:val="0"/>
        </w:rPr>
        <w:t>该无形资产的市价在当期大幅下跌，并在剩余年限内可能不会回升；</w:t>
      </w:r>
    </w:p>
    <w:p>
      <w:pPr>
        <w:pStyle w:val="Style23"/>
        <w:keepNext w:val="0"/>
        <w:keepLines w:val="0"/>
        <w:widowControl w:val="0"/>
        <w:numPr>
          <w:ilvl w:val="0"/>
          <w:numId w:val="53"/>
        </w:numPr>
        <w:shd w:val="clear" w:color="auto" w:fill="auto"/>
        <w:tabs>
          <w:tab w:pos="723" w:val="left"/>
        </w:tabs>
        <w:bidi w:val="0"/>
        <w:spacing w:before="0" w:after="360" w:line="312" w:lineRule="exact"/>
        <w:ind w:left="0" w:right="0" w:firstLine="360"/>
        <w:jc w:val="left"/>
      </w:pPr>
      <w:bookmarkStart w:id="790" w:name="bookmark790"/>
      <w:bookmarkEnd w:id="790"/>
      <w:r>
        <w:rPr>
          <w:color w:val="000000"/>
          <w:spacing w:val="0"/>
          <w:w w:val="100"/>
          <w:position w:val="0"/>
        </w:rPr>
        <w:t>其他足以表明该无形资产的账面价值已超过可收回金额的情况。</w:t>
      </w:r>
    </w:p>
    <w:p>
      <w:pPr>
        <w:pStyle w:val="Style34"/>
        <w:keepNext/>
        <w:keepLines/>
        <w:widowControl w:val="0"/>
        <w:shd w:val="clear" w:color="auto" w:fill="auto"/>
        <w:tabs>
          <w:tab w:pos="488" w:val="left"/>
        </w:tabs>
        <w:bidi w:val="0"/>
        <w:spacing w:before="0" w:after="26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91"/>
      <w:bookmarkEnd w:id="792"/>
      <w:bookmarkEnd w:id="794"/>
    </w:p>
    <w:p>
      <w:pPr>
        <w:pStyle w:val="Style23"/>
        <w:keepNext w:val="0"/>
        <w:keepLines w:val="0"/>
        <w:widowControl w:val="0"/>
        <w:numPr>
          <w:ilvl w:val="0"/>
          <w:numId w:val="55"/>
        </w:numPr>
        <w:shd w:val="clear" w:color="auto" w:fill="auto"/>
        <w:tabs>
          <w:tab w:pos="733" w:val="left"/>
        </w:tabs>
        <w:bidi w:val="0"/>
        <w:spacing w:before="0" w:after="0" w:line="312" w:lineRule="exact"/>
        <w:ind w:left="0" w:right="0" w:firstLine="360"/>
        <w:jc w:val="both"/>
      </w:pPr>
      <w:bookmarkStart w:id="795" w:name="bookmark795"/>
      <w:bookmarkEnd w:id="795"/>
      <w:r>
        <w:rPr>
          <w:color w:val="000000"/>
          <w:spacing w:val="0"/>
          <w:w w:val="100"/>
          <w:position w:val="0"/>
        </w:rPr>
        <w:t>本公司将为进一步开发活动进行的资料及相关方面的准备活动作为研究阶段。</w:t>
      </w:r>
    </w:p>
    <w:p>
      <w:pPr>
        <w:pStyle w:val="Style23"/>
        <w:keepNext w:val="0"/>
        <w:keepLines w:val="0"/>
        <w:widowControl w:val="0"/>
        <w:numPr>
          <w:ilvl w:val="0"/>
          <w:numId w:val="55"/>
        </w:numPr>
        <w:shd w:val="clear" w:color="auto" w:fill="auto"/>
        <w:tabs>
          <w:tab w:pos="728" w:val="left"/>
        </w:tabs>
        <w:bidi w:val="0"/>
        <w:spacing w:before="0" w:after="360" w:line="329" w:lineRule="exact"/>
        <w:ind w:left="0" w:right="0" w:firstLine="360"/>
        <w:jc w:val="left"/>
      </w:pPr>
      <w:bookmarkStart w:id="796" w:name="bookmark796"/>
      <w:bookmarkEnd w:id="796"/>
      <w:r>
        <w:rPr>
          <w:color w:val="000000"/>
          <w:spacing w:val="0"/>
          <w:w w:val="100"/>
          <w:position w:val="0"/>
        </w:rPr>
        <w:t>在本公司已完成研究阶段的工作后再进行的开发活动作为开发阶段。一般为项目立项申请经过研究阶段的研究分析， 评审形成立项报告后，研发项目组完成软件详细设计、代码编写、系统测试等工作，并且通过不断修订完善直至达到可使用 或可销售状态。</w:t>
      </w:r>
    </w:p>
    <w:p>
      <w:pPr>
        <w:pStyle w:val="Style34"/>
        <w:keepNext/>
        <w:keepLines/>
        <w:widowControl w:val="0"/>
        <w:shd w:val="clear" w:color="auto" w:fill="auto"/>
        <w:tabs>
          <w:tab w:pos="48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97"/>
      <w:bookmarkEnd w:id="798"/>
      <w:bookmarkEnd w:id="800"/>
    </w:p>
    <w:p>
      <w:pPr>
        <w:pStyle w:val="Style23"/>
        <w:keepNext w:val="0"/>
        <w:keepLines w:val="0"/>
        <w:widowControl w:val="0"/>
        <w:numPr>
          <w:ilvl w:val="0"/>
          <w:numId w:val="57"/>
        </w:numPr>
        <w:shd w:val="clear" w:color="auto" w:fill="auto"/>
        <w:tabs>
          <w:tab w:pos="733" w:val="left"/>
        </w:tabs>
        <w:bidi w:val="0"/>
        <w:spacing w:before="0" w:after="0" w:line="312" w:lineRule="exact"/>
        <w:ind w:left="0" w:right="0" w:firstLine="360"/>
        <w:jc w:val="left"/>
      </w:pPr>
      <w:bookmarkStart w:id="801" w:name="bookmark801"/>
      <w:bookmarkEnd w:id="801"/>
      <w:r>
        <w:rPr>
          <w:color w:val="000000"/>
          <w:spacing w:val="0"/>
          <w:w w:val="100"/>
          <w:position w:val="0"/>
        </w:rPr>
        <w:t>无形资产研究阶段的支出在发生时计入当期损益。</w:t>
      </w:r>
    </w:p>
    <w:p>
      <w:pPr>
        <w:pStyle w:val="Style23"/>
        <w:keepNext w:val="0"/>
        <w:keepLines w:val="0"/>
        <w:widowControl w:val="0"/>
        <w:numPr>
          <w:ilvl w:val="0"/>
          <w:numId w:val="57"/>
        </w:numPr>
        <w:shd w:val="clear" w:color="auto" w:fill="auto"/>
        <w:tabs>
          <w:tab w:pos="733" w:val="left"/>
        </w:tabs>
        <w:bidi w:val="0"/>
        <w:spacing w:before="0" w:after="0" w:line="312" w:lineRule="exact"/>
        <w:ind w:left="0" w:right="0" w:firstLine="360"/>
        <w:jc w:val="left"/>
      </w:pPr>
      <w:bookmarkStart w:id="802" w:name="bookmark802"/>
      <w:bookmarkEnd w:id="802"/>
      <w:r>
        <w:rPr>
          <w:color w:val="000000"/>
          <w:spacing w:val="0"/>
          <w:w w:val="100"/>
          <w:position w:val="0"/>
        </w:rPr>
        <w:t>开发阶段的支出同时满足下列条件时确认为无形资产，否则计入当期损益。</w:t>
      </w:r>
    </w:p>
    <w:p>
      <w:pPr>
        <w:pStyle w:val="Style23"/>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完成该无形资产以使其能够使用或出售在技术上具有可行性；</w:t>
      </w:r>
    </w:p>
    <w:p>
      <w:pPr>
        <w:pStyle w:val="Style23"/>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具有完成该无形资产并使用或出售的意图；</w:t>
      </w:r>
    </w:p>
    <w:p>
      <w:pPr>
        <w:pStyle w:val="Style23"/>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无形资产产生经济利益的方式，包括能够证明运用该无形资产生产的产品存在市场或无形资产自身存在市场，无形资 </w:t>
      </w:r>
      <w:r>
        <w:rPr>
          <w:color w:val="000000"/>
          <w:spacing w:val="0"/>
          <w:w w:val="100"/>
          <w:position w:val="0"/>
        </w:rPr>
        <w:t>产将在内部使用的，能够证明其有用性；</w:t>
      </w:r>
    </w:p>
    <w:p>
      <w:pPr>
        <w:pStyle w:val="Style2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有足够的技术、财务资源和其他资源支持，以完成该无形资产的开发，并有能力使用或出售该无形资产；</w:t>
      </w:r>
    </w:p>
    <w:p>
      <w:pPr>
        <w:pStyle w:val="Style23"/>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归属于该无形资产开发阶段的支出能够可靠地计量。</w:t>
      </w:r>
    </w:p>
    <w:p>
      <w:pPr>
        <w:pStyle w:val="Style31"/>
        <w:keepNext/>
        <w:keepLines/>
        <w:widowControl w:val="0"/>
        <w:shd w:val="clear" w:color="auto" w:fill="auto"/>
        <w:tabs>
          <w:tab w:pos="469" w:val="left"/>
        </w:tabs>
        <w:bidi w:val="0"/>
        <w:spacing w:before="0" w:after="28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803"/>
      <w:bookmarkEnd w:id="804"/>
      <w:bookmarkEnd w:id="806"/>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长期待摊费用在受益期内平均摊销，其中：经营租赁方式租入的固定资产改良支出，按最佳预期经济利益实现方式合理 摊销。</w:t>
      </w:r>
    </w:p>
    <w:p>
      <w:pPr>
        <w:pStyle w:val="Style31"/>
        <w:keepNext/>
        <w:keepLines/>
        <w:widowControl w:val="0"/>
        <w:shd w:val="clear" w:color="auto" w:fill="auto"/>
        <w:tabs>
          <w:tab w:pos="469" w:val="left"/>
        </w:tabs>
        <w:bidi w:val="0"/>
        <w:spacing w:before="0" w:after="3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07"/>
      <w:bookmarkEnd w:id="808"/>
      <w:bookmarkEnd w:id="810"/>
    </w:p>
    <w:p>
      <w:pPr>
        <w:pStyle w:val="Style34"/>
        <w:keepNext/>
        <w:keepLines/>
        <w:widowControl w:val="0"/>
        <w:shd w:val="clear" w:color="auto" w:fill="auto"/>
        <w:tabs>
          <w:tab w:pos="488"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11"/>
      <w:bookmarkEnd w:id="812"/>
      <w:bookmarkEnd w:id="814"/>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如果与或有事项相关的义务同时符合以下条件，本公司将其确认为预计负债：</w:t>
      </w:r>
    </w:p>
    <w:p>
      <w:pPr>
        <w:pStyle w:val="Style23"/>
        <w:keepNext w:val="0"/>
        <w:keepLines w:val="0"/>
        <w:widowControl w:val="0"/>
        <w:numPr>
          <w:ilvl w:val="0"/>
          <w:numId w:val="59"/>
        </w:numPr>
        <w:shd w:val="clear" w:color="auto" w:fill="auto"/>
        <w:tabs>
          <w:tab w:pos="753" w:val="left"/>
        </w:tabs>
        <w:bidi w:val="0"/>
        <w:spacing w:before="0" w:after="0" w:line="312" w:lineRule="exact"/>
        <w:ind w:left="0" w:right="0"/>
        <w:jc w:val="both"/>
      </w:pPr>
      <w:bookmarkStart w:id="815" w:name="bookmark815"/>
      <w:bookmarkEnd w:id="815"/>
      <w:r>
        <w:rPr>
          <w:color w:val="000000"/>
          <w:spacing w:val="0"/>
          <w:w w:val="100"/>
          <w:position w:val="0"/>
        </w:rPr>
        <w:t>该义务是本公司承担的现时义务；</w:t>
      </w:r>
    </w:p>
    <w:p>
      <w:pPr>
        <w:pStyle w:val="Style23"/>
        <w:keepNext w:val="0"/>
        <w:keepLines w:val="0"/>
        <w:widowControl w:val="0"/>
        <w:numPr>
          <w:ilvl w:val="0"/>
          <w:numId w:val="59"/>
        </w:numPr>
        <w:shd w:val="clear" w:color="auto" w:fill="auto"/>
        <w:tabs>
          <w:tab w:pos="753" w:val="left"/>
        </w:tabs>
        <w:bidi w:val="0"/>
        <w:spacing w:before="0" w:after="0" w:line="312" w:lineRule="exact"/>
        <w:ind w:left="0" w:right="0"/>
        <w:jc w:val="both"/>
      </w:pPr>
      <w:bookmarkStart w:id="816" w:name="bookmark816"/>
      <w:bookmarkEnd w:id="816"/>
      <w:r>
        <w:rPr>
          <w:color w:val="000000"/>
          <w:spacing w:val="0"/>
          <w:w w:val="100"/>
          <w:position w:val="0"/>
        </w:rPr>
        <w:t>该义务的履行很可能导致经济利益流出本公司；</w:t>
      </w:r>
    </w:p>
    <w:p>
      <w:pPr>
        <w:pStyle w:val="Style23"/>
        <w:keepNext w:val="0"/>
        <w:keepLines w:val="0"/>
        <w:widowControl w:val="0"/>
        <w:numPr>
          <w:ilvl w:val="0"/>
          <w:numId w:val="59"/>
        </w:numPr>
        <w:shd w:val="clear" w:color="auto" w:fill="auto"/>
        <w:tabs>
          <w:tab w:pos="753" w:val="left"/>
        </w:tabs>
        <w:bidi w:val="0"/>
        <w:spacing w:before="0" w:after="360" w:line="312" w:lineRule="exact"/>
        <w:ind w:left="0" w:right="0"/>
        <w:jc w:val="both"/>
      </w:pPr>
      <w:bookmarkStart w:id="817" w:name="bookmark817"/>
      <w:bookmarkEnd w:id="817"/>
      <w:r>
        <w:rPr>
          <w:color w:val="000000"/>
          <w:spacing w:val="0"/>
          <w:w w:val="100"/>
          <w:position w:val="0"/>
        </w:rPr>
        <w:t>该义务的金额能够可靠地计量。</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18"/>
      <w:bookmarkEnd w:id="819"/>
      <w:bookmarkEnd w:id="821"/>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预计负债按照履行相关现时义务所需支出的最佳估计数进行初始计量，并综合考虑与或事项有关的风险、不确定性和货 币时间价值等因素。每个资产负债表日对预计负债的账面价值进行复核。有确凿证据表明该账面价值不能反映当前最佳估计 数的，按照当前最佳估计数对该账面价值进行调整。</w:t>
      </w:r>
    </w:p>
    <w:p>
      <w:pPr>
        <w:pStyle w:val="Style31"/>
        <w:keepNext/>
        <w:keepLines/>
        <w:widowControl w:val="0"/>
        <w:shd w:val="clear" w:color="auto" w:fill="auto"/>
        <w:tabs>
          <w:tab w:pos="478"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股份支付及权益工具</w:t>
      </w:r>
      <w:bookmarkEnd w:id="822"/>
      <w:bookmarkEnd w:id="823"/>
      <w:bookmarkEnd w:id="825"/>
    </w:p>
    <w:p>
      <w:pPr>
        <w:pStyle w:val="Style34"/>
        <w:keepNext/>
        <w:keepLines/>
        <w:widowControl w:val="0"/>
        <w:shd w:val="clear" w:color="auto" w:fill="auto"/>
        <w:tabs>
          <w:tab w:pos="488"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26"/>
      <w:bookmarkEnd w:id="827"/>
      <w:bookmarkEnd w:id="829"/>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以现金结算的股份支付和以权益结算的股份支付。</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30"/>
      <w:bookmarkEnd w:id="831"/>
      <w:bookmarkEnd w:id="833"/>
    </w:p>
    <w:p>
      <w:pPr>
        <w:pStyle w:val="Style23"/>
        <w:keepNext w:val="0"/>
        <w:keepLines w:val="0"/>
        <w:widowControl w:val="0"/>
        <w:numPr>
          <w:ilvl w:val="0"/>
          <w:numId w:val="61"/>
        </w:numPr>
        <w:shd w:val="clear" w:color="auto" w:fill="auto"/>
        <w:tabs>
          <w:tab w:pos="728" w:val="left"/>
        </w:tabs>
        <w:bidi w:val="0"/>
        <w:spacing w:before="0" w:after="0" w:line="312" w:lineRule="exact"/>
        <w:ind w:left="0" w:right="0"/>
        <w:jc w:val="both"/>
      </w:pPr>
      <w:bookmarkStart w:id="834" w:name="bookmark834"/>
      <w:bookmarkEnd w:id="834"/>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23"/>
        <w:keepNext w:val="0"/>
        <w:keepLines w:val="0"/>
        <w:widowControl w:val="0"/>
        <w:numPr>
          <w:ilvl w:val="0"/>
          <w:numId w:val="61"/>
        </w:numPr>
        <w:shd w:val="clear" w:color="auto" w:fill="auto"/>
        <w:tabs>
          <w:tab w:pos="728" w:val="left"/>
        </w:tabs>
        <w:bidi w:val="0"/>
        <w:spacing w:before="0" w:after="360" w:line="307" w:lineRule="exact"/>
        <w:ind w:left="0" w:right="0"/>
        <w:jc w:val="both"/>
      </w:pPr>
      <w:bookmarkStart w:id="835" w:name="bookmark835"/>
      <w:bookmarkEnd w:id="835"/>
      <w:r>
        <w:rPr>
          <w:color w:val="000000"/>
          <w:spacing w:val="0"/>
          <w:w w:val="100"/>
          <w:position w:val="0"/>
        </w:rPr>
        <w:t>对于授予职工的股票期权，在许多情况下难以获得其市场价格。如果不存在条款和条件相似的交易期权，公司选择适 用的期权定价模型估计所授予的期权的公允价值。</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36"/>
      <w:bookmarkEnd w:id="837"/>
      <w:bookmarkEnd w:id="839"/>
    </w:p>
    <w:p>
      <w:pPr>
        <w:pStyle w:val="Style23"/>
        <w:keepNext w:val="0"/>
        <w:keepLines w:val="0"/>
        <w:widowControl w:val="0"/>
        <w:shd w:val="clear" w:color="auto" w:fill="auto"/>
        <w:bidi w:val="0"/>
        <w:spacing w:before="0" w:after="360" w:line="307" w:lineRule="exact"/>
        <w:ind w:left="0" w:right="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34"/>
        <w:keepNext/>
        <w:keepLines/>
        <w:widowControl w:val="0"/>
        <w:shd w:val="clear" w:color="auto" w:fill="auto"/>
        <w:tabs>
          <w:tab w:pos="488"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40"/>
      <w:bookmarkEnd w:id="841"/>
      <w:bookmarkEnd w:id="843"/>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①授予后立即可行权的以现金结算的股份支付，在授予日以本公司承担负债的公允价值计入相关成本或费用，相应增加 </w:t>
      </w:r>
      <w:r>
        <w:rPr>
          <w:color w:val="000000"/>
          <w:spacing w:val="0"/>
          <w:w w:val="100"/>
          <w:position w:val="0"/>
        </w:rPr>
        <w:t>负债。并在结算前的每个资产负债表日和结算日对负债的公允价值重新计量，将其变动计入损益。</w:t>
      </w:r>
    </w:p>
    <w:p>
      <w:pPr>
        <w:pStyle w:val="Style23"/>
        <w:keepNext w:val="0"/>
        <w:keepLines w:val="0"/>
        <w:widowControl w:val="0"/>
        <w:numPr>
          <w:ilvl w:val="0"/>
          <w:numId w:val="63"/>
        </w:numPr>
        <w:shd w:val="clear" w:color="auto" w:fill="auto"/>
        <w:tabs>
          <w:tab w:pos="717" w:val="left"/>
        </w:tabs>
        <w:bidi w:val="0"/>
        <w:spacing w:before="0" w:after="0" w:line="312" w:lineRule="exact"/>
        <w:ind w:left="0" w:right="0"/>
        <w:jc w:val="both"/>
      </w:pPr>
      <w:bookmarkStart w:id="844" w:name="bookmark844"/>
      <w:bookmarkEnd w:id="844"/>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23"/>
        <w:keepNext w:val="0"/>
        <w:keepLines w:val="0"/>
        <w:widowControl w:val="0"/>
        <w:numPr>
          <w:ilvl w:val="0"/>
          <w:numId w:val="63"/>
        </w:numPr>
        <w:shd w:val="clear" w:color="auto" w:fill="auto"/>
        <w:tabs>
          <w:tab w:pos="712" w:val="left"/>
        </w:tabs>
        <w:bidi w:val="0"/>
        <w:spacing w:before="0" w:after="0" w:line="312" w:lineRule="exact"/>
        <w:ind w:left="0" w:right="0"/>
        <w:jc w:val="both"/>
      </w:pPr>
      <w:bookmarkStart w:id="845" w:name="bookmark845"/>
      <w:bookmarkEnd w:id="845"/>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3"/>
        <w:keepNext w:val="0"/>
        <w:keepLines w:val="0"/>
        <w:widowControl w:val="0"/>
        <w:numPr>
          <w:ilvl w:val="0"/>
          <w:numId w:val="63"/>
        </w:numPr>
        <w:shd w:val="clear" w:color="auto" w:fill="auto"/>
        <w:tabs>
          <w:tab w:pos="712" w:val="left"/>
        </w:tabs>
        <w:bidi w:val="0"/>
        <w:spacing w:before="0" w:after="0" w:line="310" w:lineRule="exact"/>
        <w:ind w:left="0" w:right="0"/>
        <w:jc w:val="both"/>
      </w:pPr>
      <w:bookmarkStart w:id="846" w:name="bookmark846"/>
      <w:bookmarkEnd w:id="846"/>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23"/>
        <w:keepNext w:val="0"/>
        <w:keepLines w:val="0"/>
        <w:widowControl w:val="0"/>
        <w:numPr>
          <w:ilvl w:val="0"/>
          <w:numId w:val="63"/>
        </w:numPr>
        <w:shd w:val="clear" w:color="auto" w:fill="auto"/>
        <w:tabs>
          <w:tab w:pos="712" w:val="left"/>
        </w:tabs>
        <w:bidi w:val="0"/>
        <w:spacing w:before="0" w:after="360" w:line="314" w:lineRule="exact"/>
        <w:ind w:left="0" w:right="0"/>
        <w:jc w:val="both"/>
      </w:pPr>
      <w:bookmarkStart w:id="847" w:name="bookmark847"/>
      <w:bookmarkEnd w:id="847"/>
      <w:r>
        <w:rPr>
          <w:color w:val="000000"/>
          <w:spacing w:val="0"/>
          <w:w w:val="100"/>
          <w:position w:val="0"/>
        </w:rPr>
        <w:t>若在等待期内取消了授予的权益工具（因未满足可行权条件而被取消的除外），本公司对取消所授予的权益性工具作 为加速可行权处理，将剩余等待期内应确认的金额立即计入当期损益，同时确认资本公积。职工或其他方能够选择满足非可 行权条件但在等待期内未满足的，本公司将其作为授予权益工具的取消处理。</w:t>
      </w:r>
    </w:p>
    <w:p>
      <w:pPr>
        <w:pStyle w:val="Style31"/>
        <w:keepNext/>
        <w:keepLines/>
        <w:widowControl w:val="0"/>
        <w:shd w:val="clear" w:color="auto" w:fill="auto"/>
        <w:tabs>
          <w:tab w:pos="498"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回购本公司股份</w:t>
      </w:r>
      <w:bookmarkEnd w:id="848"/>
      <w:bookmarkEnd w:id="849"/>
      <w:bookmarkEnd w:id="851"/>
    </w:p>
    <w:p>
      <w:pPr>
        <w:pStyle w:val="Style23"/>
        <w:keepNext w:val="0"/>
        <w:keepLines w:val="0"/>
        <w:widowControl w:val="0"/>
        <w:shd w:val="clear" w:color="auto" w:fill="auto"/>
        <w:tabs>
          <w:tab w:pos="890" w:val="left"/>
        </w:tabs>
        <w:bidi w:val="0"/>
        <w:spacing w:before="0" w:after="0" w:line="312"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公司按法定程序报经批准采用收购本公司股票方式减资的，按注销股票面值总额减少股本,购回股票支付的价款</w:t>
      </w:r>
      <w:r>
        <w:rPr>
          <w:rFonts w:ascii="Times New Roman" w:eastAsia="Times New Roman" w:hAnsi="Times New Roman" w:cs="Times New Roman"/>
          <w:color w:val="000000"/>
          <w:spacing w:val="0"/>
          <w:w w:val="100"/>
          <w:position w:val="0"/>
        </w:rPr>
        <w:t>（</w:t>
      </w:r>
      <w:r>
        <w:rPr>
          <w:color w:val="000000"/>
          <w:spacing w:val="0"/>
          <w:w w:val="100"/>
          <w:position w:val="0"/>
        </w:rPr>
        <w:t>含 交易费用</w:t>
      </w:r>
      <w:r>
        <w:rPr>
          <w:rFonts w:ascii="Times New Roman" w:eastAsia="Times New Roman" w:hAnsi="Times New Roman" w:cs="Times New Roman"/>
          <w:color w:val="000000"/>
          <w:spacing w:val="0"/>
          <w:w w:val="100"/>
          <w:position w:val="0"/>
        </w:rPr>
        <w:t>）</w:t>
      </w:r>
      <w:r>
        <w:rPr>
          <w:color w:val="000000"/>
          <w:spacing w:val="0"/>
          <w:w w:val="100"/>
          <w:position w:val="0"/>
        </w:rPr>
        <w:t>与股票面值的差额调整所有者权益，超过面值总额的部分，依次冲减资本公积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、盈余公积和未分配利润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低于面值总额的，低于面值总额的部分增加资本公积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tabs>
          <w:tab w:pos="809" w:val="left"/>
        </w:tabs>
        <w:bidi w:val="0"/>
        <w:spacing w:before="0" w:after="0" w:line="312"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公司回购的股份在注销或者转让之前，作为库存股管理，回购股份的全部支出转作库存股成本。</w:t>
      </w:r>
    </w:p>
    <w:p>
      <w:pPr>
        <w:pStyle w:val="Style23"/>
        <w:keepNext w:val="0"/>
        <w:keepLines w:val="0"/>
        <w:widowControl w:val="0"/>
        <w:shd w:val="clear" w:color="auto" w:fill="auto"/>
        <w:tabs>
          <w:tab w:pos="885" w:val="left"/>
        </w:tabs>
        <w:bidi w:val="0"/>
        <w:spacing w:before="0" w:after="360" w:line="317" w:lineRule="exact"/>
        <w:ind w:left="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w:t>
        <w:tab/>
        <w:t>库存股转让时，转让收入高于库存股成本的部分，增加资本公积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低于库存股成本的部分，依次冲减资 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、盈余公积、未分配利润。</w:t>
      </w:r>
    </w:p>
    <w:p>
      <w:pPr>
        <w:pStyle w:val="Style31"/>
        <w:keepNext/>
        <w:keepLines/>
        <w:widowControl w:val="0"/>
        <w:shd w:val="clear" w:color="auto" w:fill="auto"/>
        <w:tabs>
          <w:tab w:pos="498" w:val="left"/>
        </w:tabs>
        <w:bidi w:val="0"/>
        <w:spacing w:before="0" w:after="3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855"/>
      <w:bookmarkEnd w:id="856"/>
      <w:bookmarkEnd w:id="858"/>
    </w:p>
    <w:p>
      <w:pPr>
        <w:pStyle w:val="Style34"/>
        <w:keepNext/>
        <w:keepLines/>
        <w:widowControl w:val="0"/>
        <w:shd w:val="clear" w:color="auto" w:fill="auto"/>
        <w:tabs>
          <w:tab w:pos="498"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59"/>
      <w:bookmarkEnd w:id="860"/>
      <w:bookmarkEnd w:id="862"/>
    </w:p>
    <w:p>
      <w:pPr>
        <w:pStyle w:val="Style23"/>
        <w:keepNext w:val="0"/>
        <w:keepLines w:val="0"/>
        <w:widowControl w:val="0"/>
        <w:numPr>
          <w:ilvl w:val="0"/>
          <w:numId w:val="65"/>
        </w:numPr>
        <w:shd w:val="clear" w:color="auto" w:fill="auto"/>
        <w:tabs>
          <w:tab w:pos="737" w:val="left"/>
        </w:tabs>
        <w:bidi w:val="0"/>
        <w:spacing w:before="0" w:after="0" w:line="312" w:lineRule="exact"/>
        <w:ind w:left="0" w:right="0"/>
        <w:jc w:val="left"/>
      </w:pPr>
      <w:bookmarkStart w:id="863" w:name="bookmark863"/>
      <w:bookmarkEnd w:id="863"/>
      <w:r>
        <w:rPr>
          <w:color w:val="000000"/>
          <w:spacing w:val="0"/>
          <w:w w:val="100"/>
          <w:position w:val="0"/>
        </w:rPr>
        <w:t>一般商品销售收入</w:t>
      </w:r>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公司已将商品所有权上的主要风险和报酬转移给购货方；公司既没有保留通常与所有权相联系的继续管理权，也没有对 已售出的商品实施有效控制；收入的金额能够可靠地计量；相关的经济利益很可能流入公司；相关的已发生或将发生的成本 能够可靠地计量。</w:t>
      </w:r>
    </w:p>
    <w:p>
      <w:pPr>
        <w:pStyle w:val="Style23"/>
        <w:keepNext w:val="0"/>
        <w:keepLines w:val="0"/>
        <w:widowControl w:val="0"/>
        <w:numPr>
          <w:ilvl w:val="0"/>
          <w:numId w:val="65"/>
        </w:numPr>
        <w:shd w:val="clear" w:color="auto" w:fill="auto"/>
        <w:tabs>
          <w:tab w:pos="737" w:val="left"/>
        </w:tabs>
        <w:bidi w:val="0"/>
        <w:spacing w:before="0" w:after="0" w:line="312" w:lineRule="exact"/>
        <w:ind w:left="0" w:right="0"/>
        <w:jc w:val="both"/>
      </w:pPr>
      <w:bookmarkStart w:id="864" w:name="bookmark864"/>
      <w:bookmarkEnd w:id="864"/>
      <w:r>
        <w:rPr>
          <w:color w:val="000000"/>
          <w:spacing w:val="0"/>
          <w:w w:val="100"/>
          <w:position w:val="0"/>
        </w:rPr>
        <w:t>定制软件销售收入</w:t>
      </w:r>
    </w:p>
    <w:p>
      <w:pPr>
        <w:pStyle w:val="Style23"/>
        <w:keepNext w:val="0"/>
        <w:keepLines w:val="0"/>
        <w:widowControl w:val="0"/>
        <w:shd w:val="clear" w:color="auto" w:fill="auto"/>
        <w:bidi w:val="0"/>
        <w:spacing w:before="0" w:after="360" w:line="310" w:lineRule="exact"/>
        <w:ind w:left="0" w:right="0"/>
        <w:jc w:val="both"/>
      </w:pPr>
      <w:r>
        <w:rPr>
          <w:color w:val="000000"/>
          <w:spacing w:val="0"/>
          <w:w w:val="100"/>
          <w:position w:val="0"/>
        </w:rPr>
        <w:t>提供定制软件劳务交易的结果在资产负债表日能够可靠估计的（同时满足收入的金额能够可靠地计量、相关经济利益很 可能流入、交易的完工进度能够可靠地确定、交易中已发生和将发生的成本能够可靠地计量），采用完工百分比法确认提供 劳务的收入，并按已经发生的成本占估计总成本的比例确定提供劳务交易的完工进度。提供定制软件劳务交易的结果在资产 负债表日不能够可靠估计的，若已经发生的劳务成本预计能够得到补偿，按已经发生的劳务成本金额确认提供劳务收入，并 按相同金额结转劳务成本；若已经发生的劳务成本预计不能够得到补偿，将已经发生的劳务成本计入当期损益，不确认劳务 收入。由公司负责免费维护的完工软件产品，在确认收入的同时，合理地估计并按收入的</w:t>
      </w:r>
      <w:r>
        <w:rPr>
          <w:rFonts w:ascii="Times New Roman" w:eastAsia="Times New Roman" w:hAnsi="Times New Roman" w:cs="Times New Roman"/>
          <w:color w:val="000000"/>
          <w:spacing w:val="0"/>
          <w:w w:val="100"/>
          <w:position w:val="0"/>
        </w:rPr>
        <w:t>2%</w:t>
      </w:r>
      <w:r>
        <w:rPr>
          <w:color w:val="000000"/>
          <w:spacing w:val="0"/>
          <w:w w:val="100"/>
          <w:position w:val="0"/>
        </w:rPr>
        <w:t>预提软件维护费用。</w:t>
      </w:r>
    </w:p>
    <w:p>
      <w:pPr>
        <w:pStyle w:val="Style34"/>
        <w:keepNext/>
        <w:keepLines/>
        <w:widowControl w:val="0"/>
        <w:shd w:val="clear" w:color="auto" w:fill="auto"/>
        <w:tabs>
          <w:tab w:pos="498"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65"/>
      <w:bookmarkEnd w:id="866"/>
      <w:bookmarkEnd w:id="868"/>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相关的经济利益很可能流入公司；收入的金额能够可靠地计量。利息收入金额，按照他人使用本公司货币资金的时间和 实际利率计算确定；使用费收入金额，按照有关合同或协议约定的收费时间和方法计算确定。</w:t>
      </w:r>
    </w:p>
    <w:p>
      <w:pPr>
        <w:pStyle w:val="Style34"/>
        <w:keepNext/>
        <w:keepLines/>
        <w:widowControl w:val="0"/>
        <w:shd w:val="clear" w:color="auto" w:fill="auto"/>
        <w:bidi w:val="0"/>
        <w:spacing w:before="0" w:after="26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869"/>
      <w:bookmarkEnd w:id="870"/>
      <w:bookmarkEnd w:id="872"/>
    </w:p>
    <w:p>
      <w:pPr>
        <w:pStyle w:val="Style23"/>
        <w:keepNext w:val="0"/>
        <w:keepLines w:val="0"/>
        <w:widowControl w:val="0"/>
        <w:shd w:val="clear" w:color="auto" w:fill="auto"/>
        <w:bidi w:val="0"/>
        <w:spacing w:before="0" w:after="360" w:line="312" w:lineRule="exact"/>
        <w:ind w:left="0" w:right="0"/>
        <w:jc w:val="both"/>
      </w:pPr>
      <w:r>
        <w:rPr>
          <w:color w:val="000000"/>
          <w:spacing w:val="0"/>
          <w:w w:val="100"/>
          <w:position w:val="0"/>
        </w:rPr>
        <w:t>根据合同约定提供了相应服务，取得明确的收款证据，相关成本能够可靠地计量时，确认收入。合同规定约定服务期限 的，在合同约定的服务期限内，按进度确认收入；合同明确约定了服务成果需经客户验收确认的，根据客户验收情况确认收 入。</w:t>
      </w:r>
    </w:p>
    <w:p>
      <w:pPr>
        <w:pStyle w:val="Style31"/>
        <w:keepNext/>
        <w:keepLines/>
        <w:widowControl w:val="0"/>
        <w:shd w:val="clear" w:color="auto" w:fill="auto"/>
        <w:tabs>
          <w:tab w:pos="516" w:val="left"/>
        </w:tabs>
        <w:bidi w:val="0"/>
        <w:spacing w:before="0" w:after="36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873"/>
      <w:bookmarkEnd w:id="874"/>
      <w:bookmarkEnd w:id="876"/>
    </w:p>
    <w:p>
      <w:pPr>
        <w:pStyle w:val="Style34"/>
        <w:keepNext/>
        <w:keepLines/>
        <w:widowControl w:val="0"/>
        <w:shd w:val="clear" w:color="auto" w:fill="auto"/>
        <w:tabs>
          <w:tab w:pos="516" w:val="left"/>
        </w:tabs>
        <w:bidi w:val="0"/>
        <w:spacing w:before="0" w:after="26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77"/>
      <w:bookmarkEnd w:id="878"/>
      <w:bookmarkEnd w:id="880"/>
    </w:p>
    <w:p>
      <w:pPr>
        <w:pStyle w:val="Style23"/>
        <w:keepNext w:val="0"/>
        <w:keepLines w:val="0"/>
        <w:widowControl w:val="0"/>
        <w:shd w:val="clear" w:color="auto" w:fill="auto"/>
        <w:bidi w:val="0"/>
        <w:spacing w:before="0" w:after="360" w:line="307" w:lineRule="exact"/>
        <w:ind w:left="0" w:right="0"/>
        <w:jc w:val="both"/>
      </w:pPr>
      <w:r>
        <w:rPr>
          <w:color w:val="000000"/>
          <w:spacing w:val="0"/>
          <w:w w:val="100"/>
          <w:position w:val="0"/>
        </w:rPr>
        <w:t>公司将从政府无偿取得货币性资产或非货币性资产，但不包括政府作为企业所有者投入的资本作为政府补助核算。 政府补助分为与资产相关的政府补助和与收益相关的政府补助。</w:t>
      </w:r>
    </w:p>
    <w:p>
      <w:pPr>
        <w:pStyle w:val="Style34"/>
        <w:keepNext/>
        <w:keepLines/>
        <w:widowControl w:val="0"/>
        <w:shd w:val="clear" w:color="auto" w:fill="auto"/>
        <w:tabs>
          <w:tab w:pos="516" w:val="left"/>
        </w:tabs>
        <w:bidi w:val="0"/>
        <w:spacing w:before="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81"/>
      <w:bookmarkEnd w:id="882"/>
      <w:bookmarkEnd w:id="884"/>
    </w:p>
    <w:p>
      <w:pPr>
        <w:pStyle w:val="Style34"/>
        <w:keepNext/>
        <w:keepLines/>
        <w:widowControl w:val="0"/>
        <w:shd w:val="clear" w:color="auto" w:fill="auto"/>
        <w:bidi w:val="0"/>
        <w:spacing w:before="0" w:after="0" w:line="240" w:lineRule="auto"/>
        <w:ind w:left="0" w:right="0" w:firstLine="360"/>
        <w:jc w:val="both"/>
      </w:pPr>
      <w:bookmarkStart w:id="881" w:name="bookmark881"/>
      <w:bookmarkStart w:id="882" w:name="bookmark882"/>
      <w:r>
        <w:rPr>
          <w:color w:val="000000"/>
          <w:spacing w:val="0"/>
          <w:w w:val="100"/>
          <w:position w:val="0"/>
        </w:rPr>
        <w:t>政府补助的确认条件</w:t>
      </w:r>
      <w:bookmarkEnd w:id="881"/>
      <w:bookmarkEnd w:id="882"/>
    </w:p>
    <w:p>
      <w:pPr>
        <w:pStyle w:val="Style23"/>
        <w:keepNext w:val="0"/>
        <w:keepLines w:val="0"/>
        <w:widowControl w:val="0"/>
        <w:shd w:val="clear" w:color="auto" w:fill="auto"/>
        <w:bidi w:val="0"/>
        <w:spacing w:before="0" w:after="140" w:line="313" w:lineRule="exact"/>
        <w:ind w:left="0" w:right="0" w:firstLine="360"/>
        <w:jc w:val="left"/>
      </w:pPr>
      <w:r>
        <w:rPr>
          <w:color w:val="000000"/>
          <w:spacing w:val="0"/>
          <w:w w:val="100"/>
          <w:position w:val="0"/>
        </w:rPr>
        <w:t>公司对能够满足政府补助所附条件且实际收到时，确认为政府补助。</w:t>
      </w:r>
    </w:p>
    <w:p>
      <w:pPr>
        <w:pStyle w:val="Style52"/>
        <w:keepNext w:val="0"/>
        <w:keepLines w:val="0"/>
        <w:widowControl w:val="0"/>
        <w:shd w:val="clear" w:color="auto" w:fill="auto"/>
        <w:bidi w:val="0"/>
        <w:spacing w:before="0" w:after="0" w:line="240" w:lineRule="auto"/>
        <w:ind w:left="0" w:right="0"/>
        <w:jc w:val="both"/>
      </w:pPr>
      <w:r>
        <w:rPr>
          <w:color w:val="000000"/>
          <w:spacing w:val="0"/>
          <w:w w:val="100"/>
          <w:position w:val="0"/>
        </w:rPr>
        <w:t>政府补助的计量</w:t>
      </w:r>
    </w:p>
    <w:p>
      <w:pPr>
        <w:pStyle w:val="Style23"/>
        <w:keepNext w:val="0"/>
        <w:keepLines w:val="0"/>
        <w:widowControl w:val="0"/>
        <w:numPr>
          <w:ilvl w:val="0"/>
          <w:numId w:val="67"/>
        </w:numPr>
        <w:shd w:val="clear" w:color="auto" w:fill="auto"/>
        <w:tabs>
          <w:tab w:pos="728" w:val="left"/>
        </w:tabs>
        <w:bidi w:val="0"/>
        <w:spacing w:before="0" w:after="0" w:line="307" w:lineRule="exact"/>
        <w:ind w:left="0" w:right="0"/>
        <w:jc w:val="both"/>
      </w:pPr>
      <w:bookmarkStart w:id="885" w:name="bookmark885"/>
      <w:bookmarkEnd w:id="885"/>
      <w:r>
        <w:rPr>
          <w:color w:val="000000"/>
          <w:spacing w:val="0"/>
          <w:w w:val="100"/>
          <w:position w:val="0"/>
        </w:rPr>
        <w:t>政府补助为货币性资产的，按照收到或应收的金额计量；政府补助为非货币性资产的，按照公允价值计量，公允价值 不能可靠取得的，按照名义金额计量。</w:t>
      </w:r>
    </w:p>
    <w:p>
      <w:pPr>
        <w:pStyle w:val="Style23"/>
        <w:keepNext w:val="0"/>
        <w:keepLines w:val="0"/>
        <w:widowControl w:val="0"/>
        <w:numPr>
          <w:ilvl w:val="0"/>
          <w:numId w:val="67"/>
        </w:numPr>
        <w:shd w:val="clear" w:color="auto" w:fill="auto"/>
        <w:tabs>
          <w:tab w:pos="728" w:val="left"/>
        </w:tabs>
        <w:bidi w:val="0"/>
        <w:spacing w:before="0" w:after="0" w:line="317" w:lineRule="exact"/>
        <w:ind w:left="0" w:right="0"/>
        <w:jc w:val="both"/>
      </w:pPr>
      <w:bookmarkStart w:id="886" w:name="bookmark886"/>
      <w:bookmarkEnd w:id="886"/>
      <w:r>
        <w:rPr>
          <w:color w:val="000000"/>
          <w:spacing w:val="0"/>
          <w:w w:val="100"/>
          <w:position w:val="0"/>
        </w:rPr>
        <w:t>与资产相关的政府补助，确认为递延收益，并在相关资产使用寿命内平均分配，计入当期损益。但是，以名义金额计 量的政府补助，直接计入当期损益。</w:t>
      </w:r>
    </w:p>
    <w:p>
      <w:pPr>
        <w:pStyle w:val="Style23"/>
        <w:keepNext w:val="0"/>
        <w:keepLines w:val="0"/>
        <w:widowControl w:val="0"/>
        <w:numPr>
          <w:ilvl w:val="0"/>
          <w:numId w:val="67"/>
        </w:numPr>
        <w:shd w:val="clear" w:color="auto" w:fill="auto"/>
        <w:tabs>
          <w:tab w:pos="753" w:val="left"/>
        </w:tabs>
        <w:bidi w:val="0"/>
        <w:spacing w:before="0" w:after="0" w:line="313" w:lineRule="exact"/>
        <w:ind w:left="0" w:right="0"/>
        <w:jc w:val="both"/>
      </w:pPr>
      <w:bookmarkStart w:id="887" w:name="bookmark887"/>
      <w:bookmarkEnd w:id="887"/>
      <w:r>
        <w:rPr>
          <w:color w:val="000000"/>
          <w:spacing w:val="0"/>
          <w:w w:val="100"/>
          <w:position w:val="0"/>
        </w:rPr>
        <w:t>与收益相关的政府补助，分别下列情况处理：</w:t>
      </w:r>
    </w:p>
    <w:p>
      <w:pPr>
        <w:pStyle w:val="Style23"/>
        <w:keepNext w:val="0"/>
        <w:keepLines w:val="0"/>
        <w:widowControl w:val="0"/>
        <w:numPr>
          <w:ilvl w:val="0"/>
          <w:numId w:val="69"/>
        </w:numPr>
        <w:shd w:val="clear" w:color="auto" w:fill="auto"/>
        <w:tabs>
          <w:tab w:pos="723" w:val="left"/>
        </w:tabs>
        <w:bidi w:val="0"/>
        <w:spacing w:before="0" w:after="0" w:line="313" w:lineRule="exact"/>
        <w:ind w:left="0" w:right="0" w:firstLine="360"/>
        <w:jc w:val="left"/>
      </w:pPr>
      <w:bookmarkStart w:id="888" w:name="bookmark888"/>
      <w:bookmarkEnd w:id="888"/>
      <w:r>
        <w:rPr>
          <w:color w:val="000000"/>
          <w:spacing w:val="0"/>
          <w:w w:val="100"/>
          <w:position w:val="0"/>
        </w:rPr>
        <w:t>用于补偿公司以后期间的相关费用或损失的，确认为递延收益，并在确认相关费用的期间，计入当期损益；</w:t>
      </w:r>
    </w:p>
    <w:p>
      <w:pPr>
        <w:pStyle w:val="Style23"/>
        <w:keepNext w:val="0"/>
        <w:keepLines w:val="0"/>
        <w:widowControl w:val="0"/>
        <w:numPr>
          <w:ilvl w:val="0"/>
          <w:numId w:val="69"/>
        </w:numPr>
        <w:shd w:val="clear" w:color="auto" w:fill="auto"/>
        <w:tabs>
          <w:tab w:pos="723" w:val="left"/>
        </w:tabs>
        <w:bidi w:val="0"/>
        <w:spacing w:before="0" w:after="360" w:line="313" w:lineRule="exact"/>
        <w:ind w:left="0" w:right="0" w:firstLine="360"/>
        <w:jc w:val="both"/>
      </w:pPr>
      <w:bookmarkStart w:id="889" w:name="bookmark889"/>
      <w:bookmarkEnd w:id="889"/>
      <w:r>
        <w:rPr>
          <w:color w:val="000000"/>
          <w:spacing w:val="0"/>
          <w:w w:val="100"/>
          <w:position w:val="0"/>
        </w:rPr>
        <w:t>用于补偿公司已发生的相关费用或损失的，计入当期损益。</w:t>
      </w:r>
    </w:p>
    <w:p>
      <w:pPr>
        <w:pStyle w:val="Style31"/>
        <w:keepNext/>
        <w:keepLines/>
        <w:widowControl w:val="0"/>
        <w:shd w:val="clear" w:color="auto" w:fill="auto"/>
        <w:tabs>
          <w:tab w:pos="516" w:val="left"/>
        </w:tabs>
        <w:bidi w:val="0"/>
        <w:spacing w:before="0" w:after="3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递延所得税资产和递延所得税负债</w:t>
      </w:r>
      <w:bookmarkEnd w:id="890"/>
      <w:bookmarkEnd w:id="891"/>
      <w:bookmarkEnd w:id="893"/>
    </w:p>
    <w:p>
      <w:pPr>
        <w:pStyle w:val="Style34"/>
        <w:keepNext/>
        <w:keepLines/>
        <w:widowControl w:val="0"/>
        <w:shd w:val="clear" w:color="auto" w:fill="auto"/>
        <w:bidi w:val="0"/>
        <w:spacing w:before="0" w:after="26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94"/>
      <w:bookmarkEnd w:id="895"/>
      <w:bookmarkEnd w:id="897"/>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本公司根据资产与负债于资产负债表日的账面价值与计税基础之间的暂时性差异，采用资产负债表债务法计提递延所得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p>
    <w:p>
      <w:pPr>
        <w:pStyle w:val="Style23"/>
        <w:keepNext w:val="0"/>
        <w:keepLines w:val="0"/>
        <w:widowControl w:val="0"/>
        <w:numPr>
          <w:ilvl w:val="0"/>
          <w:numId w:val="71"/>
        </w:numPr>
        <w:shd w:val="clear" w:color="auto" w:fill="auto"/>
        <w:tabs>
          <w:tab w:pos="728" w:val="left"/>
        </w:tabs>
        <w:bidi w:val="0"/>
        <w:spacing w:before="0" w:after="140" w:line="314" w:lineRule="exact"/>
        <w:ind w:left="0" w:right="0"/>
        <w:jc w:val="both"/>
      </w:pPr>
      <w:bookmarkStart w:id="898" w:name="bookmark898"/>
      <w:bookmarkEnd w:id="898"/>
      <w:r>
        <w:rPr>
          <w:color w:val="000000"/>
          <w:spacing w:val="0"/>
          <w:w w:val="100"/>
          <w:position w:val="0"/>
        </w:rPr>
        <w:t>对于可抵扣暂时性差异、能够结转以后年度的可抵扣亏损和税款抵减，本公司以很可能取得用来抵扣可抵扣暂时性差 异、可抵扣亏损和税款抵减的未来应纳税所得额为限，确认由此产生的递延所得税资产。同时具有下列特征的交易中因资产 或负债的初始确认所产生的递延所得税资产不予确认：</w:t>
      </w:r>
    </w:p>
    <w:p>
      <w:pPr>
        <w:pStyle w:val="Style23"/>
        <w:keepNext w:val="0"/>
        <w:keepLines w:val="0"/>
        <w:widowControl w:val="0"/>
        <w:numPr>
          <w:ilvl w:val="0"/>
          <w:numId w:val="73"/>
        </w:numPr>
        <w:shd w:val="clear" w:color="auto" w:fill="auto"/>
        <w:tabs>
          <w:tab w:pos="743" w:val="left"/>
        </w:tabs>
        <w:bidi w:val="0"/>
        <w:spacing w:before="0" w:after="0"/>
        <w:ind w:left="0" w:right="0"/>
        <w:jc w:val="both"/>
      </w:pPr>
      <w:bookmarkStart w:id="899" w:name="bookmark899"/>
      <w:bookmarkEnd w:id="899"/>
      <w:r>
        <w:rPr>
          <w:color w:val="000000"/>
          <w:spacing w:val="0"/>
          <w:w w:val="100"/>
          <w:position w:val="0"/>
        </w:rPr>
        <w:t>该项交易不是企业合并；</w:t>
      </w:r>
    </w:p>
    <w:p>
      <w:pPr>
        <w:pStyle w:val="Style23"/>
        <w:keepNext w:val="0"/>
        <w:keepLines w:val="0"/>
        <w:widowControl w:val="0"/>
        <w:numPr>
          <w:ilvl w:val="0"/>
          <w:numId w:val="73"/>
        </w:numPr>
        <w:shd w:val="clear" w:color="auto" w:fill="auto"/>
        <w:tabs>
          <w:tab w:pos="743" w:val="left"/>
        </w:tabs>
        <w:bidi w:val="0"/>
        <w:spacing w:before="0" w:after="0" w:line="313" w:lineRule="exact"/>
        <w:ind w:left="0" w:right="0"/>
        <w:jc w:val="both"/>
      </w:pPr>
      <w:bookmarkStart w:id="900" w:name="bookmark900"/>
      <w:bookmarkEnd w:id="900"/>
      <w:r>
        <w:rPr>
          <w:color w:val="000000"/>
          <w:spacing w:val="0"/>
          <w:w w:val="100"/>
          <w:position w:val="0"/>
        </w:rPr>
        <w:t>交易发生时既不影响会计利润也不影响应纳税所得额（或可抵扣亏损）。</w:t>
      </w:r>
    </w:p>
    <w:p>
      <w:pPr>
        <w:pStyle w:val="Style23"/>
        <w:keepNext w:val="0"/>
        <w:keepLines w:val="0"/>
        <w:widowControl w:val="0"/>
        <w:numPr>
          <w:ilvl w:val="0"/>
          <w:numId w:val="71"/>
        </w:numPr>
        <w:shd w:val="clear" w:color="auto" w:fill="auto"/>
        <w:tabs>
          <w:tab w:pos="733" w:val="left"/>
        </w:tabs>
        <w:bidi w:val="0"/>
        <w:spacing w:before="0" w:after="0" w:line="317" w:lineRule="exact"/>
        <w:ind w:left="0" w:right="0"/>
        <w:jc w:val="both"/>
      </w:pPr>
      <w:bookmarkStart w:id="901" w:name="bookmark901"/>
      <w:bookmarkEnd w:id="901"/>
      <w:r>
        <w:rPr>
          <w:color w:val="000000"/>
          <w:spacing w:val="0"/>
          <w:w w:val="100"/>
          <w:position w:val="0"/>
        </w:rPr>
        <w:t>本公司对与子公司、联营公司及合营企业投资相关的可抵扣暂时性差异，同时满足下列条件的，确认相应的递延所得 税资产：</w:t>
      </w:r>
    </w:p>
    <w:p>
      <w:pPr>
        <w:pStyle w:val="Style23"/>
        <w:keepNext w:val="0"/>
        <w:keepLines w:val="0"/>
        <w:widowControl w:val="0"/>
        <w:numPr>
          <w:ilvl w:val="0"/>
          <w:numId w:val="75"/>
        </w:numPr>
        <w:shd w:val="clear" w:color="auto" w:fill="auto"/>
        <w:tabs>
          <w:tab w:pos="743" w:val="left"/>
        </w:tabs>
        <w:bidi w:val="0"/>
        <w:spacing w:before="0" w:after="0" w:line="313" w:lineRule="exact"/>
        <w:ind w:left="0" w:right="0"/>
        <w:jc w:val="both"/>
      </w:pPr>
      <w:bookmarkStart w:id="902" w:name="bookmark902"/>
      <w:bookmarkEnd w:id="902"/>
      <w:r>
        <w:rPr>
          <w:color w:val="000000"/>
          <w:spacing w:val="0"/>
          <w:w w:val="100"/>
          <w:position w:val="0"/>
        </w:rPr>
        <w:t>暂时性差异在可预见的未来可能转回；</w:t>
      </w:r>
    </w:p>
    <w:p>
      <w:pPr>
        <w:pStyle w:val="Style23"/>
        <w:keepNext w:val="0"/>
        <w:keepLines w:val="0"/>
        <w:widowControl w:val="0"/>
        <w:numPr>
          <w:ilvl w:val="0"/>
          <w:numId w:val="75"/>
        </w:numPr>
        <w:shd w:val="clear" w:color="auto" w:fill="auto"/>
        <w:tabs>
          <w:tab w:pos="743" w:val="left"/>
        </w:tabs>
        <w:bidi w:val="0"/>
        <w:spacing w:before="0" w:after="0" w:line="313" w:lineRule="exact"/>
        <w:ind w:left="0" w:right="0"/>
        <w:jc w:val="both"/>
      </w:pPr>
      <w:bookmarkStart w:id="903" w:name="bookmark903"/>
      <w:bookmarkEnd w:id="903"/>
      <w:r>
        <w:rPr>
          <w:color w:val="000000"/>
          <w:spacing w:val="0"/>
          <w:w w:val="100"/>
          <w:position w:val="0"/>
        </w:rPr>
        <w:t>未来很可能获得用来抵扣暂时性差异的应纳税所得额；</w:t>
      </w:r>
    </w:p>
    <w:p>
      <w:pPr>
        <w:pStyle w:val="Style23"/>
        <w:keepNext w:val="0"/>
        <w:keepLines w:val="0"/>
        <w:widowControl w:val="0"/>
        <w:numPr>
          <w:ilvl w:val="0"/>
          <w:numId w:val="75"/>
        </w:numPr>
        <w:shd w:val="clear" w:color="auto" w:fill="auto"/>
        <w:tabs>
          <w:tab w:pos="718" w:val="left"/>
        </w:tabs>
        <w:bidi w:val="0"/>
        <w:spacing w:before="0" w:after="80" w:line="326" w:lineRule="exact"/>
        <w:ind w:left="0" w:right="0"/>
        <w:jc w:val="both"/>
      </w:pPr>
      <w:bookmarkStart w:id="904" w:name="bookmark904"/>
      <w:bookmarkEnd w:id="904"/>
      <w:r>
        <w:rPr>
          <w:color w:val="000000"/>
          <w:spacing w:val="0"/>
          <w:w w:val="100"/>
          <w:position w:val="0"/>
        </w:rPr>
        <w:t>本公司对于能够结转以后年度的可抵扣亏损和税款抵减，以很可能获得用来抵扣可抵扣亏损和税款抵减的未来应纳税 所得额为限，确认相应的递延所得税资产。</w:t>
      </w:r>
    </w:p>
    <w:p>
      <w:pPr>
        <w:pStyle w:val="Style23"/>
        <w:keepNext w:val="0"/>
        <w:keepLines w:val="0"/>
        <w:widowControl w:val="0"/>
        <w:numPr>
          <w:ilvl w:val="0"/>
          <w:numId w:val="71"/>
        </w:numPr>
        <w:shd w:val="clear" w:color="auto" w:fill="auto"/>
        <w:bidi w:val="0"/>
        <w:spacing w:before="0" w:after="360" w:line="310" w:lineRule="exact"/>
        <w:ind w:left="0" w:right="0"/>
        <w:jc w:val="both"/>
      </w:pPr>
      <w:bookmarkStart w:id="905" w:name="bookmark905"/>
      <w:bookmarkEnd w:id="905"/>
      <w:r>
        <w:rPr>
          <w:color w:val="000000"/>
          <w:spacing w:val="0"/>
          <w:w w:val="100"/>
          <w:position w:val="0"/>
        </w:rPr>
        <w:t>于资产负债表日，本公司对递延所得税资产的账面价值进行复核。如果未来期间很可能无法获得足够的应纳税所得额 用以抵扣递延所得税资产的利益，减记递延所得税资产的账面价值。在很可能获得足够的应纳税所得额时，减记的金额予以 转回。</w:t>
      </w:r>
    </w:p>
    <w:p>
      <w:pPr>
        <w:pStyle w:val="Style34"/>
        <w:keepNext/>
        <w:keepLines/>
        <w:widowControl w:val="0"/>
        <w:shd w:val="clear" w:color="auto" w:fill="auto"/>
        <w:bidi w:val="0"/>
        <w:spacing w:before="0" w:after="26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906"/>
      <w:bookmarkEnd w:id="907"/>
      <w:bookmarkEnd w:id="909"/>
    </w:p>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递延所得税负债应按各种应纳税暂时性差异确认，同时具有下列特征的交易中因资产或负债的初始确认所产生的递延所 得税负债不予确认：</w:t>
      </w:r>
    </w:p>
    <w:p>
      <w:pPr>
        <w:pStyle w:val="Style23"/>
        <w:keepNext w:val="0"/>
        <w:keepLines w:val="0"/>
        <w:widowControl w:val="0"/>
        <w:numPr>
          <w:ilvl w:val="0"/>
          <w:numId w:val="77"/>
        </w:numPr>
        <w:shd w:val="clear" w:color="auto" w:fill="auto"/>
        <w:tabs>
          <w:tab w:pos="742" w:val="left"/>
        </w:tabs>
        <w:bidi w:val="0"/>
        <w:spacing w:before="0" w:after="120" w:line="320" w:lineRule="exact"/>
        <w:ind w:left="0" w:right="0"/>
        <w:jc w:val="both"/>
      </w:pPr>
      <w:bookmarkStart w:id="910" w:name="bookmark910"/>
      <w:bookmarkEnd w:id="910"/>
      <w:r>
        <w:rPr>
          <w:color w:val="000000"/>
          <w:spacing w:val="0"/>
          <w:w w:val="100"/>
          <w:position w:val="0"/>
        </w:rPr>
        <w:t>应纳税暂时性差异是在以下交易中产生的：</w:t>
      </w:r>
    </w:p>
    <w:p>
      <w:pPr>
        <w:pStyle w:val="Style23"/>
        <w:keepNext w:val="0"/>
        <w:keepLines w:val="0"/>
        <w:widowControl w:val="0"/>
        <w:numPr>
          <w:ilvl w:val="0"/>
          <w:numId w:val="79"/>
        </w:numPr>
        <w:shd w:val="clear" w:color="auto" w:fill="auto"/>
        <w:tabs>
          <w:tab w:pos="733" w:val="left"/>
        </w:tabs>
        <w:bidi w:val="0"/>
        <w:spacing w:before="0" w:after="0" w:line="372" w:lineRule="auto"/>
        <w:ind w:left="0" w:right="0"/>
        <w:jc w:val="both"/>
      </w:pPr>
      <w:bookmarkStart w:id="911" w:name="bookmark911"/>
      <w:bookmarkEnd w:id="911"/>
      <w:r>
        <w:rPr>
          <w:color w:val="000000"/>
          <w:spacing w:val="0"/>
          <w:w w:val="100"/>
          <w:position w:val="0"/>
        </w:rPr>
        <w:t>商誉的初始确认；</w:t>
      </w:r>
    </w:p>
    <w:p>
      <w:pPr>
        <w:pStyle w:val="Style23"/>
        <w:keepNext w:val="0"/>
        <w:keepLines w:val="0"/>
        <w:widowControl w:val="0"/>
        <w:numPr>
          <w:ilvl w:val="0"/>
          <w:numId w:val="79"/>
        </w:numPr>
        <w:shd w:val="clear" w:color="auto" w:fill="auto"/>
        <w:tabs>
          <w:tab w:pos="703" w:val="left"/>
        </w:tabs>
        <w:bidi w:val="0"/>
        <w:spacing w:before="0" w:after="0" w:line="326" w:lineRule="exact"/>
        <w:ind w:left="0" w:right="0"/>
        <w:jc w:val="both"/>
      </w:pPr>
      <w:bookmarkStart w:id="912" w:name="bookmark912"/>
      <w:bookmarkEnd w:id="912"/>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23"/>
        <w:keepNext w:val="0"/>
        <w:keepLines w:val="0"/>
        <w:widowControl w:val="0"/>
        <w:numPr>
          <w:ilvl w:val="0"/>
          <w:numId w:val="77"/>
        </w:numPr>
        <w:shd w:val="clear" w:color="auto" w:fill="auto"/>
        <w:tabs>
          <w:tab w:pos="718" w:val="left"/>
        </w:tabs>
        <w:bidi w:val="0"/>
        <w:spacing w:before="0" w:after="360" w:line="317" w:lineRule="exact"/>
        <w:ind w:left="0" w:right="0"/>
        <w:jc w:val="both"/>
      </w:pPr>
      <w:bookmarkStart w:id="913" w:name="bookmark913"/>
      <w:bookmarkEnd w:id="913"/>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31"/>
        <w:keepNext/>
        <w:keepLines/>
        <w:widowControl w:val="0"/>
        <w:shd w:val="clear" w:color="auto" w:fill="auto"/>
        <w:bidi w:val="0"/>
        <w:spacing w:before="0" w:after="36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5</w:t>
      </w:r>
      <w:r>
        <w:rPr>
          <w:color w:val="000000"/>
          <w:spacing w:val="0"/>
          <w:w w:val="100"/>
          <w:position w:val="0"/>
        </w:rPr>
        <w:t>、经营租赁、融资租赁</w:t>
      </w:r>
      <w:bookmarkEnd w:id="914"/>
      <w:bookmarkEnd w:id="915"/>
      <w:bookmarkEnd w:id="917"/>
    </w:p>
    <w:p>
      <w:pPr>
        <w:pStyle w:val="Style34"/>
        <w:keepNext/>
        <w:keepLines/>
        <w:widowControl w:val="0"/>
        <w:shd w:val="clear" w:color="auto" w:fill="auto"/>
        <w:tabs>
          <w:tab w:pos="518"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18"/>
      <w:bookmarkEnd w:id="919"/>
      <w:bookmarkEnd w:id="921"/>
    </w:p>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实质上转移了与资产所有权有关的全部风险和报酬的租赁为融资租赁，除此之外的均为经营租赁。</w:t>
      </w:r>
    </w:p>
    <w:p>
      <w:pPr>
        <w:pStyle w:val="Style23"/>
        <w:keepNext w:val="0"/>
        <w:keepLines w:val="0"/>
        <w:widowControl w:val="0"/>
        <w:numPr>
          <w:ilvl w:val="0"/>
          <w:numId w:val="81"/>
        </w:numPr>
        <w:shd w:val="clear" w:color="auto" w:fill="auto"/>
        <w:tabs>
          <w:tab w:pos="718" w:val="left"/>
        </w:tabs>
        <w:bidi w:val="0"/>
        <w:spacing w:before="0" w:after="0" w:line="317" w:lineRule="exact"/>
        <w:ind w:left="0" w:right="0"/>
        <w:jc w:val="both"/>
      </w:pPr>
      <w:bookmarkStart w:id="922" w:name="bookmark922"/>
      <w:bookmarkEnd w:id="922"/>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初始直接费用，计入当期损益。如协议约定或有租金的在实际发生时计入当期损益。</w:t>
      </w:r>
    </w:p>
    <w:p>
      <w:pPr>
        <w:pStyle w:val="Style23"/>
        <w:keepNext w:val="0"/>
        <w:keepLines w:val="0"/>
        <w:widowControl w:val="0"/>
        <w:numPr>
          <w:ilvl w:val="0"/>
          <w:numId w:val="81"/>
        </w:numPr>
        <w:shd w:val="clear" w:color="auto" w:fill="auto"/>
        <w:tabs>
          <w:tab w:pos="718" w:val="left"/>
        </w:tabs>
        <w:bidi w:val="0"/>
        <w:spacing w:before="0" w:after="0" w:line="322" w:lineRule="exact"/>
        <w:ind w:left="0" w:right="0"/>
        <w:jc w:val="both"/>
      </w:pPr>
      <w:bookmarkStart w:id="923" w:name="bookmark923"/>
      <w:bookmarkEnd w:id="923"/>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23"/>
        <w:keepNext w:val="0"/>
        <w:keepLines w:val="0"/>
        <w:widowControl w:val="0"/>
        <w:shd w:val="clear" w:color="auto" w:fill="auto"/>
        <w:bidi w:val="0"/>
        <w:spacing w:before="0" w:after="360" w:line="307" w:lineRule="exact"/>
        <w:ind w:left="0" w:right="0"/>
        <w:jc w:val="both"/>
      </w:pPr>
      <w:r>
        <w:rPr>
          <w:color w:val="000000"/>
          <w:spacing w:val="0"/>
          <w:w w:val="100"/>
          <w:position w:val="0"/>
        </w:rPr>
        <w:t>初始直接费用，计入当期损益。金额较大的予以资本化，在整个经营租赁期内按照与确认租金收入相同的基础分期计入 当期损益。如协议约定或有租金的在实际发生时计入当期收益。</w:t>
      </w:r>
    </w:p>
    <w:p>
      <w:pPr>
        <w:pStyle w:val="Style34"/>
        <w:keepNext/>
        <w:keepLines/>
        <w:widowControl w:val="0"/>
        <w:shd w:val="clear" w:color="auto" w:fill="auto"/>
        <w:tabs>
          <w:tab w:pos="518" w:val="left"/>
        </w:tabs>
        <w:bidi w:val="0"/>
        <w:spacing w:before="0" w:after="26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24"/>
      <w:bookmarkEnd w:id="925"/>
      <w:bookmarkEnd w:id="927"/>
    </w:p>
    <w:p>
      <w:pPr>
        <w:pStyle w:val="Style23"/>
        <w:keepNext w:val="0"/>
        <w:keepLines w:val="0"/>
        <w:widowControl w:val="0"/>
        <w:numPr>
          <w:ilvl w:val="0"/>
          <w:numId w:val="83"/>
        </w:numPr>
        <w:shd w:val="clear" w:color="auto" w:fill="auto"/>
        <w:tabs>
          <w:tab w:pos="718" w:val="left"/>
        </w:tabs>
        <w:bidi w:val="0"/>
        <w:spacing w:before="0" w:after="0" w:line="322" w:lineRule="exact"/>
        <w:ind w:left="0" w:right="0"/>
        <w:jc w:val="both"/>
      </w:pPr>
      <w:bookmarkStart w:id="928" w:name="bookmark928"/>
      <w:bookmarkEnd w:id="928"/>
      <w:r>
        <w:rPr>
          <w:color w:val="000000"/>
          <w:spacing w:val="0"/>
          <w:w w:val="100"/>
          <w:position w:val="0"/>
        </w:rPr>
        <w:t>本公司作为融资租赁承租人时，在租赁期开始日，将租赁开始日租赁资产公允价值与最低租赁付款额现值两者中较低 者作为租入资产的入账价值，将最低租赁付款额作为长期应付款的入账价值，其差额作为未确认融资费用。在租赁期内各个 期间采用实际利率法进行分摊，确认为当期融资费用，计入财务费用。</w:t>
      </w:r>
    </w:p>
    <w:p>
      <w:pPr>
        <w:pStyle w:val="Style23"/>
        <w:keepNext w:val="0"/>
        <w:keepLines w:val="0"/>
        <w:widowControl w:val="0"/>
        <w:shd w:val="clear" w:color="auto" w:fill="auto"/>
        <w:bidi w:val="0"/>
        <w:spacing w:before="0" w:after="0" w:line="320" w:lineRule="exact"/>
        <w:ind w:left="0" w:right="0"/>
        <w:jc w:val="both"/>
      </w:pPr>
      <w:r>
        <w:rPr>
          <w:color w:val="000000"/>
          <w:spacing w:val="0"/>
          <w:w w:val="100"/>
          <w:position w:val="0"/>
        </w:rPr>
        <w:t>发生的初始直接费用，计入租入资产价值。</w:t>
      </w:r>
    </w:p>
    <w:p>
      <w:pPr>
        <w:pStyle w:val="Style23"/>
        <w:keepNext w:val="0"/>
        <w:keepLines w:val="0"/>
        <w:widowControl w:val="0"/>
        <w:shd w:val="clear" w:color="auto" w:fill="auto"/>
        <w:bidi w:val="0"/>
        <w:spacing w:before="0" w:after="0" w:line="320"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23"/>
        <w:keepNext w:val="0"/>
        <w:keepLines w:val="0"/>
        <w:widowControl w:val="0"/>
        <w:numPr>
          <w:ilvl w:val="0"/>
          <w:numId w:val="83"/>
        </w:numPr>
        <w:shd w:val="clear" w:color="auto" w:fill="auto"/>
        <w:tabs>
          <w:tab w:pos="718" w:val="left"/>
        </w:tabs>
        <w:bidi w:val="0"/>
        <w:spacing w:before="0" w:after="360" w:line="320" w:lineRule="exact"/>
        <w:ind w:left="0" w:right="0"/>
        <w:jc w:val="both"/>
      </w:pPr>
      <w:bookmarkStart w:id="929" w:name="bookmark929"/>
      <w:bookmarkEnd w:id="929"/>
      <w:r>
        <w:rPr>
          <w:color w:val="000000"/>
          <w:spacing w:val="0"/>
          <w:w w:val="100"/>
          <w:position w:val="0"/>
        </w:rPr>
        <w:t>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之和与其现值之和的差额作为未实现融资收益，在租赁期内各个期间采用实际利率法确认为租赁收入，计入租赁收入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业务 </w:t>
      </w:r>
      <w:r>
        <w:rPr>
          <w:color w:val="000000"/>
          <w:spacing w:val="0"/>
          <w:w w:val="100"/>
          <w:position w:val="0"/>
        </w:rPr>
        <w:t>业务收入。</w:t>
      </w:r>
    </w:p>
    <w:p>
      <w:pPr>
        <w:pStyle w:val="Style31"/>
        <w:keepNext/>
        <w:keepLines/>
        <w:widowControl w:val="0"/>
        <w:shd w:val="clear" w:color="auto" w:fill="auto"/>
        <w:tabs>
          <w:tab w:pos="478" w:val="left"/>
        </w:tabs>
        <w:bidi w:val="0"/>
        <w:spacing w:before="0" w:after="3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930"/>
      <w:bookmarkEnd w:id="931"/>
      <w:bookmarkEnd w:id="933"/>
    </w:p>
    <w:p>
      <w:pPr>
        <w:pStyle w:val="Style34"/>
        <w:keepNext/>
        <w:keepLines/>
        <w:widowControl w:val="0"/>
        <w:shd w:val="clear" w:color="auto" w:fill="auto"/>
        <w:tabs>
          <w:tab w:pos="488" w:val="left"/>
        </w:tabs>
        <w:bidi w:val="0"/>
        <w:spacing w:before="0" w:after="2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34"/>
      <w:bookmarkEnd w:id="935"/>
      <w:bookmarkEnd w:id="937"/>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本公司将同时满足下列条件的非流动资产划分为持有待售：</w:t>
      </w:r>
    </w:p>
    <w:p>
      <w:pPr>
        <w:pStyle w:val="Style23"/>
        <w:keepNext w:val="0"/>
        <w:keepLines w:val="0"/>
        <w:widowControl w:val="0"/>
        <w:numPr>
          <w:ilvl w:val="0"/>
          <w:numId w:val="85"/>
        </w:numPr>
        <w:shd w:val="clear" w:color="auto" w:fill="auto"/>
        <w:tabs>
          <w:tab w:pos="753" w:val="left"/>
        </w:tabs>
        <w:bidi w:val="0"/>
        <w:spacing w:before="0" w:after="0" w:line="312" w:lineRule="exact"/>
        <w:ind w:left="0" w:right="0"/>
        <w:jc w:val="left"/>
      </w:pPr>
      <w:bookmarkStart w:id="938" w:name="bookmark938"/>
      <w:bookmarkEnd w:id="938"/>
      <w:r>
        <w:rPr>
          <w:color w:val="000000"/>
          <w:spacing w:val="0"/>
          <w:w w:val="100"/>
          <w:position w:val="0"/>
        </w:rPr>
        <w:t>公司已经就处置该非流动资产作出决议；</w:t>
      </w:r>
    </w:p>
    <w:p>
      <w:pPr>
        <w:pStyle w:val="Style23"/>
        <w:keepNext w:val="0"/>
        <w:keepLines w:val="0"/>
        <w:widowControl w:val="0"/>
        <w:numPr>
          <w:ilvl w:val="0"/>
          <w:numId w:val="85"/>
        </w:numPr>
        <w:shd w:val="clear" w:color="auto" w:fill="auto"/>
        <w:tabs>
          <w:tab w:pos="753" w:val="left"/>
        </w:tabs>
        <w:bidi w:val="0"/>
        <w:spacing w:before="0" w:after="0" w:line="312" w:lineRule="exact"/>
        <w:ind w:left="0" w:right="0"/>
        <w:jc w:val="left"/>
      </w:pPr>
      <w:bookmarkStart w:id="939" w:name="bookmark939"/>
      <w:bookmarkEnd w:id="939"/>
      <w:r>
        <w:rPr>
          <w:color w:val="000000"/>
          <w:spacing w:val="0"/>
          <w:w w:val="100"/>
          <w:position w:val="0"/>
        </w:rPr>
        <w:t>公司已经与受让方签订了不可撤销的转让协议；</w:t>
      </w:r>
    </w:p>
    <w:p>
      <w:pPr>
        <w:pStyle w:val="Style23"/>
        <w:keepNext w:val="0"/>
        <w:keepLines w:val="0"/>
        <w:widowControl w:val="0"/>
        <w:numPr>
          <w:ilvl w:val="0"/>
          <w:numId w:val="85"/>
        </w:numPr>
        <w:shd w:val="clear" w:color="auto" w:fill="auto"/>
        <w:tabs>
          <w:tab w:pos="753" w:val="left"/>
        </w:tabs>
        <w:bidi w:val="0"/>
        <w:spacing w:before="0" w:after="360" w:line="312" w:lineRule="exact"/>
        <w:ind w:left="0" w:right="0"/>
        <w:jc w:val="left"/>
      </w:pPr>
      <w:bookmarkStart w:id="940" w:name="bookmark940"/>
      <w:bookmarkEnd w:id="940"/>
      <w:r>
        <w:rPr>
          <w:color w:val="000000"/>
          <w:spacing w:val="0"/>
          <w:w w:val="100"/>
          <w:position w:val="0"/>
        </w:rPr>
        <w:t>该项转让将在一年内完成。</w:t>
      </w:r>
    </w:p>
    <w:p>
      <w:pPr>
        <w:pStyle w:val="Style34"/>
        <w:keepNext/>
        <w:keepLines/>
        <w:widowControl w:val="0"/>
        <w:shd w:val="clear" w:color="auto" w:fill="auto"/>
        <w:tabs>
          <w:tab w:pos="488" w:val="left"/>
        </w:tabs>
        <w:bidi w:val="0"/>
        <w:spacing w:before="0" w:after="26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41"/>
      <w:bookmarkEnd w:id="942"/>
      <w:bookmarkEnd w:id="944"/>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对于持有待售的固定资产，公司将调整该项固定资产的预计净残值，使该项固定资产的预计净残值能够反映其公允价值 减去处置费用后的金额，但不得超过符合持有待售条件时该项固定资产的原账面价值，原账面价值高于调整后预计净残值的 差额，作为资产减值损失计入当期损益。</w:t>
      </w:r>
    </w:p>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某项资产或处置组被划归为持有待售，但后来不再满足持有待售的固定资产的确认条件，公司将停止将其划归为持有待 售，并按照下列两项金额中较低者计量：</w:t>
      </w:r>
    </w:p>
    <w:p>
      <w:pPr>
        <w:pStyle w:val="Style23"/>
        <w:keepNext w:val="0"/>
        <w:keepLines w:val="0"/>
        <w:widowControl w:val="0"/>
        <w:numPr>
          <w:ilvl w:val="0"/>
          <w:numId w:val="87"/>
        </w:numPr>
        <w:shd w:val="clear" w:color="auto" w:fill="auto"/>
        <w:tabs>
          <w:tab w:pos="728" w:val="left"/>
        </w:tabs>
        <w:bidi w:val="0"/>
        <w:spacing w:before="0" w:after="0" w:line="312" w:lineRule="exact"/>
        <w:ind w:left="0" w:right="0"/>
        <w:jc w:val="left"/>
      </w:pPr>
      <w:bookmarkStart w:id="945" w:name="bookmark945"/>
      <w:bookmarkEnd w:id="945"/>
      <w:r>
        <w:rPr>
          <w:color w:val="000000"/>
          <w:spacing w:val="0"/>
          <w:w w:val="100"/>
          <w:position w:val="0"/>
        </w:rPr>
        <w:t>该资产或处置组被划归为持有待售之前的账面价值，按照其假定在没有被划归为持有待售的情况下原应确认的折旧、 摊销或减值进行调整后的金额；</w:t>
      </w:r>
    </w:p>
    <w:p>
      <w:pPr>
        <w:pStyle w:val="Style23"/>
        <w:keepNext w:val="0"/>
        <w:keepLines w:val="0"/>
        <w:widowControl w:val="0"/>
        <w:numPr>
          <w:ilvl w:val="0"/>
          <w:numId w:val="87"/>
        </w:numPr>
        <w:shd w:val="clear" w:color="auto" w:fill="auto"/>
        <w:tabs>
          <w:tab w:pos="753" w:val="left"/>
        </w:tabs>
        <w:bidi w:val="0"/>
        <w:spacing w:before="0" w:after="360" w:line="312" w:lineRule="exact"/>
        <w:ind w:left="0" w:right="0"/>
        <w:jc w:val="left"/>
      </w:pPr>
      <w:bookmarkStart w:id="946" w:name="bookmark946"/>
      <w:bookmarkEnd w:id="946"/>
      <w:r>
        <w:rPr>
          <w:color w:val="000000"/>
          <w:spacing w:val="0"/>
          <w:w w:val="100"/>
          <w:position w:val="0"/>
        </w:rPr>
        <w:t>决定不再出售之日的再收回金额。</w:t>
      </w:r>
    </w:p>
    <w:p>
      <w:pPr>
        <w:pStyle w:val="Style31"/>
        <w:keepNext/>
        <w:keepLines/>
        <w:widowControl w:val="0"/>
        <w:shd w:val="clear" w:color="auto" w:fill="auto"/>
        <w:tabs>
          <w:tab w:pos="478" w:val="left"/>
        </w:tabs>
        <w:bidi w:val="0"/>
        <w:spacing w:before="0" w:after="26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7</w:t>
      </w:r>
      <w:r>
        <w:rPr>
          <w:color w:val="000000"/>
          <w:spacing w:val="0"/>
          <w:w w:val="100"/>
          <w:position w:val="0"/>
        </w:rPr>
        <w:t>、</w:t>
        <w:tab/>
        <w:t>主要会计政策、会计估计的变更</w:t>
      </w:r>
      <w:bookmarkEnd w:id="947"/>
      <w:bookmarkEnd w:id="948"/>
      <w:bookmarkEnd w:id="950"/>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本报告期主要会计政策、会计估计未发生变更。</w:t>
      </w:r>
    </w:p>
    <w:p>
      <w:pPr>
        <w:pStyle w:val="Style34"/>
        <w:keepNext/>
        <w:keepLines/>
        <w:widowControl w:val="0"/>
        <w:shd w:val="clear" w:color="auto" w:fill="auto"/>
        <w:tabs>
          <w:tab w:pos="488"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51"/>
      <w:bookmarkEnd w:id="952"/>
      <w:bookmarkEnd w:id="954"/>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本报告期主要会计政策是否变更</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本报告期主要会计政策未发生变更。</w:t>
      </w:r>
    </w:p>
    <w:p>
      <w:pPr>
        <w:pStyle w:val="Style34"/>
        <w:keepNext/>
        <w:keepLines/>
        <w:widowControl w:val="0"/>
        <w:shd w:val="clear" w:color="auto" w:fill="auto"/>
        <w:tabs>
          <w:tab w:pos="488" w:val="left"/>
        </w:tabs>
        <w:bidi w:val="0"/>
        <w:spacing w:before="0" w:after="26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55"/>
      <w:bookmarkEnd w:id="956"/>
      <w:bookmarkEnd w:id="958"/>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本报告期主要会计估计是否变更</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本报告期主要会计估计未发生变更。</w:t>
      </w:r>
    </w:p>
    <w:p>
      <w:pPr>
        <w:pStyle w:val="Style31"/>
        <w:keepNext/>
        <w:keepLines/>
        <w:widowControl w:val="0"/>
        <w:shd w:val="clear" w:color="auto" w:fill="auto"/>
        <w:tabs>
          <w:tab w:pos="478" w:val="left"/>
        </w:tabs>
        <w:bidi w:val="0"/>
        <w:spacing w:before="0" w:after="2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8</w:t>
      </w:r>
      <w:r>
        <w:rPr>
          <w:color w:val="000000"/>
          <w:spacing w:val="0"/>
          <w:w w:val="100"/>
          <w:position w:val="0"/>
        </w:rPr>
        <w:t>、</w:t>
        <w:tab/>
        <w:t>前期会计差错更正</w:t>
      </w:r>
      <w:bookmarkEnd w:id="959"/>
      <w:bookmarkEnd w:id="960"/>
      <w:bookmarkEnd w:id="962"/>
    </w:p>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本报告期是否发现前期会计差错</w:t>
      </w:r>
    </w:p>
    <w:p>
      <w:pPr>
        <w:pStyle w:val="Style23"/>
        <w:keepNext w:val="0"/>
        <w:keepLines w:val="0"/>
        <w:widowControl w:val="0"/>
        <w:shd w:val="clear" w:color="auto" w:fill="auto"/>
        <w:bidi w:val="0"/>
        <w:spacing w:before="0" w:after="0" w:line="34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本报告期未发生前期会计差错更正。</w:t>
      </w:r>
    </w:p>
    <w:p>
      <w:pPr>
        <w:pStyle w:val="Style34"/>
        <w:keepNext/>
        <w:keepLines/>
        <w:widowControl w:val="0"/>
        <w:shd w:val="clear" w:color="auto" w:fill="auto"/>
        <w:tabs>
          <w:tab w:pos="488" w:val="left"/>
        </w:tabs>
        <w:bidi w:val="0"/>
        <w:spacing w:before="0" w:after="24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63"/>
      <w:bookmarkEnd w:id="964"/>
      <w:bookmarkEnd w:id="966"/>
    </w:p>
    <w:p>
      <w:pPr>
        <w:pStyle w:val="Style2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488" w:val="left"/>
        </w:tabs>
        <w:bidi w:val="0"/>
        <w:spacing w:before="0" w:after="24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67"/>
      <w:bookmarkEnd w:id="968"/>
      <w:bookmarkEnd w:id="970"/>
    </w:p>
    <w:p>
      <w:pPr>
        <w:pStyle w:val="Style2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0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sz w:val="24"/>
          <w:szCs w:val="24"/>
        </w:rPr>
        <w:t>五</w:t>
      </w:r>
      <w:bookmarkEnd w:id="973"/>
      <w:r>
        <w:rPr>
          <w:color w:val="000000"/>
          <w:spacing w:val="0"/>
          <w:w w:val="100"/>
          <w:position w:val="0"/>
          <w:sz w:val="24"/>
          <w:szCs w:val="24"/>
        </w:rPr>
        <w:t>、税项</w:t>
      </w:r>
      <w:bookmarkEnd w:id="971"/>
      <w:bookmarkEnd w:id="972"/>
      <w:bookmarkEnd w:id="974"/>
    </w:p>
    <w:p>
      <w:pPr>
        <w:pStyle w:val="Style31"/>
        <w:keepNext/>
        <w:keepLines/>
        <w:widowControl w:val="0"/>
        <w:shd w:val="clear" w:color="auto" w:fill="auto"/>
        <w:bidi w:val="0"/>
        <w:spacing w:before="0" w:after="30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color w:val="000000"/>
          <w:spacing w:val="0"/>
          <w:w w:val="100"/>
          <w:position w:val="0"/>
        </w:rPr>
        <w:t>、公司主要税种和税率</w:t>
      </w:r>
      <w:bookmarkEnd w:id="975"/>
      <w:bookmarkEnd w:id="976"/>
      <w:bookmarkEnd w:id="978"/>
    </w:p>
    <w:tbl>
      <w:tblPr>
        <w:tblOverlap w:val="never"/>
        <w:jc w:val="center"/>
        <w:tblLayout w:type="fixed"/>
      </w:tblPr>
      <w:tblGrid>
        <w:gridCol w:w="3528"/>
        <w:gridCol w:w="3019"/>
        <w:gridCol w:w="30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65" w:right="0" w:firstLine="0"/>
        <w:jc w:val="left"/>
      </w:pPr>
      <w:r>
        <w:rPr>
          <w:color w:val="000000"/>
          <w:spacing w:val="0"/>
          <w:w w:val="100"/>
          <w:position w:val="0"/>
        </w:rPr>
        <w:t>主要子公司适用所得税税率如下:</w:t>
      </w:r>
    </w:p>
    <w:tbl>
      <w:tblPr>
        <w:tblOverlap w:val="never"/>
        <w:jc w:val="center"/>
        <w:tblLayout w:type="fixed"/>
      </w:tblPr>
      <w:tblGrid>
        <w:gridCol w:w="4056"/>
        <w:gridCol w:w="2803"/>
        <w:gridCol w:w="283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江苏金仕达卫宁软件有限公司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见附注五、</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西安金仕达卫宁软件有限公司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、税收优惠及批文</w:t>
      </w:r>
      <w:bookmarkEnd w:id="979"/>
      <w:bookmarkEnd w:id="980"/>
      <w:bookmarkEnd w:id="982"/>
    </w:p>
    <w:p>
      <w:pPr>
        <w:pStyle w:val="Style23"/>
        <w:keepNext w:val="0"/>
        <w:keepLines w:val="0"/>
        <w:widowControl w:val="0"/>
        <w:shd w:val="clear" w:color="auto" w:fill="auto"/>
        <w:bidi w:val="0"/>
        <w:spacing w:before="0" w:after="120" w:line="302" w:lineRule="exact"/>
        <w:ind w:left="0" w:right="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号），增值税一般纳税人销售其自 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3"/>
        <w:keepNext w:val="0"/>
        <w:keepLines w:val="0"/>
        <w:widowControl w:val="0"/>
        <w:shd w:val="clear" w:color="auto" w:fill="auto"/>
        <w:tabs>
          <w:tab w:pos="901" w:val="left"/>
        </w:tabs>
        <w:bidi w:val="0"/>
        <w:spacing w:before="0" w:after="120" w:line="317" w:lineRule="exact"/>
        <w:ind w:left="0" w:right="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[2011]111</w:t>
      </w:r>
      <w:r>
        <w:rPr>
          <w:color w:val="000000"/>
          <w:spacing w:val="0"/>
          <w:w w:val="100"/>
          <w:position w:val="0"/>
        </w:rPr>
        <w:t>号财政部、国家税务总局《关于在上海市开展交通运输业和部分现代服务业营业税改征增值税 试点的通知》的相关规定，本公司部分符合技术合同免征条件的营业收入免征增值税。</w:t>
      </w:r>
    </w:p>
    <w:p>
      <w:pPr>
        <w:pStyle w:val="Style23"/>
        <w:keepNext w:val="0"/>
        <w:keepLines w:val="0"/>
        <w:widowControl w:val="0"/>
        <w:shd w:val="clear" w:color="auto" w:fill="auto"/>
        <w:tabs>
          <w:tab w:pos="906" w:val="left"/>
        </w:tabs>
        <w:bidi w:val="0"/>
        <w:spacing w:before="0" w:after="100" w:line="312" w:lineRule="exact"/>
        <w:ind w:left="0" w:right="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年被上海市科学技术委员会、上海市财政局、上海市国家税务局、上海市地方税务局联合认定为高 新技术企业（证书编号：</w:t>
      </w:r>
      <w:r>
        <w:rPr>
          <w:rFonts w:ascii="Times New Roman" w:eastAsia="Times New Roman" w:hAnsi="Times New Roman" w:cs="Times New Roman"/>
          <w:color w:val="000000"/>
          <w:spacing w:val="0"/>
          <w:w w:val="100"/>
          <w:position w:val="0"/>
        </w:rPr>
        <w:t>GR20093100077</w:t>
      </w:r>
      <w:r>
        <w:rPr>
          <w:color w:val="000000"/>
          <w:spacing w:val="0"/>
          <w:w w:val="100"/>
          <w:position w:val="0"/>
        </w:rPr>
        <w:t>,</w:t>
      </w:r>
      <w:r>
        <w:rPr>
          <w:color w:val="000000"/>
          <w:spacing w:val="0"/>
          <w:w w:val="100"/>
          <w:position w:val="0"/>
        </w:rPr>
        <w:t>有效期三年），并于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年，本公司在高新技术企业复审中获得通过（证书编号： </w:t>
      </w:r>
      <w:r>
        <w:rPr>
          <w:rFonts w:ascii="Times New Roman" w:eastAsia="Times New Roman" w:hAnsi="Times New Roman" w:cs="Times New Roman"/>
          <w:color w:val="000000"/>
          <w:spacing w:val="0"/>
          <w:w w:val="100"/>
          <w:position w:val="0"/>
        </w:rPr>
        <w:t>GF201231000411</w:t>
      </w:r>
      <w:r>
        <w:rPr>
          <w:color w:val="000000"/>
          <w:spacing w:val="0"/>
          <w:w w:val="100"/>
          <w:position w:val="0"/>
        </w:rPr>
        <w:t>，有效期三年），根据国家对高新技术企业的相关税收政策，本公司自</w:t>
      </w:r>
      <w:r>
        <w:rPr>
          <w:rFonts w:ascii="Times New Roman" w:eastAsia="Times New Roman" w:hAnsi="Times New Roman" w:cs="Times New Roman"/>
          <w:color w:val="000000"/>
          <w:spacing w:val="0"/>
          <w:w w:val="100"/>
          <w:position w:val="0"/>
        </w:rPr>
        <w:t>2012</w:t>
      </w:r>
      <w:r>
        <w:rPr>
          <w:color w:val="000000"/>
          <w:spacing w:val="0"/>
          <w:w w:val="100"/>
          <w:position w:val="0"/>
        </w:rPr>
        <w:t>年起按</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%的税率缴纳企业所 </w:t>
      </w:r>
      <w:r>
        <w:rPr>
          <w:color w:val="000000"/>
          <w:spacing w:val="0"/>
          <w:w w:val="100"/>
          <w:position w:val="0"/>
        </w:rPr>
        <w:t>得税。</w:t>
      </w:r>
    </w:p>
    <w:p>
      <w:pPr>
        <w:pStyle w:val="Style23"/>
        <w:keepNext w:val="0"/>
        <w:keepLines w:val="0"/>
        <w:widowControl w:val="0"/>
        <w:shd w:val="clear" w:color="auto" w:fill="auto"/>
        <w:bidi w:val="0"/>
        <w:spacing w:before="0" w:after="360" w:line="312" w:lineRule="exact"/>
        <w:ind w:left="0" w:right="0" w:firstLine="36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）根据上海市浦东新区国家税务局《企业所得税优惠事先备案结果通知书》（浦税十六所备（</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号），本公司 之子公司上海金仕达卫宁软件科技有限公司符合《财政部、国家税务总局关于进一步鼓励软件产业和集成电路产业发展企业 所得税政策的通知》（财税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2012]27</w:t>
      </w:r>
      <w:r>
        <w:rPr>
          <w:color w:val="000000"/>
          <w:spacing w:val="0"/>
          <w:w w:val="100"/>
          <w:position w:val="0"/>
        </w:rPr>
        <w:t>号文）关于</w:t>
      </w:r>
      <w:r>
        <w:rPr>
          <w:rFonts w:ascii="Times New Roman" w:eastAsia="Times New Roman" w:hAnsi="Times New Roman" w:cs="Times New Roman"/>
          <w:color w:val="000000"/>
          <w:spacing w:val="0"/>
          <w:w w:val="100"/>
          <w:position w:val="0"/>
        </w:rPr>
        <w:t>“</w:t>
      </w:r>
      <w:r>
        <w:rPr>
          <w:color w:val="000000"/>
          <w:spacing w:val="0"/>
          <w:w w:val="100"/>
          <w:position w:val="0"/>
        </w:rPr>
        <w:t>新办集成电路设计企业和软件企业减免税</w:t>
      </w:r>
      <w:r>
        <w:rPr>
          <w:rFonts w:ascii="Times New Roman" w:eastAsia="Times New Roman" w:hAnsi="Times New Roman" w:cs="Times New Roman"/>
          <w:color w:val="000000"/>
          <w:spacing w:val="0"/>
          <w:w w:val="100"/>
          <w:position w:val="0"/>
        </w:rPr>
        <w:t>”</w:t>
      </w:r>
      <w:r>
        <w:rPr>
          <w:color w:val="000000"/>
          <w:spacing w:val="0"/>
          <w:w w:val="100"/>
          <w:position w:val="0"/>
        </w:rPr>
        <w:t>的规定，自</w:t>
      </w:r>
      <w:r>
        <w:rPr>
          <w:rFonts w:ascii="Times New Roman" w:eastAsia="Times New Roman" w:hAnsi="Times New Roman" w:cs="Times New Roman"/>
          <w:color w:val="000000"/>
          <w:spacing w:val="0"/>
          <w:w w:val="100"/>
          <w:position w:val="0"/>
        </w:rPr>
        <w:t>2012</w:t>
      </w:r>
      <w:r>
        <w:rPr>
          <w:color w:val="000000"/>
          <w:spacing w:val="0"/>
          <w:w w:val="100"/>
          <w:position w:val="0"/>
        </w:rPr>
        <w:t>年度起，第一年 至第二年免征企业所得税，第三年至第五年按</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的法定税率减半征收所得税。本年度为第二年免税期。</w:t>
      </w:r>
    </w:p>
    <w:p>
      <w:pPr>
        <w:pStyle w:val="Style21"/>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z w:val="24"/>
          <w:szCs w:val="24"/>
        </w:rPr>
        <w:t>六</w:t>
      </w:r>
      <w:bookmarkEnd w:id="989"/>
      <w:r>
        <w:rPr>
          <w:color w:val="000000"/>
          <w:spacing w:val="0"/>
          <w:w w:val="100"/>
          <w:position w:val="0"/>
          <w:sz w:val="24"/>
          <w:szCs w:val="24"/>
        </w:rPr>
        <w:t>、企业合并及合并财务报表</w:t>
      </w:r>
      <w:bookmarkEnd w:id="987"/>
      <w:bookmarkEnd w:id="988"/>
      <w:bookmarkEnd w:id="990"/>
    </w:p>
    <w:p>
      <w:pPr>
        <w:pStyle w:val="Style31"/>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91"/>
      <w:bookmarkEnd w:id="992"/>
      <w:bookmarkEnd w:id="993"/>
    </w:p>
    <w:p>
      <w:pPr>
        <w:pStyle w:val="Style34"/>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94"/>
      <w:bookmarkEnd w:id="995"/>
      <w:bookmarkEnd w:id="9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91"/>
        <w:gridCol w:w="672"/>
        <w:gridCol w:w="686"/>
        <w:gridCol w:w="686"/>
        <w:gridCol w:w="682"/>
        <w:gridCol w:w="686"/>
        <w:gridCol w:w="672"/>
        <w:gridCol w:w="701"/>
      </w:tblGrid>
      <w:tr>
        <w:trPr>
          <w:trHeight w:val="571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江苏金 仕达卫 宁软件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软件销 售、技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软件的 技术开 发、设 计和制 作、技 术咨询 和技术 服务及 计算机 配件的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网络信 息系统 集成的 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上海金 仕达卫 宁软件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软件销 售、技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的开 发、设 计和制 作，销 售自产 产品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（除计 算机信 息系统 安全专 用产 品），计 算机及 辅助设 备的销 售，计 算机网 络信息 系统集 成及维 护，并 提供相 关的技 术开 发、技 术转 让、技 术咨询 和技术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西安金 仕达卫 宁软件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软件销 售、技 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的研 发、销 售；计 算机及 辅助设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备的销 售；计 算机网 络信息 系统集 成、技 术开 发、技 术转 让、技 术咨询 和技术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通过设立或投资等方式取得的子公司的其他说明</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t>合并范围发生变更的说明</w:t>
      </w:r>
      <w:bookmarkEnd w:id="1001"/>
      <w:bookmarkEnd w:id="998"/>
      <w:bookmarkEnd w:id="99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本公司之全资子公司上海金仕达卫宁信息技术有限公司于本年度已注销完毕。</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w:t>
        <w:tab/>
        <w:t>报告期内新纳入合并范围的主体和报告期内不再纳入合并范围的主体</w:t>
      </w:r>
      <w:bookmarkEnd w:id="1002"/>
      <w:bookmarkEnd w:id="1003"/>
      <w:bookmarkEnd w:id="100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2,639,467.42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64,913.30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新纳入合并范围的主体和不再纳入合并范围的主体的其他说明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本公司之全资子公司上海金仕达卫宁信息技术有限公司于本年度已注销完毕。</w:t>
      </w:r>
    </w:p>
    <w:p>
      <w:pPr>
        <w:pStyle w:val="Style21"/>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sz w:val="24"/>
          <w:szCs w:val="24"/>
        </w:rPr>
        <w:t>七</w:t>
      </w:r>
      <w:bookmarkEnd w:id="1008"/>
      <w:r>
        <w:rPr>
          <w:color w:val="000000"/>
          <w:spacing w:val="0"/>
          <w:w w:val="100"/>
          <w:position w:val="0"/>
          <w:sz w:val="24"/>
          <w:szCs w:val="24"/>
        </w:rPr>
        <w:t>、合并财务报表主要项目注释</w:t>
      </w:r>
      <w:bookmarkEnd w:id="1006"/>
      <w:bookmarkEnd w:id="1007"/>
      <w:bookmarkEnd w:id="1009"/>
    </w:p>
    <w:p>
      <w:pPr>
        <w:pStyle w:val="Style31"/>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0"/>
      <w:bookmarkEnd w:id="1011"/>
      <w:bookmarkEnd w:id="10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101,588.55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18,035.64</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101,588.55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442,346,473.86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407,902,910.45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442,346,473.86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407,902,910.45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15,645,487.01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4,463,343.10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15,645,487.01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4,463,343.10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458,093,549.42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412,384,289.19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23"/>
        <w:keepNext w:val="0"/>
        <w:keepLines w:val="0"/>
        <w:widowControl w:val="0"/>
        <w:shd w:val="clear" w:color="auto" w:fill="auto"/>
        <w:bidi w:val="0"/>
        <w:spacing w:before="0" w:after="34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日止，其他货币资金中</w:t>
      </w:r>
      <w:r>
        <w:rPr>
          <w:rFonts w:ascii="Times New Roman" w:eastAsia="Times New Roman" w:hAnsi="Times New Roman" w:cs="Times New Roman"/>
          <w:color w:val="000000"/>
          <w:spacing w:val="0"/>
          <w:w w:val="100"/>
          <w:position w:val="0"/>
        </w:rPr>
        <w:t>12,423,357.26</w:t>
      </w:r>
      <w:r>
        <w:rPr>
          <w:color w:val="000000"/>
          <w:spacing w:val="0"/>
          <w:w w:val="100"/>
          <w:position w:val="0"/>
        </w:rPr>
        <w:t>元系本公司为开具保函存入的保证金（其中</w:t>
      </w:r>
      <w:r>
        <w:rPr>
          <w:rFonts w:ascii="Times New Roman" w:eastAsia="Times New Roman" w:hAnsi="Times New Roman" w:cs="Times New Roman"/>
          <w:color w:val="000000"/>
          <w:spacing w:val="0"/>
          <w:w w:val="100"/>
          <w:position w:val="0"/>
        </w:rPr>
        <w:t>8,967,285.00</w:t>
      </w:r>
      <w:r>
        <w:rPr>
          <w:color w:val="000000"/>
          <w:spacing w:val="0"/>
          <w:w w:val="100"/>
          <w:position w:val="0"/>
        </w:rPr>
        <w:t>元距保证 期结束超过</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3,222,129.75</w:t>
      </w:r>
      <w:r>
        <w:rPr>
          <w:color w:val="000000"/>
          <w:spacing w:val="0"/>
          <w:w w:val="100"/>
          <w:position w:val="0"/>
        </w:rPr>
        <w:t>元为汇票保证金（其中</w:t>
      </w:r>
      <w:r>
        <w:rPr>
          <w:rFonts w:ascii="Times New Roman" w:eastAsia="Times New Roman" w:hAnsi="Times New Roman" w:cs="Times New Roman"/>
          <w:color w:val="000000"/>
          <w:spacing w:val="0"/>
          <w:w w:val="100"/>
          <w:position w:val="0"/>
        </w:rPr>
        <w:t>1,841,217.00</w:t>
      </w:r>
      <w:r>
        <w:rPr>
          <w:color w:val="000000"/>
          <w:spacing w:val="0"/>
          <w:w w:val="100"/>
          <w:position w:val="0"/>
        </w:rPr>
        <w:t>元距汇票到期超过</w:t>
      </w:r>
      <w:r>
        <w:rPr>
          <w:rFonts w:ascii="Times New Roman" w:eastAsia="Times New Roman" w:hAnsi="Times New Roman" w:cs="Times New Roman"/>
          <w:color w:val="000000"/>
          <w:spacing w:val="0"/>
          <w:w w:val="100"/>
          <w:position w:val="0"/>
        </w:rPr>
        <w:t>3</w:t>
      </w:r>
      <w:r>
        <w:rPr>
          <w:color w:val="000000"/>
          <w:spacing w:val="0"/>
          <w:w w:val="100"/>
          <w:position w:val="0"/>
        </w:rPr>
        <w:t>个月）。除此之外，年末货币资金 中无其他因抵押或冻结等对使用有限制、有潜在回收风险的款项。</w:t>
      </w:r>
    </w:p>
    <w:p>
      <w:pPr>
        <w:pStyle w:val="Style31"/>
        <w:keepNext/>
        <w:keepLines/>
        <w:widowControl w:val="0"/>
        <w:shd w:val="clear" w:color="auto" w:fill="auto"/>
        <w:bidi w:val="0"/>
        <w:spacing w:before="0" w:after="340" w:line="240" w:lineRule="auto"/>
        <w:ind w:left="0" w:right="0" w:firstLine="0"/>
        <w:jc w:val="both"/>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13"/>
      <w:bookmarkEnd w:id="1014"/>
      <w:bookmarkEnd w:id="1015"/>
    </w:p>
    <w:p>
      <w:pPr>
        <w:pStyle w:val="Style34"/>
        <w:keepNext/>
        <w:keepLines/>
        <w:widowControl w:val="0"/>
        <w:shd w:val="clear" w:color="auto" w:fill="auto"/>
        <w:bidi w:val="0"/>
        <w:spacing w:before="0" w:after="340" w:line="240" w:lineRule="auto"/>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16"/>
      <w:bookmarkEnd w:id="1017"/>
      <w:bookmarkEnd w:id="10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3,783,672.00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color w:val="000000"/>
          <w:spacing w:val="0"/>
          <w:w w:val="100"/>
          <w:position w:val="0"/>
        </w:rPr>
        <w:t>、应收利息</w:t>
      </w:r>
      <w:bookmarkEnd w:id="1020"/>
      <w:bookmarkEnd w:id="1021"/>
      <w:bookmarkEnd w:id="1023"/>
    </w:p>
    <w:p>
      <w:pPr>
        <w:pStyle w:val="Style34"/>
        <w:keepNext/>
        <w:keepLines/>
        <w:widowControl w:val="0"/>
        <w:shd w:val="clear" w:color="auto" w:fill="auto"/>
        <w:bidi w:val="0"/>
        <w:spacing w:before="0" w:after="340" w:line="240" w:lineRule="auto"/>
        <w:ind w:left="0" w:right="0" w:firstLine="0"/>
        <w:jc w:val="both"/>
      </w:pPr>
      <w:bookmarkStart w:id="1024" w:name="bookmark1024"/>
      <w:bookmarkStart w:id="1025" w:name="bookmark1025"/>
      <w:bookmarkStart w:id="1026" w:name="bookmark1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24"/>
      <w:bookmarkEnd w:id="1025"/>
      <w:bookmarkEnd w:id="10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67"/>
        <w:gridCol w:w="1862"/>
        <w:gridCol w:w="1862"/>
        <w:gridCol w:w="1858"/>
        <w:gridCol w:w="21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1,787,935.95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5,322,050.20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5,692,981.47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1,417,004.68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1,787,935.95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5,322,050.20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5,692,981.47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1,417,004.68</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、应收账款</w:t>
      </w:r>
      <w:bookmarkEnd w:id="1027"/>
      <w:bookmarkEnd w:id="1028"/>
      <w:bookmarkEnd w:id="1030"/>
    </w:p>
    <w:p>
      <w:pPr>
        <w:pStyle w:val="Style34"/>
        <w:keepNext/>
        <w:keepLines/>
        <w:widowControl w:val="0"/>
        <w:shd w:val="clear" w:color="auto" w:fill="auto"/>
        <w:bidi w:val="0"/>
        <w:spacing w:before="0" w:after="340" w:line="240" w:lineRule="auto"/>
        <w:ind w:left="0" w:right="0" w:firstLine="0"/>
        <w:jc w:val="both"/>
      </w:pPr>
      <w:bookmarkStart w:id="1031" w:name="bookmark1031"/>
      <w:bookmarkStart w:id="1032" w:name="bookmark1032"/>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31"/>
      <w:bookmarkEnd w:id="1032"/>
      <w:bookmarkEnd w:id="103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926"/>
        <w:gridCol w:w="931"/>
        <w:gridCol w:w="931"/>
        <w:gridCol w:w="917"/>
        <w:gridCol w:w="806"/>
        <w:gridCol w:w="931"/>
        <w:gridCol w:w="1061"/>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bl>
    <w:p>
      <w:pPr>
        <w:widowControl w:val="0"/>
        <w:spacing w:line="1" w:lineRule="exact"/>
      </w:pPr>
      <w:r>
        <w:br w:type="page"/>
      </w:r>
    </w:p>
    <w:tbl>
      <w:tblPr>
        <w:tblOverlap w:val="never"/>
        <w:jc w:val="center"/>
        <w:tblLayout w:type="fixed"/>
      </w:tblPr>
      <w:tblGrid>
        <w:gridCol w:w="2006"/>
        <w:gridCol w:w="926"/>
        <w:gridCol w:w="931"/>
        <w:gridCol w:w="931"/>
        <w:gridCol w:w="926"/>
        <w:gridCol w:w="797"/>
        <w:gridCol w:w="931"/>
        <w:gridCol w:w="1061"/>
        <w:gridCol w:w="107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其中：以账龄作为信用风 险特征的组合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199,957,42</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19,193,096.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113,748,1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9,019,149.45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199,957,42</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19,193,096.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113,748,1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9,019,149.45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757,795.0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200,715,22</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19,950,891.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114,505,9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9,776,944.45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本公司单项金额重大的应收账款是指单个客户金额</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584"/>
        <w:gridCol w:w="926"/>
        <w:gridCol w:w="1728"/>
        <w:gridCol w:w="1459"/>
        <w:gridCol w:w="931"/>
        <w:gridCol w:w="14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137,784,732.88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6,889,236.65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80,717,123.06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4,035,856.15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137,784,732.88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6,889,236.65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80,717,123.06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4,035,856.15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40,162,776.78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4,016,277.67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26,926,288.55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2,692,628.86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16,880,167.55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5,064,050.27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3,808,418.80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1,142,525.64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2,934,228.80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1,467,114.40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2,296,277.60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1,148,138.80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2,195,521.60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1,756,417.28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199,957,427.61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19,193,096.27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113,748,108.01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9,019,149.45</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应收软件款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334,395.00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334,395.00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w:t>
            </w:r>
            <w:r>
              <w:rPr>
                <w:rFonts w:ascii="Times New Roman" w:eastAsia="Times New Roman" w:hAnsi="Times New Roman" w:cs="Times New Roman"/>
                <w:color w:val="000000"/>
                <w:spacing w:val="0"/>
                <w:w w:val="100"/>
                <w:position w:val="0"/>
              </w:rPr>
              <w:t>-</w:t>
            </w:r>
            <w:r>
              <w:rPr>
                <w:color w:val="000000"/>
                <w:spacing w:val="0"/>
                <w:w w:val="100"/>
                <w:position w:val="0"/>
              </w:rPr>
              <w:t>预计无法收</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w:t>
            </w:r>
            <w:r>
              <w:rPr>
                <w:rFonts w:ascii="Times New Roman" w:eastAsia="Times New Roman" w:hAnsi="Times New Roman" w:cs="Times New Roman"/>
                <w:color w:val="000000"/>
                <w:spacing w:val="0"/>
                <w:w w:val="100"/>
                <w:position w:val="0"/>
              </w:rPr>
              <w:t>-</w:t>
            </w:r>
            <w:r>
              <w:rPr>
                <w:color w:val="000000"/>
                <w:spacing w:val="0"/>
                <w:w w:val="100"/>
                <w:position w:val="0"/>
              </w:rPr>
              <w:t>预计无法收 回</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757,795.00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757,795.00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numPr>
          <w:ilvl w:val="0"/>
          <w:numId w:val="89"/>
        </w:numPr>
        <w:shd w:val="clear" w:color="auto" w:fill="auto"/>
        <w:bidi w:val="0"/>
        <w:spacing w:before="0" w:line="240" w:lineRule="auto"/>
        <w:ind w:left="0" w:right="0" w:firstLine="14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4"/>
      <w:bookmarkEnd w:id="1035"/>
      <w:bookmarkEnd w:id="10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8"/>
        <w:gridCol w:w="1594"/>
        <w:gridCol w:w="1862"/>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89"/>
        </w:numPr>
        <w:shd w:val="clear" w:color="auto" w:fill="auto"/>
        <w:bidi w:val="0"/>
        <w:spacing w:before="0" w:line="240" w:lineRule="auto"/>
        <w:ind w:left="0" w:right="0" w:firstLine="14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应收账款中金额前五名单位情况</w:t>
      </w:r>
      <w:bookmarkEnd w:id="1038"/>
      <w:bookmarkEnd w:id="1039"/>
      <w:bookmarkEnd w:id="10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13,463,447.80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上海市浦东新区卫生信 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3,920,484.51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大同市第一人民医院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江苏省淮安市第一人民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3,604,077.40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内蒙古自治区人民医院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28,167,509.71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r>
    </w:tbl>
    <w:p>
      <w:pPr>
        <w:widowControl w:val="0"/>
        <w:spacing w:after="319" w:line="1" w:lineRule="exact"/>
      </w:pPr>
    </w:p>
    <w:p>
      <w:pPr>
        <w:pStyle w:val="Style34"/>
        <w:keepNext/>
        <w:keepLines/>
        <w:widowControl w:val="0"/>
        <w:numPr>
          <w:ilvl w:val="0"/>
          <w:numId w:val="89"/>
        </w:numPr>
        <w:shd w:val="clear" w:color="auto" w:fill="auto"/>
        <w:bidi w:val="0"/>
        <w:spacing w:before="0" w:line="240" w:lineRule="auto"/>
        <w:ind w:left="0" w:right="0" w:firstLine="14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应收关联方账款情况</w:t>
      </w:r>
      <w:bookmarkEnd w:id="1042"/>
      <w:bookmarkEnd w:id="1043"/>
      <w:bookmarkEnd w:id="10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2419"/>
        <w:gridCol w:w="2429"/>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5</w:t>
      </w:r>
      <w:bookmarkEnd w:id="1048"/>
      <w:r>
        <w:rPr>
          <w:color w:val="000000"/>
          <w:spacing w:val="0"/>
          <w:w w:val="100"/>
          <w:position w:val="0"/>
        </w:rPr>
        <w:t>、其他应收款</w:t>
      </w:r>
      <w:bookmarkEnd w:id="1046"/>
      <w:bookmarkEnd w:id="1047"/>
      <w:bookmarkEnd w:id="1049"/>
    </w:p>
    <w:p>
      <w:pPr>
        <w:pStyle w:val="Style34"/>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050"/>
      <w:bookmarkEnd w:id="1051"/>
      <w:bookmarkEnd w:id="105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3701"/>
        <w:gridCol w:w="397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14,194,929.7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21,123,601.3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以账龄作为信用风险特 征的组合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16,980,861.7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1,903,692.88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14,064,535.3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1,386,407.46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16,980,861.7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1,903,692.88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14,064,535.3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1,386,407.46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31,175,791.5</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1,903,692.88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35,188,136.7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1,386,407.46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本公司单项金额重大的其他应收款是指单个客户金额</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8,504,916.97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3,445,586.77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2,244,426.00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14,194,929.74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843"/>
        <w:gridCol w:w="658"/>
        <w:gridCol w:w="1445"/>
        <w:gridCol w:w="1450"/>
        <w:gridCol w:w="658"/>
        <w:gridCol w:w="168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9,612,685.88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480,634.29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10,074,381.59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503,719.08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9,612,685.88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480,634.29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10,074,381.59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503,719.08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5,229,455.90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522,945.59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1,711,788.78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171,178.88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966,235.00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289,870.50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2,138,365.00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641,509.50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1,092,485.00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546,242.50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bl>
    <w:p>
      <w:pPr>
        <w:widowControl w:val="0"/>
        <w:spacing w:line="1" w:lineRule="exact"/>
      </w:pPr>
      <w:r>
        <w:br w:type="page"/>
      </w:r>
    </w:p>
    <w:tbl>
      <w:tblPr>
        <w:tblOverlap w:val="never"/>
        <w:jc w:val="center"/>
        <w:tblLayout w:type="fixed"/>
      </w:tblPr>
      <w:tblGrid>
        <w:gridCol w:w="1853"/>
        <w:gridCol w:w="1843"/>
        <w:gridCol w:w="658"/>
        <w:gridCol w:w="1445"/>
        <w:gridCol w:w="1450"/>
        <w:gridCol w:w="658"/>
        <w:gridCol w:w="168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16,980,861.78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1,903,692.88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14,064,535.37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1,386,407.46</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91"/>
        </w:numPr>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53"/>
      <w:bookmarkEnd w:id="1054"/>
      <w:bookmarkEnd w:id="10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858"/>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91"/>
        </w:numPr>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其他应收款金额前五名单位情况</w:t>
      </w:r>
      <w:bookmarkEnd w:id="1057"/>
      <w:bookmarkEnd w:id="1058"/>
      <w:bookmarkEnd w:id="10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暂估增值税进项税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8,504,916.97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3,445,586.77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2,244,426.00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宝华中心场地租赁押金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2,046,021.00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上海中医药大学附属龙 华医院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17,744,550.74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56.91%</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6</w:t>
      </w:r>
      <w:bookmarkEnd w:id="1063"/>
      <w:r>
        <w:rPr>
          <w:color w:val="000000"/>
          <w:spacing w:val="0"/>
          <w:w w:val="100"/>
          <w:position w:val="0"/>
        </w:rPr>
        <w:t>、预付款项</w:t>
      </w:r>
      <w:bookmarkEnd w:id="1061"/>
      <w:bookmarkEnd w:id="1062"/>
      <w:bookmarkEnd w:id="1064"/>
    </w:p>
    <w:p>
      <w:pPr>
        <w:pStyle w:val="Style34"/>
        <w:keepNext/>
        <w:keepLines/>
        <w:widowControl w:val="0"/>
        <w:shd w:val="clear" w:color="auto" w:fill="auto"/>
        <w:bidi w:val="0"/>
        <w:spacing w:before="0" w:after="320" w:line="240" w:lineRule="auto"/>
        <w:ind w:left="0" w:right="0" w:firstLine="0"/>
        <w:jc w:val="left"/>
      </w:pPr>
      <w:bookmarkStart w:id="1065" w:name="bookmark1065"/>
      <w:bookmarkStart w:id="1066" w:name="bookmark1066"/>
      <w:bookmarkStart w:id="1067" w:name="bookmark10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5"/>
      <w:bookmarkEnd w:id="1066"/>
      <w:bookmarkEnd w:id="10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2,093,739.85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3,071,584.66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77,509.00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bl>
    <w:p>
      <w:pPr>
        <w:widowControl w:val="0"/>
        <w:spacing w:line="1" w:lineRule="exact"/>
      </w:pPr>
      <w:r>
        <w:br w:type="page"/>
      </w:r>
    </w:p>
    <w:tbl>
      <w:tblPr>
        <w:tblOverlap w:val="never"/>
        <w:jc w:val="center"/>
        <w:tblLayout w:type="fixed"/>
      </w:tblPr>
      <w:tblGrid>
        <w:gridCol w:w="1210"/>
        <w:gridCol w:w="3187"/>
        <w:gridCol w:w="1061"/>
        <w:gridCol w:w="3053"/>
        <w:gridCol w:w="107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2,218,112.24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3,150,448.05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68"/>
      <w:bookmarkEnd w:id="1069"/>
      <w:bookmarkEnd w:id="10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南京巨鲨显示科技有限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深圳市创捷供应链有限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615,508.00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艾博特（上海）电信科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129,142.49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上海圣冶软件技术有限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赫盛光电（上海）有限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1,715,450.49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340" w:line="355" w:lineRule="exact"/>
        <w:ind w:left="0" w:right="0" w:firstLine="0"/>
        <w:jc w:val="left"/>
      </w:pPr>
      <w:r>
        <w:rPr>
          <w:color w:val="000000"/>
          <w:spacing w:val="0"/>
          <w:w w:val="100"/>
          <w:position w:val="0"/>
        </w:rPr>
        <w:t>预付款项主要单位的说明 无</w:t>
      </w:r>
    </w:p>
    <w:p>
      <w:pPr>
        <w:pStyle w:val="Style34"/>
        <w:keepNext/>
        <w:keepLines/>
        <w:widowControl w:val="0"/>
        <w:shd w:val="clear" w:color="auto" w:fill="auto"/>
        <w:bidi w:val="0"/>
        <w:spacing w:before="0" w:after="34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72"/>
      <w:bookmarkEnd w:id="1073"/>
      <w:bookmarkEnd w:id="1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18"/>
        <w:gridCol w:w="174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7</w:t>
      </w:r>
      <w:bookmarkEnd w:id="1078"/>
      <w:r>
        <w:rPr>
          <w:color w:val="000000"/>
          <w:spacing w:val="0"/>
          <w:w w:val="100"/>
          <w:position w:val="0"/>
        </w:rPr>
        <w:t>、存货</w:t>
      </w:r>
      <w:bookmarkEnd w:id="1076"/>
      <w:bookmarkEnd w:id="1077"/>
      <w:bookmarkEnd w:id="1079"/>
    </w:p>
    <w:p>
      <w:pPr>
        <w:pStyle w:val="Style34"/>
        <w:keepNext/>
        <w:keepLines/>
        <w:widowControl w:val="0"/>
        <w:shd w:val="clear" w:color="auto" w:fill="auto"/>
        <w:bidi w:val="0"/>
        <w:spacing w:before="0" w:after="340" w:line="240" w:lineRule="auto"/>
        <w:ind w:left="0" w:right="0" w:firstLine="0"/>
        <w:jc w:val="left"/>
      </w:pPr>
      <w:bookmarkStart w:id="1080" w:name="bookmark1080"/>
      <w:bookmarkStart w:id="1081" w:name="bookmark1081"/>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80"/>
      <w:bookmarkEnd w:id="1081"/>
      <w:bookmarkEnd w:id="10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4,582,642.07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4,582,642.07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3,290,598.46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3,290,598.46</w:t>
            </w:r>
          </w:p>
        </w:tc>
      </w:tr>
    </w:tbl>
    <w:p>
      <w:pPr>
        <w:widowControl w:val="0"/>
        <w:spacing w:line="1" w:lineRule="exact"/>
      </w:pPr>
      <w:r>
        <w:br w:type="page"/>
      </w:r>
    </w:p>
    <w:tbl>
      <w:tblPr>
        <w:tblOverlap w:val="never"/>
        <w:jc w:val="center"/>
        <w:tblLayout w:type="fixed"/>
      </w:tblPr>
      <w:tblGrid>
        <w:gridCol w:w="1608"/>
        <w:gridCol w:w="1459"/>
        <w:gridCol w:w="1190"/>
        <w:gridCol w:w="1330"/>
        <w:gridCol w:w="1330"/>
        <w:gridCol w:w="1330"/>
        <w:gridCol w:w="13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115,920.70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2,276,804.10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2,276,804.10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22,744,308.72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22,744,308.72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6,859,446.17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6,859,446.17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26,150,827.88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26,150,827.88</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8</w:t>
      </w:r>
      <w:bookmarkEnd w:id="1085"/>
      <w:r>
        <w:rPr>
          <w:color w:val="000000"/>
          <w:spacing w:val="0"/>
          <w:w w:val="100"/>
          <w:position w:val="0"/>
        </w:rPr>
        <w:t>、长期股权投资</w:t>
      </w:r>
      <w:bookmarkEnd w:id="1083"/>
      <w:bookmarkEnd w:id="1084"/>
      <w:bookmarkEnd w:id="1086"/>
    </w:p>
    <w:p>
      <w:pPr>
        <w:pStyle w:val="Style34"/>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87"/>
      <w:bookmarkEnd w:id="1088"/>
      <w:bookmarkEnd w:id="10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上海卫生 信息工程 技术研究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9</w:t>
      </w:r>
      <w:bookmarkEnd w:id="1092"/>
      <w:r>
        <w:rPr>
          <w:color w:val="000000"/>
          <w:spacing w:val="0"/>
          <w:w w:val="100"/>
          <w:position w:val="0"/>
        </w:rPr>
        <w:t>、固定资产</w:t>
      </w:r>
      <w:bookmarkEnd w:id="1090"/>
      <w:bookmarkEnd w:id="1091"/>
      <w:bookmarkEnd w:id="1093"/>
    </w:p>
    <w:p>
      <w:pPr>
        <w:pStyle w:val="Style34"/>
        <w:keepNext/>
        <w:keepLines/>
        <w:widowControl w:val="0"/>
        <w:shd w:val="clear" w:color="auto" w:fill="auto"/>
        <w:bidi w:val="0"/>
        <w:spacing w:before="0" w:after="340" w:line="240" w:lineRule="auto"/>
        <w:ind w:left="0" w:right="0" w:firstLine="0"/>
        <w:jc w:val="left"/>
      </w:pPr>
      <w:bookmarkStart w:id="1094" w:name="bookmark1094"/>
      <w:bookmarkStart w:id="1095" w:name="bookmark1095"/>
      <w:bookmarkStart w:id="1096" w:name="bookmark10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4"/>
      <w:bookmarkEnd w:id="1095"/>
      <w:bookmarkEnd w:id="109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459"/>
        <w:gridCol w:w="1330"/>
        <w:gridCol w:w="1594"/>
        <w:gridCol w:w="1594"/>
        <w:gridCol w:w="14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29,208,789.00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13,704,819.18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2,108,331.11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40,805,277.07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1,118,698.21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1,118,698.21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26,884,572.56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11,772,421.84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1,794,614.76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36,862,379.64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1,205,518.23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1,932,397.34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313,716.35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2,824,199.22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5,618,859.15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6,693,099.20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1,773,150.55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10,538,807.80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435,169.27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201,365.68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636,534.95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4,816,166.69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6,217,176.83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1,538,496.47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9,494,847.05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367,523.19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274,556.69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234,654.08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407,425.80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bl>
    <w:p>
      <w:pPr>
        <w:widowControl w:val="0"/>
        <w:spacing w:line="1" w:lineRule="exact"/>
      </w:pPr>
      <w:r>
        <w:br w:type="page"/>
      </w:r>
    </w:p>
    <w:tbl>
      <w:tblPr>
        <w:tblOverlap w:val="never"/>
        <w:jc w:val="center"/>
        <w:tblLayout w:type="fixed"/>
      </w:tblPr>
      <w:tblGrid>
        <w:gridCol w:w="2136"/>
        <w:gridCol w:w="1459"/>
        <w:gridCol w:w="4517"/>
        <w:gridCol w:w="14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23,589,929.85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30,266,469.27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683,528.94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482,163.26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22,068,405.87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27,367,532.59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837,995.04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2,416,773.42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23,589,929.85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30,266,469.27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683,528.94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482,163.26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22,068,405.87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27,367,532.59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837,995.04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2,416,773.42</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6,693,099.20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keepLines/>
        <w:widowControl w:val="0"/>
        <w:shd w:val="clear" w:color="auto" w:fill="auto"/>
        <w:bidi w:val="0"/>
        <w:spacing w:before="0" w:after="34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97"/>
      <w:bookmarkEnd w:id="1098"/>
      <w:bookmarkEnd w:id="1100"/>
    </w:p>
    <w:p>
      <w:pPr>
        <w:pStyle w:val="Style34"/>
        <w:keepNext/>
        <w:keepLines/>
        <w:widowControl w:val="0"/>
        <w:shd w:val="clear" w:color="auto" w:fill="auto"/>
        <w:bidi w:val="0"/>
        <w:spacing w:before="0" w:after="340" w:line="240" w:lineRule="auto"/>
        <w:ind w:left="0" w:right="0" w:firstLine="0"/>
        <w:jc w:val="left"/>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01"/>
      <w:bookmarkEnd w:id="1102"/>
      <w:bookmarkEnd w:id="11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期末账面余额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2,389,711.46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56,041.03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2,445,752.49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34,537.61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2,355,173.85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56,041.03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2,411,214.88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465,812.69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11,102.96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451,256.01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2,162,835.07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-182,895.27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1,979,939.80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52,587.31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2,139,400.42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-235,482.58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1,959,958.87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2,162,835.07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-182,895.27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1,979,939.80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52,587.31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19,980.93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2,139,400.42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-235,482.58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1,959,958.87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238,936.30</w:t>
      </w:r>
      <w:r>
        <w:rPr>
          <w:color w:val="000000"/>
          <w:spacing w:val="0"/>
          <w:w w:val="100"/>
          <w:position w:val="0"/>
        </w:rPr>
        <w:t>元。</w:t>
      </w:r>
    </w:p>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04"/>
      <w:bookmarkEnd w:id="1105"/>
      <w:bookmarkEnd w:id="11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603"/>
        <w:gridCol w:w="1584"/>
        <w:gridCol w:w="1589"/>
        <w:gridCol w:w="1594"/>
        <w:gridCol w:w="1603"/>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608"/>
        <w:gridCol w:w="1594"/>
        <w:gridCol w:w="1594"/>
        <w:gridCol w:w="1589"/>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智慧医疗信息系统 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9,863,875.89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9,863,875.89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基于医药福利管理 的医保知识库信息</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3,597,321.09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3,597,321.09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13,461,196.98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13,461,196.98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31.79%</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1"/>
        <w:keepNext/>
        <w:keepLines/>
        <w:widowControl w:val="0"/>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107"/>
      <w:bookmarkEnd w:id="1108"/>
      <w:bookmarkEnd w:id="11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4,446,666.68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193,333.32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4,446,666.68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长期待摊费用的说明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1111"/>
      <w:bookmarkEnd w:id="1112"/>
      <w:bookmarkEnd w:id="1114"/>
    </w:p>
    <w:p>
      <w:pPr>
        <w:pStyle w:val="Style34"/>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15"/>
      <w:bookmarkEnd w:id="1116"/>
      <w:bookmarkEnd w:id="1117"/>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3,378,726.73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1,744,188.05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1,024,294.76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1,552,521.80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1,101,075.00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1,806,258.09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1,341,495.55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382,423.40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7,327,171.61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6,121,703.80</w:t>
            </w:r>
          </w:p>
        </w:tc>
      </w:tr>
      <w:tr>
        <w:trPr>
          <w:trHeight w:val="413" w:hRule="exact"/>
        </w:trPr>
        <w:tc>
          <w:tcPr>
            <w:gridSpan w:val="3"/>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5,106,603.85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5,124,503.07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1,641,394.66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3,465,209.19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5,106,603.85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8"/>
        <w:gridCol w:w="279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19,950,891.27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9,776,944.45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1,885,793.66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1,386,407.46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4,091,748.61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6,210,087.18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7,340,500.00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12,179,462.54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7,233,911.07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3,745,411.43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2,447,070.82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45,353,307.51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34,394,920.98</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1118"/>
      <w:bookmarkEnd w:id="1119"/>
      <w:bookmarkEnd w:id="11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526"/>
        <w:gridCol w:w="1531"/>
        <w:gridCol w:w="1397"/>
        <w:gridCol w:w="1392"/>
        <w:gridCol w:w="14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11,163,351.91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10,691,232.24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21,854,584.15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11,163,351.91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10,691,232.24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21,854,584.15</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资产减值明细情况的说明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122"/>
      <w:bookmarkEnd w:id="1123"/>
      <w:bookmarkEnd w:id="112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581"/>
        <w:gridCol w:w="2938"/>
        <w:gridCol w:w="30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3,222,129.75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3,222,129.75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3,222,129.75</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应付票据的说明</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126"/>
      <w:bookmarkEnd w:id="1127"/>
      <w:bookmarkEnd w:id="1129"/>
    </w:p>
    <w:p>
      <w:pPr>
        <w:pStyle w:val="Style34"/>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30"/>
      <w:bookmarkEnd w:id="1131"/>
      <w:bookmarkEnd w:id="1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28"/>
        <w:gridCol w:w="306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29,304,380.40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25,929,768.58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3,504,424.72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39,840.48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73,937.00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33,103,602.60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26,769,256.06</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33"/>
      <w:bookmarkEnd w:id="1134"/>
      <w:bookmarkEnd w:id="113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43"/>
        </w:numPr>
        <w:shd w:val="clear" w:color="auto" w:fill="auto"/>
        <w:bidi w:val="0"/>
        <w:spacing w:before="0" w:after="34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账龄超过一年的大额应付账款情况的说明</w:t>
      </w:r>
      <w:bookmarkEnd w:id="1136"/>
      <w:bookmarkEnd w:id="1137"/>
      <w:bookmarkEnd w:id="1139"/>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、预收账款</w:t>
      </w:r>
      <w:bookmarkEnd w:id="1140"/>
      <w:bookmarkEnd w:id="1141"/>
      <w:bookmarkEnd w:id="1143"/>
    </w:p>
    <w:p>
      <w:pPr>
        <w:pStyle w:val="Style34"/>
        <w:keepNext/>
        <w:keepLines/>
        <w:widowControl w:val="0"/>
        <w:shd w:val="clear" w:color="auto" w:fill="auto"/>
        <w:bidi w:val="0"/>
        <w:spacing w:before="0" w:after="340" w:line="240" w:lineRule="auto"/>
        <w:ind w:left="0" w:right="0" w:firstLine="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44"/>
      <w:bookmarkEnd w:id="1145"/>
      <w:bookmarkEnd w:id="1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29,795,413.80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37,480,687.32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3,531,131.22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4,986,958.70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79,882.30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34,408,759.33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42,608,828.32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47"/>
      <w:bookmarkEnd w:id="1148"/>
      <w:bookmarkEnd w:id="11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93"/>
        </w:numPr>
        <w:shd w:val="clear" w:color="auto" w:fill="auto"/>
        <w:bidi w:val="0"/>
        <w:spacing w:before="0" w:line="240" w:lineRule="auto"/>
        <w:ind w:left="0" w:right="0" w:firstLine="0"/>
        <w:jc w:val="both"/>
      </w:pPr>
      <w:bookmarkStart w:id="1150" w:name="bookmark1150"/>
      <w:bookmarkStart w:id="1151" w:name="bookmark1151"/>
      <w:bookmarkStart w:id="1152" w:name="bookmark1152"/>
      <w:bookmarkStart w:id="1153" w:name="bookmark1153"/>
      <w:bookmarkEnd w:id="1152"/>
      <w:r>
        <w:rPr>
          <w:color w:val="000000"/>
          <w:spacing w:val="0"/>
          <w:w w:val="100"/>
          <w:position w:val="0"/>
        </w:rPr>
        <w:t>账龄超过一年的大额预收账款情况的说明</w:t>
      </w:r>
      <w:bookmarkEnd w:id="1150"/>
      <w:bookmarkEnd w:id="1151"/>
      <w:bookmarkEnd w:id="1153"/>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154"/>
      <w:bookmarkEnd w:id="1155"/>
      <w:bookmarkEnd w:id="11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7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6,833,835.12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97,551,124.22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88,338,796.71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16,046,162.63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1,338,816.50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1,338,816.50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206,199.20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12,852,877.43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13,105,782.10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140,218.16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3,813,744.63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3,807,338.30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146,624.49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养老保险费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7,914,478.16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8,158,447.74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-226,698.53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23,554.78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610,510.71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619,814.38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209,787.56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213,228.01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15,828.28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304,356.37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306,953.67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13,230.98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193,876.75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3,569,227.43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3,611,655.36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151,448.82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393,502.50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393,502.50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7,233,911.07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115,735,548.08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106,818,553.17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16,150,905.98</w:t>
            </w:r>
          </w:p>
        </w:tc>
      </w:tr>
    </w:tbl>
    <w:p>
      <w:pPr>
        <w:widowControl w:val="0"/>
        <w:spacing w:after="5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393,502.50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30,000.00</w:t>
      </w:r>
      <w:r>
        <w:rPr>
          <w:color w:val="000000"/>
          <w:spacing w:val="0"/>
          <w:w w:val="100"/>
          <w:position w:val="0"/>
        </w:rPr>
        <w:t>元。</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应付职工薪酬预计发放时间、金额等安排</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158"/>
      <w:bookmarkEnd w:id="1159"/>
      <w:bookmarkEnd w:id="1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371,684.28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-6,242,726.60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-282,565.70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791,116.21</w:t>
            </w:r>
          </w:p>
        </w:tc>
      </w:tr>
    </w:tbl>
    <w:p>
      <w:pPr>
        <w:widowControl w:val="0"/>
        <w:spacing w:line="1" w:lineRule="exact"/>
      </w:pPr>
      <w:r>
        <w:br w:type="page"/>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3,109,154.93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151,867.43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35,465.65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-439,436.92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-303,155.72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43,497.46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159,909.49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3,297,079.89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-5,882,426.11</w:t>
            </w:r>
          </w:p>
        </w:tc>
      </w:tr>
    </w:tbl>
    <w:p>
      <w:pPr>
        <w:pStyle w:val="Style23"/>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31"/>
        <w:keepNext/>
        <w:keepLines/>
        <w:widowControl w:val="0"/>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162"/>
      <w:bookmarkEnd w:id="1163"/>
      <w:bookmarkEnd w:id="1165"/>
    </w:p>
    <w:p>
      <w:pPr>
        <w:pStyle w:val="Style34"/>
        <w:keepNext/>
        <w:keepLines/>
        <w:widowControl w:val="0"/>
        <w:shd w:val="clear" w:color="auto" w:fill="auto"/>
        <w:bidi w:val="0"/>
        <w:spacing w:before="0" w:after="340" w:line="240" w:lineRule="auto"/>
        <w:ind w:left="0" w:right="0" w:firstLine="0"/>
        <w:jc w:val="left"/>
      </w:pPr>
      <w:bookmarkStart w:id="1166" w:name="bookmark1166"/>
      <w:bookmarkStart w:id="1167" w:name="bookmark1167"/>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66"/>
      <w:bookmarkEnd w:id="1167"/>
      <w:bookmarkEnd w:id="1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10,592,150.80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9,430,345.71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2,812,110.35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357,998.20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357,998.20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13,762,259.35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9,788,343.91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69"/>
      <w:bookmarkEnd w:id="1170"/>
      <w:bookmarkEnd w:id="117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95"/>
        </w:numPr>
        <w:shd w:val="clear" w:color="auto" w:fill="auto"/>
        <w:tabs>
          <w:tab w:pos="488" w:val="left"/>
        </w:tabs>
        <w:bidi w:val="0"/>
        <w:spacing w:before="0" w:after="34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账龄超过一年的大额其他应付款情况的说明</w:t>
      </w:r>
      <w:bookmarkEnd w:id="1172"/>
      <w:bookmarkEnd w:id="1173"/>
      <w:bookmarkEnd w:id="1175"/>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日止，余额中无账龄超过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p>
    <w:p>
      <w:pPr>
        <w:pStyle w:val="Style34"/>
        <w:keepNext/>
        <w:keepLines/>
        <w:widowControl w:val="0"/>
        <w:numPr>
          <w:ilvl w:val="0"/>
          <w:numId w:val="95"/>
        </w:numPr>
        <w:shd w:val="clear" w:color="auto" w:fill="auto"/>
        <w:tabs>
          <w:tab w:pos="488" w:val="left"/>
        </w:tabs>
        <w:bidi w:val="0"/>
        <w:spacing w:before="0" w:after="34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金额较大的其他应付款说明内容</w:t>
      </w:r>
      <w:bookmarkEnd w:id="1176"/>
      <w:bookmarkEnd w:id="1177"/>
      <w:bookmarkEnd w:id="1179"/>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180"/>
      <w:bookmarkEnd w:id="1181"/>
      <w:bookmarkEnd w:id="1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72"/>
        <w:gridCol w:w="1848"/>
        <w:gridCol w:w="1862"/>
        <w:gridCol w:w="20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期末数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2,447,070.82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1,298,340.61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3,745,411.43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2,447,070.82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1,298,340.61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3,745,411.43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r>
        <w:br w:type="page"/>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bookmarkEnd w:id="1184"/>
      <w:bookmarkEnd w:id="1185"/>
      <w:bookmarkEnd w:id="1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电子发展基金项目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上海市科委课题研究经费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7,340,500.00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电子发展基金项目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上海市科委课题研 究经费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7,340,500.00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188"/>
      <w:bookmarkEnd w:id="1189"/>
      <w:bookmarkEnd w:id="11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107,967,100.00</w:t>
            </w:r>
          </w:p>
        </w:tc>
      </w:tr>
    </w:tbl>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日止，公司股票期权激励计划首次授予股票期权第一批共计行权</w:t>
      </w:r>
      <w:r>
        <w:rPr>
          <w:rFonts w:ascii="Times New Roman" w:eastAsia="Times New Roman" w:hAnsi="Times New Roman" w:cs="Times New Roman"/>
          <w:color w:val="000000"/>
          <w:spacing w:val="0"/>
          <w:w w:val="100"/>
          <w:position w:val="0"/>
        </w:rPr>
        <w:t>967,100</w:t>
      </w:r>
      <w:r>
        <w:rPr>
          <w:color w:val="000000"/>
          <w:spacing w:val="0"/>
          <w:w w:val="100"/>
          <w:position w:val="0"/>
        </w:rPr>
        <w:t xml:space="preserve">股，引起公司股本数量增加 </w:t>
      </w:r>
      <w:r>
        <w:rPr>
          <w:rFonts w:ascii="Times New Roman" w:eastAsia="Times New Roman" w:hAnsi="Times New Roman" w:cs="Times New Roman"/>
          <w:color w:val="000000"/>
          <w:spacing w:val="0"/>
          <w:w w:val="100"/>
          <w:position w:val="0"/>
        </w:rPr>
        <w:t>967,100</w:t>
      </w:r>
      <w:r>
        <w:rPr>
          <w:color w:val="000000"/>
          <w:spacing w:val="0"/>
          <w:w w:val="100"/>
          <w:position w:val="0"/>
        </w:rPr>
        <w:t>股，公司申请增加股本</w:t>
      </w:r>
      <w:r>
        <w:rPr>
          <w:rFonts w:ascii="Times New Roman" w:eastAsia="Times New Roman" w:hAnsi="Times New Roman" w:cs="Times New Roman"/>
          <w:color w:val="000000"/>
          <w:spacing w:val="0"/>
          <w:w w:val="100"/>
          <w:position w:val="0"/>
        </w:rPr>
        <w:t>96.7</w:t>
      </w:r>
      <w:r>
        <w:rPr>
          <w:rFonts w:ascii="Times New Roman" w:eastAsia="Times New Roman" w:hAnsi="Times New Roman" w:cs="Times New Roman"/>
          <w:color w:val="000000"/>
          <w:spacing w:val="0"/>
          <w:w w:val="100"/>
          <w:position w:val="0"/>
        </w:rPr>
        <w:t>1</w:t>
      </w:r>
      <w:r>
        <w:rPr>
          <w:color w:val="000000"/>
          <w:spacing w:val="0"/>
          <w:w w:val="100"/>
          <w:position w:val="0"/>
        </w:rPr>
        <w:t>万元，变更后总股本为</w:t>
      </w:r>
      <w:r>
        <w:rPr>
          <w:rFonts w:ascii="Times New Roman" w:eastAsia="Times New Roman" w:hAnsi="Times New Roman" w:cs="Times New Roman"/>
          <w:color w:val="000000"/>
          <w:spacing w:val="0"/>
          <w:w w:val="100"/>
          <w:position w:val="0"/>
        </w:rPr>
        <w:t>10,796.71</w:t>
      </w:r>
      <w:r>
        <w:rPr>
          <w:color w:val="000000"/>
          <w:spacing w:val="0"/>
          <w:w w:val="100"/>
          <w:position w:val="0"/>
        </w:rPr>
        <w:t>万元。上述股本于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日业经华普天健会计师事 务所（特殊普通合伙）会验字</w:t>
      </w:r>
      <w:r>
        <w:rPr>
          <w:rFonts w:ascii="Times New Roman" w:eastAsia="Times New Roman" w:hAnsi="Times New Roman" w:cs="Times New Roman"/>
          <w:color w:val="000000"/>
          <w:spacing w:val="0"/>
          <w:w w:val="100"/>
          <w:position w:val="0"/>
        </w:rPr>
        <w:t>[2014]0292</w:t>
      </w:r>
      <w:r>
        <w:rPr>
          <w:color w:val="000000"/>
          <w:spacing w:val="0"/>
          <w:w w:val="100"/>
          <w:position w:val="0"/>
        </w:rPr>
        <w:t>号验资报告验证。</w:t>
      </w:r>
    </w:p>
    <w:p>
      <w:pPr>
        <w:pStyle w:val="Style31"/>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192"/>
      <w:bookmarkEnd w:id="1193"/>
      <w:bookmarkEnd w:id="119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284,892,309.64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21,300,147.96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1,262,651.52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304,929,806.08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3,252,895.71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9,093,958.66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4,105,109.96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8,241,744.41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288,145,205.35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30,394,106.62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5,367,761.48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313,171,550.49</w:t>
            </w:r>
          </w:p>
        </w:tc>
      </w:tr>
    </w:tbl>
    <w:p>
      <w:pPr>
        <w:pStyle w:val="Style23"/>
        <w:keepNext w:val="0"/>
        <w:keepLines w:val="0"/>
        <w:widowControl w:val="0"/>
        <w:shd w:val="clear" w:color="auto" w:fill="auto"/>
        <w:bidi w:val="0"/>
        <w:spacing w:before="0" w:after="40" w:line="305" w:lineRule="exact"/>
        <w:ind w:left="0" w:right="0" w:firstLine="0"/>
        <w:jc w:val="both"/>
      </w:pPr>
      <w:r>
        <w:rPr>
          <w:color w:val="000000"/>
          <w:spacing w:val="0"/>
          <w:w w:val="100"/>
          <w:position w:val="0"/>
        </w:rPr>
        <w:t>资本公积说明</w:t>
      </w:r>
    </w:p>
    <w:p>
      <w:pPr>
        <w:pStyle w:val="Style23"/>
        <w:keepNext w:val="0"/>
        <w:keepLines w:val="0"/>
        <w:widowControl w:val="0"/>
        <w:shd w:val="clear" w:color="auto" w:fill="auto"/>
        <w:bidi w:val="0"/>
        <w:spacing w:before="0" w:after="40" w:line="305" w:lineRule="exact"/>
        <w:ind w:left="0" w:right="0" w:firstLine="0"/>
        <w:jc w:val="both"/>
      </w:pPr>
      <w:r>
        <w:rPr>
          <w:color w:val="000000"/>
          <w:spacing w:val="0"/>
          <w:w w:val="100"/>
          <w:position w:val="0"/>
        </w:rPr>
        <w:t>资本公积本年增加主要为：</w:t>
      </w:r>
    </w:p>
    <w:p>
      <w:pPr>
        <w:pStyle w:val="Style23"/>
        <w:keepNext w:val="0"/>
        <w:keepLines w:val="0"/>
        <w:widowControl w:val="0"/>
        <w:shd w:val="clear" w:color="auto" w:fill="auto"/>
        <w:tabs>
          <w:tab w:pos="901" w:val="left"/>
        </w:tabs>
        <w:bidi w:val="0"/>
        <w:spacing w:before="0" w:after="40" w:line="312" w:lineRule="exact"/>
        <w:ind w:left="0" w:right="0"/>
        <w:jc w:val="both"/>
      </w:pPr>
      <w:bookmarkStart w:id="1196" w:name="bookmark1196"/>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w:t>
        <w:tab/>
        <w:t>本年度有</w:t>
      </w:r>
      <w:r>
        <w:rPr>
          <w:rFonts w:ascii="Times New Roman" w:eastAsia="Times New Roman" w:hAnsi="Times New Roman" w:cs="Times New Roman"/>
          <w:color w:val="000000"/>
          <w:spacing w:val="0"/>
          <w:w w:val="100"/>
          <w:position w:val="0"/>
        </w:rPr>
        <w:t>967,100.00</w:t>
      </w:r>
      <w:r>
        <w:rPr>
          <w:color w:val="000000"/>
          <w:spacing w:val="0"/>
          <w:w w:val="100"/>
          <w:position w:val="0"/>
        </w:rPr>
        <w:t>份股票期权行权，行权溢价部分</w:t>
      </w:r>
      <w:r>
        <w:rPr>
          <w:rFonts w:ascii="Times New Roman" w:eastAsia="Times New Roman" w:hAnsi="Times New Roman" w:cs="Times New Roman"/>
          <w:color w:val="000000"/>
          <w:spacing w:val="0"/>
          <w:w w:val="100"/>
          <w:position w:val="0"/>
        </w:rPr>
        <w:t>17,195,038.00</w:t>
      </w:r>
      <w:r>
        <w:rPr>
          <w:color w:val="000000"/>
          <w:spacing w:val="0"/>
          <w:w w:val="100"/>
          <w:position w:val="0"/>
        </w:rPr>
        <w:t>元计入股本溢价。同时，从其他资本公积转入股 本溢价</w:t>
      </w:r>
      <w:r>
        <w:rPr>
          <w:rFonts w:ascii="Times New Roman" w:eastAsia="Times New Roman" w:hAnsi="Times New Roman" w:cs="Times New Roman"/>
          <w:color w:val="000000"/>
          <w:spacing w:val="0"/>
          <w:w w:val="100"/>
          <w:position w:val="0"/>
        </w:rPr>
        <w:t>4,105,109.96</w:t>
      </w:r>
      <w:r>
        <w:rPr>
          <w:color w:val="000000"/>
          <w:spacing w:val="0"/>
          <w:w w:val="100"/>
          <w:position w:val="0"/>
        </w:rPr>
        <w:t>元。合计增加股本溢价</w:t>
      </w:r>
      <w:r>
        <w:rPr>
          <w:rFonts w:ascii="Times New Roman" w:eastAsia="Times New Roman" w:hAnsi="Times New Roman" w:cs="Times New Roman"/>
          <w:color w:val="000000"/>
          <w:spacing w:val="0"/>
          <w:w w:val="100"/>
          <w:position w:val="0"/>
        </w:rPr>
        <w:t>21,300,147.96</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40" w:line="305" w:lineRule="exact"/>
        <w:ind w:left="0" w:right="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w:t>
        <w:tab/>
        <w:t>公司股票期权计划的本期分摊的股权激励成本</w:t>
      </w:r>
      <w:r>
        <w:rPr>
          <w:rFonts w:ascii="Times New Roman" w:eastAsia="Times New Roman" w:hAnsi="Times New Roman" w:cs="Times New Roman"/>
          <w:color w:val="000000"/>
          <w:spacing w:val="0"/>
          <w:w w:val="100"/>
          <w:position w:val="0"/>
        </w:rPr>
        <w:t>9,093,958.66</w:t>
      </w:r>
      <w:r>
        <w:rPr>
          <w:color w:val="000000"/>
          <w:spacing w:val="0"/>
          <w:w w:val="100"/>
          <w:position w:val="0"/>
        </w:rPr>
        <w:t>元。</w:t>
      </w:r>
    </w:p>
    <w:p>
      <w:pPr>
        <w:pStyle w:val="Style23"/>
        <w:keepNext w:val="0"/>
        <w:keepLines w:val="0"/>
        <w:widowControl w:val="0"/>
        <w:shd w:val="clear" w:color="auto" w:fill="auto"/>
        <w:bidi w:val="0"/>
        <w:spacing w:before="0" w:after="40" w:line="305" w:lineRule="exact"/>
        <w:ind w:left="0" w:right="0" w:firstLine="0"/>
        <w:jc w:val="both"/>
      </w:pPr>
      <w:r>
        <w:rPr>
          <w:color w:val="000000"/>
          <w:spacing w:val="0"/>
          <w:w w:val="100"/>
          <w:position w:val="0"/>
        </w:rPr>
        <w:t>资本公积本年减少主要为：</w:t>
      </w:r>
    </w:p>
    <w:p>
      <w:pPr>
        <w:pStyle w:val="Style23"/>
        <w:keepNext w:val="0"/>
        <w:keepLines w:val="0"/>
        <w:widowControl w:val="0"/>
        <w:shd w:val="clear" w:color="auto" w:fill="auto"/>
        <w:tabs>
          <w:tab w:pos="891" w:val="left"/>
        </w:tabs>
        <w:bidi w:val="0"/>
        <w:spacing w:before="0" w:after="40" w:line="298" w:lineRule="exact"/>
        <w:ind w:left="0" w:right="0"/>
        <w:jc w:val="both"/>
      </w:pPr>
      <w:bookmarkStart w:id="1198" w:name="bookmark1198"/>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本公司之控股子公司上海金仕达卫宁软件科技有限公司购买子公司少数股东权益按持股比例确认的差额 </w:t>
      </w:r>
      <w:r>
        <w:rPr>
          <w:rFonts w:ascii="Times New Roman" w:eastAsia="Times New Roman" w:hAnsi="Times New Roman" w:cs="Times New Roman"/>
          <w:color w:val="000000"/>
          <w:spacing w:val="0"/>
          <w:w w:val="100"/>
          <w:position w:val="0"/>
        </w:rPr>
        <w:t>1,262,651.5</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360" w:line="305" w:lineRule="exact"/>
        <w:ind w:left="0" w:right="0"/>
        <w:jc w:val="both"/>
      </w:pPr>
      <w:bookmarkStart w:id="1199" w:name="bookmark1199"/>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w:t>
        <w:tab/>
        <w:t>本年度已行权的股权激励成本</w:t>
      </w:r>
      <w:r>
        <w:rPr>
          <w:rFonts w:ascii="Times New Roman" w:eastAsia="Times New Roman" w:hAnsi="Times New Roman" w:cs="Times New Roman"/>
          <w:color w:val="000000"/>
          <w:spacing w:val="0"/>
          <w:w w:val="100"/>
          <w:position w:val="0"/>
        </w:rPr>
        <w:t>4,105,109.96</w:t>
      </w:r>
      <w:r>
        <w:rPr>
          <w:color w:val="000000"/>
          <w:spacing w:val="0"/>
          <w:w w:val="100"/>
          <w:position w:val="0"/>
        </w:rPr>
        <w:t>元从其他资本公积转入股本溢价。</w:t>
      </w:r>
    </w:p>
    <w:p>
      <w:pPr>
        <w:pStyle w:val="Style31"/>
        <w:keepNext/>
        <w:keepLines/>
        <w:widowControl w:val="0"/>
        <w:shd w:val="clear" w:color="auto" w:fill="auto"/>
        <w:bidi w:val="0"/>
        <w:spacing w:before="0" w:after="36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00"/>
      <w:bookmarkEnd w:id="1201"/>
      <w:bookmarkEnd w:id="1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16,165,332.64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8,403,012.76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24,568,345.40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16,165,332.64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8,403,012.76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24,568,345.40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39" w:line="1" w:lineRule="exact"/>
      </w:pPr>
    </w:p>
    <w:p>
      <w:pPr>
        <w:pStyle w:val="Style23"/>
        <w:keepNext w:val="0"/>
        <w:keepLines w:val="0"/>
        <w:widowControl w:val="0"/>
        <w:shd w:val="clear" w:color="auto" w:fill="auto"/>
        <w:bidi w:val="0"/>
        <w:spacing w:before="0" w:after="360" w:line="322" w:lineRule="exact"/>
        <w:ind w:left="0" w:right="0"/>
        <w:jc w:val="both"/>
      </w:pPr>
      <w:r>
        <w:rPr>
          <w:color w:val="000000"/>
          <w:spacing w:val="0"/>
          <w:w w:val="100"/>
          <w:position w:val="0"/>
        </w:rPr>
        <w:t>根据公司章程规定，法定盈余公积金按净利润之</w:t>
      </w:r>
      <w:r>
        <w:rPr>
          <w:rFonts w:ascii="Times New Roman" w:eastAsia="Times New Roman" w:hAnsi="Times New Roman" w:cs="Times New Roman"/>
          <w:color w:val="000000"/>
          <w:spacing w:val="0"/>
          <w:w w:val="100"/>
          <w:position w:val="0"/>
        </w:rPr>
        <w:t>10%</w:t>
      </w:r>
      <w:r>
        <w:rPr>
          <w:color w:val="000000"/>
          <w:spacing w:val="0"/>
          <w:w w:val="100"/>
          <w:position w:val="0"/>
        </w:rPr>
        <w:t>提取。公司法定盈余公积金累计额为公司注册资本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 不再提取。</w:t>
      </w:r>
    </w:p>
    <w:p>
      <w:pPr>
        <w:pStyle w:val="Style31"/>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04"/>
      <w:bookmarkEnd w:id="1205"/>
      <w:bookmarkEnd w:id="12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725"/>
        <w:gridCol w:w="21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117,523,083.77</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117,523,083.77</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80,604,028.76</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8,403,012.76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7,490,000.04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182,234,099.73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调整年初未分配利润明细:</w:t>
      </w:r>
    </w:p>
    <w:p>
      <w:pPr>
        <w:widowControl w:val="0"/>
        <w:spacing w:after="39" w:line="1" w:lineRule="exact"/>
      </w:pPr>
    </w:p>
    <w:p>
      <w:pPr>
        <w:pStyle w:val="Style23"/>
        <w:keepNext w:val="0"/>
        <w:keepLines w:val="0"/>
        <w:widowControl w:val="0"/>
        <w:shd w:val="clear" w:color="auto" w:fill="auto"/>
        <w:tabs>
          <w:tab w:pos="825" w:val="left"/>
        </w:tabs>
        <w:bidi w:val="0"/>
        <w:spacing w:before="0" w:after="40" w:line="310" w:lineRule="exact"/>
        <w:ind w:left="0" w:right="0"/>
        <w:jc w:val="both"/>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w:t>
        <w:tab/>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40" w:line="310" w:lineRule="exact"/>
        <w:ind w:left="0" w:right="0"/>
        <w:jc w:val="both"/>
      </w:pPr>
      <w:bookmarkStart w:id="1209" w:name="bookmark1209"/>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w:t>
        <w:tab/>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40" w:line="310" w:lineRule="exact"/>
        <w:ind w:left="0" w:right="0"/>
        <w:jc w:val="both"/>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w:t>
        <w:tab/>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40" w:line="310" w:lineRule="exact"/>
        <w:ind w:left="0" w:right="0"/>
        <w:jc w:val="both"/>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w:t>
        <w:tab/>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825" w:val="left"/>
        </w:tabs>
        <w:bidi w:val="0"/>
        <w:spacing w:before="0" w:after="40" w:line="310" w:lineRule="exact"/>
        <w:ind w:left="0" w:right="0"/>
        <w:jc w:val="both"/>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w:t>
        <w:tab/>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40" w:line="310"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r>
        <w:br w:type="page"/>
      </w:r>
    </w:p>
    <w:p>
      <w:pPr>
        <w:pStyle w:val="Style52"/>
        <w:keepNext w:val="0"/>
        <w:keepLines w:val="0"/>
        <w:widowControl w:val="0"/>
        <w:shd w:val="clear" w:color="auto" w:fill="auto"/>
        <w:bidi w:val="0"/>
        <w:spacing w:before="0" w:after="360" w:line="240" w:lineRule="auto"/>
        <w:ind w:left="0" w:right="0" w:firstLine="0"/>
        <w:jc w:val="left"/>
      </w:pPr>
      <w:bookmarkStart w:id="1213" w:name="bookmark1213"/>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、营业收入、营业成本</w:t>
      </w:r>
    </w:p>
    <w:p>
      <w:pPr>
        <w:pStyle w:val="Style31"/>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14"/>
      <w:bookmarkEnd w:id="1215"/>
      <w:bookmarkEnd w:id="1216"/>
      <w:bookmarkEnd w:id="12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348,827,862.85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265,771,223.38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160,147,408.35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120,823,323.64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18"/>
      <w:bookmarkEnd w:id="1219"/>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医疗卫生信息化行业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265,771,223.38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120,823,323.64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265,771,223.38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120,823,323.64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221"/>
      <w:bookmarkEnd w:id="1222"/>
      <w:bookmarkEnd w:id="12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207,298,690.46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60,811,992.46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136,658,939.10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42,879,289.29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95,273,887.90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79,649,060.06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71,153,842.19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54,413,563.45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46,255,284.49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19,686,355.83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57,958,442.09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23,530,470.90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348,827,862.85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160,147,408.35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265,771,223.38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120,823,323.64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225"/>
      <w:bookmarkEnd w:id="1226"/>
      <w:bookmarkEnd w:id="122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141,345,522.03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71,066,317.55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123,833,940.28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59,156,740.03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40,422,520.41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13,964,175.20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24,540,822.22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9,745,920.35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27,334,512.16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15,795,531.20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16,818,998.67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8,156,721.31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26,612,307.64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16,782,182.69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22,647,304.22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13,968,282.69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13,660,008.24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4,183,590.86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7,894,457.39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3,084,563.76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51,005,888.75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18,990,674.75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31,870,888.28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11,222,002.04</w:t>
            </w:r>
          </w:p>
        </w:tc>
      </w:tr>
    </w:tbl>
    <w:p>
      <w:pPr>
        <w:widowControl w:val="0"/>
        <w:spacing w:line="1" w:lineRule="exact"/>
      </w:pPr>
      <w:r>
        <w:br w:type="page"/>
      </w:r>
    </w:p>
    <w:tbl>
      <w:tblPr>
        <w:tblOverlap w:val="never"/>
        <w:jc w:val="center"/>
        <w:tblLayout w:type="fixed"/>
      </w:tblPr>
      <w:tblGrid>
        <w:gridCol w:w="2534"/>
        <w:gridCol w:w="1723"/>
        <w:gridCol w:w="1862"/>
        <w:gridCol w:w="1728"/>
        <w:gridCol w:w="17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48,447,103.62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19,364,936.10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38,164,812.32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15,489,093.46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348,827,862.85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160,147,408.35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265,771,223.38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120,823,323.64</w:t>
            </w:r>
          </w:p>
        </w:tc>
      </w:tr>
    </w:tbl>
    <w:p>
      <w:pPr>
        <w:widowControl w:val="0"/>
        <w:spacing w:after="299" w:line="1" w:lineRule="exact"/>
      </w:pPr>
    </w:p>
    <w:p>
      <w:pPr>
        <w:pStyle w:val="Style34"/>
        <w:keepNext/>
        <w:keepLines/>
        <w:widowControl w:val="0"/>
        <w:numPr>
          <w:ilvl w:val="0"/>
          <w:numId w:val="95"/>
        </w:numPr>
        <w:shd w:val="clear" w:color="auto" w:fill="auto"/>
        <w:bidi w:val="0"/>
        <w:spacing w:before="0" w:line="240" w:lineRule="auto"/>
        <w:ind w:left="0" w:right="0" w:firstLine="14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公司来自前五名客户的营业收入情况</w:t>
      </w:r>
      <w:bookmarkEnd w:id="1229"/>
      <w:bookmarkEnd w:id="1230"/>
      <w:bookmarkEnd w:id="12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上海交通大学附属第六人民医院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13,078,015.78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上海市奉贤区卫生局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10,180,033.86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上海申康医院发展中心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8,768,859.85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上海市嘉定区卫生局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8,324,092.88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6,943,117.77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47,294,120.14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233"/>
      <w:bookmarkEnd w:id="1234"/>
      <w:bookmarkEnd w:id="12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2,684,048.83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1,849,361.48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应交流转税额的</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1,919,760.44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1,320,255.96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355,278.80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应交流转税额的</w:t>
            </w: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19,459.15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377,758.84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4,978,547.22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3,780,548.54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营业税金及附加的说明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237"/>
      <w:bookmarkEnd w:id="1238"/>
      <w:bookmarkEnd w:id="124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23,318,587.41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13,194,596.68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17,627,435.27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17,365,147.06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15,167,777.28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14,574,925.76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6,393,070.97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11,443,185.50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3,986,091.48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3,046,284.01</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1,298,340.61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607,648.82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30,563.93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68,095,669.51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60,264,758.83</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241"/>
      <w:bookmarkEnd w:id="1242"/>
      <w:bookmarkEnd w:id="12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12,457,642.84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9,626,999.87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办公及运营经费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6,392,541.74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4,482,663.14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5,681,602.16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3,620,380.88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28,879,067.34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27,114,904.52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6,468,803.30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3,022,392.79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226,948.03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1,015,972.07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469,775.56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61,331,690.97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48,564,064.79</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45"/>
      <w:bookmarkEnd w:id="1246"/>
      <w:bookmarkEnd w:id="1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-7,305,904.12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-8,748,965.60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130,879.50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-7,058,759.12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-8,618,086.10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49"/>
      <w:bookmarkEnd w:id="1250"/>
      <w:bookmarkEnd w:id="125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10,691,232.24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4,958,337.62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10,691,232.24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4,958,337.62</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253"/>
      <w:bookmarkEnd w:id="1254"/>
      <w:bookmarkEnd w:id="1256"/>
    </w:p>
    <w:p>
      <w:pPr>
        <w:pStyle w:val="Style34"/>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57"/>
      <w:bookmarkEnd w:id="1258"/>
      <w:bookmarkEnd w:id="1259"/>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298"/>
        <w:gridCol w:w="1954"/>
        <w:gridCol w:w="2160"/>
        <w:gridCol w:w="217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33,826,558.46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21,715,308.97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12,474,863.37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14,564.13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33,841,122.59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21,760,864.82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12,489,427.50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营业外收入说明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60"/>
      <w:bookmarkEnd w:id="1261"/>
      <w:bookmarkEnd w:id="1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21,351,695.09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19,262,235.67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上海市浦东新区财政扶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电子发展基金项目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上海市重点软件企业专 项奖励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上海市科委课题研究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浦东新区职工职业培训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33,826,558.46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21,715,308.97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w:t>
      </w:r>
      <w:r>
        <w:rPr>
          <w:rFonts w:ascii="Times New Roman" w:eastAsia="Times New Roman" w:hAnsi="Times New Roman" w:cs="Times New Roman"/>
          <w:color w:val="000000"/>
          <w:spacing w:val="0"/>
          <w:w w:val="100"/>
          <w:position w:val="0"/>
        </w:rPr>
        <w:t>2013</w:t>
      </w:r>
      <w:r>
        <w:rPr>
          <w:color w:val="000000"/>
          <w:spacing w:val="0"/>
          <w:w w:val="100"/>
          <w:position w:val="0"/>
        </w:rPr>
        <w:t>年度已获得主管税务机关批准的软件产品增值税即征即退税额为</w:t>
      </w:r>
      <w:r>
        <w:rPr>
          <w:rFonts w:ascii="Times New Roman" w:eastAsia="Times New Roman" w:hAnsi="Times New Roman" w:cs="Times New Roman"/>
          <w:color w:val="000000"/>
          <w:spacing w:val="0"/>
          <w:w w:val="100"/>
          <w:position w:val="0"/>
        </w:rPr>
        <w:t xml:space="preserve">21,351,695.09 </w:t>
      </w:r>
      <w:r>
        <w:rPr>
          <w:color w:val="000000"/>
          <w:spacing w:val="0"/>
          <w:w w:val="100"/>
          <w:position w:val="0"/>
        </w:rPr>
        <w:t>元，其中</w:t>
      </w:r>
      <w:r>
        <w:rPr>
          <w:rFonts w:ascii="Times New Roman" w:eastAsia="Times New Roman" w:hAnsi="Times New Roman" w:cs="Times New Roman"/>
          <w:color w:val="000000"/>
          <w:spacing w:val="0"/>
          <w:w w:val="100"/>
          <w:position w:val="0"/>
        </w:rPr>
        <w:t>2013</w:t>
      </w:r>
      <w:r>
        <w:rPr>
          <w:color w:val="000000"/>
          <w:spacing w:val="0"/>
          <w:w w:val="100"/>
          <w:position w:val="0"/>
        </w:rPr>
        <w:t>年度实际收到</w:t>
      </w:r>
      <w:r>
        <w:rPr>
          <w:rFonts w:ascii="Times New Roman" w:eastAsia="Times New Roman" w:hAnsi="Times New Roman" w:cs="Times New Roman"/>
          <w:color w:val="000000"/>
          <w:spacing w:val="0"/>
          <w:w w:val="100"/>
          <w:position w:val="0"/>
        </w:rPr>
        <w:t>19,107,269.09</w:t>
      </w:r>
      <w:r>
        <w:rPr>
          <w:color w:val="000000"/>
          <w:spacing w:val="0"/>
          <w:w w:val="100"/>
          <w:position w:val="0"/>
        </w:rPr>
        <w:t>元，其余</w:t>
      </w:r>
      <w:r>
        <w:rPr>
          <w:rFonts w:ascii="Times New Roman" w:eastAsia="Times New Roman" w:hAnsi="Times New Roman" w:cs="Times New Roman"/>
          <w:color w:val="000000"/>
          <w:spacing w:val="0"/>
          <w:w w:val="100"/>
          <w:position w:val="0"/>
        </w:rPr>
        <w:t>2,244,426.00</w:t>
      </w:r>
      <w:r>
        <w:rPr>
          <w:color w:val="000000"/>
          <w:spacing w:val="0"/>
          <w:w w:val="100"/>
          <w:position w:val="0"/>
        </w:rPr>
        <w:t>元在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月收到。</w:t>
      </w:r>
    </w:p>
    <w:p>
      <w:pPr>
        <w:pStyle w:val="Style23"/>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：以上政府补助除软件产品增值税即征即退税额外，均计入非经常性损益。</w:t>
      </w:r>
    </w:p>
    <w:p>
      <w:pPr>
        <w:pStyle w:val="Style31"/>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263"/>
      <w:bookmarkEnd w:id="1264"/>
      <w:bookmarkEnd w:id="126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2021"/>
        <w:gridCol w:w="1915"/>
        <w:gridCol w:w="192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328,204.02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328,204.02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328,204.02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328,204.02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338,204.02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338,204.02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r>
        <w:br w:type="page"/>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267"/>
      <w:bookmarkEnd w:id="1268"/>
      <w:bookmarkEnd w:id="1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6,951,979.70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8,489,210.79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-1,205,467.81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-3,218,552.45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5,746,511.89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5,270,658.34</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271"/>
      <w:bookmarkEnd w:id="1272"/>
      <w:bookmarkEnd w:id="1274"/>
    </w:p>
    <w:p>
      <w:pPr>
        <w:pStyle w:val="Style4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rPr>
        <w:t>9.</w:t>
      </w:r>
      <w:r>
        <w:rPr>
          <w:b/>
          <w:bCs/>
          <w:color w:val="000000"/>
          <w:spacing w:val="0"/>
          <w:w w:val="100"/>
          <w:position w:val="0"/>
          <w:sz w:val="24"/>
          <w:szCs w:val="24"/>
        </w:rPr>
        <w:t>基本每股收益和稀释每股收益的计算过程</w:t>
      </w:r>
    </w:p>
    <w:tbl>
      <w:tblPr>
        <w:tblOverlap w:val="never"/>
        <w:jc w:val="center"/>
        <w:tblLayout w:type="fixed"/>
      </w:tblPr>
      <w:tblGrid>
        <w:gridCol w:w="4080"/>
        <w:gridCol w:w="3048"/>
        <w:gridCol w:w="2309"/>
      </w:tblGrid>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基本每股收益的计算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P0</w:t>
            </w:r>
            <w:r>
              <w:rPr>
                <w:color w:val="000000"/>
                <w:spacing w:val="0"/>
                <w:w w:val="100"/>
                <w:position w:val="0"/>
                <w:sz w:val="20"/>
                <w:szCs w:val="20"/>
              </w:rPr>
              <w:t>归属于公司普通股股东的净利润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80,604,028.76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52,849,948.41</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P0</w:t>
            </w:r>
            <w:r>
              <w:rPr>
                <w:color w:val="000000"/>
                <w:spacing w:val="0"/>
                <w:w w:val="100"/>
                <w:position w:val="0"/>
                <w:sz w:val="20"/>
                <w:szCs w:val="20"/>
              </w:rPr>
              <w:t>扣除非经常性损益后归属于公司普 通股股东的净利润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70,368,673.18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50,742,707.24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S0</w:t>
            </w:r>
            <w:r>
              <w:rPr>
                <w:color w:val="000000"/>
                <w:spacing w:val="0"/>
                <w:w w:val="100"/>
                <w:position w:val="0"/>
                <w:sz w:val="20"/>
                <w:szCs w:val="20"/>
              </w:rPr>
              <w:t>期初股份总数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107,000,000.00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107,000,000.00</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S1</w:t>
            </w:r>
            <w:r>
              <w:rPr>
                <w:color w:val="000000"/>
                <w:spacing w:val="0"/>
                <w:w w:val="100"/>
                <w:position w:val="0"/>
                <w:sz w:val="20"/>
                <w:szCs w:val="20"/>
              </w:rPr>
              <w:t>报告期因公积金转增股本或股票股 利分配等增加股份数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53,500,000.00</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Sil</w:t>
            </w:r>
            <w:r>
              <w:rPr>
                <w:color w:val="000000"/>
                <w:spacing w:val="0"/>
                <w:w w:val="100"/>
                <w:position w:val="0"/>
                <w:sz w:val="20"/>
                <w:szCs w:val="20"/>
              </w:rPr>
              <w:t>报告期因发行新股或债转股或实施 股权激励等增加股份数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851,300.00</w:t>
            </w:r>
          </w:p>
        </w:tc>
        <w:tc>
          <w:tcPr>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Si2</w:t>
            </w:r>
            <w:r>
              <w:rPr>
                <w:color w:val="000000"/>
                <w:spacing w:val="0"/>
                <w:w w:val="100"/>
                <w:position w:val="0"/>
                <w:sz w:val="20"/>
                <w:szCs w:val="20"/>
              </w:rPr>
              <w:t>报告期因发行新股或债转股或实施 股权激励等增加股份数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115,800.00</w:t>
            </w:r>
          </w:p>
        </w:tc>
        <w:tc>
          <w:tcPr>
            <w:tcBorders>
              <w:top w:val="single" w:sz="4"/>
            </w:tcBorders>
            <w:shd w:val="clear" w:color="auto" w:fill="FFFFFF"/>
            <w:vAlign w:val="top"/>
          </w:tcPr>
          <w:p>
            <w:pPr>
              <w:widowControl w:val="0"/>
              <w:rPr>
                <w:sz w:val="10"/>
                <w:szCs w:val="10"/>
              </w:rPr>
            </w:pPr>
          </w:p>
        </w:tc>
      </w:tr>
      <w:tr>
        <w:trPr>
          <w:trHeight w:val="346"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Sj</w:t>
            </w:r>
            <w:r>
              <w:rPr>
                <w:color w:val="000000"/>
                <w:spacing w:val="0"/>
                <w:w w:val="100"/>
                <w:position w:val="0"/>
                <w:sz w:val="20"/>
                <w:szCs w:val="20"/>
              </w:rPr>
              <w:t>报告期因回购等减少股份数</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Sk</w:t>
            </w:r>
            <w:r>
              <w:rPr>
                <w:color w:val="000000"/>
                <w:spacing w:val="0"/>
                <w:w w:val="100"/>
                <w:position w:val="0"/>
                <w:sz w:val="20"/>
                <w:szCs w:val="20"/>
              </w:rPr>
              <w:t>报告期缩股数</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M01</w:t>
            </w:r>
            <w:r>
              <w:rPr>
                <w:color w:val="000000"/>
                <w:spacing w:val="0"/>
                <w:w w:val="100"/>
                <w:position w:val="0"/>
                <w:sz w:val="20"/>
                <w:szCs w:val="20"/>
              </w:rPr>
              <w:t>报告期月份数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11.00</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M02</w:t>
            </w:r>
            <w:r>
              <w:rPr>
                <w:color w:val="000000"/>
                <w:spacing w:val="0"/>
                <w:w w:val="100"/>
                <w:position w:val="0"/>
                <w:sz w:val="20"/>
                <w:szCs w:val="20"/>
              </w:rPr>
              <w:t>报告期月份数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20"/>
                <w:szCs w:val="20"/>
              </w:rPr>
            </w:pPr>
            <w:r>
              <w:rPr>
                <w:rFonts w:ascii="Times New Roman" w:eastAsia="Times New Roman" w:hAnsi="Times New Roman" w:cs="Times New Roman"/>
                <w:color w:val="000000"/>
                <w:spacing w:val="0"/>
                <w:w w:val="100"/>
                <w:position w:val="0"/>
                <w:sz w:val="20"/>
                <w:szCs w:val="20"/>
              </w:rPr>
              <w:t>12.00</w:t>
            </w:r>
          </w:p>
        </w:tc>
        <w:tc>
          <w:tcPr>
            <w:tcBorders>
              <w:top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Mil</w:t>
            </w:r>
            <w:r>
              <w:rPr>
                <w:color w:val="000000"/>
                <w:spacing w:val="0"/>
                <w:w w:val="100"/>
                <w:position w:val="0"/>
                <w:sz w:val="20"/>
                <w:szCs w:val="20"/>
              </w:rPr>
              <w:t>增加股份次月起至报告期年末的累 计月数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Mi2</w:t>
            </w:r>
            <w:r>
              <w:rPr>
                <w:color w:val="000000"/>
                <w:spacing w:val="0"/>
                <w:w w:val="100"/>
                <w:position w:val="0"/>
                <w:sz w:val="20"/>
                <w:szCs w:val="20"/>
              </w:rPr>
              <w:t>增加股份次月起至报告期年末的累 计月数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56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r>
      <w:tr>
        <w:trPr>
          <w:trHeight w:val="662"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Mj</w:t>
            </w:r>
            <w:r>
              <w:rPr>
                <w:color w:val="000000"/>
                <w:spacing w:val="0"/>
                <w:w w:val="100"/>
                <w:position w:val="0"/>
                <w:sz w:val="20"/>
                <w:szCs w:val="20"/>
              </w:rPr>
              <w:t>减少股份次月起至报告期年末的累 计月数</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w:t>
            </w:r>
            <w:r>
              <w:rPr>
                <w:color w:val="000000"/>
                <w:spacing w:val="0"/>
                <w:w w:val="100"/>
                <w:position w:val="0"/>
                <w:sz w:val="20"/>
                <w:szCs w:val="20"/>
              </w:rPr>
              <w:t>发行在外的普通股加权平均数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107,070,941.67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107,000,000.00</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基本每股收益（归属于公司普通股股东 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73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扣除非经常性损益后归 属于公司普通股股东的净利润）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0.66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w:t>
            </w:r>
          </w:p>
        </w:tc>
      </w:tr>
      <w:tr>
        <w:trPr>
          <w:trHeight w:val="350"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r>
              <w:rPr>
                <w:rFonts w:ascii="Times New Roman" w:eastAsia="Times New Roman" w:hAnsi="Times New Roman" w:cs="Times New Roman"/>
                <w:color w:val="000000"/>
                <w:spacing w:val="0"/>
                <w:w w:val="100"/>
                <w:position w:val="0"/>
                <w:sz w:val="20"/>
                <w:szCs w:val="20"/>
              </w:rPr>
              <w:t>=P0/S</w:t>
            </w:r>
          </w:p>
        </w:tc>
      </w:tr>
      <w:tr>
        <w:trPr>
          <w:trHeight w:val="360" w:hRule="exact"/>
        </w:trPr>
        <w:tc>
          <w:tcPr>
            <w:gridSpan w:val="3"/>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S=S0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S1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Si xMi+M0-Sj xMj+M0-Sk</w:t>
            </w:r>
          </w:p>
        </w:tc>
      </w:tr>
    </w:tbl>
    <w:p>
      <w:pPr>
        <w:widowControl w:val="0"/>
        <w:spacing w:line="1" w:lineRule="exact"/>
      </w:pPr>
      <w:r>
        <w:br w:type="page"/>
      </w:r>
    </w:p>
    <w:tbl>
      <w:tblPr>
        <w:tblOverlap w:val="never"/>
        <w:jc w:val="center"/>
        <w:tblLayout w:type="fixed"/>
      </w:tblPr>
      <w:tblGrid>
        <w:gridCol w:w="3874"/>
        <w:gridCol w:w="3926"/>
        <w:gridCol w:w="1757"/>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稀释每股收益的计算</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P1</w:t>
            </w:r>
            <w:r>
              <w:rPr>
                <w:color w:val="000000"/>
                <w:spacing w:val="0"/>
                <w:w w:val="100"/>
                <w:position w:val="0"/>
                <w:sz w:val="20"/>
                <w:szCs w:val="20"/>
              </w:rPr>
              <w:t>考虑稀释性潜在普通股的影响后归 属于公司普通股股东的净利润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80,604,028.76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52,849,948.41</w:t>
            </w:r>
          </w:p>
        </w:tc>
      </w:tr>
      <w:tr>
        <w:trPr>
          <w:trHeight w:val="9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P1</w:t>
            </w:r>
            <w:r>
              <w:rPr>
                <w:color w:val="000000"/>
                <w:spacing w:val="0"/>
                <w:w w:val="100"/>
                <w:position w:val="0"/>
                <w:sz w:val="20"/>
                <w:szCs w:val="20"/>
              </w:rPr>
              <w:t>考虑稀释性潜在普通股的影响后扣 除非经常性损益后归属于公司普通股 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70,368,673.18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50,742,707.24</w:t>
            </w:r>
          </w:p>
        </w:tc>
      </w:tr>
      <w:tr>
        <w:trPr>
          <w:trHeight w:val="658"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X1</w:t>
            </w:r>
            <w:r>
              <w:rPr>
                <w:color w:val="000000"/>
                <w:spacing w:val="0"/>
                <w:w w:val="100"/>
                <w:position w:val="0"/>
                <w:sz w:val="20"/>
                <w:szCs w:val="20"/>
              </w:rPr>
              <w:t>已确认为费用的稀释性潜在普通股 利息</w:t>
            </w:r>
          </w:p>
        </w:tc>
      </w:tr>
      <w:tr>
        <w:trPr>
          <w:trHeight w:val="66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X2</w:t>
            </w:r>
            <w:r>
              <w:rPr>
                <w:color w:val="000000"/>
                <w:spacing w:val="0"/>
                <w:w w:val="100"/>
                <w:position w:val="0"/>
                <w:sz w:val="20"/>
                <w:szCs w:val="20"/>
              </w:rPr>
              <w:t>稀释性潜在普通股转换时将产生的 收益或费用</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w:t>
            </w:r>
            <w:r>
              <w:rPr>
                <w:color w:val="000000"/>
                <w:spacing w:val="0"/>
                <w:w w:val="100"/>
                <w:position w:val="0"/>
                <w:sz w:val="20"/>
                <w:szCs w:val="20"/>
              </w:rPr>
              <w:t>所得税率</w:t>
            </w:r>
          </w:p>
        </w:tc>
      </w:tr>
      <w:tr>
        <w:trPr>
          <w:trHeight w:val="66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所有稀释性潜在普通股转换成普通股 时的加权平均数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109,066,491.43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107,122,276.55</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稀释每股收益（归属于公司普通股股东 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0.74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稀释每股收益（扣除非经常性损益后归 属于公司普通股股东的净利润）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0.65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0.47</w:t>
            </w:r>
          </w:p>
        </w:tc>
      </w:tr>
      <w:tr>
        <w:trPr>
          <w:trHeight w:val="36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w:t>
            </w:r>
            <w:r>
              <w:rPr>
                <w:rFonts w:ascii="Times New Roman" w:eastAsia="Times New Roman" w:hAnsi="Times New Roman" w:cs="Times New Roman"/>
                <w:color w:val="000000"/>
                <w:spacing w:val="0"/>
                <w:w w:val="100"/>
                <w:position w:val="0"/>
                <w:sz w:val="20"/>
                <w:szCs w:val="20"/>
              </w:rPr>
              <w:t>=P1/（S+</w:t>
            </w:r>
            <w:r>
              <w:rPr>
                <w:color w:val="000000"/>
                <w:spacing w:val="0"/>
                <w:w w:val="100"/>
                <w:position w:val="0"/>
                <w:sz w:val="20"/>
                <w:szCs w:val="20"/>
              </w:rPr>
              <w:t>认股权证、股份期权、</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可转换债券等增加的普通股加权平均数</w:t>
            </w:r>
            <w:r>
              <w:rPr>
                <w:color w:val="000000"/>
                <w:spacing w:val="0"/>
                <w:w w:val="100"/>
                <w:position w:val="0"/>
                <w:sz w:val="20"/>
                <w:szCs w:val="20"/>
              </w:rPr>
              <w:t>）</w:t>
            </w:r>
          </w:p>
        </w:tc>
        <w:tc>
          <w:tcPr>
            <w:tcBorders>
              <w:top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、现金流量表附注</w:t>
      </w:r>
      <w:bookmarkEnd w:id="1275"/>
      <w:bookmarkEnd w:id="1276"/>
      <w:bookmarkEnd w:id="1278"/>
    </w:p>
    <w:p>
      <w:pPr>
        <w:pStyle w:val="Style34"/>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9"/>
      <w:bookmarkEnd w:id="1280"/>
      <w:bookmarkEnd w:id="12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rPr>
              <w:t>/</w:t>
            </w:r>
            <w:r>
              <w:rPr>
                <w:color w:val="000000"/>
                <w:spacing w:val="0"/>
                <w:w w:val="100"/>
                <w:position w:val="0"/>
              </w:rPr>
              <w:t>履约保证金</w:t>
            </w:r>
            <w:r>
              <w:rPr>
                <w:rFonts w:ascii="Times New Roman" w:eastAsia="Times New Roman" w:hAnsi="Times New Roman" w:cs="Times New Roman"/>
                <w:color w:val="000000"/>
                <w:spacing w:val="0"/>
                <w:w w:val="100"/>
                <w:position w:val="0"/>
              </w:rPr>
              <w:t>/</w:t>
            </w:r>
            <w:r>
              <w:rPr>
                <w:color w:val="000000"/>
                <w:spacing w:val="0"/>
                <w:w w:val="100"/>
                <w:position w:val="0"/>
              </w:rPr>
              <w:t>备用金及其他往来款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32,330,236.96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rPr>
              <w:t>/</w:t>
            </w: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8,648,927.50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7,676,835.39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48,655,999.85</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收到的其他与经营活动有关的现金说明 无</w:t>
      </w:r>
    </w:p>
    <w:p>
      <w:pPr>
        <w:widowControl w:val="0"/>
        <w:spacing w:after="279" w:line="1" w:lineRule="exact"/>
      </w:pPr>
    </w:p>
    <w:p>
      <w:pPr>
        <w:pStyle w:val="Style34"/>
        <w:keepNext/>
        <w:keepLines/>
        <w:widowControl w:val="0"/>
        <w:shd w:val="clear" w:color="auto" w:fill="auto"/>
        <w:bidi w:val="0"/>
        <w:spacing w:before="0" w:line="240" w:lineRule="auto"/>
        <w:ind w:left="0" w:right="0" w:firstLine="18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82"/>
      <w:bookmarkEnd w:id="1283"/>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53,062,137.60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r>
              <w:rPr>
                <w:rFonts w:ascii="Times New Roman" w:eastAsia="Times New Roman" w:hAnsi="Times New Roman" w:cs="Times New Roman"/>
                <w:color w:val="000000"/>
                <w:spacing w:val="0"/>
                <w:w w:val="100"/>
                <w:position w:val="0"/>
              </w:rPr>
              <w:t>/</w:t>
            </w:r>
            <w:r>
              <w:rPr>
                <w:color w:val="000000"/>
                <w:spacing w:val="0"/>
                <w:w w:val="100"/>
                <w:position w:val="0"/>
              </w:rPr>
              <w:t>履约保证金</w:t>
            </w:r>
            <w:r>
              <w:rPr>
                <w:rFonts w:ascii="Times New Roman" w:eastAsia="Times New Roman" w:hAnsi="Times New Roman" w:cs="Times New Roman"/>
                <w:color w:val="000000"/>
                <w:spacing w:val="0"/>
                <w:w w:val="100"/>
                <w:position w:val="0"/>
              </w:rPr>
              <w:t>/</w:t>
            </w:r>
            <w:r>
              <w:rPr>
                <w:color w:val="000000"/>
                <w:spacing w:val="0"/>
                <w:w w:val="100"/>
                <w:position w:val="0"/>
              </w:rPr>
              <w:t>备用金及其他往来款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45,123,598.05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bl>
    <w:p>
      <w:pPr>
        <w:widowControl w:val="0"/>
        <w:spacing w:line="1" w:lineRule="exact"/>
      </w:pPr>
      <w:r>
        <w:br w:type="page"/>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98,195,735.65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支付的其他与经营活动有关的现金说明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285"/>
      <w:bookmarkEnd w:id="1286"/>
      <w:bookmarkEnd w:id="12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7,351,773.01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7,351,773.01</w:t>
            </w:r>
          </w:p>
        </w:tc>
      </w:tr>
    </w:tbl>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收到的其他与筹资活动有关的现金说明 无</w:t>
      </w:r>
    </w:p>
    <w:p>
      <w:pPr>
        <w:pStyle w:val="Style34"/>
        <w:keepNext/>
        <w:keepLines/>
        <w:widowControl w:val="0"/>
        <w:shd w:val="clear" w:color="auto" w:fill="auto"/>
        <w:bidi w:val="0"/>
        <w:spacing w:before="0" w:line="240" w:lineRule="auto"/>
        <w:ind w:left="0" w:right="0" w:firstLine="14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289"/>
      <w:bookmarkEnd w:id="1290"/>
      <w:bookmarkEnd w:id="12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股票期权行权代扣代缴的个人所得税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5,920,090.30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5,920,090.30</w:t>
            </w:r>
          </w:p>
        </w:tc>
      </w:tr>
    </w:tbl>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293"/>
      <w:bookmarkEnd w:id="1294"/>
      <w:bookmarkEnd w:id="1296"/>
    </w:p>
    <w:p>
      <w:pPr>
        <w:pStyle w:val="Style34"/>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7"/>
      <w:bookmarkEnd w:id="1298"/>
      <w:bookmarkEnd w:id="129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78,398,480.36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52,473,172.17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10,691,232.24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4,958,337.62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6,693,099.20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3,637,703.86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238,936.30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155,021.57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193,333.32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-1,205,467.81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-3,218,552.45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19,291,381.71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-17,640,420.89</w:t>
            </w:r>
          </w:p>
        </w:tc>
      </w:tr>
    </w:tbl>
    <w:p>
      <w:pPr>
        <w:widowControl w:val="0"/>
        <w:spacing w:line="1" w:lineRule="exact"/>
      </w:pPr>
      <w:r>
        <w:br w:type="page"/>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-67,120,955.50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-61,376,414.16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2,286,880.11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47,918,059.35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352,991.21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460,950.71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50,148,115.16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27,373,168.15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447,285,047.42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408,922,209.19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408,922,209.19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405,258,639.87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38,362,838.23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3,663,569.32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00"/>
      <w:bookmarkEnd w:id="1301"/>
      <w:bookmarkEnd w:id="13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numPr>
          <w:ilvl w:val="0"/>
          <w:numId w:val="97"/>
        </w:numPr>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现金和现金等价物的构成</w:t>
      </w:r>
      <w:bookmarkEnd w:id="1303"/>
      <w:bookmarkEnd w:id="1304"/>
      <w:bookmarkEnd w:id="13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447,285,047.42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408,922,209.19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442,346,473.86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407,902,910.45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4,836,985.01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1,001,263.10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447,285,047.42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408,922,209.19</w:t>
            </w:r>
          </w:p>
        </w:tc>
      </w:tr>
    </w:tbl>
    <w:p>
      <w:pPr>
        <w:pStyle w:val="Style2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现金流量表补充资料的说明 无</w:t>
      </w:r>
    </w:p>
    <w:p>
      <w:pPr>
        <w:pStyle w:val="Style21"/>
        <w:keepNext/>
        <w:keepLines/>
        <w:widowControl w:val="0"/>
        <w:shd w:val="clear" w:color="auto" w:fill="auto"/>
        <w:bidi w:val="0"/>
        <w:spacing w:before="0" w:after="32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sz w:val="24"/>
          <w:szCs w:val="24"/>
        </w:rPr>
        <w:t>八</w:t>
      </w:r>
      <w:bookmarkEnd w:id="1309"/>
      <w:r>
        <w:rPr>
          <w:color w:val="000000"/>
          <w:spacing w:val="0"/>
          <w:w w:val="100"/>
          <w:position w:val="0"/>
          <w:sz w:val="24"/>
          <w:szCs w:val="24"/>
        </w:rPr>
        <w:t>、关联方及关联交易</w:t>
      </w:r>
      <w:bookmarkEnd w:id="1307"/>
      <w:bookmarkEnd w:id="1308"/>
      <w:bookmarkEnd w:id="1310"/>
    </w:p>
    <w:p>
      <w:pPr>
        <w:pStyle w:val="Style31"/>
        <w:keepNext/>
        <w:keepLines/>
        <w:widowControl w:val="0"/>
        <w:shd w:val="clear" w:color="auto" w:fill="auto"/>
        <w:bidi w:val="0"/>
        <w:spacing w:before="0" w:after="320" w:line="240" w:lineRule="auto"/>
        <w:ind w:left="0" w:right="0" w:firstLine="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11"/>
      <w:bookmarkEnd w:id="1312"/>
      <w:bookmarkEnd w:id="1313"/>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王英（注）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注：王英与周炜系夫妻关系，为本公司实际控制人。</w:t>
      </w:r>
    </w:p>
    <w:p>
      <w:pPr>
        <w:pStyle w:val="Style31"/>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14"/>
      <w:bookmarkEnd w:id="1315"/>
      <w:bookmarkEnd w:id="1316"/>
    </w:p>
    <w:tbl>
      <w:tblPr>
        <w:tblOverlap w:val="never"/>
        <w:jc w:val="center"/>
        <w:tblLayout w:type="fixed"/>
      </w:tblPr>
      <w:tblGrid>
        <w:gridCol w:w="965"/>
        <w:gridCol w:w="955"/>
        <w:gridCol w:w="955"/>
        <w:gridCol w:w="960"/>
        <w:gridCol w:w="960"/>
        <w:gridCol w:w="955"/>
        <w:gridCol w:w="955"/>
        <w:gridCol w:w="955"/>
        <w:gridCol w:w="960"/>
        <w:gridCol w:w="96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组织机构代 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上海金仕达 卫宁软件科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59316104-4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西安金仕达 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05159955-1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江苏金仕达 卫宁软件有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软件销售、 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55804351</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、关联方交易</w:t>
      </w:r>
      <w:bookmarkEnd w:id="1317"/>
      <w:bookmarkEnd w:id="1318"/>
      <w:bookmarkEnd w:id="1320"/>
    </w:p>
    <w:p>
      <w:pPr>
        <w:pStyle w:val="Style34"/>
        <w:keepNext/>
        <w:keepLines/>
        <w:widowControl w:val="0"/>
        <w:shd w:val="clear" w:color="auto" w:fill="auto"/>
        <w:bidi w:val="0"/>
        <w:spacing w:before="0" w:after="340" w:line="240" w:lineRule="auto"/>
        <w:ind w:left="0" w:right="0" w:firstLine="0"/>
        <w:jc w:val="left"/>
      </w:pPr>
      <w:bookmarkStart w:id="1321" w:name="bookmark1321"/>
      <w:bookmarkStart w:id="1322" w:name="bookmark1322"/>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21"/>
      <w:bookmarkEnd w:id="1322"/>
      <w:bookmarkEnd w:id="13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sz w:val="24"/>
          <w:szCs w:val="24"/>
        </w:rPr>
        <w:t>九</w:t>
      </w:r>
      <w:bookmarkEnd w:id="1326"/>
      <w:r>
        <w:rPr>
          <w:color w:val="000000"/>
          <w:spacing w:val="0"/>
          <w:w w:val="100"/>
          <w:position w:val="0"/>
          <w:sz w:val="24"/>
          <w:szCs w:val="24"/>
        </w:rPr>
        <w:t>、股份支付</w:t>
      </w:r>
      <w:bookmarkEnd w:id="1324"/>
      <w:bookmarkEnd w:id="1325"/>
      <w:bookmarkEnd w:id="1327"/>
    </w:p>
    <w:p>
      <w:pPr>
        <w:pStyle w:val="Style31"/>
        <w:keepNext/>
        <w:keepLines/>
        <w:widowControl w:val="0"/>
        <w:shd w:val="clear" w:color="auto" w:fill="auto"/>
        <w:bidi w:val="0"/>
        <w:spacing w:before="0" w:after="34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328"/>
      <w:bookmarkEnd w:id="1329"/>
      <w:bookmarkEnd w:id="1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55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967,100.00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日，根据公司第二届董事会第七次会议决议，首次授予股票期权激励对象共</w:t>
      </w:r>
      <w:r>
        <w:rPr>
          <w:rFonts w:ascii="Times New Roman" w:eastAsia="Times New Roman" w:hAnsi="Times New Roman" w:cs="Times New Roman"/>
          <w:color w:val="000000"/>
          <w:spacing w:val="0"/>
          <w:w w:val="100"/>
          <w:position w:val="0"/>
        </w:rPr>
        <w:t>168</w:t>
      </w:r>
      <w:r>
        <w:rPr>
          <w:color w:val="000000"/>
          <w:spacing w:val="0"/>
          <w:w w:val="100"/>
          <w:position w:val="0"/>
        </w:rPr>
        <w:t>人，首次授予股票期 权数量为</w:t>
      </w:r>
      <w:r>
        <w:rPr>
          <w:rFonts w:ascii="Times New Roman" w:eastAsia="Times New Roman" w:hAnsi="Times New Roman" w:cs="Times New Roman"/>
          <w:color w:val="000000"/>
          <w:spacing w:val="0"/>
          <w:w w:val="100"/>
          <w:position w:val="0"/>
        </w:rPr>
        <w:t>441.60</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18.85</w:t>
      </w:r>
      <w:r>
        <w:rPr>
          <w:color w:val="000000"/>
          <w:spacing w:val="0"/>
          <w:w w:val="100"/>
          <w:position w:val="0"/>
        </w:rPr>
        <w:t>元；预留部分股票期权为</w:t>
      </w:r>
      <w:r>
        <w:rPr>
          <w:rFonts w:ascii="Times New Roman" w:eastAsia="Times New Roman" w:hAnsi="Times New Roman" w:cs="Times New Roman"/>
          <w:color w:val="000000"/>
          <w:spacing w:val="0"/>
          <w:w w:val="100"/>
          <w:position w:val="0"/>
        </w:rPr>
        <w:t>50</w:t>
      </w:r>
      <w:r>
        <w:rPr>
          <w:color w:val="000000"/>
          <w:spacing w:val="0"/>
          <w:w w:val="100"/>
          <w:position w:val="0"/>
        </w:rPr>
        <w:t>万份。</w:t>
      </w:r>
    </w:p>
    <w:p>
      <w:pPr>
        <w:pStyle w:val="Style23"/>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日，公司召开第二届董事会第十二次会议，审议通过了《关于股票期权激励计划所涉首次授予激励对象、 期权数量和行权价格调整的议案》，董事会同意首次授予激励对象由</w:t>
      </w:r>
      <w:r>
        <w:rPr>
          <w:rFonts w:ascii="Times New Roman" w:eastAsia="Times New Roman" w:hAnsi="Times New Roman" w:cs="Times New Roman"/>
          <w:color w:val="000000"/>
          <w:spacing w:val="0"/>
          <w:w w:val="100"/>
          <w:position w:val="0"/>
        </w:rPr>
        <w:t>168</w:t>
      </w:r>
      <w:r>
        <w:rPr>
          <w:color w:val="000000"/>
          <w:spacing w:val="0"/>
          <w:w w:val="100"/>
          <w:position w:val="0"/>
        </w:rPr>
        <w:t>名调整为</w:t>
      </w:r>
      <w:r>
        <w:rPr>
          <w:rFonts w:ascii="Times New Roman" w:eastAsia="Times New Roman" w:hAnsi="Times New Roman" w:cs="Times New Roman"/>
          <w:color w:val="000000"/>
          <w:spacing w:val="0"/>
          <w:w w:val="100"/>
          <w:position w:val="0"/>
        </w:rPr>
        <w:t>162</w:t>
      </w:r>
      <w:r>
        <w:rPr>
          <w:color w:val="000000"/>
          <w:spacing w:val="0"/>
          <w:w w:val="100"/>
          <w:position w:val="0"/>
        </w:rPr>
        <w:t>名，首次授予股票期权由</w:t>
      </w:r>
      <w:r>
        <w:rPr>
          <w:rFonts w:ascii="Times New Roman" w:eastAsia="Times New Roman" w:hAnsi="Times New Roman" w:cs="Times New Roman"/>
          <w:color w:val="000000"/>
          <w:spacing w:val="0"/>
          <w:w w:val="100"/>
          <w:position w:val="0"/>
        </w:rPr>
        <w:t>441.6</w:t>
      </w:r>
      <w:r>
        <w:rPr>
          <w:color w:val="000000"/>
          <w:spacing w:val="0"/>
          <w:w w:val="100"/>
          <w:position w:val="0"/>
        </w:rPr>
        <w:t>万份调 整为</w:t>
      </w:r>
      <w:r>
        <w:rPr>
          <w:rFonts w:ascii="Times New Roman" w:eastAsia="Times New Roman" w:hAnsi="Times New Roman" w:cs="Times New Roman"/>
          <w:color w:val="000000"/>
          <w:spacing w:val="0"/>
          <w:w w:val="100"/>
          <w:position w:val="0"/>
        </w:rPr>
        <w:t>432</w:t>
      </w:r>
      <w:r>
        <w:rPr>
          <w:color w:val="000000"/>
          <w:spacing w:val="0"/>
          <w:w w:val="100"/>
          <w:position w:val="0"/>
        </w:rPr>
        <w:t>万份，首次授予股票期权的行权价由</w:t>
      </w:r>
      <w:r>
        <w:rPr>
          <w:rFonts w:ascii="Times New Roman" w:eastAsia="Times New Roman" w:hAnsi="Times New Roman" w:cs="Times New Roman"/>
          <w:color w:val="000000"/>
          <w:spacing w:val="0"/>
          <w:w w:val="100"/>
          <w:position w:val="0"/>
        </w:rPr>
        <w:t>18.85</w:t>
      </w:r>
      <w:r>
        <w:rPr>
          <w:color w:val="000000"/>
          <w:spacing w:val="0"/>
          <w:w w:val="100"/>
          <w:position w:val="0"/>
        </w:rPr>
        <w:t>元调整为</w:t>
      </w:r>
      <w:r>
        <w:rPr>
          <w:rFonts w:ascii="Times New Roman" w:eastAsia="Times New Roman" w:hAnsi="Times New Roman" w:cs="Times New Roman"/>
          <w:color w:val="000000"/>
          <w:spacing w:val="0"/>
          <w:w w:val="100"/>
          <w:position w:val="0"/>
        </w:rPr>
        <w:t>18.78</w:t>
      </w:r>
      <w:r>
        <w:rPr>
          <w:color w:val="000000"/>
          <w:spacing w:val="0"/>
          <w:w w:val="100"/>
          <w:position w:val="0"/>
        </w:rPr>
        <w:t>元，并注销已授予但不符合行权条件的股票期权</w:t>
      </w:r>
      <w:r>
        <w:rPr>
          <w:rFonts w:ascii="Times New Roman" w:eastAsia="Times New Roman" w:hAnsi="Times New Roman" w:cs="Times New Roman"/>
          <w:color w:val="000000"/>
          <w:spacing w:val="0"/>
          <w:w w:val="100"/>
          <w:position w:val="0"/>
        </w:rPr>
        <w:t>9.6</w:t>
      </w:r>
      <w:r>
        <w:rPr>
          <w:color w:val="000000"/>
          <w:spacing w:val="0"/>
          <w:w w:val="100"/>
          <w:position w:val="0"/>
        </w:rPr>
        <w:t>万份。</w:t>
      </w:r>
    </w:p>
    <w:p>
      <w:pPr>
        <w:pStyle w:val="Style2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本计划有效期为自股票期权授权之日起</w:t>
      </w:r>
      <w:r>
        <w:rPr>
          <w:rFonts w:ascii="Times New Roman" w:eastAsia="Times New Roman" w:hAnsi="Times New Roman" w:cs="Times New Roman"/>
          <w:color w:val="000000"/>
          <w:spacing w:val="0"/>
          <w:w w:val="100"/>
          <w:position w:val="0"/>
        </w:rPr>
        <w:t>5</w:t>
      </w:r>
      <w:r>
        <w:rPr>
          <w:color w:val="000000"/>
          <w:spacing w:val="0"/>
          <w:w w:val="100"/>
          <w:position w:val="0"/>
        </w:rPr>
        <w:t>年。预留部分期权的有效期为自预留部分期权授权日起</w:t>
      </w:r>
      <w:r>
        <w:rPr>
          <w:rFonts w:ascii="Times New Roman" w:eastAsia="Times New Roman" w:hAnsi="Times New Roman" w:cs="Times New Roman"/>
          <w:color w:val="000000"/>
          <w:spacing w:val="0"/>
          <w:w w:val="100"/>
          <w:position w:val="0"/>
        </w:rPr>
        <w:t>4</w:t>
      </w:r>
      <w:r>
        <w:rPr>
          <w:color w:val="000000"/>
          <w:spacing w:val="0"/>
          <w:w w:val="100"/>
          <w:position w:val="0"/>
        </w:rPr>
        <w:t>年，本计划授予的股票 期权自本期激励计划授予日起满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rPr>
        <w:t>48</w:t>
      </w:r>
      <w:r>
        <w:rPr>
          <w:color w:val="000000"/>
          <w:spacing w:val="0"/>
          <w:w w:val="100"/>
          <w:position w:val="0"/>
        </w:rPr>
        <w:t>个月内分四期行权。本次授予期权行权期及各期行权时间安 排如表所示：</w:t>
      </w:r>
    </w:p>
    <w:tbl>
      <w:tblPr>
        <w:tblOverlap w:val="never"/>
        <w:jc w:val="center"/>
        <w:tblLayout w:type="fixed"/>
      </w:tblPr>
      <w:tblGrid>
        <w:gridCol w:w="2640"/>
        <w:gridCol w:w="4954"/>
        <w:gridCol w:w="210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可行权数量占获授期权数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 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 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 后一个交易日当日止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自授权日起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个月后的首个交易日起至授权日起</w:t>
            </w:r>
            <w:r>
              <w:rPr>
                <w:rFonts w:ascii="Times New Roman" w:eastAsia="Times New Roman" w:hAnsi="Times New Roman" w:cs="Times New Roman"/>
                <w:color w:val="000000"/>
                <w:spacing w:val="0"/>
                <w:w w:val="100"/>
                <w:position w:val="0"/>
              </w:rPr>
              <w:t>60</w:t>
            </w:r>
            <w:r>
              <w:rPr>
                <w:color w:val="000000"/>
                <w:spacing w:val="0"/>
                <w:w w:val="100"/>
                <w:position w:val="0"/>
              </w:rPr>
              <w:t>个月内的最 后一个交易日当日止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bl>
    <w:p>
      <w:pPr>
        <w:pStyle w:val="Style27"/>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股票期权的主要行权条件：在本股票期权激励计划有效期内，以</w:t>
      </w:r>
      <w:r>
        <w:rPr>
          <w:rFonts w:ascii="Times New Roman" w:eastAsia="Times New Roman" w:hAnsi="Times New Roman" w:cs="Times New Roman"/>
          <w:color w:val="000000"/>
          <w:spacing w:val="0"/>
          <w:w w:val="100"/>
          <w:position w:val="0"/>
        </w:rPr>
        <w:t>2011</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2012-2015</w:t>
      </w:r>
      <w:r>
        <w:rPr>
          <w:color w:val="000000"/>
          <w:spacing w:val="0"/>
          <w:w w:val="100"/>
          <w:position w:val="0"/>
        </w:rPr>
        <w:t>年的营业收入增长 率相比</w:t>
      </w:r>
      <w:r>
        <w:rPr>
          <w:rFonts w:ascii="Times New Roman" w:eastAsia="Times New Roman" w:hAnsi="Times New Roman" w:cs="Times New Roman"/>
          <w:color w:val="000000"/>
          <w:spacing w:val="0"/>
          <w:w w:val="100"/>
          <w:position w:val="0"/>
        </w:rPr>
        <w:t>2011</w:t>
      </w:r>
      <w:r>
        <w:rPr>
          <w:color w:val="000000"/>
          <w:spacing w:val="0"/>
          <w:w w:val="100"/>
          <w:position w:val="0"/>
        </w:rPr>
        <w:t>年分别不低于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105%</w:t>
      </w:r>
      <w:r>
        <w:rPr>
          <w:color w:val="000000"/>
          <w:spacing w:val="0"/>
          <w:w w:val="100"/>
          <w:position w:val="0"/>
        </w:rPr>
        <w:t>；净利润增长率相比</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2012-2015</w:t>
      </w:r>
      <w:r>
        <w:rPr>
          <w:color w:val="000000"/>
          <w:spacing w:val="0"/>
          <w:w w:val="100"/>
          <w:position w:val="0"/>
        </w:rPr>
        <w:t>年分别不低于</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105%</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指扣除非经常性损益后的净利润。</w:t>
      </w:r>
    </w:p>
    <w:p>
      <w:pPr>
        <w:widowControl w:val="0"/>
        <w:spacing w:line="1" w:lineRule="exact"/>
      </w:pP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激励计划的授予日为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日，根据授予日股票期权的公允价值总额确认激励成本。因本年度注销已授予但不符 合行权条件的股票期权</w:t>
      </w:r>
      <w:r>
        <w:rPr>
          <w:rFonts w:ascii="Times New Roman" w:eastAsia="Times New Roman" w:hAnsi="Times New Roman" w:cs="Times New Roman"/>
          <w:color w:val="000000"/>
          <w:spacing w:val="0"/>
          <w:w w:val="100"/>
          <w:position w:val="0"/>
        </w:rPr>
        <w:t>9.6</w:t>
      </w:r>
      <w:r>
        <w:rPr>
          <w:color w:val="000000"/>
          <w:spacing w:val="0"/>
          <w:w w:val="100"/>
          <w:position w:val="0"/>
        </w:rPr>
        <w:t>万份。经测算，调整后预计股票期权激励成本合计为</w:t>
      </w:r>
      <w:r>
        <w:rPr>
          <w:rFonts w:ascii="Times New Roman" w:eastAsia="Times New Roman" w:hAnsi="Times New Roman" w:cs="Times New Roman"/>
          <w:color w:val="000000"/>
          <w:spacing w:val="0"/>
          <w:w w:val="100"/>
          <w:position w:val="0"/>
        </w:rPr>
        <w:t>1,873.67</w:t>
      </w:r>
      <w:r>
        <w:rPr>
          <w:color w:val="000000"/>
          <w:spacing w:val="0"/>
          <w:w w:val="100"/>
          <w:position w:val="0"/>
        </w:rPr>
        <w:t>万元，扣除</w:t>
      </w:r>
      <w:r>
        <w:rPr>
          <w:rFonts w:ascii="Times New Roman" w:eastAsia="Times New Roman" w:hAnsi="Times New Roman" w:cs="Times New Roman"/>
          <w:color w:val="000000"/>
          <w:spacing w:val="0"/>
          <w:w w:val="100"/>
          <w:position w:val="0"/>
        </w:rPr>
        <w:t>2012</w:t>
      </w:r>
      <w:r>
        <w:rPr>
          <w:color w:val="000000"/>
          <w:spacing w:val="0"/>
          <w:w w:val="100"/>
          <w:position w:val="0"/>
        </w:rPr>
        <w:t>年已摊销的</w:t>
      </w:r>
      <w:r>
        <w:rPr>
          <w:rFonts w:ascii="Times New Roman" w:eastAsia="Times New Roman" w:hAnsi="Times New Roman" w:cs="Times New Roman"/>
          <w:color w:val="000000"/>
          <w:spacing w:val="0"/>
          <w:w w:val="100"/>
          <w:position w:val="0"/>
        </w:rPr>
        <w:t>325.29</w:t>
      </w:r>
      <w:r>
        <w:rPr>
          <w:color w:val="000000"/>
          <w:spacing w:val="0"/>
          <w:w w:val="100"/>
          <w:position w:val="0"/>
        </w:rPr>
        <w:t>万 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年股票期权成本摊销情况见下表：</w:t>
      </w:r>
    </w:p>
    <w:tbl>
      <w:tblPr>
        <w:tblOverlap w:val="never"/>
        <w:jc w:val="center"/>
        <w:tblLayout w:type="fixed"/>
      </w:tblPr>
      <w:tblGrid>
        <w:gridCol w:w="2371"/>
        <w:gridCol w:w="1589"/>
        <w:gridCol w:w="1450"/>
        <w:gridCol w:w="1426"/>
        <w:gridCol w:w="1430"/>
        <w:gridCol w:w="143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期权份额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期权价值（元）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76.37</w:t>
            </w:r>
          </w:p>
        </w:tc>
      </w:tr>
    </w:tbl>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日分别召开第二届董事会第十一次会议和第二届监事会第十二次会议</w:t>
      </w:r>
      <w:r>
        <w:rPr>
          <w:color w:val="000000"/>
          <w:spacing w:val="0"/>
          <w:w w:val="100"/>
          <w:position w:val="0"/>
        </w:rPr>
        <w:t>，</w:t>
      </w:r>
      <w:r>
        <w:rPr>
          <w:color w:val="000000"/>
          <w:spacing w:val="0"/>
          <w:w w:val="100"/>
          <w:position w:val="0"/>
        </w:rPr>
        <w:t>审议通过了《关于公司股 票期权激励计划预留股票期权授予相关事项的议案》公司计划将</w:t>
      </w:r>
      <w:r>
        <w:rPr>
          <w:rFonts w:ascii="Times New Roman" w:eastAsia="Times New Roman" w:hAnsi="Times New Roman" w:cs="Times New Roman"/>
          <w:color w:val="000000"/>
          <w:spacing w:val="0"/>
          <w:w w:val="100"/>
          <w:position w:val="0"/>
        </w:rPr>
        <w:t>50</w:t>
      </w:r>
      <w:r>
        <w:rPr>
          <w:color w:val="000000"/>
          <w:spacing w:val="0"/>
          <w:w w:val="100"/>
          <w:position w:val="0"/>
        </w:rPr>
        <w:t>万份预留股票期权于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w:t>
      </w:r>
      <w:r>
        <w:rPr>
          <w:rFonts w:ascii="Times New Roman" w:eastAsia="Times New Roman" w:hAnsi="Times New Roman" w:cs="Times New Roman"/>
          <w:color w:val="000000"/>
          <w:spacing w:val="0"/>
          <w:w w:val="100"/>
          <w:position w:val="0"/>
        </w:rPr>
        <w:t>17</w:t>
      </w:r>
      <w:r>
        <w:rPr>
          <w:color w:val="000000"/>
          <w:spacing w:val="0"/>
          <w:w w:val="100"/>
          <w:position w:val="0"/>
        </w:rPr>
        <w:t>名激励对象授出， 行权价格为</w:t>
      </w:r>
      <w:r>
        <w:rPr>
          <w:rFonts w:ascii="Times New Roman" w:eastAsia="Times New Roman" w:hAnsi="Times New Roman" w:cs="Times New Roman"/>
          <w:color w:val="000000"/>
          <w:spacing w:val="0"/>
          <w:w w:val="100"/>
          <w:position w:val="0"/>
        </w:rPr>
        <w:t>48.9</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3"/>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根据公司《股票期权激励计划（草案修订稿）》的规定，预留股票期权自首次授予日起满</w:t>
      </w:r>
      <w:r>
        <w:rPr>
          <w:rFonts w:ascii="Times New Roman" w:eastAsia="Times New Roman" w:hAnsi="Times New Roman" w:cs="Times New Roman"/>
          <w:color w:val="000000"/>
          <w:spacing w:val="0"/>
          <w:w w:val="100"/>
          <w:position w:val="0"/>
        </w:rPr>
        <w:t>12</w:t>
      </w:r>
      <w:r>
        <w:rPr>
          <w:color w:val="000000"/>
          <w:spacing w:val="0"/>
          <w:w w:val="100"/>
          <w:position w:val="0"/>
        </w:rPr>
        <w:t>个月后，在满足行权条件时,</w:t>
        <w:br w:type="page"/>
      </w:r>
      <w:r>
        <w:rPr>
          <w:color w:val="000000"/>
          <w:spacing w:val="0"/>
          <w:w w:val="100"/>
          <w:position w:val="0"/>
        </w:rPr>
        <w:t>激励对象在未来</w:t>
      </w:r>
      <w:r>
        <w:rPr>
          <w:rFonts w:ascii="Times New Roman" w:eastAsia="Times New Roman" w:hAnsi="Times New Roman" w:cs="Times New Roman"/>
          <w:color w:val="000000"/>
          <w:spacing w:val="0"/>
          <w:w w:val="100"/>
          <w:position w:val="0"/>
        </w:rPr>
        <w:t>36</w:t>
      </w:r>
      <w:r>
        <w:rPr>
          <w:color w:val="000000"/>
          <w:spacing w:val="0"/>
          <w:w w:val="100"/>
          <w:position w:val="0"/>
        </w:rPr>
        <w:t>个月内分三次分别按照</w:t>
      </w:r>
      <w:r>
        <w:rPr>
          <w:rFonts w:ascii="Times New Roman" w:eastAsia="Times New Roman" w:hAnsi="Times New Roman" w:cs="Times New Roman"/>
          <w:color w:val="000000"/>
          <w:spacing w:val="0"/>
          <w:w w:val="100"/>
          <w:position w:val="0"/>
        </w:rPr>
        <w:t>1 /3:1/3:1/3</w:t>
      </w:r>
      <w:r>
        <w:rPr>
          <w:color w:val="000000"/>
          <w:spacing w:val="0"/>
          <w:w w:val="100"/>
          <w:position w:val="0"/>
        </w:rPr>
        <w:t>的比例行权获授期权。</w:t>
      </w:r>
    </w:p>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预留股票期权的行权比例和主要行权条件如下:</w:t>
      </w:r>
    </w:p>
    <w:tbl>
      <w:tblPr>
        <w:tblOverlap w:val="never"/>
        <w:jc w:val="center"/>
        <w:tblLayout w:type="fixed"/>
      </w:tblPr>
      <w:tblGrid>
        <w:gridCol w:w="2640"/>
        <w:gridCol w:w="4954"/>
        <w:gridCol w:w="21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公司业绩目标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年营业收入相比于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年净利润相比于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年营业收入相比于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年净利润相比于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75%</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年营业收入相比于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105%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年净利润相比于</w:t>
            </w:r>
            <w:r>
              <w:rPr>
                <w:rFonts w:ascii="Times New Roman" w:eastAsia="Times New Roman" w:hAnsi="Times New Roman" w:cs="Times New Roman"/>
                <w:color w:val="000000"/>
                <w:spacing w:val="0"/>
                <w:w w:val="100"/>
                <w:position w:val="0"/>
              </w:rPr>
              <w:t>2011</w:t>
            </w:r>
            <w:r>
              <w:rPr>
                <w:color w:val="000000"/>
                <w:spacing w:val="0"/>
                <w:w w:val="100"/>
                <w:position w:val="0"/>
              </w:rPr>
              <w:t>年增长率不低于</w:t>
            </w:r>
            <w:r>
              <w:rPr>
                <w:rFonts w:ascii="Times New Roman" w:eastAsia="Times New Roman" w:hAnsi="Times New Roman" w:cs="Times New Roman"/>
                <w:color w:val="000000"/>
                <w:spacing w:val="0"/>
                <w:w w:val="100"/>
                <w:position w:val="0"/>
              </w:rPr>
              <w:t>105%</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r>
    </w:tbl>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指扣除非经常性损益后的净利润。</w:t>
      </w:r>
    </w:p>
    <w:p>
      <w:pPr>
        <w:widowControl w:val="0"/>
        <w:spacing w:line="1" w:lineRule="exact"/>
      </w:pPr>
    </w:p>
    <w:p>
      <w:pPr>
        <w:pStyle w:val="Style2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预留股票期权的授予日为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日，根据授予日股票期权的公允价值总额确认激励成本。每份期权价值为</w:t>
      </w:r>
      <w:r>
        <w:rPr>
          <w:rFonts w:ascii="Times New Roman" w:eastAsia="Times New Roman" w:hAnsi="Times New Roman" w:cs="Times New Roman"/>
          <w:color w:val="000000"/>
          <w:spacing w:val="0"/>
          <w:w w:val="100"/>
          <w:position w:val="0"/>
        </w:rPr>
        <w:t>8.18</w:t>
      </w:r>
      <w:r>
        <w:rPr>
          <w:color w:val="000000"/>
          <w:spacing w:val="0"/>
          <w:w w:val="100"/>
          <w:position w:val="0"/>
        </w:rPr>
        <w:t>元 进行测算，经测算，预计股票期权激励计划预留股票期权成本合计为</w:t>
      </w:r>
      <w:r>
        <w:rPr>
          <w:rFonts w:ascii="Times New Roman" w:eastAsia="Times New Roman" w:hAnsi="Times New Roman" w:cs="Times New Roman"/>
          <w:color w:val="000000"/>
          <w:spacing w:val="0"/>
          <w:w w:val="100"/>
          <w:position w:val="0"/>
        </w:rPr>
        <w:t>409</w:t>
      </w:r>
      <w:r>
        <w:rPr>
          <w:color w:val="000000"/>
          <w:spacing w:val="0"/>
          <w:w w:val="100"/>
          <w:position w:val="0"/>
        </w:rPr>
        <w:t>万元，则</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016</w:t>
      </w:r>
      <w:r>
        <w:rPr>
          <w:color w:val="000000"/>
          <w:spacing w:val="0"/>
          <w:w w:val="100"/>
          <w:position w:val="0"/>
        </w:rPr>
        <w:t>年股票期权成本摊销情况见下 表：</w:t>
      </w:r>
    </w:p>
    <w:tbl>
      <w:tblPr>
        <w:tblOverlap w:val="never"/>
        <w:jc w:val="center"/>
        <w:tblLayout w:type="fixed"/>
      </w:tblPr>
      <w:tblGrid>
        <w:gridCol w:w="1858"/>
        <w:gridCol w:w="1382"/>
        <w:gridCol w:w="1229"/>
        <w:gridCol w:w="1382"/>
        <w:gridCol w:w="1229"/>
        <w:gridCol w:w="1229"/>
        <w:gridCol w:w="138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期权份额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期权价值（元）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期权成本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24.62</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31"/>
      <w:bookmarkEnd w:id="1332"/>
      <w:bookmarkEnd w:id="13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Black-Scholes</w:t>
            </w:r>
            <w:r>
              <w:rPr>
                <w:color w:val="000000"/>
                <w:spacing w:val="0"/>
                <w:w w:val="100"/>
                <w:position w:val="0"/>
              </w:rPr>
              <w:t>期权定价模型</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在等待期内的每个资产负债表日，根据最新取得的可行权职 工人数变动等后续信息做出最佳估计，修正预计可行权的权 益工具数量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12,346,854.37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12,346,854.37</w:t>
            </w:r>
          </w:p>
        </w:tc>
      </w:tr>
    </w:tbl>
    <w:p>
      <w:pPr>
        <w:pStyle w:val="Style2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以权益结算的股份支付的说明 无</w:t>
      </w:r>
    </w:p>
    <w:p>
      <w:pPr>
        <w:pStyle w:val="Style31"/>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color w:val="000000"/>
          <w:spacing w:val="0"/>
          <w:w w:val="100"/>
          <w:position w:val="0"/>
        </w:rPr>
        <w:t>、以股份支付服务情况</w:t>
      </w:r>
      <w:bookmarkEnd w:id="1334"/>
      <w:bookmarkEnd w:id="1335"/>
      <w:bookmarkEnd w:id="133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12,346,854.37</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338" w:name="bookmark1338"/>
      <w:bookmarkStart w:id="1339" w:name="bookmark1339"/>
      <w:bookmarkStart w:id="1340" w:name="bookmark1340"/>
      <w:r>
        <w:rPr>
          <w:color w:val="000000"/>
          <w:spacing w:val="0"/>
          <w:w w:val="100"/>
          <w:position w:val="0"/>
          <w:sz w:val="24"/>
          <w:szCs w:val="24"/>
        </w:rPr>
        <w:t>十、或有事项</w:t>
      </w:r>
      <w:bookmarkEnd w:id="1338"/>
      <w:bookmarkEnd w:id="1339"/>
      <w:bookmarkEnd w:id="1340"/>
    </w:p>
    <w:p>
      <w:pPr>
        <w:pStyle w:val="Style31"/>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341"/>
      <w:bookmarkEnd w:id="1342"/>
      <w:bookmarkEnd w:id="1343"/>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、为其他单位提供债务担保形成的或有负债及其财务影响</w:t>
      </w:r>
      <w:bookmarkEnd w:id="1344"/>
      <w:bookmarkEnd w:id="1345"/>
      <w:bookmarkEnd w:id="134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1"/>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r>
        <w:rPr>
          <w:color w:val="000000"/>
          <w:spacing w:val="0"/>
          <w:w w:val="100"/>
          <w:position w:val="0"/>
          <w:sz w:val="24"/>
          <w:szCs w:val="24"/>
        </w:rPr>
        <w:t>十一、承诺事项</w:t>
      </w:r>
      <w:bookmarkEnd w:id="1347"/>
      <w:bookmarkEnd w:id="1348"/>
      <w:bookmarkEnd w:id="1349"/>
    </w:p>
    <w:p>
      <w:pPr>
        <w:pStyle w:val="Style31"/>
        <w:keepNext/>
        <w:keepLines/>
        <w:widowControl w:val="0"/>
        <w:shd w:val="clear" w:color="auto" w:fill="auto"/>
        <w:tabs>
          <w:tab w:pos="368" w:val="left"/>
        </w:tabs>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color w:val="000000"/>
          <w:spacing w:val="0"/>
          <w:w w:val="100"/>
          <w:position w:val="0"/>
        </w:rPr>
        <w:t>、</w:t>
        <w:tab/>
        <w:t>重大承诺事项</w:t>
      </w:r>
      <w:bookmarkEnd w:id="1350"/>
      <w:bookmarkEnd w:id="1351"/>
      <w:bookmarkEnd w:id="135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color w:val="000000"/>
          <w:spacing w:val="0"/>
          <w:w w:val="100"/>
          <w:position w:val="0"/>
        </w:rPr>
        <w:t>、</w:t>
        <w:tab/>
        <w:t>前期承诺履行情况</w:t>
      </w:r>
      <w:bookmarkEnd w:id="1354"/>
      <w:bookmarkEnd w:id="1355"/>
      <w:bookmarkEnd w:id="135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r>
        <w:rPr>
          <w:color w:val="000000"/>
          <w:spacing w:val="0"/>
          <w:w w:val="100"/>
          <w:position w:val="0"/>
          <w:sz w:val="24"/>
          <w:szCs w:val="24"/>
        </w:rPr>
        <w:t>十二、资产负债表日后事项</w:t>
      </w:r>
      <w:bookmarkEnd w:id="1358"/>
      <w:bookmarkEnd w:id="1359"/>
      <w:bookmarkEnd w:id="1360"/>
    </w:p>
    <w:p>
      <w:pPr>
        <w:pStyle w:val="Style31"/>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361"/>
      <w:bookmarkEnd w:id="1362"/>
      <w:bookmarkEnd w:id="13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资本公积转增股本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日第二届董事会 第十六次会议审议通过了《关 于公司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年度利润分配及 资本公积转增股本预案的议 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年末的总 股本</w:t>
            </w:r>
            <w:r>
              <w:rPr>
                <w:rFonts w:ascii="Times New Roman" w:eastAsia="Times New Roman" w:hAnsi="Times New Roman" w:cs="Times New Roman"/>
                <w:color w:val="000000"/>
                <w:spacing w:val="0"/>
                <w:w w:val="100"/>
                <w:position w:val="0"/>
              </w:rPr>
              <w:t>107,967,100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股利人民币</w:t>
            </w:r>
            <w:r>
              <w:rPr>
                <w:rFonts w:ascii="Times New Roman" w:eastAsia="Times New Roman" w:hAnsi="Times New Roman" w:cs="Times New Roman"/>
                <w:color w:val="000000"/>
                <w:spacing w:val="0"/>
                <w:w w:val="100"/>
                <w:position w:val="0"/>
              </w:rPr>
              <w:t>2</w:t>
            </w:r>
            <w:r>
              <w:rPr>
                <w:color w:val="000000"/>
                <w:spacing w:val="0"/>
                <w:w w:val="100"/>
                <w:position w:val="0"/>
              </w:rPr>
              <w:t>元（含税），合 计派发现金</w:t>
            </w:r>
            <w:r>
              <w:rPr>
                <w:rFonts w:ascii="Times New Roman" w:eastAsia="Times New Roman" w:hAnsi="Times New Roman" w:cs="Times New Roman"/>
                <w:color w:val="000000"/>
                <w:spacing w:val="0"/>
                <w:w w:val="100"/>
                <w:position w:val="0"/>
              </w:rPr>
              <w:t>21,593,420</w:t>
            </w:r>
            <w:r>
              <w:rPr>
                <w:color w:val="000000"/>
                <w:spacing w:val="0"/>
                <w:w w:val="100"/>
                <w:position w:val="0"/>
              </w:rPr>
              <w:t>元；同 时，以资本公积金向全体股东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107,967,100</w:t>
            </w:r>
            <w:r>
              <w:rPr>
                <w:color w:val="000000"/>
                <w:spacing w:val="0"/>
                <w:w w:val="100"/>
                <w:position w:val="0"/>
              </w:rPr>
              <w:t>股，转增后公司总 股本为</w:t>
            </w:r>
            <w:r>
              <w:rPr>
                <w:rFonts w:ascii="Times New Roman" w:eastAsia="Times New Roman" w:hAnsi="Times New Roman" w:cs="Times New Roman"/>
                <w:color w:val="000000"/>
                <w:spacing w:val="0"/>
                <w:w w:val="100"/>
                <w:position w:val="0"/>
              </w:rPr>
              <w:t>215,934,200</w:t>
            </w:r>
            <w:r>
              <w:rPr>
                <w:color w:val="000000"/>
                <w:spacing w:val="0"/>
                <w:w w:val="100"/>
                <w:position w:val="0"/>
              </w:rPr>
              <w:t>股。该议 案尚需提交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 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364"/>
      <w:bookmarkEnd w:id="1365"/>
      <w:bookmarkEnd w:id="13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21,593,420.00</w:t>
            </w:r>
          </w:p>
        </w:tc>
      </w:tr>
    </w:tbl>
    <w:p>
      <w:pPr>
        <w:pStyle w:val="Style31"/>
        <w:keepNext/>
        <w:keepLines/>
        <w:widowControl w:val="0"/>
        <w:shd w:val="clear" w:color="auto" w:fill="auto"/>
        <w:bidi w:val="0"/>
        <w:spacing w:before="0" w:after="24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、其他资产负债表日后事项说明</w:t>
      </w:r>
      <w:bookmarkEnd w:id="1367"/>
      <w:bookmarkEnd w:id="1368"/>
      <w:bookmarkEnd w:id="1370"/>
    </w:p>
    <w:p>
      <w:pPr>
        <w:pStyle w:val="Style23"/>
        <w:keepNext w:val="0"/>
        <w:keepLines w:val="0"/>
        <w:widowControl w:val="0"/>
        <w:shd w:val="clear" w:color="auto" w:fill="auto"/>
        <w:bidi w:val="0"/>
        <w:spacing w:before="0" w:after="340" w:line="319" w:lineRule="exact"/>
        <w:ind w:left="0" w:right="0" w:firstLine="30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日与北京宇信网景信息技术有限公司及其现有股东共同签署《收购意向书》，拟出资人民币</w:t>
      </w:r>
      <w:r>
        <w:rPr>
          <w:rFonts w:ascii="Times New Roman" w:eastAsia="Times New Roman" w:hAnsi="Times New Roman" w:cs="Times New Roman"/>
          <w:color w:val="000000"/>
          <w:spacing w:val="0"/>
          <w:w w:val="100"/>
          <w:position w:val="0"/>
        </w:rPr>
        <w:t xml:space="preserve">3,600 </w:t>
      </w:r>
      <w:r>
        <w:rPr>
          <w:color w:val="000000"/>
          <w:spacing w:val="0"/>
          <w:w w:val="100"/>
          <w:position w:val="0"/>
        </w:rPr>
        <w:t>万元收购卖方持有目标公司</w:t>
      </w:r>
      <w:r>
        <w:rPr>
          <w:rFonts w:ascii="Times New Roman" w:eastAsia="Times New Roman" w:hAnsi="Times New Roman" w:cs="Times New Roman"/>
          <w:color w:val="000000"/>
          <w:spacing w:val="0"/>
          <w:w w:val="100"/>
          <w:position w:val="0"/>
        </w:rPr>
        <w:t>60%</w:t>
      </w:r>
      <w:r>
        <w:rPr>
          <w:color w:val="000000"/>
          <w:spacing w:val="0"/>
          <w:w w:val="100"/>
          <w:position w:val="0"/>
        </w:rPr>
        <w:t>的股权并对目标公司进行增资（其中，人民币</w:t>
      </w:r>
      <w:r>
        <w:rPr>
          <w:rFonts w:ascii="Times New Roman" w:eastAsia="Times New Roman" w:hAnsi="Times New Roman" w:cs="Times New Roman"/>
          <w:color w:val="000000"/>
          <w:spacing w:val="0"/>
          <w:w w:val="100"/>
          <w:position w:val="0"/>
        </w:rPr>
        <w:t>600</w:t>
      </w:r>
      <w:r>
        <w:rPr>
          <w:color w:val="000000"/>
          <w:spacing w:val="0"/>
          <w:w w:val="100"/>
          <w:position w:val="0"/>
        </w:rPr>
        <w:t>万元为增资款），并在达到一定条件时分 步收购目标公司剩余股权。</w:t>
      </w:r>
    </w:p>
    <w:p>
      <w:pPr>
        <w:pStyle w:val="Style21"/>
        <w:keepNext/>
        <w:keepLines/>
        <w:widowControl w:val="0"/>
        <w:shd w:val="clear" w:color="auto" w:fill="auto"/>
        <w:bidi w:val="0"/>
        <w:spacing w:before="0" w:after="340" w:line="240" w:lineRule="auto"/>
        <w:ind w:left="0" w:right="0" w:firstLine="0"/>
        <w:jc w:val="both"/>
      </w:pPr>
      <w:bookmarkStart w:id="1371" w:name="bookmark1371"/>
      <w:bookmarkStart w:id="1372" w:name="bookmark1372"/>
      <w:bookmarkStart w:id="1373" w:name="bookmark1373"/>
      <w:r>
        <w:rPr>
          <w:color w:val="000000"/>
          <w:spacing w:val="0"/>
          <w:w w:val="100"/>
          <w:position w:val="0"/>
          <w:sz w:val="24"/>
          <w:szCs w:val="24"/>
        </w:rPr>
        <w:t>十三、其他重要事项</w:t>
      </w:r>
      <w:bookmarkEnd w:id="1371"/>
      <w:bookmarkEnd w:id="1372"/>
      <w:bookmarkEnd w:id="1373"/>
    </w:p>
    <w:p>
      <w:pPr>
        <w:pStyle w:val="Style31"/>
        <w:keepNext/>
        <w:keepLines/>
        <w:widowControl w:val="0"/>
        <w:shd w:val="clear" w:color="auto" w:fill="auto"/>
        <w:bidi w:val="0"/>
        <w:spacing w:before="0" w:after="240" w:line="240" w:lineRule="auto"/>
        <w:ind w:left="0" w:right="0" w:firstLine="0"/>
        <w:jc w:val="both"/>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374"/>
      <w:bookmarkEnd w:id="1375"/>
      <w:bookmarkEnd w:id="1376"/>
    </w:p>
    <w:p>
      <w:pPr>
        <w:pStyle w:val="Style23"/>
        <w:keepNext w:val="0"/>
        <w:keepLines w:val="0"/>
        <w:widowControl w:val="0"/>
        <w:shd w:val="clear" w:color="auto" w:fill="auto"/>
        <w:bidi w:val="0"/>
        <w:spacing w:before="0" w:after="340" w:line="310"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日与新疆傲世博祥软件科技有限公司（以下简称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傲世博祥</w:t>
      </w:r>
      <w:r>
        <w:rPr>
          <w:rFonts w:ascii="Times New Roman" w:eastAsia="Times New Roman" w:hAnsi="Times New Roman" w:cs="Times New Roman"/>
          <w:color w:val="000000"/>
          <w:spacing w:val="0"/>
          <w:w w:val="100"/>
          <w:position w:val="0"/>
        </w:rPr>
        <w:t>”</w:t>
      </w:r>
      <w:r>
        <w:rPr>
          <w:color w:val="000000"/>
          <w:spacing w:val="0"/>
          <w:w w:val="100"/>
          <w:position w:val="0"/>
        </w:rPr>
        <w:t>）及肖朝明（系傲世博祥</w:t>
      </w:r>
      <w:r>
        <w:rPr>
          <w:rFonts w:ascii="Times New Roman" w:eastAsia="Times New Roman" w:hAnsi="Times New Roman" w:cs="Times New Roman"/>
          <w:color w:val="000000"/>
          <w:spacing w:val="0"/>
          <w:w w:val="100"/>
          <w:position w:val="0"/>
        </w:rPr>
        <w:t>100%</w:t>
      </w:r>
      <w:r>
        <w:rPr>
          <w:color w:val="000000"/>
          <w:spacing w:val="0"/>
          <w:w w:val="100"/>
          <w:position w:val="0"/>
        </w:rPr>
        <w:t>出资 股东，并担任法定代表人兼总经理）签署《投资协议书》，由本公司与傲世博祥共同出资设立</w:t>
      </w:r>
      <w:r>
        <w:rPr>
          <w:rFonts w:ascii="Times New Roman" w:eastAsia="Times New Roman" w:hAnsi="Times New Roman" w:cs="Times New Roman"/>
          <w:color w:val="000000"/>
          <w:spacing w:val="0"/>
          <w:w w:val="100"/>
          <w:position w:val="0"/>
        </w:rPr>
        <w:t>“</w:t>
      </w:r>
      <w:r>
        <w:rPr>
          <w:color w:val="000000"/>
          <w:spacing w:val="0"/>
          <w:w w:val="100"/>
          <w:position w:val="0"/>
        </w:rPr>
        <w:t>新疆金仕达卫宁软件有限公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新疆卫宁</w:t>
      </w:r>
      <w:r>
        <w:rPr>
          <w:color w:val="000000"/>
          <w:spacing w:val="0"/>
          <w:w w:val="100"/>
          <w:position w:val="0"/>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万元，其中公司以自有货币资金出资人民币</w:t>
      </w:r>
      <w:r>
        <w:rPr>
          <w:rFonts w:ascii="Times New Roman" w:eastAsia="Times New Roman" w:hAnsi="Times New Roman" w:cs="Times New Roman"/>
          <w:color w:val="000000"/>
          <w:spacing w:val="0"/>
          <w:w w:val="100"/>
          <w:position w:val="0"/>
        </w:rPr>
        <w:t>510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 xml:space="preserve">51% </w:t>
      </w:r>
      <w:r>
        <w:rPr>
          <w:color w:val="000000"/>
          <w:spacing w:val="0"/>
          <w:w w:val="100"/>
          <w:position w:val="0"/>
        </w:rPr>
        <w:t>；傲世博祥以货币资金出资人民币</w:t>
      </w:r>
      <w:r>
        <w:rPr>
          <w:rFonts w:ascii="Times New Roman" w:eastAsia="Times New Roman" w:hAnsi="Times New Roman" w:cs="Times New Roman"/>
          <w:color w:val="000000"/>
          <w:spacing w:val="0"/>
          <w:w w:val="100"/>
          <w:position w:val="0"/>
        </w:rPr>
        <w:t>490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日，新疆卫宁尚未成立。</w:t>
      </w:r>
    </w:p>
    <w:p>
      <w:pPr>
        <w:pStyle w:val="Style21"/>
        <w:keepNext/>
        <w:keepLines/>
        <w:widowControl w:val="0"/>
        <w:shd w:val="clear" w:color="auto" w:fill="auto"/>
        <w:bidi w:val="0"/>
        <w:spacing w:before="0" w:after="340" w:line="240" w:lineRule="auto"/>
        <w:ind w:left="0" w:right="0" w:firstLine="0"/>
        <w:jc w:val="both"/>
      </w:pPr>
      <w:bookmarkStart w:id="1377" w:name="bookmark1377"/>
      <w:bookmarkStart w:id="1378" w:name="bookmark1378"/>
      <w:bookmarkStart w:id="1379" w:name="bookmark1379"/>
      <w:r>
        <w:rPr>
          <w:color w:val="000000"/>
          <w:spacing w:val="0"/>
          <w:w w:val="100"/>
          <w:position w:val="0"/>
          <w:sz w:val="24"/>
          <w:szCs w:val="24"/>
        </w:rPr>
        <w:t>十四、母公司财务报表主要项目注释</w:t>
      </w:r>
      <w:bookmarkEnd w:id="1377"/>
      <w:bookmarkEnd w:id="1378"/>
      <w:bookmarkEnd w:id="1379"/>
    </w:p>
    <w:p>
      <w:pPr>
        <w:pStyle w:val="Style31"/>
        <w:keepNext/>
        <w:keepLines/>
        <w:widowControl w:val="0"/>
        <w:shd w:val="clear" w:color="auto" w:fill="auto"/>
        <w:bidi w:val="0"/>
        <w:spacing w:before="0" w:after="340" w:line="240" w:lineRule="auto"/>
        <w:ind w:left="0" w:right="0" w:firstLine="0"/>
        <w:jc w:val="both"/>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80"/>
      <w:bookmarkEnd w:id="1381"/>
      <w:bookmarkEnd w:id="1382"/>
    </w:p>
    <w:p>
      <w:pPr>
        <w:pStyle w:val="Style34"/>
        <w:keepNext/>
        <w:keepLines/>
        <w:widowControl w:val="0"/>
        <w:shd w:val="clear" w:color="auto" w:fill="auto"/>
        <w:bidi w:val="0"/>
        <w:spacing w:before="0" w:after="340" w:line="240" w:lineRule="auto"/>
        <w:ind w:left="0" w:right="0" w:firstLine="0"/>
        <w:jc w:val="both"/>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83"/>
      <w:bookmarkEnd w:id="1384"/>
      <w:bookmarkEnd w:id="13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62"/>
        <w:gridCol w:w="1195"/>
        <w:gridCol w:w="662"/>
        <w:gridCol w:w="1330"/>
        <w:gridCol w:w="67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其中：以账龄作为信用风 险特征的组合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182,297,574.14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99.59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18,073,619.21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101,945,490.72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8,393,030.11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182,297,574.14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99.59</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18,073,619.21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101,945,490.72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8,393,030.11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757,795.00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757,795.00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757,795.00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757,795.00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183,055,369.14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18,831,414.21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102,703,285.72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9,150,825.11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本公司单项金额重大的应收账款是指单个客户金额</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122,984,983.05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6,149,249.15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69,634,275.27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3,481,713.76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122,984,983.05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6,149,249.15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69,634,275.27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3,481,713.76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37,770,069.14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3,777,006.91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26,206,519.05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2,620,651.91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16,412,771.55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4,923,831.47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3,808,418.80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1,142,525.64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2,934,228.80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1,467,114.40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2,296,277.60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1,148,138.80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2,195,521.60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1,756,417.28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182,297,574.14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18,073,619.21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101,945,490.72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8,393,030.11</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334,395.00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334,395.00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w:t>
            </w:r>
            <w:r>
              <w:rPr>
                <w:rFonts w:ascii="Times New Roman" w:eastAsia="Times New Roman" w:hAnsi="Times New Roman" w:cs="Times New Roman"/>
                <w:color w:val="000000"/>
                <w:spacing w:val="0"/>
                <w:w w:val="100"/>
                <w:position w:val="0"/>
              </w:rPr>
              <w:t>-</w:t>
            </w:r>
            <w:r>
              <w:rPr>
                <w:color w:val="000000"/>
                <w:spacing w:val="0"/>
                <w:w w:val="100"/>
                <w:position w:val="0"/>
              </w:rPr>
              <w:t>预计无法收 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w:t>
            </w:r>
            <w:r>
              <w:rPr>
                <w:rFonts w:ascii="Times New Roman" w:eastAsia="Times New Roman" w:hAnsi="Times New Roman" w:cs="Times New Roman"/>
                <w:color w:val="000000"/>
                <w:spacing w:val="0"/>
                <w:w w:val="100"/>
                <w:position w:val="0"/>
              </w:rPr>
              <w:t>-</w:t>
            </w:r>
            <w:r>
              <w:rPr>
                <w:color w:val="000000"/>
                <w:spacing w:val="0"/>
                <w:w w:val="100"/>
                <w:position w:val="0"/>
              </w:rPr>
              <w:t>预计无法收 回</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757,795.00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757,795.00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86"/>
      <w:bookmarkEnd w:id="1387"/>
      <w:bookmarkEnd w:id="138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3"/>
        <w:gridCol w:w="1594"/>
        <w:gridCol w:w="1862"/>
        <w:gridCol w:w="187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99"/>
        </w:numPr>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应收账款中金额前五名单位情况</w:t>
      </w:r>
      <w:bookmarkEnd w:id="1389"/>
      <w:bookmarkEnd w:id="1390"/>
      <w:bookmarkEnd w:id="13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13,463,447.80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上海市浦东新区卫生信 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3,920,484.51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大同市第一人民医院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江苏省淮安市第一人民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3,604,077.40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内蒙古自治区人民医院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3-4</w:t>
            </w:r>
            <w:r>
              <w:rPr>
                <w:color w:val="000000"/>
                <w:spacing w:val="0"/>
                <w:w w:val="100"/>
                <w:position w:val="0"/>
              </w:rPr>
              <w:t>年、</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28,167,509.71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r>
    </w:tbl>
    <w:p>
      <w:pPr>
        <w:widowControl w:val="0"/>
        <w:spacing w:after="319" w:line="1" w:lineRule="exact"/>
      </w:pPr>
    </w:p>
    <w:p>
      <w:pPr>
        <w:pStyle w:val="Style34"/>
        <w:keepNext/>
        <w:keepLines/>
        <w:widowControl w:val="0"/>
        <w:numPr>
          <w:ilvl w:val="0"/>
          <w:numId w:val="99"/>
        </w:numPr>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应收关联方账款情况</w:t>
      </w:r>
      <w:bookmarkEnd w:id="1393"/>
      <w:bookmarkEnd w:id="1394"/>
      <w:bookmarkEnd w:id="13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2419"/>
        <w:gridCol w:w="2429"/>
        <w:gridCol w:w="24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97"/>
      <w:bookmarkEnd w:id="1398"/>
      <w:bookmarkEnd w:id="1399"/>
    </w:p>
    <w:p>
      <w:pPr>
        <w:pStyle w:val="Style34"/>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00"/>
      <w:bookmarkEnd w:id="1401"/>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90"/>
        <w:gridCol w:w="5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29,644,753.22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65.17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26,040,111.89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66.49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其中：以账龄作为信用风险 特征的组合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15,844,761.39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1,791,668.82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13,125,262.70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1,315,674.18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15,844,761.39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1,791,668.82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13,125,262.70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33.51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1,315,674.18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45,489,514.61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1,791,668.82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39,165,374.59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1,315,674.18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r>
        <w:br w:type="page"/>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本公司单项金额重大的其他应收款是指单个客户金额</w:t>
      </w:r>
      <w:r>
        <w:rPr>
          <w:rFonts w:ascii="Times New Roman" w:eastAsia="Times New Roman" w:hAnsi="Times New Roman" w:cs="Times New Roman"/>
          <w:color w:val="000000"/>
          <w:spacing w:val="0"/>
          <w:w w:val="100"/>
          <w:position w:val="0"/>
        </w:rPr>
        <w:t>100</w:t>
      </w:r>
      <w:r>
        <w:rPr>
          <w:color w:val="000000"/>
          <w:spacing w:val="0"/>
          <w:w w:val="100"/>
          <w:position w:val="0"/>
        </w:rPr>
        <w:t>万元以上的应收款项。</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14,547,372.88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关联方，预计无坏账风 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8,407,367.57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3,445,586.77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2,244,426.00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预计无坏账风险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上海金仕达卫宁软件科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关联方，预计无坏账风 险</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29,644,753.22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2"/>
        <w:gridCol w:w="1795"/>
        <w:gridCol w:w="662"/>
        <w:gridCol w:w="1594"/>
        <w:gridCol w:w="1862"/>
        <w:gridCol w:w="662"/>
        <w:gridCol w:w="17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8,878,566.29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443,928.31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9,253,701.92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462,685.10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8,878,566.29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443,928.31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9,253,701.92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462,685.10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4,920,175.10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492,017.51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1,682,395.78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168,239.58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956,435.00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286,930.50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2,049,165.00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614,749.50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1,009,585.00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504,792.50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15,844,761.39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1,791,668.82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13,125,262.70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1,315,674.18</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14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03"/>
      <w:bookmarkEnd w:id="1404"/>
      <w:bookmarkEnd w:id="14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8"/>
        <w:gridCol w:w="1728"/>
        <w:gridCol w:w="1858"/>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101"/>
        </w:numPr>
        <w:shd w:val="clear" w:color="auto" w:fill="auto"/>
        <w:bidi w:val="0"/>
        <w:spacing w:before="0" w:line="240" w:lineRule="auto"/>
        <w:ind w:left="0" w:right="0" w:firstLine="14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其他应收款金额前五名单位情况</w:t>
      </w:r>
      <w:bookmarkEnd w:id="1406"/>
      <w:bookmarkEnd w:id="1407"/>
      <w:bookmarkEnd w:id="14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江苏金仕达卫宁软件有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14,547,372.88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8,407,367.57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3,445,586.77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 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2,244,426.00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宝华中心场地租赁押金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1,731,528.00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30,376,281.22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66.78%</w:t>
            </w:r>
          </w:p>
        </w:tc>
      </w:tr>
    </w:tbl>
    <w:p>
      <w:pPr>
        <w:widowControl w:val="0"/>
        <w:spacing w:after="299" w:line="1" w:lineRule="exact"/>
      </w:pPr>
    </w:p>
    <w:p>
      <w:pPr>
        <w:pStyle w:val="Style34"/>
        <w:keepNext/>
        <w:keepLines/>
        <w:widowControl w:val="0"/>
        <w:numPr>
          <w:ilvl w:val="0"/>
          <w:numId w:val="101"/>
        </w:numPr>
        <w:shd w:val="clear" w:color="auto" w:fill="auto"/>
        <w:bidi w:val="0"/>
        <w:spacing w:before="0" w:line="240" w:lineRule="auto"/>
        <w:ind w:left="0" w:right="0" w:firstLine="14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其他应收关联方账款情况</w:t>
      </w:r>
      <w:bookmarkEnd w:id="1410"/>
      <w:bookmarkEnd w:id="1411"/>
      <w:bookmarkEnd w:id="14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2419"/>
        <w:gridCol w:w="2429"/>
        <w:gridCol w:w="243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江苏金仕达卫宁软件有限公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14,547,372.88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上海金仕达卫宁软件科技有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15,547,372.88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color w:val="000000"/>
          <w:spacing w:val="0"/>
          <w:w w:val="100"/>
          <w:position w:val="0"/>
        </w:rPr>
        <w:t>、长期股权投资</w:t>
      </w:r>
      <w:bookmarkEnd w:id="1414"/>
      <w:bookmarkEnd w:id="1415"/>
      <w:bookmarkEnd w:id="141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811"/>
        <w:gridCol w:w="773"/>
        <w:gridCol w:w="811"/>
        <w:gridCol w:w="797"/>
        <w:gridCol w:w="806"/>
      </w:tblGrid>
      <w:tr>
        <w:trPr>
          <w:trHeight w:val="197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上海金仕 达卫宁信 息技术有 限公司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江苏金仕 达卫宁软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上海金仕 达卫宁软 件科技有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西安金仕 达卫宁软 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上海卫生 信息工程 技术研究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长期股权投资的说明</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上海金仕达卫宁信息技术有限公司于本年度已注销完毕，所以对其长期股权投资减至零。</w:t>
      </w:r>
    </w:p>
    <w:p>
      <w:pPr>
        <w:pStyle w:val="Style31"/>
        <w:keepNext/>
        <w:keepLines/>
        <w:widowControl w:val="0"/>
        <w:shd w:val="clear" w:color="auto" w:fill="auto"/>
        <w:bidi w:val="0"/>
        <w:spacing w:before="0" w:after="36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color w:val="000000"/>
          <w:spacing w:val="0"/>
          <w:w w:val="100"/>
          <w:position w:val="0"/>
        </w:rPr>
        <w:t>、营业收入和营业成本</w:t>
      </w:r>
      <w:bookmarkEnd w:id="1418"/>
      <w:bookmarkEnd w:id="1419"/>
      <w:bookmarkEnd w:id="1421"/>
    </w:p>
    <w:p>
      <w:pPr>
        <w:pStyle w:val="Style34"/>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422"/>
      <w:bookmarkEnd w:id="1423"/>
      <w:bookmarkEnd w:id="1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316,185,632.40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244,658,572.91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316,185,632.40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244,658,572.91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148,939,758.26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117,940,580.44</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14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25"/>
      <w:bookmarkEnd w:id="1426"/>
      <w:bookmarkEnd w:id="142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3725"/>
        <w:gridCol w:w="35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266"/>
        <w:gridCol w:w="1862"/>
        <w:gridCol w:w="1862"/>
        <w:gridCol w:w="1858"/>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医疗卫生信息化行业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316,185,632.40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148,939,758.26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244,658,572.91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117,940,580.44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316,185,632.40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148,939,758.26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244,658,572.91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117,940,580.44</w:t>
            </w:r>
          </w:p>
        </w:tc>
      </w:tr>
    </w:tbl>
    <w:p>
      <w:pPr>
        <w:widowControl w:val="0"/>
        <w:spacing w:after="299" w:line="1" w:lineRule="exact"/>
      </w:pPr>
    </w:p>
    <w:p>
      <w:pPr>
        <w:pStyle w:val="Style52"/>
        <w:keepNext w:val="0"/>
        <w:keepLines w:val="0"/>
        <w:widowControl w:val="0"/>
        <w:numPr>
          <w:ilvl w:val="0"/>
          <w:numId w:val="103"/>
        </w:numPr>
        <w:shd w:val="clear" w:color="auto" w:fill="auto"/>
        <w:bidi w:val="0"/>
        <w:spacing w:before="0" w:after="360" w:line="240" w:lineRule="auto"/>
        <w:ind w:left="0" w:right="0" w:firstLine="0"/>
        <w:jc w:val="left"/>
      </w:pPr>
      <w:bookmarkStart w:id="1428" w:name="bookmark1428"/>
      <w:bookmarkStart w:id="1429" w:name="bookmark1429"/>
      <w:bookmarkEnd w:id="1428"/>
      <w:r>
        <w:rPr>
          <w:color w:val="000000"/>
          <w:spacing w:val="0"/>
          <w:w w:val="100"/>
          <w:position w:val="0"/>
        </w:rPr>
        <w:t>主营业务(分产品)</w:t>
      </w:r>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185,672,260.75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55,508,833.71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129,375,705.64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45,942,538.96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93,562,093.04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78,224,046.04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69,366,157.96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52,996,793.78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36,951,278.61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15,206,878.51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45,916,709.31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19,001,247.70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316,185,632.40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bookmarkStart w:id="1430" w:name="bookmark1430"/>
            <w:r>
              <w:rPr>
                <w:rFonts w:ascii="Times New Roman" w:eastAsia="Times New Roman" w:hAnsi="Times New Roman" w:cs="Times New Roman"/>
                <w:color w:val="000000"/>
                <w:spacing w:val="0"/>
                <w:w w:val="100"/>
                <w:position w:val="0"/>
              </w:rPr>
              <w:t>148,939,758.26</w:t>
            </w:r>
            <w:bookmarkEnd w:id="1430"/>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244,658,572.91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117,940,580.44</w:t>
            </w:r>
          </w:p>
        </w:tc>
      </w:tr>
    </w:tbl>
    <w:p>
      <w:pPr>
        <w:widowControl w:val="0"/>
        <w:spacing w:after="299" w:line="1" w:lineRule="exact"/>
      </w:pPr>
    </w:p>
    <w:p>
      <w:pPr>
        <w:pStyle w:val="Style52"/>
        <w:keepNext w:val="0"/>
        <w:keepLines w:val="0"/>
        <w:widowControl w:val="0"/>
        <w:numPr>
          <w:ilvl w:val="0"/>
          <w:numId w:val="103"/>
        </w:numPr>
        <w:shd w:val="clear" w:color="auto" w:fill="auto"/>
        <w:bidi w:val="0"/>
        <w:spacing w:before="0" w:after="360" w:line="240" w:lineRule="auto"/>
        <w:ind w:left="0" w:right="0" w:firstLine="0"/>
        <w:jc w:val="left"/>
      </w:pPr>
      <w:bookmarkStart w:id="1431" w:name="bookmark1431"/>
      <w:bookmarkEnd w:id="1431"/>
      <w:r>
        <w:rPr>
          <w:color w:val="000000"/>
          <w:spacing w:val="0"/>
          <w:w w:val="100"/>
          <w:position w:val="0"/>
        </w:rPr>
        <w:t>主营业务(分地区)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1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132,841,041.51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72,413,194.73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113,981,621.99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56,888,392.31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20,717,832.62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13,843,720.92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13,855,026.62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9,424,039.15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25,862,989.15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10,309,384.53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16,637,082.00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8,080,603.35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24,713,370.34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10,999,437.39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22,383,453.57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13,771,323.28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13,660,008.24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4,183,590.86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7,894,457.39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3,084,563.76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50,985,863.81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18,868,070.62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31,831,894.86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11,202,565.13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47,404,526.73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18,322,359.21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38,075,036.48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15,489,093.46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316,185,632.40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148,939,758.26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244,658,572.91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117,940,580.44</w:t>
            </w:r>
          </w:p>
        </w:tc>
      </w:tr>
    </w:tbl>
    <w:p>
      <w:pPr>
        <w:widowControl w:val="0"/>
        <w:spacing w:after="299" w:line="1" w:lineRule="exact"/>
      </w:pPr>
    </w:p>
    <w:p>
      <w:pPr>
        <w:pStyle w:val="Style34"/>
        <w:keepNext/>
        <w:keepLines/>
        <w:widowControl w:val="0"/>
        <w:numPr>
          <w:ilvl w:val="0"/>
          <w:numId w:val="103"/>
        </w:numPr>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公司来自前五名客户的营业收入情况</w:t>
      </w:r>
      <w:bookmarkEnd w:id="1432"/>
      <w:bookmarkEnd w:id="1433"/>
      <w:bookmarkEnd w:id="143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2928"/>
        <w:gridCol w:w="186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上海交通大学附属第六人民医院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13,078,015.78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上海市奉贤区卫生局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10,180,033.86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上海申康医院发展中心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8,768,859.85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上海市嘉定区卫生局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8,324,092.88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bl>
    <w:p>
      <w:pPr>
        <w:widowControl w:val="0"/>
        <w:spacing w:line="1" w:lineRule="exact"/>
      </w:pPr>
      <w:r>
        <w:br w:type="page"/>
      </w:r>
    </w:p>
    <w:tbl>
      <w:tblPr>
        <w:tblOverlap w:val="never"/>
        <w:jc w:val="center"/>
        <w:tblLayout w:type="fixed"/>
      </w:tblPr>
      <w:tblGrid>
        <w:gridCol w:w="4790"/>
        <w:gridCol w:w="2918"/>
        <w:gridCol w:w="187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呼伦贝尔市卫生局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6,943,117.77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47,294,120.14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color w:val="000000"/>
          <w:spacing w:val="0"/>
          <w:w w:val="100"/>
          <w:position w:val="0"/>
        </w:rPr>
        <w:t>、投资收益</w:t>
      </w:r>
      <w:bookmarkEnd w:id="1436"/>
      <w:bookmarkEnd w:id="1437"/>
      <w:bookmarkEnd w:id="1439"/>
    </w:p>
    <w:p>
      <w:pPr>
        <w:pStyle w:val="Style34"/>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440"/>
      <w:bookmarkEnd w:id="1441"/>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1,639,467.42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1,639,467.42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43"/>
      <w:bookmarkEnd w:id="1444"/>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608"/>
        <w:gridCol w:w="29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1,639,467.42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本年度已注销完毕</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1,639,467.42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6</w:t>
      </w:r>
      <w:bookmarkEnd w:id="1448"/>
      <w:r>
        <w:rPr>
          <w:color w:val="000000"/>
          <w:spacing w:val="0"/>
          <w:w w:val="100"/>
          <w:position w:val="0"/>
        </w:rPr>
        <w:t>、现金流量表补充资料</w:t>
      </w:r>
      <w:bookmarkEnd w:id="1446"/>
      <w:bookmarkEnd w:id="1447"/>
      <w:bookmarkEnd w:id="144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84,030,127.60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53,067,732.89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10,156,583.74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4,577,205.05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6,441,009.73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3,453,645.61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235,366.36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154,953.24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193,333.32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-1,639,467.42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-2,121,065.66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-2,086,056.80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19,204,287.70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-17,501,953.82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-77,593,590.70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-61,103,341.78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12,337,747.65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43,169,318.42</w:t>
            </w:r>
          </w:p>
        </w:tc>
      </w:tr>
    </w:tbl>
    <w:p>
      <w:pPr>
        <w:widowControl w:val="0"/>
        <w:spacing w:line="1" w:lineRule="exact"/>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460,950.71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51,925,527.55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24,197,763.89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431,149,627.44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387,255,300.45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387,255,300.45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401,623,514.36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43,894,326.99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-14,368,213.91</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450" w:name="bookmark1450"/>
      <w:bookmarkStart w:id="1451" w:name="bookmark1451"/>
      <w:bookmarkStart w:id="1452" w:name="bookmark1452"/>
      <w:r>
        <w:rPr>
          <w:color w:val="000000"/>
          <w:spacing w:val="0"/>
          <w:w w:val="100"/>
          <w:position w:val="0"/>
          <w:sz w:val="24"/>
          <w:szCs w:val="24"/>
        </w:rPr>
        <w:t>十五、补充资料</w:t>
      </w:r>
      <w:bookmarkEnd w:id="1450"/>
      <w:bookmarkEnd w:id="1451"/>
      <w:bookmarkEnd w:id="1452"/>
    </w:p>
    <w:p>
      <w:pPr>
        <w:pStyle w:val="Style31"/>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53"/>
      <w:bookmarkEnd w:id="1454"/>
      <w:bookmarkEnd w:id="14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43"/>
        <w:gridCol w:w="2227"/>
        <w:gridCol w:w="251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12,474,863.37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1,910,145.09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10,235,355.58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56"/>
      <w:bookmarkEnd w:id="1457"/>
      <w:bookmarkEnd w:id="14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color w:val="000000"/>
          <w:spacing w:val="0"/>
          <w:w w:val="100"/>
          <w:position w:val="0"/>
        </w:rPr>
        <w:t>、公司主要会计报表项目的异常情况及原因的说明</w:t>
      </w:r>
      <w:bookmarkEnd w:id="1459"/>
      <w:bookmarkEnd w:id="1460"/>
      <w:bookmarkEnd w:id="146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）资产负债表项目（单位：万元）</w:t>
      </w:r>
    </w:p>
    <w:tbl>
      <w:tblPr>
        <w:tblOverlap w:val="never"/>
        <w:jc w:val="center"/>
        <w:tblLayout w:type="fixed"/>
      </w:tblPr>
      <w:tblGrid>
        <w:gridCol w:w="2256"/>
        <w:gridCol w:w="1262"/>
        <w:gridCol w:w="1310"/>
        <w:gridCol w:w="1214"/>
        <w:gridCol w:w="363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具体情况及变动原因</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期初票据已承兑所致</w:t>
            </w:r>
          </w:p>
        </w:tc>
      </w:tr>
    </w:tbl>
    <w:p>
      <w:pPr>
        <w:widowControl w:val="0"/>
        <w:spacing w:line="1" w:lineRule="exact"/>
      </w:pPr>
      <w:r>
        <w:br w:type="page"/>
      </w:r>
    </w:p>
    <w:tbl>
      <w:tblPr>
        <w:tblOverlap w:val="never"/>
        <w:jc w:val="center"/>
        <w:tblLayout w:type="fixed"/>
      </w:tblPr>
      <w:tblGrid>
        <w:gridCol w:w="2256"/>
        <w:gridCol w:w="1262"/>
        <w:gridCol w:w="1310"/>
        <w:gridCol w:w="1214"/>
        <w:gridCol w:w="3634"/>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18,076.43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收入规模增长及部分医疗卫生管理机构资金 预算及严格控制付款进度</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685.94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硬件销售合同履行完毕使得多笔发出商品减 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&gt;200%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项目本年增加开发支出所致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&gt;200%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新办公场地装修费增加所致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&gt;200%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业务增长影响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员工增加及工资水平提高所致</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上年末已缴税金数较多及本年末应付个人所 得税增加所致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业务增加及部分费用年后付款所致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业务增长影响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递延收益摊销影响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盈利增加影响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盈利增加影响</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控股子公司亏损增加所致</w:t>
            </w:r>
          </w:p>
        </w:tc>
      </w:tr>
    </w:tbl>
    <w:p>
      <w:pPr>
        <w:widowControl w:val="0"/>
        <w:spacing w:after="1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)利润表项目(单位：万元)</w:t>
      </w:r>
    </w:p>
    <w:tbl>
      <w:tblPr>
        <w:tblOverlap w:val="never"/>
        <w:jc w:val="center"/>
        <w:tblLayout w:type="fixed"/>
      </w:tblPr>
      <w:tblGrid>
        <w:gridCol w:w="2275"/>
        <w:gridCol w:w="1243"/>
        <w:gridCol w:w="1286"/>
        <w:gridCol w:w="1301"/>
        <w:gridCol w:w="357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具体情况及变动原因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业务增长影响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业务增长影响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业务增长影响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应收款项增加影响</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3,384.11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2,176.09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软件产品增值税即征即退及其他政府补助增 加影响</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&gt;200%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处置固定资产所致</w:t>
            </w:r>
          </w:p>
        </w:tc>
      </w:tr>
    </w:tbl>
    <w:p>
      <w:pPr>
        <w:sectPr>
          <w:footnotePr>
            <w:pos w:val="pageBottom"/>
            <w:numFmt w:val="decimal"/>
            <w:numRestart w:val="continuous"/>
          </w:footnotePr>
          <w:type w:val="continuous"/>
          <w:pgSz w:w="11900" w:h="16840"/>
          <w:pgMar w:top="1151" w:right="1063" w:bottom="1379" w:left="1064" w:header="0" w:footer="3" w:gutter="0"/>
          <w:cols w:space="720"/>
          <w:noEndnote/>
          <w:rtlGutter w:val="0"/>
          <w:docGrid w:linePitch="360"/>
        </w:sectPr>
      </w:pPr>
    </w:p>
    <w:p>
      <w:pPr>
        <w:pStyle w:val="Style13"/>
        <w:keepNext/>
        <w:keepLines/>
        <w:widowControl w:val="0"/>
        <w:shd w:val="clear" w:color="auto" w:fill="auto"/>
        <w:bidi w:val="0"/>
        <w:spacing w:before="0" w:after="560" w:line="240" w:lineRule="auto"/>
        <w:ind w:left="0" w:right="0" w:firstLine="0"/>
        <w:jc w:val="center"/>
      </w:pPr>
      <w:bookmarkStart w:id="1463" w:name="bookmark1463"/>
      <w:bookmarkStart w:id="1464" w:name="bookmark1464"/>
      <w:bookmarkStart w:id="1465" w:name="bookmark1465"/>
      <w:r>
        <w:rPr>
          <w:color w:val="000000"/>
          <w:spacing w:val="0"/>
          <w:w w:val="100"/>
          <w:position w:val="0"/>
        </w:rPr>
        <w:t>第十节备查文件目录</w:t>
      </w:r>
      <w:bookmarkEnd w:id="1463"/>
      <w:bookmarkEnd w:id="1464"/>
      <w:bookmarkEnd w:id="1465"/>
    </w:p>
    <w:p>
      <w:pPr>
        <w:pStyle w:val="Style52"/>
        <w:keepNext w:val="0"/>
        <w:keepLines w:val="0"/>
        <w:widowControl w:val="0"/>
        <w:shd w:val="clear" w:color="auto" w:fill="auto"/>
        <w:tabs>
          <w:tab w:pos="478" w:val="left"/>
        </w:tabs>
        <w:bidi w:val="0"/>
        <w:spacing w:before="0" w:after="180" w:line="240" w:lineRule="auto"/>
        <w:ind w:left="0" w:right="0" w:firstLine="0"/>
        <w:jc w:val="left"/>
      </w:pPr>
      <w:bookmarkStart w:id="1466" w:name="bookmark1466"/>
      <w:bookmarkStart w:id="1467" w:name="bookmark1467"/>
      <w:r>
        <w:rPr>
          <w:color w:val="000000"/>
          <w:spacing w:val="0"/>
          <w:w w:val="100"/>
          <w:position w:val="0"/>
        </w:rPr>
        <w:t>一</w:t>
      </w:r>
      <w:bookmarkEnd w:id="1467"/>
      <w:r>
        <w:rPr>
          <w:color w:val="000000"/>
          <w:spacing w:val="0"/>
          <w:w w:val="100"/>
          <w:position w:val="0"/>
        </w:rPr>
        <w:t>、</w:t>
        <w:tab/>
        <w:t>载有公司法定代表人、主管会计工作负责人、会计主管人员签名并盖章的财务报表。</w:t>
      </w:r>
      <w:bookmarkEnd w:id="1466"/>
    </w:p>
    <w:p>
      <w:pPr>
        <w:pStyle w:val="Style52"/>
        <w:keepNext w:val="0"/>
        <w:keepLines w:val="0"/>
        <w:widowControl w:val="0"/>
        <w:shd w:val="clear" w:color="auto" w:fill="auto"/>
        <w:tabs>
          <w:tab w:pos="478" w:val="left"/>
        </w:tabs>
        <w:bidi w:val="0"/>
        <w:spacing w:before="0" w:after="180" w:line="240" w:lineRule="auto"/>
        <w:ind w:left="0" w:right="0" w:firstLine="0"/>
        <w:jc w:val="left"/>
      </w:pPr>
      <w:bookmarkStart w:id="1468" w:name="bookmark1468"/>
      <w:r>
        <w:rPr>
          <w:color w:val="000000"/>
          <w:spacing w:val="0"/>
          <w:w w:val="100"/>
          <w:position w:val="0"/>
        </w:rPr>
        <w:t>二</w:t>
      </w:r>
      <w:bookmarkEnd w:id="1468"/>
      <w:r>
        <w:rPr>
          <w:color w:val="000000"/>
          <w:spacing w:val="0"/>
          <w:w w:val="100"/>
          <w:position w:val="0"/>
        </w:rPr>
        <w:t>、</w:t>
        <w:tab/>
        <w:t>载有会计师事务所盖章、注册会计师签名并盖章的审计报告原件。</w:t>
      </w:r>
    </w:p>
    <w:p>
      <w:pPr>
        <w:pStyle w:val="Style52"/>
        <w:keepNext w:val="0"/>
        <w:keepLines w:val="0"/>
        <w:widowControl w:val="0"/>
        <w:shd w:val="clear" w:color="auto" w:fill="auto"/>
        <w:tabs>
          <w:tab w:pos="483" w:val="left"/>
        </w:tabs>
        <w:bidi w:val="0"/>
        <w:spacing w:before="0" w:after="180" w:line="240" w:lineRule="auto"/>
        <w:ind w:left="0" w:right="0" w:firstLine="0"/>
        <w:jc w:val="left"/>
      </w:pPr>
      <w:bookmarkStart w:id="1469" w:name="bookmark1469"/>
      <w:r>
        <w:rPr>
          <w:color w:val="000000"/>
          <w:spacing w:val="0"/>
          <w:w w:val="100"/>
          <w:position w:val="0"/>
        </w:rPr>
        <w:t>三</w:t>
      </w:r>
      <w:bookmarkEnd w:id="1469"/>
      <w:r>
        <w:rPr>
          <w:color w:val="000000"/>
          <w:spacing w:val="0"/>
          <w:w w:val="100"/>
          <w:position w:val="0"/>
        </w:rPr>
        <w:t>、</w:t>
        <w:tab/>
        <w:t>报告期内在中国证监会指定网站上公开披露过的所有公司文件的正本及公告的原稿。</w:t>
      </w:r>
    </w:p>
    <w:p>
      <w:pPr>
        <w:pStyle w:val="Style52"/>
        <w:keepNext w:val="0"/>
        <w:keepLines w:val="0"/>
        <w:widowControl w:val="0"/>
        <w:shd w:val="clear" w:color="auto" w:fill="auto"/>
        <w:tabs>
          <w:tab w:pos="483" w:val="left"/>
        </w:tabs>
        <w:bidi w:val="0"/>
        <w:spacing w:before="0" w:after="620" w:line="240" w:lineRule="auto"/>
        <w:ind w:left="0" w:right="0" w:firstLine="0"/>
        <w:jc w:val="left"/>
      </w:pPr>
      <w:bookmarkStart w:id="1470" w:name="bookmark1470"/>
      <w:r>
        <w:rPr>
          <w:color w:val="000000"/>
          <w:spacing w:val="0"/>
          <w:w w:val="100"/>
          <w:position w:val="0"/>
        </w:rPr>
        <w:t>四</w:t>
      </w:r>
      <w:bookmarkEnd w:id="1470"/>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52"/>
        <w:keepNext w:val="0"/>
        <w:keepLines w:val="0"/>
        <w:widowControl w:val="0"/>
        <w:shd w:val="clear" w:color="auto" w:fill="auto"/>
        <w:bidi w:val="0"/>
        <w:spacing w:before="0" w:after="1080" w:line="240" w:lineRule="auto"/>
        <w:ind w:left="0" w:right="0" w:firstLine="0"/>
        <w:jc w:val="left"/>
      </w:pPr>
      <w:r>
        <w:rPr>
          <w:color w:val="000000"/>
          <w:spacing w:val="0"/>
          <w:w w:val="100"/>
          <w:position w:val="0"/>
        </w:rPr>
        <w:t>以上备查文件的备置地点：董事会办公室。</w:t>
      </w:r>
    </w:p>
    <w:p>
      <w:pPr>
        <w:pStyle w:val="Style52"/>
        <w:keepNext w:val="0"/>
        <w:keepLines w:val="0"/>
        <w:widowControl w:val="0"/>
        <w:shd w:val="clear" w:color="auto" w:fill="auto"/>
        <w:bidi w:val="0"/>
        <w:spacing w:before="0" w:after="1020" w:line="240" w:lineRule="auto"/>
        <w:ind w:left="0" w:right="380" w:firstLine="0"/>
        <w:jc w:val="right"/>
      </w:pPr>
      <w:r>
        <w:rPr>
          <w:color w:val="000000"/>
          <w:spacing w:val="0"/>
          <w:w w:val="100"/>
          <w:position w:val="0"/>
        </w:rPr>
        <w:t>上海金仕达卫宁软件股份有限公司</w:t>
      </w:r>
    </w:p>
    <w:p>
      <w:pPr>
        <w:pStyle w:val="Style52"/>
        <w:keepNext w:val="0"/>
        <w:keepLines w:val="0"/>
        <w:widowControl w:val="0"/>
        <w:shd w:val="clear" w:color="auto" w:fill="auto"/>
        <w:tabs>
          <w:tab w:leader="underscore" w:pos="3158" w:val="left"/>
        </w:tabs>
        <w:bidi w:val="0"/>
        <w:spacing w:before="0" w:after="380" w:line="240" w:lineRule="auto"/>
        <w:ind w:left="0" w:right="380" w:firstLine="0"/>
        <w:jc w:val="right"/>
      </w:pPr>
      <w:r>
        <w:rPr>
          <w:color w:val="000000"/>
          <w:spacing w:val="0"/>
          <w:w w:val="100"/>
          <w:position w:val="0"/>
        </w:rPr>
        <w:t>法定代表人：</w:t>
        <w:tab/>
      </w:r>
    </w:p>
    <w:p>
      <w:pPr>
        <w:pStyle w:val="Style52"/>
        <w:keepNext w:val="0"/>
        <w:keepLines w:val="0"/>
        <w:widowControl w:val="0"/>
        <w:shd w:val="clear" w:color="auto" w:fill="auto"/>
        <w:bidi w:val="0"/>
        <w:spacing w:before="0" w:after="380" w:line="240" w:lineRule="auto"/>
        <w:ind w:left="0" w:right="380" w:firstLine="0"/>
        <w:jc w:val="right"/>
      </w:pPr>
      <w:r>
        <w:rPr>
          <w:color w:val="000000"/>
          <w:spacing w:val="0"/>
          <w:w w:val="100"/>
          <w:position w:val="0"/>
        </w:rPr>
        <w:t>周炜</w:t>
      </w:r>
    </w:p>
    <w:p>
      <w:pPr>
        <w:pStyle w:val="Style52"/>
        <w:keepNext w:val="0"/>
        <w:keepLines w:val="0"/>
        <w:widowControl w:val="0"/>
        <w:shd w:val="clear" w:color="auto" w:fill="auto"/>
        <w:bidi w:val="0"/>
        <w:spacing w:before="0" w:after="460" w:line="240" w:lineRule="auto"/>
        <w:ind w:left="0" w:right="380" w:firstLine="0"/>
        <w:jc w:val="righ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w:t>
      </w:r>
    </w:p>
    <w:sectPr>
      <w:footnotePr>
        <w:pos w:val="pageBottom"/>
        <w:numFmt w:val="decimal"/>
        <w:numRestart w:val="continuous"/>
      </w:footnotePr>
      <w:pgSz w:w="11900" w:h="16840"/>
      <w:pgMar w:top="1969" w:right="1882"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6739890</wp:posOffset>
              </wp:positionH>
              <wp:positionV relativeFrom="page">
                <wp:posOffset>9984740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0000000000005pt;margin-top:786.2000000000000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478790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上海金仕达卫宁软件股份有限公司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5000000000003pt;margin-top:37.7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上海金仕达卫宁软件股份有限公司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4167505</wp:posOffset>
              </wp:positionH>
              <wp:positionV relativeFrom="page">
                <wp:posOffset>560705</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上海金仕达卫宁软件股份有限公司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28.15000000000003pt;margin-top:44.149999999999999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上海金仕达卫宁软件股份有限公司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正文文本 (4)_"/>
    <w:basedOn w:val="DefaultParagraphFont"/>
    <w:link w:val="Style48"/>
    <w:rPr>
      <w:rFonts w:ascii="SimSun" w:eastAsia="SimSun" w:hAnsi="SimSun" w:cs="SimSun"/>
      <w:b w:val="0"/>
      <w:bCs w:val="0"/>
      <w:i w:val="0"/>
      <w:iCs w:val="0"/>
      <w:smallCaps w:val="0"/>
      <w:strike w:val="0"/>
      <w:u w:val="none"/>
      <w:shd w:val="clear" w:color="auto" w:fill="auto"/>
    </w:rPr>
  </w:style>
  <w:style w:type="character" w:customStyle="1" w:styleId="CharStyle53">
    <w:name w:val="正文文本 (6)_"/>
    <w:basedOn w:val="DefaultParagraphFont"/>
    <w:link w:val="Style52"/>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目录"/>
    <w:basedOn w:val="Normal"/>
    <w:link w:val="CharStyle18"/>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标题 #2"/>
    <w:basedOn w:val="Normal"/>
    <w:link w:val="CharStyle22"/>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23">
    <w:name w:val="正文文本"/>
    <w:basedOn w:val="Normal"/>
    <w:link w:val="CharStyle24"/>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3"/>
    <w:basedOn w:val="Normal"/>
    <w:link w:val="CharStyle32"/>
    <w:pPr>
      <w:widowControl w:val="0"/>
      <w:shd w:val="clear" w:color="auto" w:fill="auto"/>
      <w:spacing w:after="33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5)"/>
    <w:basedOn w:val="Normal"/>
    <w:link w:val="CharStyle46"/>
    <w:pPr>
      <w:widowControl w:val="0"/>
      <w:shd w:val="clear" w:color="auto" w:fill="auto"/>
      <w:spacing w:line="326"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正文文本 (4)"/>
    <w:basedOn w:val="Normal"/>
    <w:link w:val="CharStyle49"/>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52">
    <w:name w:val="正文文本 (6)"/>
    <w:basedOn w:val="Normal"/>
    <w:link w:val="CharStyle53"/>
    <w:pPr>
      <w:widowControl w:val="0"/>
      <w:shd w:val="clear" w:color="auto" w:fill="auto"/>
      <w:ind w:firstLine="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上海金仕达卫宁软件股份有限公司2013年度报告全文</dc:title>
  <dc:subject/>
  <dc:creator>上海金仕达卫宁软件股份有限公司</dc:creator>
  <cp:keywords/>
</cp:coreProperties>
</file>